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3.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4.xml" ContentType="application/vnd.openxmlformats-officedocument.themeOverride+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365420" w14:textId="77777777" w:rsidR="00A0251B" w:rsidRPr="00CC35F0" w:rsidRDefault="008D6506" w:rsidP="00564172">
      <w:pPr>
        <w:ind w:firstLine="720"/>
        <w:rPr>
          <w:rFonts w:ascii="Times New Roman" w:eastAsia="Times New Roman" w:hAnsi="Times New Roman"/>
          <w:strike/>
          <w:sz w:val="24"/>
          <w:szCs w:val="24"/>
          <w:lang w:val="sr-Cyrl-CS"/>
        </w:rPr>
      </w:pPr>
      <w:bookmarkStart w:id="0" w:name="_heading=h.30j0zll" w:colFirst="0" w:colLast="0"/>
      <w:bookmarkEnd w:id="0"/>
      <w:r w:rsidRPr="00CC35F0">
        <w:rPr>
          <w:rFonts w:ascii="Times New Roman" w:eastAsia="Times New Roman" w:hAnsi="Times New Roman"/>
          <w:sz w:val="24"/>
          <w:szCs w:val="24"/>
          <w:lang w:val="sr-Cyrl-CS"/>
        </w:rPr>
        <w:t xml:space="preserve">На основу члана 38. став 1. Закона o планском систему Републике Србије („Службени гласник РС”, брoj 30/18), </w:t>
      </w:r>
    </w:p>
    <w:p w14:paraId="3A462C16" w14:textId="77777777" w:rsidR="00931AC2" w:rsidRPr="00CC35F0" w:rsidRDefault="00931AC2" w:rsidP="00931AC2">
      <w:pPr>
        <w:ind w:firstLine="720"/>
        <w:rPr>
          <w:rFonts w:ascii="Times New Roman" w:eastAsia="Times New Roman" w:hAnsi="Times New Roman"/>
          <w:sz w:val="24"/>
          <w:szCs w:val="24"/>
          <w:lang w:val="sr-Cyrl-CS"/>
        </w:rPr>
      </w:pPr>
    </w:p>
    <w:p w14:paraId="31162761" w14:textId="77777777" w:rsidR="00A0251B" w:rsidRPr="00CC35F0" w:rsidRDefault="008D6506" w:rsidP="00931AC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Влада </w:t>
      </w:r>
      <w:r w:rsidR="00931AC2" w:rsidRPr="00CC35F0">
        <w:rPr>
          <w:rFonts w:ascii="Times New Roman" w:eastAsia="Times New Roman" w:hAnsi="Times New Roman"/>
          <w:sz w:val="24"/>
          <w:szCs w:val="24"/>
          <w:lang w:val="sr-Cyrl-CS"/>
        </w:rPr>
        <w:t>усваја</w:t>
      </w:r>
    </w:p>
    <w:p w14:paraId="39F1707B" w14:textId="77777777" w:rsidR="00A0251B" w:rsidRPr="00CC35F0" w:rsidRDefault="00A0251B">
      <w:pPr>
        <w:jc w:val="center"/>
        <w:rPr>
          <w:rFonts w:ascii="Times New Roman" w:eastAsia="Times New Roman" w:hAnsi="Times New Roman"/>
          <w:b/>
          <w:color w:val="1F3864"/>
          <w:sz w:val="24"/>
          <w:szCs w:val="24"/>
          <w:lang w:val="sr-Cyrl-CS"/>
        </w:rPr>
      </w:pPr>
    </w:p>
    <w:p w14:paraId="7E74FA05" w14:textId="77777777" w:rsidR="00931AC2" w:rsidRPr="00CC35F0" w:rsidRDefault="008D6506">
      <w:pPr>
        <w:jc w:val="center"/>
        <w:rPr>
          <w:rFonts w:ascii="Times New Roman" w:eastAsia="Times New Roman" w:hAnsi="Times New Roman"/>
          <w:b/>
          <w:color w:val="1F3864"/>
          <w:sz w:val="24"/>
          <w:szCs w:val="24"/>
          <w:lang w:val="sr-Cyrl-CS"/>
        </w:rPr>
      </w:pPr>
      <w:r w:rsidRPr="00CC35F0">
        <w:rPr>
          <w:rFonts w:ascii="Times New Roman" w:eastAsia="Times New Roman" w:hAnsi="Times New Roman"/>
          <w:b/>
          <w:color w:val="1F3864"/>
          <w:sz w:val="24"/>
          <w:szCs w:val="24"/>
          <w:lang w:val="sr-Cyrl-CS"/>
        </w:rPr>
        <w:t xml:space="preserve">ПРОГРАМ ЗАШТИТЕ ВАЗДУХА У РЕПУБЛИЦИ СРБИЈИ </w:t>
      </w:r>
    </w:p>
    <w:p w14:paraId="68A87BC3" w14:textId="77777777" w:rsidR="00A0251B" w:rsidRPr="00CC35F0" w:rsidRDefault="008D6506">
      <w:pPr>
        <w:jc w:val="center"/>
        <w:rPr>
          <w:rFonts w:ascii="Times New Roman" w:eastAsia="Times New Roman" w:hAnsi="Times New Roman"/>
          <w:b/>
          <w:color w:val="1F3864"/>
          <w:sz w:val="24"/>
          <w:szCs w:val="24"/>
          <w:lang w:val="sr-Cyrl-CS"/>
        </w:rPr>
      </w:pP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b/>
          <w:smallCaps/>
          <w:color w:val="1F3864"/>
          <w:sz w:val="24"/>
          <w:szCs w:val="24"/>
          <w:lang w:val="sr-Cyrl-CS"/>
        </w:rPr>
        <w:t xml:space="preserve">ЗА ПЕРИОД ОД 2022. ДО 2030. ГОДИНЕ </w:t>
      </w:r>
      <w:r w:rsidRPr="00CC35F0">
        <w:rPr>
          <w:rFonts w:ascii="Times New Roman" w:eastAsia="Times New Roman" w:hAnsi="Times New Roman"/>
          <w:b/>
          <w:color w:val="1F3864"/>
          <w:sz w:val="24"/>
          <w:szCs w:val="24"/>
          <w:lang w:val="sr-Cyrl-CS"/>
        </w:rPr>
        <w:t>СА АКЦИОНИМ ПЛАНОМ</w:t>
      </w:r>
    </w:p>
    <w:p w14:paraId="22A0E20D" w14:textId="77777777" w:rsidR="00A0251B" w:rsidRPr="00CC35F0" w:rsidRDefault="00A0251B">
      <w:pPr>
        <w:jc w:val="center"/>
        <w:rPr>
          <w:rFonts w:ascii="Times New Roman" w:eastAsia="Times New Roman" w:hAnsi="Times New Roman"/>
          <w:b/>
          <w:color w:val="1F3864"/>
          <w:sz w:val="24"/>
          <w:szCs w:val="24"/>
          <w:lang w:val="sr-Cyrl-CS"/>
        </w:rPr>
      </w:pPr>
    </w:p>
    <w:p w14:paraId="110CCA04" w14:textId="77777777" w:rsidR="00A0251B" w:rsidRPr="00CC35F0" w:rsidRDefault="008D6506" w:rsidP="00382EC6">
      <w:pPr>
        <w:pStyle w:val="Heading1"/>
        <w:numPr>
          <w:ilvl w:val="0"/>
          <w:numId w:val="23"/>
        </w:numPr>
        <w:rPr>
          <w:rFonts w:ascii="Times New Roman" w:eastAsia="Times New Roman" w:hAnsi="Times New Roman"/>
          <w:sz w:val="24"/>
          <w:szCs w:val="24"/>
          <w:lang w:val="sr-Cyrl-CS"/>
        </w:rPr>
      </w:pPr>
      <w:bookmarkStart w:id="1" w:name="_heading=h.1fob9te" w:colFirst="0" w:colLast="0"/>
      <w:bookmarkEnd w:id="1"/>
      <w:r w:rsidRPr="00CC35F0">
        <w:rPr>
          <w:rFonts w:ascii="Times New Roman" w:eastAsia="Times New Roman" w:hAnsi="Times New Roman"/>
          <w:sz w:val="24"/>
          <w:szCs w:val="24"/>
          <w:lang w:val="sr-Cyrl-CS"/>
        </w:rPr>
        <w:t>УВОД</w:t>
      </w:r>
    </w:p>
    <w:p w14:paraId="32AEC542" w14:textId="77777777" w:rsidR="00A0251B" w:rsidRPr="00CC35F0" w:rsidRDefault="008D6506" w:rsidP="00931AC2">
      <w:pPr>
        <w:spacing w:after="0" w:line="240" w:lineRule="auto"/>
        <w:ind w:firstLine="45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Штетни утицаји загађења ваздуха опште су познати, а загађење амбијенталног ваздуха представља велики ризик за здравље људи и животну средину. Загађење чини мешавина хемикалија, прашкастих материја и биолошких материјала који међусобно реагују и формирају опасне суспендоване честице. Кључни показатељ квалитета ваздуха је концентрација суспендованих честица (</w:t>
      </w:r>
      <w:r w:rsidR="00181916" w:rsidRPr="00CC35F0">
        <w:rPr>
          <w:rFonts w:ascii="Times New Roman" w:eastAsia="Times New Roman" w:hAnsi="Times New Roman"/>
          <w:sz w:val="24"/>
          <w:szCs w:val="24"/>
          <w:lang w:val="sr-Cyrl-CS"/>
        </w:rPr>
        <w:t xml:space="preserve">у даљем тексту: </w:t>
      </w:r>
      <w:r w:rsidRPr="00CC35F0">
        <w:rPr>
          <w:rFonts w:ascii="Times New Roman" w:eastAsia="Times New Roman" w:hAnsi="Times New Roman"/>
          <w:sz w:val="24"/>
          <w:szCs w:val="24"/>
          <w:lang w:val="sr-Cyrl-CS"/>
        </w:rPr>
        <w:t>PM), будући да су ове честице најчешћ</w:t>
      </w:r>
      <w:r w:rsidR="00531242" w:rsidRPr="00CC35F0">
        <w:rPr>
          <w:rFonts w:ascii="Times New Roman" w:eastAsia="Times New Roman" w:hAnsi="Times New Roman"/>
          <w:sz w:val="24"/>
          <w:szCs w:val="24"/>
          <w:lang w:val="sr-Cyrl-CS"/>
        </w:rPr>
        <w:t>а загађујућа материја у ваздуху</w:t>
      </w:r>
      <w:r w:rsidRPr="00CC35F0">
        <w:rPr>
          <w:rFonts w:ascii="Times New Roman" w:eastAsia="Times New Roman" w:hAnsi="Times New Roman"/>
          <w:sz w:val="24"/>
          <w:szCs w:val="24"/>
          <w:lang w:val="sr-Cyrl-CS"/>
        </w:rPr>
        <w:t xml:space="preserve"> и да оне изазивају краткорочне и дугорочне утицаје на здравље. Честице мањег промера изазивају већу забринутост јер се оне не задржавају у горњим дисајним путевима, већ пр</w:t>
      </w:r>
      <w:r w:rsidR="007127E7" w:rsidRPr="00CC35F0">
        <w:rPr>
          <w:rFonts w:ascii="Times New Roman" w:eastAsia="Times New Roman" w:hAnsi="Times New Roman"/>
          <w:sz w:val="24"/>
          <w:szCs w:val="24"/>
          <w:lang w:val="sr-Cyrl-CS"/>
        </w:rPr>
        <w:t xml:space="preserve">одиру дубље у кардиопулмонални </w:t>
      </w:r>
      <w:r w:rsidRPr="00CC35F0">
        <w:rPr>
          <w:rFonts w:ascii="Times New Roman" w:eastAsia="Times New Roman" w:hAnsi="Times New Roman"/>
          <w:sz w:val="24"/>
          <w:szCs w:val="24"/>
          <w:lang w:val="sr-Cyrl-CS"/>
        </w:rPr>
        <w:t>систем. Истраживање, које је спровела Међународна агенција Светске здравствене организације за истраживање карцинома 2013. године, показало је да загађење спољашњег ваздуха изазива карциногена обољења код људи, а суспендоване честице које се налазе међу загађујућим материјама у ваздуху најчешће се доводе у везу са повећањем стопе оболелих од карцинома, нарочито плућног. Поред тога, лош квалитет ваздуха доводи до проблема са дисањем, хроничних обољења, повећања стопе хоспитализованих пацијената и превременог морталитета. Поред суспендованих честица, чак и краткотрајно излагање концентрацијама сумпор-диоксида (у даљем тексту: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vertAlign w:val="subscript"/>
          <w:lang w:val="sr-Cyrl-CS"/>
        </w:rPr>
        <w:t xml:space="preserve"> </w:t>
      </w:r>
      <w:r w:rsidRPr="00CC35F0">
        <w:rPr>
          <w:rFonts w:ascii="Times New Roman" w:eastAsia="Times New Roman" w:hAnsi="Times New Roman"/>
          <w:sz w:val="24"/>
          <w:szCs w:val="24"/>
          <w:lang w:val="sr-Cyrl-CS"/>
        </w:rPr>
        <w:t>може оштетити респираторни систем људи и довести до отежаног дисања. Људи оболели од астме, нарочито деца, осетљиви су на утицаје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w:t>
      </w:r>
    </w:p>
    <w:p w14:paraId="75D24B97" w14:textId="77777777" w:rsidR="00A0251B" w:rsidRPr="00CC35F0" w:rsidRDefault="008D6506" w:rsidP="00931AC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Приземни озон, који се углавном формира у летњим месецима у реакцији загађујућих материја, као што су азотни оксиди (у даљем тексту: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из саобраћаја и индустрије и испарљивих органских једињења (у даљем тексту: VOC), са сунчевом светлошћу (фотохемијска реакција), може узроковати проблеме VOC са дисањем, бити окидач за астму, изазвати смањење функције плућа и плућна обољења. Поред наведених загађујућих материја, симптоми бронхитиса код астматичне деце се појачавају продуженим излагањем азотним оксидима.</w:t>
      </w:r>
    </w:p>
    <w:p w14:paraId="1FAADF29" w14:textId="77777777" w:rsidR="00A0251B" w:rsidRPr="00CC35F0" w:rsidRDefault="008D6506" w:rsidP="00931AC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Да би се одговорило на проблем загађења ваздуха, више локалних заједница и градова у </w:t>
      </w:r>
      <w:r w:rsidR="0040439A"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Србији већ су припремили или започели припрему локалних планова заштите в</w:t>
      </w:r>
      <w:r w:rsidR="001053DE" w:rsidRPr="00CC35F0">
        <w:rPr>
          <w:rFonts w:ascii="Times New Roman" w:eastAsia="Times New Roman" w:hAnsi="Times New Roman"/>
          <w:sz w:val="24"/>
          <w:szCs w:val="24"/>
          <w:lang w:val="sr-Cyrl-CS"/>
        </w:rPr>
        <w:t>аздуха, а Влада</w:t>
      </w:r>
      <w:r w:rsidRPr="00CC35F0">
        <w:rPr>
          <w:rFonts w:ascii="Times New Roman" w:eastAsia="Times New Roman" w:hAnsi="Times New Roman"/>
          <w:sz w:val="24"/>
          <w:szCs w:val="24"/>
          <w:lang w:val="sr-Cyrl-CS"/>
        </w:rPr>
        <w:t xml:space="preserve"> је 30. јануара 2020. године усвојила Национални план за смањење емисија главних загађујућих материја које потичу из старих великих постројења за сагоревање („Службени гласник РС”,</w:t>
      </w:r>
      <w:r w:rsidRPr="00CC35F0">
        <w:rPr>
          <w:rFonts w:ascii="Times New Roman" w:eastAsia="Times New Roman" w:hAnsi="Times New Roman"/>
          <w:b/>
          <w:sz w:val="24"/>
          <w:szCs w:val="24"/>
          <w:lang w:val="sr-Cyrl-CS"/>
        </w:rPr>
        <w:t xml:space="preserve"> </w:t>
      </w:r>
      <w:r w:rsidR="00D32C1D" w:rsidRPr="00CC35F0">
        <w:rPr>
          <w:rFonts w:ascii="Times New Roman" w:eastAsia="Times New Roman" w:hAnsi="Times New Roman"/>
          <w:sz w:val="24"/>
          <w:szCs w:val="24"/>
          <w:lang w:val="sr-Cyrl-CS"/>
        </w:rPr>
        <w:t xml:space="preserve"> број</w:t>
      </w:r>
      <w:r w:rsidR="0040439A" w:rsidRPr="00CC35F0">
        <w:rPr>
          <w:rFonts w:ascii="Times New Roman" w:eastAsia="Times New Roman" w:hAnsi="Times New Roman"/>
          <w:sz w:val="24"/>
          <w:szCs w:val="24"/>
          <w:lang w:val="sr-Cyrl-CS"/>
        </w:rPr>
        <w:t xml:space="preserve"> 10/</w:t>
      </w:r>
      <w:r w:rsidR="00BB09F4" w:rsidRPr="00CC35F0">
        <w:rPr>
          <w:rFonts w:ascii="Times New Roman" w:eastAsia="Times New Roman" w:hAnsi="Times New Roman"/>
          <w:sz w:val="24"/>
          <w:szCs w:val="24"/>
          <w:lang w:val="sr-Cyrl-CS"/>
        </w:rPr>
        <w:t>20</w:t>
      </w:r>
      <w:r w:rsidR="00D32C1D" w:rsidRPr="00CC35F0">
        <w:rPr>
          <w:rFonts w:ascii="Times New Roman" w:eastAsia="Times New Roman" w:hAnsi="Times New Roman"/>
          <w:sz w:val="24"/>
          <w:szCs w:val="24"/>
          <w:lang w:val="sr-Cyrl-CS"/>
        </w:rPr>
        <w:t xml:space="preserve"> - </w:t>
      </w:r>
      <w:r w:rsidRPr="00CC35F0">
        <w:rPr>
          <w:rFonts w:ascii="Times New Roman" w:eastAsia="Times New Roman" w:hAnsi="Times New Roman"/>
          <w:sz w:val="24"/>
          <w:szCs w:val="24"/>
          <w:lang w:val="sr-Cyrl-CS"/>
        </w:rPr>
        <w:t xml:space="preserve">у даљем тексту: NERP) у циљу решавања проблема емисија из највећих извора загађења у земљи. Међутим, како решавање овог питања изискује додатне активности на државном и локалном нивоу, Република Србија је по први пут припремила Програм заштите ваздуха </w:t>
      </w:r>
      <w:r w:rsidR="002F24F2" w:rsidRPr="00CC35F0">
        <w:rPr>
          <w:rFonts w:ascii="Times New Roman" w:eastAsia="Times New Roman" w:hAnsi="Times New Roman"/>
          <w:sz w:val="24"/>
          <w:szCs w:val="24"/>
          <w:lang w:val="sr-Cyrl-CS"/>
        </w:rPr>
        <w:t>у Републици Србији за период од 2022. до 20</w:t>
      </w:r>
      <w:r w:rsidR="0048413C" w:rsidRPr="00CC35F0">
        <w:rPr>
          <w:rFonts w:ascii="Times New Roman" w:eastAsia="Times New Roman" w:hAnsi="Times New Roman"/>
          <w:sz w:val="24"/>
          <w:szCs w:val="24"/>
          <w:lang w:val="sr-Cyrl-CS"/>
        </w:rPr>
        <w:t>30</w:t>
      </w:r>
      <w:r w:rsidR="002F24F2" w:rsidRPr="00CC35F0">
        <w:rPr>
          <w:rFonts w:ascii="Times New Roman" w:eastAsia="Times New Roman" w:hAnsi="Times New Roman"/>
          <w:sz w:val="24"/>
          <w:szCs w:val="24"/>
          <w:lang w:val="sr-Cyrl-CS"/>
        </w:rPr>
        <w:t xml:space="preserve">. године </w:t>
      </w:r>
      <w:r w:rsidRPr="00CC35F0">
        <w:rPr>
          <w:rFonts w:ascii="Times New Roman" w:eastAsia="Times New Roman" w:hAnsi="Times New Roman"/>
          <w:sz w:val="24"/>
          <w:szCs w:val="24"/>
          <w:lang w:val="sr-Cyrl-CS"/>
        </w:rPr>
        <w:t xml:space="preserve">са акционим планом (у даљем тексту: Програм). </w:t>
      </w:r>
    </w:p>
    <w:p w14:paraId="793FF2BF" w14:textId="77777777" w:rsidR="00A0251B" w:rsidRPr="00CC35F0" w:rsidRDefault="008D6506" w:rsidP="00931AC2">
      <w:pPr>
        <w:ind w:firstLine="720"/>
        <w:rPr>
          <w:rFonts w:ascii="Times New Roman" w:eastAsia="Times New Roman" w:hAnsi="Times New Roman"/>
          <w:color w:val="FF0000"/>
          <w:sz w:val="24"/>
          <w:szCs w:val="24"/>
          <w:lang w:val="sr-Cyrl-CS"/>
        </w:rPr>
      </w:pPr>
      <w:r w:rsidRPr="00CC35F0">
        <w:rPr>
          <w:rFonts w:ascii="Times New Roman" w:eastAsia="Times New Roman" w:hAnsi="Times New Roman"/>
          <w:sz w:val="24"/>
          <w:szCs w:val="24"/>
          <w:lang w:val="sr-Cyrl-CS"/>
        </w:rPr>
        <w:t>Период важења Националног програма заштите животне средине</w:t>
      </w:r>
      <w:r w:rsidR="009C41F4" w:rsidRPr="00CC35F0">
        <w:rPr>
          <w:rFonts w:ascii="Times New Roman" w:eastAsia="Times New Roman" w:hAnsi="Times New Roman"/>
          <w:sz w:val="24"/>
          <w:szCs w:val="24"/>
          <w:lang w:val="sr-Cyrl-CS"/>
        </w:rPr>
        <w:t xml:space="preserve"> („Службени гласник РС”</w:t>
      </w:r>
      <w:r w:rsidR="00E50A24" w:rsidRPr="00CC35F0">
        <w:rPr>
          <w:rFonts w:ascii="Times New Roman" w:eastAsia="Times New Roman" w:hAnsi="Times New Roman"/>
          <w:sz w:val="24"/>
          <w:szCs w:val="24"/>
          <w:lang w:val="sr-Cyrl-CS"/>
        </w:rPr>
        <w:t>,</w:t>
      </w:r>
      <w:r w:rsidR="009C41F4" w:rsidRPr="00CC35F0">
        <w:rPr>
          <w:rFonts w:ascii="Times New Roman" w:eastAsia="Times New Roman" w:hAnsi="Times New Roman"/>
          <w:sz w:val="24"/>
          <w:szCs w:val="24"/>
          <w:lang w:val="sr-Cyrl-CS"/>
        </w:rPr>
        <w:t xml:space="preserve"> број 72/09)</w:t>
      </w:r>
      <w:r w:rsidRPr="00CC35F0">
        <w:rPr>
          <w:rFonts w:ascii="Times New Roman" w:eastAsia="Times New Roman" w:hAnsi="Times New Roman"/>
          <w:sz w:val="24"/>
          <w:szCs w:val="24"/>
          <w:lang w:val="sr-Cyrl-CS"/>
        </w:rPr>
        <w:t xml:space="preserve">, усвојеног 2009. године, је истекао, па се не препоручује навођење </w:t>
      </w:r>
      <w:r w:rsidRPr="00CC35F0">
        <w:rPr>
          <w:rFonts w:ascii="Times New Roman" w:eastAsia="Times New Roman" w:hAnsi="Times New Roman"/>
          <w:sz w:val="24"/>
          <w:szCs w:val="24"/>
          <w:lang w:val="sr-Cyrl-CS"/>
        </w:rPr>
        <w:lastRenderedPageBreak/>
        <w:t>краткорочних и средњорочних циљева дефинисаних у њему. Међутим, треба напоменути да су у претходном периоду циљеви и мере за заштиту ваздуха били план</w:t>
      </w:r>
      <w:r w:rsidR="00B82A0C" w:rsidRPr="00CC35F0">
        <w:rPr>
          <w:rFonts w:ascii="Times New Roman" w:eastAsia="Times New Roman" w:hAnsi="Times New Roman"/>
          <w:sz w:val="24"/>
          <w:szCs w:val="24"/>
          <w:lang w:val="sr-Cyrl-CS"/>
        </w:rPr>
        <w:t>ирани кроз Национални програм</w:t>
      </w:r>
      <w:r w:rsidR="00E50A24" w:rsidRPr="00CC35F0">
        <w:rPr>
          <w:rFonts w:ascii="Times New Roman" w:eastAsia="Times New Roman" w:hAnsi="Times New Roman"/>
          <w:sz w:val="24"/>
          <w:szCs w:val="24"/>
          <w:lang w:val="sr-Cyrl-CS"/>
        </w:rPr>
        <w:t xml:space="preserve"> заштите</w:t>
      </w:r>
      <w:r w:rsidRPr="00CC35F0">
        <w:rPr>
          <w:rFonts w:ascii="Times New Roman" w:eastAsia="Times New Roman" w:hAnsi="Times New Roman"/>
          <w:sz w:val="24"/>
          <w:szCs w:val="24"/>
          <w:lang w:val="sr-Cyrl-CS"/>
        </w:rPr>
        <w:t xml:space="preserve"> животне средине (</w:t>
      </w:r>
      <w:r w:rsidRPr="00CC35F0">
        <w:rPr>
          <w:rFonts w:ascii="Times New Roman" w:eastAsia="Times New Roman" w:hAnsi="Times New Roman"/>
          <w:i/>
          <w:sz w:val="24"/>
          <w:szCs w:val="24"/>
          <w:lang w:val="sr-Cyrl-CS"/>
        </w:rPr>
        <w:t xml:space="preserve">„побољшан квалитет ваздуха у складу са прописаним захтевима за квалитет кроз смањење емисија из сектора енергетике, индустрије, саобраћаја и слично” </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i/>
          <w:sz w:val="24"/>
          <w:szCs w:val="24"/>
          <w:lang w:val="sr-Cyrl-CS"/>
        </w:rPr>
        <w:t>усвојени и спроведени међународни споразуми у области заштите ваздуха, климатских промена и заштите озонског омотача”)</w:t>
      </w:r>
      <w:r w:rsidRPr="00CC35F0">
        <w:rPr>
          <w:rFonts w:ascii="Times New Roman" w:eastAsia="Times New Roman" w:hAnsi="Times New Roman"/>
          <w:sz w:val="24"/>
          <w:szCs w:val="24"/>
          <w:lang w:val="sr-Cyrl-CS"/>
        </w:rPr>
        <w:t>.</w:t>
      </w:r>
      <w:r w:rsidR="00120A9C" w:rsidRPr="00CC35F0">
        <w:rPr>
          <w:rFonts w:ascii="Times New Roman" w:eastAsia="Times New Roman" w:hAnsi="Times New Roman"/>
          <w:sz w:val="24"/>
          <w:szCs w:val="24"/>
          <w:lang w:val="sr-Cyrl-CS"/>
        </w:rPr>
        <w:t xml:space="preserve">   </w:t>
      </w:r>
    </w:p>
    <w:p w14:paraId="255074D6" w14:textId="77777777" w:rsidR="00A0251B" w:rsidRPr="00CC35F0" w:rsidRDefault="008D6506" w:rsidP="00120A9C">
      <w:pPr>
        <w:ind w:firstLine="720"/>
        <w:rPr>
          <w:rFonts w:ascii="Times New Roman" w:eastAsia="Times New Roman" w:hAnsi="Times New Roman"/>
          <w:color w:val="FF0000"/>
          <w:sz w:val="24"/>
          <w:szCs w:val="24"/>
          <w:lang w:val="sr-Cyrl-CS"/>
        </w:rPr>
      </w:pPr>
      <w:r w:rsidRPr="00CC35F0">
        <w:rPr>
          <w:rFonts w:ascii="Times New Roman" w:eastAsia="Times New Roman" w:hAnsi="Times New Roman"/>
          <w:sz w:val="24"/>
          <w:szCs w:val="24"/>
          <w:lang w:val="sr-Cyrl-CS"/>
        </w:rPr>
        <w:t>Програм, између осталог, предлаже и националне обавезе смањења емисија за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NOx, NH</w:t>
      </w:r>
      <w:r w:rsidRPr="00CC35F0">
        <w:rPr>
          <w:rFonts w:ascii="Times New Roman" w:eastAsia="Times New Roman" w:hAnsi="Times New Roman"/>
          <w:sz w:val="24"/>
          <w:szCs w:val="24"/>
          <w:vertAlign w:val="subscript"/>
          <w:lang w:val="sr-Cyrl-CS"/>
        </w:rPr>
        <w:t>3</w:t>
      </w:r>
      <w:r w:rsidR="003F2AE7" w:rsidRPr="00CC35F0">
        <w:rPr>
          <w:rFonts w:ascii="Times New Roman" w:eastAsia="Times New Roman" w:hAnsi="Times New Roman"/>
          <w:sz w:val="24"/>
          <w:szCs w:val="24"/>
          <w:vertAlign w:val="subscript"/>
          <w:lang w:val="sr-Cyrl-CS"/>
        </w:rPr>
        <w:t xml:space="preserve">, </w:t>
      </w: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и VOC, чиме Република Србија доприноси побољшању квалитета ваздуха у контексту апроксимације правним тековинама Европске уније, а нарочито у смислу транспозиције и спровођења Директиве 2016/2284/ЕУ o смањењу националних емисија одређених атмосферских загађујућих материја, којом се мења Директива 2003/35/ЕЗ и која замењује Директиву 2001/81/ЕЗ, која од држава чланица захтева да смањују своје емисије загађујућих материја у ваздух у односу на референтну 2005. годину и да припремају националне програме и усвајају одговарајуће ПиМ како би постигли циљеве који се односе на емисије до 2030. године и даље. Овај документ, поред тога, омогућава Републици Србији да се укључи у преговоре о ратификацији Гетеборшког протокола о сузбијању ацидификације, еутрофикације и приземног озона уз Конвенцију о далекосежном прекограничном загађењу ваздуха (</w:t>
      </w:r>
      <w:r w:rsidR="009C41F4" w:rsidRPr="00CC35F0">
        <w:rPr>
          <w:rFonts w:ascii="Times New Roman" w:eastAsia="Times New Roman" w:hAnsi="Times New Roman"/>
          <w:sz w:val="24"/>
          <w:szCs w:val="24"/>
          <w:lang w:val="sr-Cyrl-CS"/>
        </w:rPr>
        <w:t xml:space="preserve">у даљем тексту: </w:t>
      </w:r>
      <w:r w:rsidRPr="00CC35F0">
        <w:rPr>
          <w:rFonts w:ascii="Times New Roman" w:eastAsia="Times New Roman" w:hAnsi="Times New Roman"/>
          <w:sz w:val="24"/>
          <w:szCs w:val="24"/>
          <w:lang w:val="sr-Cyrl-CS"/>
        </w:rPr>
        <w:t>C</w:t>
      </w:r>
      <w:r w:rsidR="000314C7" w:rsidRPr="00CC35F0">
        <w:rPr>
          <w:rFonts w:ascii="Times New Roman" w:eastAsia="Times New Roman" w:hAnsi="Times New Roman"/>
          <w:sz w:val="24"/>
          <w:szCs w:val="24"/>
          <w:lang w:val="sr-Cyrl-CS"/>
        </w:rPr>
        <w:t>LR</w:t>
      </w:r>
      <w:r w:rsidRPr="00CC35F0">
        <w:rPr>
          <w:rFonts w:ascii="Times New Roman" w:eastAsia="Times New Roman" w:hAnsi="Times New Roman"/>
          <w:sz w:val="24"/>
          <w:szCs w:val="24"/>
          <w:lang w:val="sr-Cyrl-CS"/>
        </w:rPr>
        <w:t>TAP).</w:t>
      </w:r>
      <w:r w:rsidR="00120A9C" w:rsidRPr="00CC35F0">
        <w:rPr>
          <w:rFonts w:ascii="Times New Roman" w:eastAsia="Times New Roman" w:hAnsi="Times New Roman"/>
          <w:color w:val="000000"/>
          <w:sz w:val="24"/>
          <w:szCs w:val="24"/>
          <w:lang w:val="sr-Cyrl-CS"/>
        </w:rPr>
        <w:t xml:space="preserve"> </w:t>
      </w:r>
    </w:p>
    <w:p w14:paraId="1A9EFB81" w14:textId="77777777" w:rsidR="00A0251B" w:rsidRPr="00CC35F0" w:rsidRDefault="008D6506" w:rsidP="00931AC2">
      <w:pPr>
        <w:pBdr>
          <w:top w:val="nil"/>
          <w:left w:val="nil"/>
          <w:bottom w:val="nil"/>
          <w:right w:val="nil"/>
          <w:between w:val="nil"/>
        </w:pBdr>
        <w:spacing w:before="280" w:after="280"/>
        <w:ind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У циљу припреме будућих начина за смањење емисија, узимајући </w:t>
      </w:r>
      <w:r w:rsidR="007127E7" w:rsidRPr="00CC35F0">
        <w:rPr>
          <w:rFonts w:ascii="Times New Roman" w:eastAsia="Times New Roman" w:hAnsi="Times New Roman"/>
          <w:color w:val="000000"/>
          <w:sz w:val="24"/>
          <w:szCs w:val="24"/>
          <w:lang w:val="sr-Cyrl-CS"/>
        </w:rPr>
        <w:t xml:space="preserve">у обзир све доступне податке у </w:t>
      </w:r>
      <w:r w:rsidRPr="00CC35F0">
        <w:rPr>
          <w:rFonts w:ascii="Times New Roman" w:eastAsia="Times New Roman" w:hAnsi="Times New Roman"/>
          <w:color w:val="000000"/>
          <w:sz w:val="24"/>
          <w:szCs w:val="24"/>
          <w:lang w:val="sr-Cyrl-CS"/>
        </w:rPr>
        <w:t>Репуб</w:t>
      </w:r>
      <w:r w:rsidR="00CC35F0">
        <w:rPr>
          <w:rFonts w:ascii="Times New Roman" w:eastAsia="Times New Roman" w:hAnsi="Times New Roman"/>
          <w:color w:val="000000"/>
          <w:sz w:val="24"/>
          <w:szCs w:val="24"/>
          <w:lang w:val="sr-Cyrl-CS"/>
        </w:rPr>
        <w:t>л</w:t>
      </w:r>
      <w:r w:rsidRPr="00CC35F0">
        <w:rPr>
          <w:rFonts w:ascii="Times New Roman" w:eastAsia="Times New Roman" w:hAnsi="Times New Roman"/>
          <w:color w:val="000000"/>
          <w:sz w:val="24"/>
          <w:szCs w:val="24"/>
          <w:lang w:val="sr-Cyrl-CS"/>
        </w:rPr>
        <w:t xml:space="preserve">ици Србији, у контексту ЕУ ИПА Пројекта </w:t>
      </w:r>
      <w:r w:rsidRPr="00CC35F0">
        <w:rPr>
          <w:rFonts w:ascii="Times New Roman" w:eastAsia="Times New Roman" w:hAnsi="Times New Roman"/>
          <w:i/>
          <w:color w:val="000000"/>
          <w:sz w:val="24"/>
          <w:szCs w:val="24"/>
          <w:lang w:val="sr-Cyrl-CS"/>
        </w:rPr>
        <w:t xml:space="preserve">Развој оквира за усклађивање са законодавством ЕУ у области ваздуха, хемикалија и хоризонталних питања </w:t>
      </w:r>
      <w:r w:rsidRPr="00CC35F0">
        <w:rPr>
          <w:rFonts w:ascii="Times New Roman" w:eastAsia="Times New Roman" w:hAnsi="Times New Roman"/>
          <w:color w:val="000000"/>
          <w:sz w:val="24"/>
          <w:szCs w:val="24"/>
          <w:lang w:val="sr-Cyrl-CS"/>
        </w:rPr>
        <w:t>примењени су различити алати за моделовање.</w:t>
      </w:r>
    </w:p>
    <w:p w14:paraId="60233B75" w14:textId="77777777" w:rsidR="00A0251B" w:rsidRPr="00CC35F0" w:rsidRDefault="008D6506" w:rsidP="00931AC2">
      <w:pPr>
        <w:ind w:firstLine="720"/>
        <w:rPr>
          <w:rFonts w:ascii="Times New Roman" w:eastAsia="Times New Roman" w:hAnsi="Times New Roman"/>
          <w:sz w:val="24"/>
          <w:szCs w:val="24"/>
          <w:lang w:val="sr-Cyrl-CS"/>
        </w:rPr>
      </w:pPr>
      <w:bookmarkStart w:id="2" w:name="_heading=h.2et92p0" w:colFirst="0" w:colLast="0"/>
      <w:bookmarkEnd w:id="2"/>
      <w:r w:rsidRPr="00CC35F0">
        <w:rPr>
          <w:rFonts w:ascii="Times New Roman" w:eastAsia="Times New Roman" w:hAnsi="Times New Roman"/>
          <w:sz w:val="24"/>
          <w:szCs w:val="24"/>
          <w:lang w:val="sr-Cyrl-CS"/>
        </w:rPr>
        <w:t xml:space="preserve">У ту сврху и с циљем процене различитих опција за ублажавање утицаја, развијена су три сценарија заштите ваздуха, а Програм утврђује временски оквир до 2030. године. </w:t>
      </w:r>
    </w:p>
    <w:p w14:paraId="42ACEF2A" w14:textId="77777777" w:rsidR="00A0251B" w:rsidRPr="00CC35F0" w:rsidRDefault="008D6506" w:rsidP="00CA114A">
      <w:pPr>
        <w:pBdr>
          <w:top w:val="nil"/>
          <w:left w:val="nil"/>
          <w:bottom w:val="nil"/>
          <w:right w:val="nil"/>
          <w:between w:val="nil"/>
        </w:pBdr>
        <w:spacing w:after="0"/>
        <w:ind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За процену будућих ефеката потенцијала предложених ПиМ ублажавања и за утврђивање националних обавеза смањења емисија за 2030. годину и даље, коришћен је измењени модел </w:t>
      </w:r>
      <w:r w:rsidRPr="00CC35F0">
        <w:rPr>
          <w:rFonts w:ascii="Times New Roman" w:eastAsia="Times New Roman" w:hAnsi="Times New Roman"/>
          <w:i/>
          <w:color w:val="000000"/>
          <w:sz w:val="24"/>
          <w:szCs w:val="24"/>
          <w:lang w:val="sr-Cyrl-CS"/>
        </w:rPr>
        <w:t xml:space="preserve">RAIN. </w:t>
      </w:r>
      <w:r w:rsidRPr="00CC35F0">
        <w:rPr>
          <w:rFonts w:ascii="Times New Roman" w:eastAsia="Times New Roman" w:hAnsi="Times New Roman"/>
          <w:color w:val="000000"/>
          <w:sz w:val="24"/>
          <w:szCs w:val="24"/>
          <w:lang w:val="sr-Cyrl-CS"/>
        </w:rPr>
        <w:t xml:space="preserve">Резултати добијени у овом моделирању даље су послужили као улазни подаци за вишестепени модел преноса хемикалија </w:t>
      </w:r>
      <w:r w:rsidRPr="00CC35F0">
        <w:rPr>
          <w:rFonts w:ascii="Times New Roman" w:eastAsia="Times New Roman" w:hAnsi="Times New Roman"/>
          <w:i/>
          <w:color w:val="000000"/>
          <w:sz w:val="24"/>
          <w:szCs w:val="24"/>
          <w:lang w:val="sr-Cyrl-CS"/>
        </w:rPr>
        <w:t>CHIMERE</w:t>
      </w:r>
      <w:r w:rsidRPr="00CC35F0">
        <w:rPr>
          <w:rFonts w:ascii="Times New Roman" w:eastAsia="Times New Roman" w:hAnsi="Times New Roman"/>
          <w:color w:val="000000"/>
          <w:sz w:val="24"/>
          <w:szCs w:val="24"/>
          <w:lang w:val="sr-Cyrl-CS"/>
        </w:rPr>
        <w:t xml:space="preserve"> за анализу и прогнозу атмосферског састава, што је омогућило превођење будућих смањења емисиј</w:t>
      </w:r>
      <w:r w:rsidR="00EC0A69" w:rsidRPr="00CC35F0">
        <w:rPr>
          <w:rFonts w:ascii="Times New Roman" w:eastAsia="Times New Roman" w:hAnsi="Times New Roman"/>
          <w:color w:val="000000"/>
          <w:sz w:val="24"/>
          <w:szCs w:val="24"/>
          <w:lang w:val="sr-Cyrl-CS"/>
        </w:rPr>
        <w:t>а загађујућих материја у ваздух</w:t>
      </w:r>
      <w:r w:rsidRPr="00CC35F0">
        <w:rPr>
          <w:rFonts w:ascii="Times New Roman" w:eastAsia="Times New Roman" w:hAnsi="Times New Roman"/>
          <w:color w:val="000000"/>
          <w:sz w:val="24"/>
          <w:szCs w:val="24"/>
          <w:lang w:val="sr-Cyrl-CS"/>
        </w:rPr>
        <w:t xml:space="preserve"> из различитих сектора и извора у очекивани будући квалитет амбијенталног ваздуха.</w:t>
      </w:r>
    </w:p>
    <w:p w14:paraId="7F5FFB2A" w14:textId="77777777" w:rsidR="00A0251B" w:rsidRPr="00CC35F0" w:rsidRDefault="008D6506" w:rsidP="00931AC2">
      <w:pPr>
        <w:pBdr>
          <w:top w:val="nil"/>
          <w:left w:val="nil"/>
          <w:bottom w:val="nil"/>
          <w:right w:val="nil"/>
          <w:between w:val="nil"/>
        </w:pBdr>
        <w:spacing w:after="0"/>
        <w:ind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Резултати који се односе на квалитет амбијенталног ваздуха су омогућили даље подешавање и довођење ПиМ до нивоа на којем резултати моделирања показују прихватљиво стање квалитета ваздуха до 2030. године и даље.</w:t>
      </w:r>
    </w:p>
    <w:p w14:paraId="20338374" w14:textId="77777777" w:rsidR="00A0251B" w:rsidRPr="00CC35F0" w:rsidRDefault="008D6506" w:rsidP="00931AC2">
      <w:pPr>
        <w:ind w:firstLine="720"/>
        <w:rPr>
          <w:rFonts w:ascii="Times New Roman" w:eastAsia="Times New Roman" w:hAnsi="Times New Roman"/>
          <w:sz w:val="24"/>
          <w:szCs w:val="24"/>
          <w:lang w:val="sr-Cyrl-CS"/>
        </w:rPr>
      </w:pPr>
      <w:bookmarkStart w:id="3" w:name="_heading=h.tyjcwt" w:colFirst="0" w:colLast="0"/>
      <w:bookmarkEnd w:id="3"/>
      <w:r w:rsidRPr="00CC35F0">
        <w:rPr>
          <w:rFonts w:ascii="Times New Roman" w:eastAsia="Times New Roman" w:hAnsi="Times New Roman"/>
          <w:sz w:val="24"/>
          <w:szCs w:val="24"/>
          <w:lang w:val="sr-Cyrl-CS"/>
        </w:rPr>
        <w:t>Акционим планом</w:t>
      </w:r>
      <w:r w:rsidR="00F77C77" w:rsidRPr="00CC35F0">
        <w:rPr>
          <w:rFonts w:ascii="Times New Roman" w:eastAsia="Times New Roman" w:hAnsi="Times New Roman"/>
          <w:sz w:val="24"/>
          <w:szCs w:val="24"/>
          <w:lang w:val="sr-Cyrl-CS"/>
        </w:rPr>
        <w:t xml:space="preserve"> за спровођење</w:t>
      </w:r>
      <w:r w:rsidR="00F26F5B" w:rsidRPr="00CC35F0">
        <w:rPr>
          <w:rFonts w:ascii="Times New Roman" w:eastAsia="Times New Roman" w:hAnsi="Times New Roman"/>
          <w:sz w:val="24"/>
          <w:szCs w:val="24"/>
          <w:lang w:val="sr-Cyrl-CS"/>
        </w:rPr>
        <w:t xml:space="preserve"> Програма заштите ваздуха у Републици Србији за период од 2022. до 20</w:t>
      </w:r>
      <w:r w:rsidR="0048413C" w:rsidRPr="00CC35F0">
        <w:rPr>
          <w:rFonts w:ascii="Times New Roman" w:eastAsia="Times New Roman" w:hAnsi="Times New Roman"/>
          <w:sz w:val="24"/>
          <w:szCs w:val="24"/>
          <w:lang w:val="sr-Cyrl-CS"/>
        </w:rPr>
        <w:t>30</w:t>
      </w:r>
      <w:r w:rsidR="00F26F5B" w:rsidRPr="00CC35F0">
        <w:rPr>
          <w:rFonts w:ascii="Times New Roman" w:eastAsia="Times New Roman" w:hAnsi="Times New Roman"/>
          <w:sz w:val="24"/>
          <w:szCs w:val="24"/>
          <w:lang w:val="sr-Cyrl-CS"/>
        </w:rPr>
        <w:t>. године</w:t>
      </w:r>
      <w:r w:rsidR="005427E7" w:rsidRPr="00CC35F0">
        <w:rPr>
          <w:rFonts w:ascii="Times New Roman" w:eastAsia="Times New Roman" w:hAnsi="Times New Roman"/>
          <w:sz w:val="24"/>
          <w:szCs w:val="24"/>
          <w:lang w:val="sr-Cyrl-CS"/>
        </w:rPr>
        <w:t xml:space="preserve"> (у даљем тексту: Акциони план)</w:t>
      </w:r>
      <w:r w:rsidRPr="00CC35F0">
        <w:rPr>
          <w:rFonts w:ascii="Times New Roman" w:eastAsia="Times New Roman" w:hAnsi="Times New Roman"/>
          <w:sz w:val="24"/>
          <w:szCs w:val="24"/>
          <w:lang w:val="sr-Cyrl-CS"/>
        </w:rPr>
        <w:t xml:space="preserve">, </w:t>
      </w:r>
      <w:r w:rsidR="00D91DB2" w:rsidRPr="00CC35F0">
        <w:rPr>
          <w:rFonts w:ascii="Times New Roman" w:eastAsia="Times New Roman" w:hAnsi="Times New Roman"/>
          <w:sz w:val="24"/>
          <w:szCs w:val="24"/>
          <w:lang w:val="sr-Cyrl-CS"/>
        </w:rPr>
        <w:t>који је одштампан уз овај програм и чини његов саставни део</w:t>
      </w:r>
      <w:r w:rsidRPr="00CC35F0">
        <w:rPr>
          <w:rFonts w:ascii="Times New Roman" w:eastAsia="Times New Roman" w:hAnsi="Times New Roman"/>
          <w:sz w:val="24"/>
          <w:szCs w:val="24"/>
          <w:lang w:val="sr-Cyrl-CS"/>
        </w:rPr>
        <w:t>, утврђују се активности за спровођење мера и остваривање циљева утврђених Програмом. Период в</w:t>
      </w:r>
      <w:r w:rsidR="000965FC" w:rsidRPr="00CC35F0">
        <w:rPr>
          <w:rFonts w:ascii="Times New Roman" w:eastAsia="Times New Roman" w:hAnsi="Times New Roman"/>
          <w:sz w:val="24"/>
          <w:szCs w:val="24"/>
          <w:lang w:val="sr-Cyrl-CS"/>
        </w:rPr>
        <w:t>ажења првог А</w:t>
      </w:r>
      <w:r w:rsidRPr="00CC35F0">
        <w:rPr>
          <w:rFonts w:ascii="Times New Roman" w:eastAsia="Times New Roman" w:hAnsi="Times New Roman"/>
          <w:sz w:val="24"/>
          <w:szCs w:val="24"/>
          <w:lang w:val="sr-Cyrl-CS"/>
        </w:rPr>
        <w:t>кционог плана је пет година (</w:t>
      </w:r>
      <w:r w:rsidR="00FB3CF2" w:rsidRPr="00CC35F0">
        <w:rPr>
          <w:rFonts w:ascii="Times New Roman" w:eastAsia="Times New Roman" w:hAnsi="Times New Roman"/>
          <w:sz w:val="24"/>
          <w:szCs w:val="24"/>
          <w:lang w:val="sr-Cyrl-CS"/>
        </w:rPr>
        <w:t xml:space="preserve">од </w:t>
      </w:r>
      <w:r w:rsidRPr="00CC35F0">
        <w:rPr>
          <w:rFonts w:ascii="Times New Roman" w:eastAsia="Times New Roman" w:hAnsi="Times New Roman"/>
          <w:sz w:val="24"/>
          <w:szCs w:val="24"/>
          <w:lang w:val="sr-Cyrl-CS"/>
        </w:rPr>
        <w:t>2022</w:t>
      </w:r>
      <w:r w:rsidR="00FB3CF2" w:rsidRPr="00CC35F0">
        <w:rPr>
          <w:rFonts w:ascii="Times New Roman" w:eastAsia="Times New Roman" w:hAnsi="Times New Roman"/>
          <w:sz w:val="24"/>
          <w:szCs w:val="24"/>
          <w:lang w:val="sr-Cyrl-CS"/>
        </w:rPr>
        <w:t>. до</w:t>
      </w:r>
      <w:r w:rsidRPr="00CC35F0">
        <w:rPr>
          <w:rFonts w:ascii="Times New Roman" w:eastAsia="Times New Roman" w:hAnsi="Times New Roman"/>
          <w:sz w:val="24"/>
          <w:szCs w:val="24"/>
          <w:lang w:val="sr-Cyrl-CS"/>
        </w:rPr>
        <w:t xml:space="preserve"> 2026. године). </w:t>
      </w:r>
    </w:p>
    <w:p w14:paraId="7346C318" w14:textId="77777777" w:rsidR="00A0251B" w:rsidRPr="00CC35F0" w:rsidRDefault="00324AF0" w:rsidP="00D139F0">
      <w:pPr>
        <w:ind w:firstLine="45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Израду Програма и А</w:t>
      </w:r>
      <w:r w:rsidR="008D6506" w:rsidRPr="00CC35F0">
        <w:rPr>
          <w:rFonts w:ascii="Times New Roman" w:eastAsia="Times New Roman" w:hAnsi="Times New Roman"/>
          <w:sz w:val="24"/>
          <w:szCs w:val="24"/>
          <w:lang w:val="sr-Cyrl-CS"/>
        </w:rPr>
        <w:t>кционог плана водило је Министарство заштите животне средине (у даљем тексту: МЗЖС) у блиској сарадњи са релевантним заинтересованим странама (државни органи, јавност, приватни и невладин сектор)</w:t>
      </w:r>
      <w:r w:rsidR="008D6506" w:rsidRPr="00CC35F0">
        <w:rPr>
          <w:rFonts w:ascii="Times New Roman" w:eastAsia="Times New Roman" w:hAnsi="Times New Roman"/>
          <w:sz w:val="24"/>
          <w:szCs w:val="24"/>
          <w:vertAlign w:val="superscript"/>
          <w:lang w:val="sr-Cyrl-CS"/>
        </w:rPr>
        <w:footnoteReference w:id="1"/>
      </w:r>
      <w:r w:rsidR="008D6506" w:rsidRPr="00CC35F0">
        <w:rPr>
          <w:rFonts w:ascii="Times New Roman" w:eastAsia="Times New Roman" w:hAnsi="Times New Roman"/>
          <w:sz w:val="24"/>
          <w:szCs w:val="24"/>
          <w:lang w:val="sr-Cyrl-CS"/>
        </w:rPr>
        <w:t xml:space="preserve">. </w:t>
      </w:r>
    </w:p>
    <w:p w14:paraId="7CB75445" w14:textId="77777777" w:rsidR="00D139F0" w:rsidRPr="00CC35F0" w:rsidRDefault="00D139F0" w:rsidP="00D139F0">
      <w:pPr>
        <w:ind w:firstLine="450"/>
        <w:rPr>
          <w:rFonts w:ascii="Times New Roman" w:eastAsia="Times New Roman" w:hAnsi="Times New Roman"/>
          <w:sz w:val="24"/>
          <w:szCs w:val="24"/>
          <w:lang w:val="sr-Cyrl-CS"/>
        </w:rPr>
      </w:pPr>
    </w:p>
    <w:p w14:paraId="2028D248" w14:textId="77777777" w:rsidR="000965FC" w:rsidRPr="00CC35F0" w:rsidRDefault="000965FC" w:rsidP="000965FC">
      <w:pPr>
        <w:rPr>
          <w:rFonts w:ascii="Times New Roman" w:eastAsia="Times New Roman" w:hAnsi="Times New Roman"/>
          <w:sz w:val="24"/>
          <w:szCs w:val="24"/>
          <w:lang w:val="sr-Cyrl-CS"/>
        </w:rPr>
      </w:pPr>
      <w:r w:rsidRPr="00CC35F0">
        <w:rPr>
          <w:rFonts w:ascii="Times New Roman" w:eastAsia="Times New Roman" w:hAnsi="Times New Roman"/>
          <w:b/>
          <w:sz w:val="24"/>
          <w:szCs w:val="24"/>
          <w:lang w:val="sr-Cyrl-CS"/>
        </w:rPr>
        <w:lastRenderedPageBreak/>
        <w:t>Списак скраћеница</w:t>
      </w:r>
    </w:p>
    <w:p w14:paraId="5917C755" w14:textId="77777777" w:rsidR="000965FC" w:rsidRPr="00CC35F0" w:rsidRDefault="000965FC" w:rsidP="000965FC">
      <w:pPr>
        <w:pBdr>
          <w:top w:val="nil"/>
          <w:left w:val="nil"/>
          <w:bottom w:val="nil"/>
          <w:right w:val="nil"/>
          <w:between w:val="nil"/>
        </w:pBdr>
        <w:spacing w:after="0"/>
        <w:rPr>
          <w:rFonts w:ascii="Times New Roman" w:eastAsia="Times New Roman" w:hAnsi="Times New Roman"/>
          <w:color w:val="000000"/>
          <w:sz w:val="24"/>
          <w:szCs w:val="24"/>
          <w:lang w:val="sr-Cyrl-CS"/>
        </w:rPr>
      </w:pPr>
    </w:p>
    <w:tbl>
      <w:tblPr>
        <w:tblStyle w:val="a"/>
        <w:tblW w:w="75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15"/>
        <w:gridCol w:w="5979"/>
      </w:tblGrid>
      <w:tr w:rsidR="000965FC" w:rsidRPr="00CC35F0" w14:paraId="3CEF70F5" w14:textId="77777777" w:rsidTr="008016A6">
        <w:trPr>
          <w:trHeight w:val="290"/>
        </w:trPr>
        <w:tc>
          <w:tcPr>
            <w:tcW w:w="1615" w:type="dxa"/>
            <w:shd w:val="clear" w:color="auto" w:fill="2F5496"/>
            <w:vAlign w:val="bottom"/>
          </w:tcPr>
          <w:p w14:paraId="0046E40B"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b/>
                <w:color w:val="FFFFFF"/>
                <w:sz w:val="24"/>
                <w:szCs w:val="24"/>
                <w:lang w:val="sr-Cyrl-CS"/>
              </w:rPr>
              <w:t xml:space="preserve">Скраћеница </w:t>
            </w:r>
          </w:p>
        </w:tc>
        <w:tc>
          <w:tcPr>
            <w:tcW w:w="5979" w:type="dxa"/>
            <w:shd w:val="clear" w:color="auto" w:fill="2F5496"/>
            <w:vAlign w:val="bottom"/>
          </w:tcPr>
          <w:p w14:paraId="3AA73D82"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b/>
                <w:color w:val="FFFFFF"/>
                <w:sz w:val="24"/>
                <w:szCs w:val="24"/>
                <w:lang w:val="sr-Cyrl-CS"/>
              </w:rPr>
              <w:t xml:space="preserve">Значење </w:t>
            </w:r>
          </w:p>
        </w:tc>
      </w:tr>
      <w:tr w:rsidR="000965FC" w:rsidRPr="00CC35F0" w14:paraId="48FF9175" w14:textId="77777777" w:rsidTr="008016A6">
        <w:trPr>
          <w:trHeight w:val="290"/>
        </w:trPr>
        <w:tc>
          <w:tcPr>
            <w:tcW w:w="1615" w:type="dxa"/>
            <w:shd w:val="clear" w:color="auto" w:fill="auto"/>
            <w:vAlign w:val="bottom"/>
          </w:tcPr>
          <w:p w14:paraId="48CD28DE"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BC</w:t>
            </w:r>
          </w:p>
        </w:tc>
        <w:tc>
          <w:tcPr>
            <w:tcW w:w="5979" w:type="dxa"/>
            <w:shd w:val="clear" w:color="auto" w:fill="auto"/>
            <w:vAlign w:val="bottom"/>
          </w:tcPr>
          <w:p w14:paraId="01A59987"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Црни угљеник (</w:t>
            </w:r>
            <w:r w:rsidRPr="00CC35F0">
              <w:rPr>
                <w:rFonts w:ascii="Times New Roman" w:eastAsia="Times New Roman" w:hAnsi="Times New Roman"/>
                <w:i/>
                <w:color w:val="000000"/>
                <w:sz w:val="24"/>
                <w:szCs w:val="24"/>
                <w:lang w:val="sr-Cyrl-CS"/>
              </w:rPr>
              <w:t>Black carbon</w:t>
            </w:r>
            <w:r w:rsidRPr="00CC35F0">
              <w:rPr>
                <w:rFonts w:ascii="Times New Roman" w:eastAsia="Times New Roman" w:hAnsi="Times New Roman"/>
                <w:color w:val="000000"/>
                <w:sz w:val="24"/>
                <w:szCs w:val="24"/>
                <w:lang w:val="sr-Cyrl-CS"/>
              </w:rPr>
              <w:t>)</w:t>
            </w:r>
          </w:p>
        </w:tc>
      </w:tr>
      <w:tr w:rsidR="000965FC" w:rsidRPr="00CC35F0" w14:paraId="6BB3C720" w14:textId="77777777" w:rsidTr="008016A6">
        <w:trPr>
          <w:trHeight w:val="290"/>
        </w:trPr>
        <w:tc>
          <w:tcPr>
            <w:tcW w:w="1615" w:type="dxa"/>
            <w:shd w:val="clear" w:color="auto" w:fill="auto"/>
            <w:vAlign w:val="bottom"/>
          </w:tcPr>
          <w:p w14:paraId="0F7BFEF0"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BAT AELs</w:t>
            </w:r>
          </w:p>
        </w:tc>
        <w:tc>
          <w:tcPr>
            <w:tcW w:w="5979" w:type="dxa"/>
            <w:shd w:val="clear" w:color="auto" w:fill="auto"/>
            <w:vAlign w:val="bottom"/>
          </w:tcPr>
          <w:p w14:paraId="22EFFC6E"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Нивои емисија у вези са најбољим доступним техникама (</w:t>
            </w:r>
            <w:r w:rsidRPr="00CC35F0">
              <w:rPr>
                <w:rFonts w:ascii="Times New Roman" w:eastAsia="Times New Roman" w:hAnsi="Times New Roman"/>
                <w:i/>
                <w:color w:val="000000"/>
                <w:sz w:val="24"/>
                <w:szCs w:val="24"/>
                <w:lang w:val="sr-Cyrl-CS"/>
              </w:rPr>
              <w:t>Best Available Techniques Associated Emission Levels</w:t>
            </w:r>
            <w:r w:rsidRPr="00CC35F0">
              <w:rPr>
                <w:rFonts w:ascii="Times New Roman" w:eastAsia="Times New Roman" w:hAnsi="Times New Roman"/>
                <w:color w:val="000000"/>
                <w:sz w:val="24"/>
                <w:szCs w:val="24"/>
                <w:lang w:val="sr-Cyrl-CS"/>
              </w:rPr>
              <w:t>)</w:t>
            </w:r>
          </w:p>
        </w:tc>
      </w:tr>
      <w:tr w:rsidR="000965FC" w:rsidRPr="00CC35F0" w14:paraId="1AF6043D" w14:textId="77777777" w:rsidTr="008016A6">
        <w:trPr>
          <w:trHeight w:val="290"/>
        </w:trPr>
        <w:tc>
          <w:tcPr>
            <w:tcW w:w="1615" w:type="dxa"/>
            <w:shd w:val="clear" w:color="auto" w:fill="auto"/>
            <w:vAlign w:val="bottom"/>
          </w:tcPr>
          <w:p w14:paraId="6AEAF52F"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DSIP</w:t>
            </w:r>
          </w:p>
        </w:tc>
        <w:tc>
          <w:tcPr>
            <w:tcW w:w="5979" w:type="dxa"/>
            <w:shd w:val="clear" w:color="auto" w:fill="auto"/>
            <w:vAlign w:val="bottom"/>
          </w:tcPr>
          <w:p w14:paraId="52CCEEE7"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Специфични план за спровођење директиве (</w:t>
            </w:r>
            <w:r w:rsidRPr="00CC35F0">
              <w:rPr>
                <w:rFonts w:ascii="Times New Roman" w:eastAsia="Times New Roman" w:hAnsi="Times New Roman"/>
                <w:i/>
                <w:color w:val="000000"/>
                <w:sz w:val="24"/>
                <w:szCs w:val="24"/>
                <w:lang w:val="sr-Cyrl-CS"/>
              </w:rPr>
              <w:t>Directive Specific Implementation Plan</w:t>
            </w:r>
            <w:r w:rsidRPr="00CC35F0">
              <w:rPr>
                <w:rFonts w:ascii="Times New Roman" w:eastAsia="Times New Roman" w:hAnsi="Times New Roman"/>
                <w:color w:val="000000"/>
                <w:sz w:val="24"/>
                <w:szCs w:val="24"/>
                <w:lang w:val="sr-Cyrl-CS"/>
              </w:rPr>
              <w:t>)</w:t>
            </w:r>
          </w:p>
        </w:tc>
      </w:tr>
      <w:tr w:rsidR="000965FC" w:rsidRPr="00CC35F0" w14:paraId="6B0E6D4B" w14:textId="77777777" w:rsidTr="008016A6">
        <w:trPr>
          <w:trHeight w:val="290"/>
        </w:trPr>
        <w:tc>
          <w:tcPr>
            <w:tcW w:w="1615" w:type="dxa"/>
            <w:shd w:val="clear" w:color="auto" w:fill="auto"/>
            <w:vAlign w:val="bottom"/>
          </w:tcPr>
          <w:p w14:paraId="6B0D5659"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ЕАЖС</w:t>
            </w:r>
          </w:p>
        </w:tc>
        <w:tc>
          <w:tcPr>
            <w:tcW w:w="5979" w:type="dxa"/>
            <w:shd w:val="clear" w:color="auto" w:fill="auto"/>
            <w:vAlign w:val="bottom"/>
          </w:tcPr>
          <w:p w14:paraId="79B68B64"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Европска агенција за животну средину</w:t>
            </w:r>
          </w:p>
        </w:tc>
      </w:tr>
      <w:tr w:rsidR="000965FC" w:rsidRPr="00CC35F0" w14:paraId="6AB5A87D" w14:textId="77777777" w:rsidTr="008016A6">
        <w:trPr>
          <w:trHeight w:val="290"/>
        </w:trPr>
        <w:tc>
          <w:tcPr>
            <w:tcW w:w="1615" w:type="dxa"/>
            <w:shd w:val="clear" w:color="auto" w:fill="auto"/>
            <w:vAlign w:val="bottom"/>
          </w:tcPr>
          <w:p w14:paraId="2383BABA"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EMEP</w:t>
            </w:r>
          </w:p>
        </w:tc>
        <w:tc>
          <w:tcPr>
            <w:tcW w:w="5979" w:type="dxa"/>
            <w:shd w:val="clear" w:color="auto" w:fill="auto"/>
            <w:vAlign w:val="bottom"/>
          </w:tcPr>
          <w:p w14:paraId="0F9F3B61"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Европски </w:t>
            </w:r>
            <w:r w:rsidRPr="00CC35F0">
              <w:rPr>
                <w:rFonts w:ascii="Times New Roman" w:eastAsia="Times New Roman" w:hAnsi="Times New Roman"/>
                <w:sz w:val="24"/>
                <w:szCs w:val="24"/>
                <w:lang w:val="sr-Cyrl-CS"/>
              </w:rPr>
              <w:t xml:space="preserve">програм </w:t>
            </w:r>
            <w:r w:rsidR="001A0597" w:rsidRPr="00CC35F0">
              <w:rPr>
                <w:rFonts w:ascii="Times New Roman" w:eastAsia="Times New Roman" w:hAnsi="Times New Roman"/>
                <w:sz w:val="24"/>
                <w:szCs w:val="24"/>
                <w:lang w:val="sr-Cyrl-CS"/>
              </w:rPr>
              <w:t xml:space="preserve">за </w:t>
            </w:r>
            <w:r w:rsidRPr="00CC35F0">
              <w:rPr>
                <w:rFonts w:ascii="Times New Roman" w:eastAsia="Times New Roman" w:hAnsi="Times New Roman"/>
                <w:color w:val="000000"/>
                <w:sz w:val="24"/>
                <w:szCs w:val="24"/>
                <w:lang w:val="sr-Cyrl-CS"/>
              </w:rPr>
              <w:t>мониторинг и процен</w:t>
            </w:r>
            <w:r w:rsidR="001A0597" w:rsidRPr="00CC35F0">
              <w:rPr>
                <w:rFonts w:ascii="Times New Roman" w:eastAsia="Times New Roman" w:hAnsi="Times New Roman"/>
                <w:sz w:val="24"/>
                <w:szCs w:val="24"/>
                <w:lang w:val="sr-Cyrl-CS"/>
              </w:rPr>
              <w:t>у</w:t>
            </w:r>
            <w:r w:rsidRPr="00CC35F0">
              <w:rPr>
                <w:rFonts w:ascii="Times New Roman" w:eastAsia="Times New Roman" w:hAnsi="Times New Roman"/>
                <w:color w:val="000000"/>
                <w:sz w:val="24"/>
                <w:szCs w:val="24"/>
                <w:lang w:val="sr-Cyrl-CS"/>
              </w:rPr>
              <w:t xml:space="preserve"> (</w:t>
            </w:r>
            <w:r w:rsidRPr="00CC35F0">
              <w:rPr>
                <w:rFonts w:ascii="Times New Roman" w:eastAsia="Times New Roman" w:hAnsi="Times New Roman"/>
                <w:i/>
                <w:color w:val="000000"/>
                <w:sz w:val="24"/>
                <w:szCs w:val="24"/>
                <w:lang w:val="sr-Cyrl-CS"/>
              </w:rPr>
              <w:t>European Monitoring and Evaluation Programme</w:t>
            </w:r>
            <w:r w:rsidRPr="00CC35F0">
              <w:rPr>
                <w:rFonts w:ascii="Times New Roman" w:eastAsia="Times New Roman" w:hAnsi="Times New Roman"/>
                <w:color w:val="000000"/>
                <w:sz w:val="24"/>
                <w:szCs w:val="24"/>
                <w:lang w:val="sr-Cyrl-CS"/>
              </w:rPr>
              <w:t>)</w:t>
            </w:r>
          </w:p>
        </w:tc>
      </w:tr>
      <w:tr w:rsidR="00A10898" w:rsidRPr="00CC35F0" w14:paraId="3417F33C" w14:textId="77777777" w:rsidTr="008016A6">
        <w:trPr>
          <w:trHeight w:val="290"/>
        </w:trPr>
        <w:tc>
          <w:tcPr>
            <w:tcW w:w="1615" w:type="dxa"/>
            <w:shd w:val="clear" w:color="auto" w:fill="auto"/>
            <w:vAlign w:val="bottom"/>
          </w:tcPr>
          <w:p w14:paraId="560DC2B6" w14:textId="77777777" w:rsidR="00A10898" w:rsidRPr="00CC35F0" w:rsidRDefault="00A10898" w:rsidP="008016A6">
            <w:pPr>
              <w:spacing w:after="0"/>
              <w:jc w:val="left"/>
              <w:rPr>
                <w:rFonts w:ascii="Times New Roman" w:eastAsia="Times New Roman" w:hAnsi="Times New Roman"/>
                <w:i/>
                <w:color w:val="000000"/>
                <w:sz w:val="24"/>
                <w:szCs w:val="24"/>
                <w:lang w:val="sr-Cyrl-CS"/>
              </w:rPr>
            </w:pPr>
            <w:r w:rsidRPr="00CC35F0">
              <w:rPr>
                <w:rStyle w:val="Emphasis"/>
                <w:rFonts w:ascii="Times New Roman" w:hAnsi="Times New Roman"/>
                <w:sz w:val="24"/>
                <w:szCs w:val="24"/>
                <w:lang w:val="sr-Cyrl-CS"/>
              </w:rPr>
              <w:t>E</w:t>
            </w:r>
            <w:r w:rsidRPr="00CC35F0">
              <w:rPr>
                <w:rFonts w:ascii="Times New Roman" w:hAnsi="Times New Roman"/>
                <w:sz w:val="24"/>
                <w:szCs w:val="24"/>
                <w:lang w:val="sr-Cyrl-CS"/>
              </w:rPr>
              <w:t>-</w:t>
            </w:r>
            <w:r w:rsidRPr="00CC35F0">
              <w:rPr>
                <w:rStyle w:val="Emphasis"/>
                <w:rFonts w:ascii="Times New Roman" w:hAnsi="Times New Roman"/>
                <w:sz w:val="24"/>
                <w:szCs w:val="24"/>
                <w:lang w:val="sr-Cyrl-CS"/>
              </w:rPr>
              <w:t>PRTR</w:t>
            </w:r>
          </w:p>
        </w:tc>
        <w:tc>
          <w:tcPr>
            <w:tcW w:w="5979" w:type="dxa"/>
            <w:shd w:val="clear" w:color="auto" w:fill="auto"/>
            <w:vAlign w:val="bottom"/>
          </w:tcPr>
          <w:p w14:paraId="68F3B142" w14:textId="77777777" w:rsidR="00A10898" w:rsidRPr="00CC35F0" w:rsidRDefault="00A10898" w:rsidP="008016A6">
            <w:pPr>
              <w:spacing w:after="0"/>
              <w:jc w:val="left"/>
              <w:rPr>
                <w:rFonts w:ascii="Times New Roman" w:hAnsi="Times New Roman"/>
                <w:sz w:val="24"/>
                <w:szCs w:val="24"/>
                <w:lang w:val="sr-Cyrl-CS"/>
              </w:rPr>
            </w:pPr>
            <w:r w:rsidRPr="00CC35F0">
              <w:rPr>
                <w:rFonts w:ascii="Times New Roman" w:hAnsi="Times New Roman"/>
                <w:sz w:val="24"/>
                <w:szCs w:val="24"/>
                <w:lang w:val="sr-Cyrl-CS"/>
              </w:rPr>
              <w:t>Европски регистар испуштања и преноса загађујућих супстанци</w:t>
            </w:r>
          </w:p>
          <w:p w14:paraId="67E41574" w14:textId="77777777" w:rsidR="00A10898" w:rsidRPr="00CC35F0" w:rsidRDefault="00A10898" w:rsidP="008016A6">
            <w:pPr>
              <w:spacing w:after="0"/>
              <w:jc w:val="left"/>
              <w:rPr>
                <w:rFonts w:ascii="Times New Roman" w:eastAsia="Times New Roman" w:hAnsi="Times New Roman"/>
                <w:i/>
                <w:iCs/>
                <w:color w:val="000000"/>
                <w:sz w:val="24"/>
                <w:szCs w:val="24"/>
                <w:lang w:val="sr-Cyrl-CS"/>
              </w:rPr>
            </w:pPr>
            <w:r w:rsidRPr="00CC35F0">
              <w:rPr>
                <w:rFonts w:ascii="Times New Roman" w:hAnsi="Times New Roman"/>
                <w:i/>
                <w:iCs/>
                <w:sz w:val="24"/>
                <w:szCs w:val="24"/>
                <w:lang w:val="sr-Cyrl-CS"/>
              </w:rPr>
              <w:t>(The European Pollutant Release and Transfer Register)</w:t>
            </w:r>
          </w:p>
        </w:tc>
      </w:tr>
      <w:tr w:rsidR="000965FC" w:rsidRPr="00CC35F0" w14:paraId="39B2B0BA" w14:textId="77777777" w:rsidTr="008016A6">
        <w:trPr>
          <w:trHeight w:val="290"/>
        </w:trPr>
        <w:tc>
          <w:tcPr>
            <w:tcW w:w="1615" w:type="dxa"/>
            <w:shd w:val="clear" w:color="auto" w:fill="auto"/>
            <w:vAlign w:val="bottom"/>
          </w:tcPr>
          <w:p w14:paraId="15DB1473"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GNFR</w:t>
            </w:r>
          </w:p>
        </w:tc>
        <w:tc>
          <w:tcPr>
            <w:tcW w:w="5979" w:type="dxa"/>
            <w:shd w:val="clear" w:color="auto" w:fill="auto"/>
            <w:vAlign w:val="bottom"/>
          </w:tcPr>
          <w:p w14:paraId="10AC367A"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Обједињени секторски подаци </w:t>
            </w:r>
            <w:r w:rsidRPr="00CC35F0">
              <w:rPr>
                <w:rFonts w:ascii="Times New Roman" w:eastAsia="Times New Roman" w:hAnsi="Times New Roman"/>
                <w:sz w:val="24"/>
                <w:szCs w:val="24"/>
                <w:lang w:val="sr-Cyrl-CS"/>
              </w:rPr>
              <w:t xml:space="preserve">према </w:t>
            </w:r>
            <w:r w:rsidR="001A226A" w:rsidRPr="00CC35F0">
              <w:rPr>
                <w:rFonts w:ascii="Times New Roman" w:eastAsia="Times New Roman" w:hAnsi="Times New Roman"/>
                <w:sz w:val="24"/>
                <w:szCs w:val="24"/>
                <w:lang w:val="sr-Cyrl-CS"/>
              </w:rPr>
              <w:t>Номенклатури за извештавање</w:t>
            </w:r>
            <w:r w:rsidRPr="00CC35F0">
              <w:rPr>
                <w:rFonts w:ascii="Times New Roman" w:eastAsia="Times New Roman" w:hAnsi="Times New Roman"/>
                <w:sz w:val="24"/>
                <w:szCs w:val="24"/>
                <w:lang w:val="sr-Cyrl-CS"/>
              </w:rPr>
              <w:t xml:space="preserve"> у просторној мрежи </w:t>
            </w:r>
            <w:r w:rsidRPr="00CC35F0">
              <w:rPr>
                <w:rFonts w:ascii="Times New Roman" w:eastAsia="Times New Roman" w:hAnsi="Times New Roman"/>
                <w:color w:val="000000"/>
                <w:sz w:val="24"/>
                <w:szCs w:val="24"/>
                <w:lang w:val="sr-Cyrl-CS"/>
              </w:rPr>
              <w:t>(</w:t>
            </w:r>
            <w:r w:rsidRPr="00CC35F0">
              <w:rPr>
                <w:rFonts w:ascii="Times New Roman" w:eastAsia="Times New Roman" w:hAnsi="Times New Roman"/>
                <w:i/>
                <w:color w:val="000000"/>
                <w:sz w:val="24"/>
                <w:szCs w:val="24"/>
                <w:lang w:val="sr-Cyrl-CS"/>
              </w:rPr>
              <w:t>Gridded aggregated NFR sector data</w:t>
            </w:r>
            <w:r w:rsidRPr="00CC35F0">
              <w:rPr>
                <w:rFonts w:ascii="Times New Roman" w:eastAsia="Times New Roman" w:hAnsi="Times New Roman"/>
                <w:color w:val="000000"/>
                <w:sz w:val="24"/>
                <w:szCs w:val="24"/>
                <w:lang w:val="sr-Cyrl-CS"/>
              </w:rPr>
              <w:t xml:space="preserve">) </w:t>
            </w:r>
          </w:p>
        </w:tc>
      </w:tr>
      <w:tr w:rsidR="000965FC" w:rsidRPr="00CC35F0" w14:paraId="432D7AA2" w14:textId="77777777" w:rsidTr="008016A6">
        <w:trPr>
          <w:trHeight w:val="290"/>
        </w:trPr>
        <w:tc>
          <w:tcPr>
            <w:tcW w:w="1615" w:type="dxa"/>
            <w:shd w:val="clear" w:color="auto" w:fill="auto"/>
            <w:vAlign w:val="bottom"/>
          </w:tcPr>
          <w:p w14:paraId="17329136"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HCB</w:t>
            </w:r>
          </w:p>
        </w:tc>
        <w:tc>
          <w:tcPr>
            <w:tcW w:w="5979" w:type="dxa"/>
            <w:shd w:val="clear" w:color="auto" w:fill="auto"/>
            <w:vAlign w:val="bottom"/>
          </w:tcPr>
          <w:p w14:paraId="09F97C98"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Хексахлоробензен </w:t>
            </w:r>
          </w:p>
        </w:tc>
      </w:tr>
      <w:tr w:rsidR="000965FC" w:rsidRPr="00CC35F0" w14:paraId="01037C6F" w14:textId="77777777" w:rsidTr="008016A6">
        <w:trPr>
          <w:trHeight w:val="290"/>
        </w:trPr>
        <w:tc>
          <w:tcPr>
            <w:tcW w:w="1615" w:type="dxa"/>
            <w:shd w:val="clear" w:color="auto" w:fill="auto"/>
            <w:vAlign w:val="bottom"/>
          </w:tcPr>
          <w:p w14:paraId="42C66128"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sz w:val="24"/>
                <w:szCs w:val="24"/>
                <w:lang w:val="sr-Cyrl-CS"/>
              </w:rPr>
              <w:t xml:space="preserve">КДА </w:t>
            </w:r>
          </w:p>
        </w:tc>
        <w:tc>
          <w:tcPr>
            <w:tcW w:w="5979" w:type="dxa"/>
            <w:shd w:val="clear" w:color="auto" w:fill="auto"/>
            <w:vAlign w:val="bottom"/>
          </w:tcPr>
          <w:p w14:paraId="4F8A203C"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кроз друге активности</w:t>
            </w:r>
          </w:p>
        </w:tc>
      </w:tr>
      <w:tr w:rsidR="000965FC" w:rsidRPr="00CC35F0" w14:paraId="23230260" w14:textId="77777777" w:rsidTr="008016A6">
        <w:trPr>
          <w:trHeight w:val="290"/>
        </w:trPr>
        <w:tc>
          <w:tcPr>
            <w:tcW w:w="1615" w:type="dxa"/>
            <w:shd w:val="clear" w:color="auto" w:fill="auto"/>
            <w:vAlign w:val="bottom"/>
          </w:tcPr>
          <w:p w14:paraId="7DC9719B"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ИИИ</w:t>
            </w:r>
          </w:p>
        </w:tc>
        <w:tc>
          <w:tcPr>
            <w:tcW w:w="5979" w:type="dxa"/>
            <w:shd w:val="clear" w:color="auto" w:fill="auto"/>
            <w:vAlign w:val="bottom"/>
          </w:tcPr>
          <w:p w14:paraId="34184BDC"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Информативни извештај о инвентару</w:t>
            </w:r>
          </w:p>
        </w:tc>
      </w:tr>
      <w:tr w:rsidR="000965FC" w:rsidRPr="00CC35F0" w14:paraId="34F1EC0D" w14:textId="77777777" w:rsidTr="008016A6">
        <w:trPr>
          <w:trHeight w:val="290"/>
        </w:trPr>
        <w:tc>
          <w:tcPr>
            <w:tcW w:w="1615" w:type="dxa"/>
            <w:shd w:val="clear" w:color="auto" w:fill="auto"/>
            <w:vAlign w:val="bottom"/>
          </w:tcPr>
          <w:p w14:paraId="111EF358" w14:textId="77777777" w:rsidR="000965FC" w:rsidRPr="00CC35F0" w:rsidRDefault="00BC5C09" w:rsidP="008016A6">
            <w:pPr>
              <w:spacing w:after="0"/>
              <w:jc w:val="left"/>
              <w:rPr>
                <w:rFonts w:ascii="Times New Roman" w:eastAsia="Times New Roman" w:hAnsi="Times New Roman"/>
                <w:i/>
                <w:sz w:val="24"/>
                <w:szCs w:val="24"/>
                <w:lang w:val="sr-Cyrl-CS"/>
              </w:rPr>
            </w:pPr>
            <w:r w:rsidRPr="00CC35F0">
              <w:rPr>
                <w:rFonts w:ascii="Times New Roman" w:eastAsia="Times New Roman" w:hAnsi="Times New Roman"/>
                <w:i/>
                <w:sz w:val="24"/>
                <w:szCs w:val="24"/>
                <w:lang w:val="sr-Cyrl-CS"/>
              </w:rPr>
              <w:t>C</w:t>
            </w:r>
            <w:r w:rsidR="000965FC" w:rsidRPr="00CC35F0">
              <w:rPr>
                <w:rFonts w:ascii="Times New Roman" w:eastAsia="Times New Roman" w:hAnsi="Times New Roman"/>
                <w:i/>
                <w:sz w:val="24"/>
                <w:szCs w:val="24"/>
                <w:lang w:val="sr-Cyrl-CS"/>
              </w:rPr>
              <w:t>LRTAP</w:t>
            </w:r>
          </w:p>
        </w:tc>
        <w:tc>
          <w:tcPr>
            <w:tcW w:w="5979" w:type="dxa"/>
            <w:shd w:val="clear" w:color="auto" w:fill="auto"/>
            <w:vAlign w:val="bottom"/>
          </w:tcPr>
          <w:p w14:paraId="6B6A41F8" w14:textId="77777777" w:rsidR="001A226A" w:rsidRPr="00CC35F0" w:rsidRDefault="001A226A" w:rsidP="008016A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Конвенција о прекограничном загађењу ваздуха на великим удаљеностима </w:t>
            </w:r>
          </w:p>
          <w:p w14:paraId="6671C07A" w14:textId="77777777" w:rsidR="000965FC" w:rsidRPr="00CC35F0" w:rsidRDefault="000965FC" w:rsidP="008016A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r w:rsidR="001A226A" w:rsidRPr="00CC35F0">
              <w:rPr>
                <w:rFonts w:ascii="Times New Roman" w:eastAsia="Times New Roman" w:hAnsi="Times New Roman"/>
                <w:sz w:val="24"/>
                <w:szCs w:val="24"/>
                <w:lang w:val="sr-Cyrl-CS"/>
              </w:rPr>
              <w:t xml:space="preserve">Convention on </w:t>
            </w:r>
            <w:r w:rsidRPr="00CC35F0">
              <w:rPr>
                <w:rFonts w:ascii="Times New Roman" w:eastAsia="Times New Roman" w:hAnsi="Times New Roman"/>
                <w:i/>
                <w:sz w:val="24"/>
                <w:szCs w:val="24"/>
                <w:lang w:val="sr-Cyrl-CS"/>
              </w:rPr>
              <w:t>Long-range transboundary air pollution</w:t>
            </w:r>
            <w:r w:rsidRPr="00CC35F0">
              <w:rPr>
                <w:rFonts w:ascii="Times New Roman" w:eastAsia="Times New Roman" w:hAnsi="Times New Roman"/>
                <w:sz w:val="24"/>
                <w:szCs w:val="24"/>
                <w:lang w:val="sr-Cyrl-CS"/>
              </w:rPr>
              <w:t>)</w:t>
            </w:r>
          </w:p>
        </w:tc>
      </w:tr>
      <w:tr w:rsidR="000965FC" w:rsidRPr="00CC35F0" w14:paraId="5EBB092A" w14:textId="77777777" w:rsidTr="008016A6">
        <w:trPr>
          <w:trHeight w:val="290"/>
        </w:trPr>
        <w:tc>
          <w:tcPr>
            <w:tcW w:w="1615" w:type="dxa"/>
            <w:shd w:val="clear" w:color="auto" w:fill="auto"/>
            <w:vAlign w:val="bottom"/>
          </w:tcPr>
          <w:p w14:paraId="3FF97F7F"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NEC</w:t>
            </w:r>
          </w:p>
        </w:tc>
        <w:tc>
          <w:tcPr>
            <w:tcW w:w="5979" w:type="dxa"/>
            <w:shd w:val="clear" w:color="auto" w:fill="auto"/>
            <w:vAlign w:val="bottom"/>
          </w:tcPr>
          <w:p w14:paraId="619CFDA2"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Националне граничне вредности емисије (</w:t>
            </w:r>
            <w:r w:rsidRPr="00CC35F0">
              <w:rPr>
                <w:rFonts w:ascii="Times New Roman" w:eastAsia="Times New Roman" w:hAnsi="Times New Roman"/>
                <w:i/>
                <w:color w:val="000000"/>
                <w:sz w:val="24"/>
                <w:szCs w:val="24"/>
                <w:lang w:val="sr-Cyrl-CS"/>
              </w:rPr>
              <w:t>National emission ceiling</w:t>
            </w:r>
            <w:r w:rsidRPr="00CC35F0">
              <w:rPr>
                <w:rFonts w:ascii="Times New Roman" w:eastAsia="Times New Roman" w:hAnsi="Times New Roman"/>
                <w:color w:val="000000"/>
                <w:sz w:val="24"/>
                <w:szCs w:val="24"/>
                <w:lang w:val="sr-Cyrl-CS"/>
              </w:rPr>
              <w:t>)</w:t>
            </w:r>
            <w:r w:rsidR="001A226A" w:rsidRPr="00CC35F0">
              <w:rPr>
                <w:rFonts w:ascii="Times New Roman" w:eastAsia="Times New Roman" w:hAnsi="Times New Roman"/>
                <w:color w:val="000000"/>
                <w:sz w:val="24"/>
                <w:szCs w:val="24"/>
                <w:lang w:val="sr-Cyrl-CS"/>
              </w:rPr>
              <w:t xml:space="preserve"> </w:t>
            </w:r>
          </w:p>
        </w:tc>
      </w:tr>
      <w:tr w:rsidR="000965FC" w:rsidRPr="00CC35F0" w14:paraId="013382A4" w14:textId="77777777" w:rsidTr="008016A6">
        <w:trPr>
          <w:trHeight w:val="290"/>
        </w:trPr>
        <w:tc>
          <w:tcPr>
            <w:tcW w:w="1615" w:type="dxa"/>
            <w:shd w:val="clear" w:color="auto" w:fill="auto"/>
            <w:vAlign w:val="bottom"/>
          </w:tcPr>
          <w:p w14:paraId="485B7DE1"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NH</w:t>
            </w:r>
            <w:r w:rsidRPr="00CC35F0">
              <w:rPr>
                <w:rFonts w:ascii="Times New Roman" w:eastAsia="Times New Roman" w:hAnsi="Times New Roman"/>
                <w:color w:val="000000"/>
                <w:sz w:val="24"/>
                <w:szCs w:val="24"/>
                <w:vertAlign w:val="subscript"/>
                <w:lang w:val="sr-Cyrl-CS"/>
              </w:rPr>
              <w:t>3</w:t>
            </w:r>
          </w:p>
        </w:tc>
        <w:tc>
          <w:tcPr>
            <w:tcW w:w="5979" w:type="dxa"/>
            <w:shd w:val="clear" w:color="auto" w:fill="auto"/>
            <w:vAlign w:val="bottom"/>
          </w:tcPr>
          <w:p w14:paraId="78F8F09C"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Амонијак </w:t>
            </w:r>
          </w:p>
        </w:tc>
      </w:tr>
      <w:tr w:rsidR="000965FC" w:rsidRPr="00CC35F0" w14:paraId="09A0FED8" w14:textId="77777777" w:rsidTr="008016A6">
        <w:trPr>
          <w:trHeight w:val="290"/>
        </w:trPr>
        <w:tc>
          <w:tcPr>
            <w:tcW w:w="1615" w:type="dxa"/>
            <w:shd w:val="clear" w:color="auto" w:fill="auto"/>
            <w:vAlign w:val="bottom"/>
          </w:tcPr>
          <w:p w14:paraId="30278BB2"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NMVOC</w:t>
            </w:r>
          </w:p>
        </w:tc>
        <w:tc>
          <w:tcPr>
            <w:tcW w:w="5979" w:type="dxa"/>
            <w:shd w:val="clear" w:color="auto" w:fill="auto"/>
            <w:vAlign w:val="bottom"/>
          </w:tcPr>
          <w:p w14:paraId="7826F564"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Неметанска VOC (</w:t>
            </w:r>
            <w:r w:rsidRPr="00CC35F0">
              <w:rPr>
                <w:rFonts w:ascii="Times New Roman" w:eastAsia="Times New Roman" w:hAnsi="Times New Roman"/>
                <w:i/>
                <w:color w:val="000000"/>
                <w:sz w:val="24"/>
                <w:szCs w:val="24"/>
                <w:lang w:val="sr-Cyrl-CS"/>
              </w:rPr>
              <w:t>Non-Methanic volatile organic compounds</w:t>
            </w:r>
            <w:r w:rsidRPr="00CC35F0">
              <w:rPr>
                <w:rFonts w:ascii="Times New Roman" w:eastAsia="Times New Roman" w:hAnsi="Times New Roman"/>
                <w:color w:val="000000"/>
                <w:sz w:val="24"/>
                <w:szCs w:val="24"/>
                <w:lang w:val="sr-Cyrl-CS"/>
              </w:rPr>
              <w:t>)</w:t>
            </w:r>
          </w:p>
        </w:tc>
      </w:tr>
      <w:tr w:rsidR="000965FC" w:rsidRPr="00CC35F0" w14:paraId="429D89A4" w14:textId="77777777" w:rsidTr="008016A6">
        <w:trPr>
          <w:trHeight w:val="290"/>
        </w:trPr>
        <w:tc>
          <w:tcPr>
            <w:tcW w:w="1615" w:type="dxa"/>
            <w:shd w:val="clear" w:color="auto" w:fill="auto"/>
            <w:vAlign w:val="bottom"/>
          </w:tcPr>
          <w:p w14:paraId="005D69EE"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ТМ</w:t>
            </w:r>
          </w:p>
        </w:tc>
        <w:tc>
          <w:tcPr>
            <w:tcW w:w="5979" w:type="dxa"/>
            <w:shd w:val="clear" w:color="auto" w:fill="auto"/>
            <w:vAlign w:val="bottom"/>
          </w:tcPr>
          <w:p w14:paraId="1AB5918D"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Тешка механизација (радне машине)</w:t>
            </w:r>
          </w:p>
        </w:tc>
      </w:tr>
      <w:tr w:rsidR="000965FC" w:rsidRPr="00CC35F0" w14:paraId="0D863C9A" w14:textId="77777777" w:rsidTr="008016A6">
        <w:trPr>
          <w:trHeight w:val="290"/>
        </w:trPr>
        <w:tc>
          <w:tcPr>
            <w:tcW w:w="1615" w:type="dxa"/>
            <w:shd w:val="clear" w:color="auto" w:fill="auto"/>
            <w:vAlign w:val="bottom"/>
          </w:tcPr>
          <w:p w14:paraId="30B64261"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PAHs</w:t>
            </w:r>
          </w:p>
        </w:tc>
        <w:tc>
          <w:tcPr>
            <w:tcW w:w="5979" w:type="dxa"/>
            <w:shd w:val="clear" w:color="auto" w:fill="auto"/>
            <w:vAlign w:val="bottom"/>
          </w:tcPr>
          <w:p w14:paraId="5B1D48FF"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Полициклични ароматични угљоводоници </w:t>
            </w:r>
          </w:p>
        </w:tc>
      </w:tr>
      <w:tr w:rsidR="000965FC" w:rsidRPr="00CC35F0" w14:paraId="6FDEE122" w14:textId="77777777" w:rsidTr="008016A6">
        <w:trPr>
          <w:trHeight w:val="290"/>
        </w:trPr>
        <w:tc>
          <w:tcPr>
            <w:tcW w:w="1615" w:type="dxa"/>
            <w:shd w:val="clear" w:color="auto" w:fill="auto"/>
            <w:vAlign w:val="bottom"/>
          </w:tcPr>
          <w:p w14:paraId="71CF8AE0"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ПиМ</w:t>
            </w:r>
          </w:p>
        </w:tc>
        <w:tc>
          <w:tcPr>
            <w:tcW w:w="5979" w:type="dxa"/>
            <w:shd w:val="clear" w:color="auto" w:fill="auto"/>
            <w:vAlign w:val="bottom"/>
          </w:tcPr>
          <w:p w14:paraId="420FB6A6"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Политике и мере</w:t>
            </w:r>
          </w:p>
        </w:tc>
      </w:tr>
      <w:tr w:rsidR="000965FC" w:rsidRPr="00CC35F0" w14:paraId="0CAEB466" w14:textId="77777777" w:rsidTr="008016A6">
        <w:trPr>
          <w:trHeight w:val="290"/>
        </w:trPr>
        <w:tc>
          <w:tcPr>
            <w:tcW w:w="1615" w:type="dxa"/>
            <w:shd w:val="clear" w:color="auto" w:fill="auto"/>
            <w:vAlign w:val="bottom"/>
          </w:tcPr>
          <w:p w14:paraId="546FC598"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PCBs</w:t>
            </w:r>
          </w:p>
        </w:tc>
        <w:tc>
          <w:tcPr>
            <w:tcW w:w="5979" w:type="dxa"/>
            <w:shd w:val="clear" w:color="auto" w:fill="auto"/>
            <w:vAlign w:val="bottom"/>
          </w:tcPr>
          <w:p w14:paraId="5EFC35F4"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Полихлоровани бифенили</w:t>
            </w:r>
          </w:p>
        </w:tc>
      </w:tr>
      <w:tr w:rsidR="000965FC" w:rsidRPr="00CC35F0" w14:paraId="2E68F522" w14:textId="77777777" w:rsidTr="008016A6">
        <w:trPr>
          <w:trHeight w:val="290"/>
        </w:trPr>
        <w:tc>
          <w:tcPr>
            <w:tcW w:w="1615" w:type="dxa"/>
            <w:shd w:val="clear" w:color="auto" w:fill="auto"/>
            <w:vAlign w:val="bottom"/>
          </w:tcPr>
          <w:p w14:paraId="254B6FF8"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10</w:t>
            </w:r>
          </w:p>
        </w:tc>
        <w:tc>
          <w:tcPr>
            <w:tcW w:w="5979" w:type="dxa"/>
            <w:shd w:val="clear" w:color="auto" w:fill="auto"/>
            <w:vAlign w:val="bottom"/>
          </w:tcPr>
          <w:p w14:paraId="5A133870"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Суспендоване честице пречника 10 микрометара или мање</w:t>
            </w:r>
          </w:p>
        </w:tc>
      </w:tr>
      <w:tr w:rsidR="000965FC" w:rsidRPr="00CC35F0" w14:paraId="25C209A4" w14:textId="77777777" w:rsidTr="008016A6">
        <w:trPr>
          <w:trHeight w:val="290"/>
        </w:trPr>
        <w:tc>
          <w:tcPr>
            <w:tcW w:w="1615" w:type="dxa"/>
            <w:shd w:val="clear" w:color="auto" w:fill="auto"/>
            <w:vAlign w:val="bottom"/>
          </w:tcPr>
          <w:p w14:paraId="0B90E808"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2,5</w:t>
            </w:r>
          </w:p>
        </w:tc>
        <w:tc>
          <w:tcPr>
            <w:tcW w:w="5979" w:type="dxa"/>
            <w:shd w:val="clear" w:color="auto" w:fill="auto"/>
            <w:vAlign w:val="bottom"/>
          </w:tcPr>
          <w:p w14:paraId="512223BE"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Суспендоване честице пречника 2,5 микрометара или мање</w:t>
            </w:r>
          </w:p>
        </w:tc>
      </w:tr>
      <w:tr w:rsidR="000965FC" w:rsidRPr="00CC35F0" w14:paraId="1DEE2450" w14:textId="77777777" w:rsidTr="008016A6">
        <w:trPr>
          <w:trHeight w:val="290"/>
        </w:trPr>
        <w:tc>
          <w:tcPr>
            <w:tcW w:w="1615" w:type="dxa"/>
            <w:shd w:val="clear" w:color="auto" w:fill="auto"/>
            <w:vAlign w:val="bottom"/>
          </w:tcPr>
          <w:p w14:paraId="1FF89559"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w:t>
            </w:r>
          </w:p>
        </w:tc>
        <w:tc>
          <w:tcPr>
            <w:tcW w:w="5979" w:type="dxa"/>
            <w:shd w:val="clear" w:color="auto" w:fill="auto"/>
            <w:vAlign w:val="bottom"/>
          </w:tcPr>
          <w:p w14:paraId="1E8636B9"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Агенција за заштиту животне средине</w:t>
            </w:r>
          </w:p>
        </w:tc>
      </w:tr>
      <w:tr w:rsidR="000965FC" w:rsidRPr="00CC35F0" w14:paraId="4E5C4E5D" w14:textId="77777777" w:rsidTr="008016A6">
        <w:trPr>
          <w:trHeight w:val="290"/>
        </w:trPr>
        <w:tc>
          <w:tcPr>
            <w:tcW w:w="1615" w:type="dxa"/>
            <w:shd w:val="clear" w:color="auto" w:fill="auto"/>
            <w:vAlign w:val="bottom"/>
          </w:tcPr>
          <w:p w14:paraId="53F3C104"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SO</w:t>
            </w:r>
            <w:r w:rsidRPr="00CC35F0">
              <w:rPr>
                <w:rFonts w:ascii="Times New Roman" w:eastAsia="Times New Roman" w:hAnsi="Times New Roman"/>
                <w:color w:val="000000"/>
                <w:sz w:val="24"/>
                <w:szCs w:val="24"/>
                <w:vertAlign w:val="subscript"/>
                <w:lang w:val="sr-Cyrl-CS"/>
              </w:rPr>
              <w:t>X</w:t>
            </w:r>
          </w:p>
        </w:tc>
        <w:tc>
          <w:tcPr>
            <w:tcW w:w="5979" w:type="dxa"/>
            <w:shd w:val="clear" w:color="auto" w:fill="auto"/>
            <w:vAlign w:val="bottom"/>
          </w:tcPr>
          <w:p w14:paraId="494099E2"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Сумпорни оксиди </w:t>
            </w:r>
          </w:p>
        </w:tc>
      </w:tr>
      <w:tr w:rsidR="000965FC" w:rsidRPr="00CC35F0" w14:paraId="6F63F828" w14:textId="77777777" w:rsidTr="008016A6">
        <w:trPr>
          <w:trHeight w:val="290"/>
        </w:trPr>
        <w:tc>
          <w:tcPr>
            <w:tcW w:w="1615" w:type="dxa"/>
            <w:shd w:val="clear" w:color="auto" w:fill="auto"/>
            <w:vAlign w:val="bottom"/>
          </w:tcPr>
          <w:p w14:paraId="463728C4"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TSP</w:t>
            </w:r>
          </w:p>
        </w:tc>
        <w:tc>
          <w:tcPr>
            <w:tcW w:w="5979" w:type="dxa"/>
            <w:shd w:val="clear" w:color="auto" w:fill="auto"/>
            <w:vAlign w:val="bottom"/>
          </w:tcPr>
          <w:p w14:paraId="4D23BF05"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Укупне суспендоване честице</w:t>
            </w:r>
          </w:p>
        </w:tc>
      </w:tr>
      <w:tr w:rsidR="000965FC" w:rsidRPr="00CC35F0" w14:paraId="791F5E74" w14:textId="77777777" w:rsidTr="008016A6">
        <w:trPr>
          <w:trHeight w:val="290"/>
        </w:trPr>
        <w:tc>
          <w:tcPr>
            <w:tcW w:w="1615" w:type="dxa"/>
            <w:shd w:val="clear" w:color="auto" w:fill="auto"/>
            <w:vAlign w:val="bottom"/>
          </w:tcPr>
          <w:p w14:paraId="69341276"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UNECE</w:t>
            </w:r>
          </w:p>
        </w:tc>
        <w:tc>
          <w:tcPr>
            <w:tcW w:w="5979" w:type="dxa"/>
            <w:shd w:val="clear" w:color="auto" w:fill="auto"/>
            <w:vAlign w:val="bottom"/>
          </w:tcPr>
          <w:p w14:paraId="0DB5237E"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Економска комисија УН за Европу (</w:t>
            </w:r>
            <w:r w:rsidRPr="00CC35F0">
              <w:rPr>
                <w:rFonts w:ascii="Times New Roman" w:eastAsia="Times New Roman" w:hAnsi="Times New Roman"/>
                <w:i/>
                <w:color w:val="000000"/>
                <w:sz w:val="24"/>
                <w:szCs w:val="24"/>
                <w:lang w:val="sr-Cyrl-CS"/>
              </w:rPr>
              <w:t>UN Economic Commission for Europe</w:t>
            </w:r>
            <w:r w:rsidRPr="00CC35F0">
              <w:rPr>
                <w:rFonts w:ascii="Times New Roman" w:eastAsia="Times New Roman" w:hAnsi="Times New Roman"/>
                <w:color w:val="000000"/>
                <w:sz w:val="24"/>
                <w:szCs w:val="24"/>
                <w:lang w:val="sr-Cyrl-CS"/>
              </w:rPr>
              <w:t>)</w:t>
            </w:r>
          </w:p>
        </w:tc>
      </w:tr>
      <w:tr w:rsidR="000965FC" w:rsidRPr="00CC35F0" w14:paraId="218EB9FF" w14:textId="77777777" w:rsidTr="008016A6">
        <w:trPr>
          <w:trHeight w:val="290"/>
        </w:trPr>
        <w:tc>
          <w:tcPr>
            <w:tcW w:w="1615" w:type="dxa"/>
            <w:shd w:val="clear" w:color="auto" w:fill="auto"/>
            <w:vAlign w:val="bottom"/>
          </w:tcPr>
          <w:p w14:paraId="4377857F"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VOC</w:t>
            </w:r>
          </w:p>
        </w:tc>
        <w:tc>
          <w:tcPr>
            <w:tcW w:w="5979" w:type="dxa"/>
            <w:shd w:val="clear" w:color="auto" w:fill="auto"/>
            <w:vAlign w:val="bottom"/>
          </w:tcPr>
          <w:p w14:paraId="5B492EA1"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Испарљива органска једињења (</w:t>
            </w:r>
            <w:r w:rsidRPr="00CC35F0">
              <w:rPr>
                <w:rFonts w:ascii="Times New Roman" w:eastAsia="Times New Roman" w:hAnsi="Times New Roman"/>
                <w:i/>
                <w:color w:val="000000"/>
                <w:sz w:val="24"/>
                <w:szCs w:val="24"/>
                <w:lang w:val="sr-Cyrl-CS"/>
              </w:rPr>
              <w:t>Volatile organic compounds</w:t>
            </w:r>
            <w:r w:rsidRPr="00CC35F0">
              <w:rPr>
                <w:rFonts w:ascii="Times New Roman" w:eastAsia="Times New Roman" w:hAnsi="Times New Roman"/>
                <w:color w:val="000000"/>
                <w:sz w:val="24"/>
                <w:szCs w:val="24"/>
                <w:lang w:val="sr-Cyrl-CS"/>
              </w:rPr>
              <w:t>)</w:t>
            </w:r>
          </w:p>
        </w:tc>
      </w:tr>
      <w:tr w:rsidR="000965FC" w:rsidRPr="00CC35F0" w14:paraId="6668B78C" w14:textId="77777777" w:rsidTr="008016A6">
        <w:trPr>
          <w:trHeight w:val="290"/>
        </w:trPr>
        <w:tc>
          <w:tcPr>
            <w:tcW w:w="1615" w:type="dxa"/>
            <w:shd w:val="clear" w:color="auto" w:fill="auto"/>
            <w:vAlign w:val="bottom"/>
          </w:tcPr>
          <w:p w14:paraId="7B822780"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t>WAM</w:t>
            </w:r>
          </w:p>
        </w:tc>
        <w:tc>
          <w:tcPr>
            <w:tcW w:w="5979" w:type="dxa"/>
            <w:shd w:val="clear" w:color="auto" w:fill="auto"/>
            <w:vAlign w:val="bottom"/>
          </w:tcPr>
          <w:p w14:paraId="4B325EB9"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Сценарио са додатним мерама (</w:t>
            </w:r>
            <w:r w:rsidRPr="00CC35F0">
              <w:rPr>
                <w:rFonts w:ascii="Times New Roman" w:eastAsia="Times New Roman" w:hAnsi="Times New Roman"/>
                <w:i/>
                <w:color w:val="000000"/>
                <w:sz w:val="24"/>
                <w:szCs w:val="24"/>
                <w:lang w:val="sr-Cyrl-CS"/>
              </w:rPr>
              <w:t>Scenario with additional measures</w:t>
            </w:r>
            <w:r w:rsidRPr="00CC35F0">
              <w:rPr>
                <w:rFonts w:ascii="Times New Roman" w:eastAsia="Times New Roman" w:hAnsi="Times New Roman"/>
                <w:color w:val="000000"/>
                <w:sz w:val="24"/>
                <w:szCs w:val="24"/>
                <w:lang w:val="sr-Cyrl-CS"/>
              </w:rPr>
              <w:t>)</w:t>
            </w:r>
          </w:p>
        </w:tc>
      </w:tr>
      <w:tr w:rsidR="000965FC" w:rsidRPr="00CC35F0" w14:paraId="79B7F4C7" w14:textId="77777777" w:rsidTr="008016A6">
        <w:trPr>
          <w:trHeight w:val="290"/>
        </w:trPr>
        <w:tc>
          <w:tcPr>
            <w:tcW w:w="1615" w:type="dxa"/>
            <w:shd w:val="clear" w:color="auto" w:fill="auto"/>
            <w:vAlign w:val="bottom"/>
          </w:tcPr>
          <w:p w14:paraId="5A56559E" w14:textId="77777777" w:rsidR="000965FC" w:rsidRPr="00CC35F0" w:rsidRDefault="000965FC" w:rsidP="008016A6">
            <w:pPr>
              <w:spacing w:after="0"/>
              <w:jc w:val="left"/>
              <w:rPr>
                <w:rFonts w:ascii="Times New Roman" w:eastAsia="Times New Roman" w:hAnsi="Times New Roman"/>
                <w:i/>
                <w:color w:val="000000"/>
                <w:sz w:val="24"/>
                <w:szCs w:val="24"/>
                <w:lang w:val="sr-Cyrl-CS"/>
              </w:rPr>
            </w:pPr>
            <w:r w:rsidRPr="00CC35F0">
              <w:rPr>
                <w:rFonts w:ascii="Times New Roman" w:eastAsia="Times New Roman" w:hAnsi="Times New Roman"/>
                <w:i/>
                <w:color w:val="000000"/>
                <w:sz w:val="24"/>
                <w:szCs w:val="24"/>
                <w:lang w:val="sr-Cyrl-CS"/>
              </w:rPr>
              <w:lastRenderedPageBreak/>
              <w:t>WЕM</w:t>
            </w:r>
          </w:p>
        </w:tc>
        <w:tc>
          <w:tcPr>
            <w:tcW w:w="5979" w:type="dxa"/>
            <w:shd w:val="clear" w:color="auto" w:fill="auto"/>
            <w:vAlign w:val="bottom"/>
          </w:tcPr>
          <w:p w14:paraId="3D1F6D7C" w14:textId="77777777" w:rsidR="000965FC" w:rsidRPr="00CC35F0" w:rsidRDefault="000965FC" w:rsidP="008016A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Сценарио са постојећим мерама (</w:t>
            </w:r>
            <w:r w:rsidRPr="00CC35F0">
              <w:rPr>
                <w:rFonts w:ascii="Times New Roman" w:eastAsia="Times New Roman" w:hAnsi="Times New Roman"/>
                <w:i/>
                <w:color w:val="000000"/>
                <w:sz w:val="24"/>
                <w:szCs w:val="24"/>
                <w:lang w:val="sr-Cyrl-CS"/>
              </w:rPr>
              <w:t>Scenario with existing measures</w:t>
            </w:r>
            <w:r w:rsidRPr="00CC35F0">
              <w:rPr>
                <w:rFonts w:ascii="Times New Roman" w:eastAsia="Times New Roman" w:hAnsi="Times New Roman"/>
                <w:color w:val="000000"/>
                <w:sz w:val="24"/>
                <w:szCs w:val="24"/>
                <w:lang w:val="sr-Cyrl-CS"/>
              </w:rPr>
              <w:t>)</w:t>
            </w:r>
          </w:p>
        </w:tc>
      </w:tr>
    </w:tbl>
    <w:p w14:paraId="2136621E" w14:textId="77777777" w:rsidR="00324AF0" w:rsidRPr="00CC35F0" w:rsidRDefault="00324AF0">
      <w:pPr>
        <w:rPr>
          <w:rFonts w:ascii="Times New Roman" w:eastAsia="Times New Roman" w:hAnsi="Times New Roman"/>
          <w:sz w:val="24"/>
          <w:szCs w:val="24"/>
          <w:lang w:val="sr-Cyrl-CS"/>
        </w:rPr>
      </w:pPr>
    </w:p>
    <w:p w14:paraId="3E5EDB10" w14:textId="77777777" w:rsidR="00A0251B" w:rsidRPr="00CC35F0" w:rsidRDefault="008D6506" w:rsidP="00382EC6">
      <w:pPr>
        <w:pStyle w:val="Heading1"/>
        <w:numPr>
          <w:ilvl w:val="0"/>
          <w:numId w:val="23"/>
        </w:numPr>
        <w:rPr>
          <w:rFonts w:ascii="Times New Roman" w:eastAsia="Times New Roman" w:hAnsi="Times New Roman"/>
          <w:sz w:val="24"/>
          <w:szCs w:val="24"/>
          <w:lang w:val="sr-Cyrl-CS"/>
        </w:rPr>
      </w:pPr>
      <w:bookmarkStart w:id="4" w:name="_heading=h.3dy6vkm" w:colFirst="0" w:colLast="0"/>
      <w:bookmarkEnd w:id="4"/>
      <w:r w:rsidRPr="00CC35F0">
        <w:rPr>
          <w:rFonts w:ascii="Times New Roman" w:eastAsia="Times New Roman" w:hAnsi="Times New Roman"/>
          <w:sz w:val="24"/>
          <w:szCs w:val="24"/>
          <w:lang w:val="sr-Cyrl-CS"/>
        </w:rPr>
        <w:t xml:space="preserve">ПЛАНСКИ И РЕГУЛАТОРНИ ОКВИР РЕЛЕВАНТАН ЗА ПРОГРАМ </w:t>
      </w:r>
    </w:p>
    <w:p w14:paraId="5806B733" w14:textId="77777777" w:rsidR="00A0251B" w:rsidRPr="00CC35F0" w:rsidRDefault="008D6506" w:rsidP="00382EC6">
      <w:pPr>
        <w:pStyle w:val="Heading2"/>
        <w:numPr>
          <w:ilvl w:val="1"/>
          <w:numId w:val="24"/>
        </w:numPr>
        <w:rPr>
          <w:rFonts w:ascii="Times New Roman" w:eastAsia="Times New Roman" w:hAnsi="Times New Roman"/>
          <w:lang w:val="sr-Cyrl-CS"/>
        </w:rPr>
      </w:pPr>
      <w:bookmarkStart w:id="5" w:name="_heading=h.1t3h5sf" w:colFirst="0" w:colLast="0"/>
      <w:bookmarkEnd w:id="5"/>
      <w:r w:rsidRPr="00CC35F0">
        <w:rPr>
          <w:rFonts w:ascii="Times New Roman" w:eastAsia="Times New Roman" w:hAnsi="Times New Roman"/>
          <w:lang w:val="sr-Cyrl-CS"/>
        </w:rPr>
        <w:t>Оквир јавне политике у Е</w:t>
      </w:r>
      <w:r w:rsidR="00B93F8F" w:rsidRPr="00CC35F0">
        <w:rPr>
          <w:rFonts w:ascii="Times New Roman" w:eastAsia="Times New Roman" w:hAnsi="Times New Roman"/>
          <w:lang w:val="sr-Cyrl-CS"/>
        </w:rPr>
        <w:t>вропској унији</w:t>
      </w:r>
      <w:r w:rsidRPr="00CC35F0">
        <w:rPr>
          <w:rFonts w:ascii="Times New Roman" w:eastAsia="Times New Roman" w:hAnsi="Times New Roman"/>
          <w:lang w:val="sr-Cyrl-CS"/>
        </w:rPr>
        <w:t xml:space="preserve"> и на међународном нивоу </w:t>
      </w:r>
    </w:p>
    <w:p w14:paraId="14AEF6D2" w14:textId="77777777" w:rsidR="00A0251B" w:rsidRPr="00CC35F0" w:rsidRDefault="008D6506" w:rsidP="00931AC2">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Оквир међународне и политике ЕУ јача у последњих десет година како негативни утицаји загађења ваздуха на животну средину и здравље људи све више добијају научну подлогу и потврду. Фокус је последњих десет година био на суспендованим честицама које се емитују из домаћинстава, аутомобила, камиона, индустријских постројења и енергетских објеката. Како би се решавало питање све лошијег квалитета ваздуха, нарочито у агломерацијама где је оно изазвано повећањем емисија из све већег возног парка дизел возила, индустрије и енергетике, утврђен је Програм чистог ваздуха за Европу (</w:t>
      </w:r>
      <w:r w:rsidRPr="00CC35F0">
        <w:rPr>
          <w:rFonts w:ascii="Times New Roman" w:eastAsia="Times New Roman" w:hAnsi="Times New Roman"/>
          <w:i/>
          <w:sz w:val="24"/>
          <w:szCs w:val="24"/>
          <w:lang w:val="sr-Cyrl-CS"/>
        </w:rPr>
        <w:t>CAFÉ</w:t>
      </w:r>
      <w:r w:rsidRPr="00CC35F0">
        <w:rPr>
          <w:rFonts w:ascii="Times New Roman" w:eastAsia="Times New Roman" w:hAnsi="Times New Roman"/>
          <w:sz w:val="24"/>
          <w:szCs w:val="24"/>
          <w:lang w:val="sr-Cyrl-CS"/>
        </w:rPr>
        <w:t>), којим се пружа подршка Европској комисији у изради Тематске стратегије о загађењу ваздуха, Директиве о квалитету амбијенталног ваздуха и чистијем ваздуху за Европу и процене утицаја. Стога су се активности ЕУ усмериле на утврђивање минималних стандарда квалитета за амбијентални ваздух и на решавање проблема киселих киша и приземног озона. Смањене су емисије загађујућих материја из великих постројења за сагоревање и из мобилних извора, побољшан је квалитет горива, а захтеви који се односе на заштиту животне средине интегрисани су у секторе саобраћаја и енергетике.</w:t>
      </w:r>
    </w:p>
    <w:p w14:paraId="173FA138" w14:textId="77777777" w:rsidR="00A0251B" w:rsidRPr="00CC35F0" w:rsidRDefault="008D6506" w:rsidP="00931AC2">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На нивоу Европске уније, имплементирана су смањења емисија одозго на доле, као и мере одоздо на горе. Нова Директива о смањењу националних емисија одређених атмосферских загађујућих материја (2016/2284/ЕУ) ступила је на снагу крајем 2016. године. </w:t>
      </w:r>
    </w:p>
    <w:p w14:paraId="7F18AD64" w14:textId="77777777" w:rsidR="00A0251B" w:rsidRPr="00CC35F0" w:rsidRDefault="009E5E9A" w:rsidP="00931AC2">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Овом д</w:t>
      </w:r>
      <w:r w:rsidR="008D6506" w:rsidRPr="00CC35F0">
        <w:rPr>
          <w:rFonts w:ascii="Times New Roman" w:eastAsia="Times New Roman" w:hAnsi="Times New Roman"/>
          <w:sz w:val="24"/>
          <w:szCs w:val="24"/>
          <w:lang w:val="sr-Cyrl-CS"/>
        </w:rPr>
        <w:t>ирективом су утврђене обавезе држава чланица у односу на смањење емисија антропоге</w:t>
      </w:r>
      <w:r w:rsidR="00C173FC" w:rsidRPr="00CC35F0">
        <w:rPr>
          <w:rFonts w:ascii="Times New Roman" w:eastAsia="Times New Roman" w:hAnsi="Times New Roman"/>
          <w:sz w:val="24"/>
          <w:szCs w:val="24"/>
          <w:lang w:val="sr-Cyrl-CS"/>
        </w:rPr>
        <w:t>ног порекла</w:t>
      </w:r>
      <w:r w:rsidR="008D6506" w:rsidRPr="00CC35F0">
        <w:rPr>
          <w:rFonts w:ascii="Times New Roman" w:eastAsia="Times New Roman" w:hAnsi="Times New Roman"/>
          <w:sz w:val="24"/>
          <w:szCs w:val="24"/>
          <w:lang w:val="sr-Cyrl-CS"/>
        </w:rPr>
        <w:t xml:space="preserve"> и то SO</w:t>
      </w:r>
      <w:r w:rsidR="008D6506" w:rsidRPr="00CC35F0">
        <w:rPr>
          <w:rFonts w:ascii="Times New Roman" w:eastAsia="Times New Roman" w:hAnsi="Times New Roman"/>
          <w:sz w:val="24"/>
          <w:szCs w:val="24"/>
          <w:vertAlign w:val="subscript"/>
          <w:lang w:val="sr-Cyrl-CS"/>
        </w:rPr>
        <w:t>2</w:t>
      </w:r>
      <w:r w:rsidR="008D6506" w:rsidRPr="00CC35F0">
        <w:rPr>
          <w:rFonts w:ascii="Times New Roman" w:eastAsia="Times New Roman" w:hAnsi="Times New Roman"/>
          <w:sz w:val="24"/>
          <w:szCs w:val="24"/>
          <w:lang w:val="sr-Cyrl-CS"/>
        </w:rPr>
        <w:t>, NO</w:t>
      </w:r>
      <w:r w:rsidR="008D6506" w:rsidRPr="00CC35F0">
        <w:rPr>
          <w:rFonts w:ascii="Times New Roman" w:eastAsia="Times New Roman" w:hAnsi="Times New Roman"/>
          <w:sz w:val="24"/>
          <w:szCs w:val="24"/>
          <w:vertAlign w:val="subscript"/>
          <w:lang w:val="sr-Cyrl-CS"/>
        </w:rPr>
        <w:t>x</w:t>
      </w:r>
      <w:r w:rsidR="008D6506" w:rsidRPr="00CC35F0">
        <w:rPr>
          <w:rFonts w:ascii="Times New Roman" w:eastAsia="Times New Roman" w:hAnsi="Times New Roman"/>
          <w:sz w:val="24"/>
          <w:szCs w:val="24"/>
          <w:lang w:val="sr-Cyrl-CS"/>
        </w:rPr>
        <w:t>, неметанских испарљивих органских једињења (у даљем тексту: NMV</w:t>
      </w:r>
      <w:r w:rsidR="009E0B0B" w:rsidRPr="00CC35F0">
        <w:rPr>
          <w:rFonts w:ascii="Times New Roman" w:eastAsia="Times New Roman" w:hAnsi="Times New Roman"/>
          <w:sz w:val="24"/>
          <w:szCs w:val="24"/>
          <w:lang w:val="sr-Cyrl-CS"/>
        </w:rPr>
        <w:t xml:space="preserve">OC), </w:t>
      </w:r>
      <w:r w:rsidR="008D6506" w:rsidRPr="00CC35F0">
        <w:rPr>
          <w:rFonts w:ascii="Times New Roman" w:eastAsia="Times New Roman" w:hAnsi="Times New Roman"/>
          <w:sz w:val="24"/>
          <w:szCs w:val="24"/>
          <w:lang w:val="sr-Cyrl-CS"/>
        </w:rPr>
        <w:t>NH</w:t>
      </w:r>
      <w:r w:rsidR="008D6506" w:rsidRPr="00CC35F0">
        <w:rPr>
          <w:rFonts w:ascii="Times New Roman" w:eastAsia="Times New Roman" w:hAnsi="Times New Roman"/>
          <w:sz w:val="24"/>
          <w:szCs w:val="24"/>
          <w:vertAlign w:val="subscript"/>
          <w:lang w:val="sr-Cyrl-CS"/>
        </w:rPr>
        <w:t>3</w:t>
      </w:r>
      <w:r w:rsidR="008D6506" w:rsidRPr="00CC35F0">
        <w:rPr>
          <w:rFonts w:ascii="Times New Roman" w:eastAsia="Times New Roman" w:hAnsi="Times New Roman"/>
          <w:sz w:val="24"/>
          <w:szCs w:val="24"/>
          <w:lang w:val="sr-Cyrl-CS"/>
        </w:rPr>
        <w:t xml:space="preserve"> и суспендованих честица (PM</w:t>
      </w:r>
      <w:r w:rsidR="008D6506" w:rsidRPr="00CC35F0">
        <w:rPr>
          <w:rFonts w:ascii="Times New Roman" w:eastAsia="Times New Roman" w:hAnsi="Times New Roman"/>
          <w:sz w:val="24"/>
          <w:szCs w:val="24"/>
          <w:vertAlign w:val="subscript"/>
          <w:lang w:val="sr-Cyrl-CS"/>
        </w:rPr>
        <w:t>2,5</w:t>
      </w:r>
      <w:r w:rsidR="008D6506" w:rsidRPr="00CC35F0">
        <w:rPr>
          <w:rFonts w:ascii="Times New Roman" w:eastAsia="Times New Roman" w:hAnsi="Times New Roman"/>
          <w:sz w:val="24"/>
          <w:szCs w:val="24"/>
          <w:lang w:val="sr-Cyrl-CS"/>
        </w:rPr>
        <w:t>), како би се кренуло у правцу постизања квалитета ваздуха који неће представљати значајан ризик за здравље људи и животну средину услед својих негативних утицаја. Сва смањења емисија пореде се у односу на 2005. годину. Државе чланице такође предузимају неопходне мере како би се остварило ограничење антропогених емисија SO</w:t>
      </w:r>
      <w:r w:rsidR="008D6506" w:rsidRPr="00CC35F0">
        <w:rPr>
          <w:rFonts w:ascii="Times New Roman" w:eastAsia="Times New Roman" w:hAnsi="Times New Roman"/>
          <w:sz w:val="24"/>
          <w:szCs w:val="24"/>
          <w:vertAlign w:val="subscript"/>
          <w:lang w:val="sr-Cyrl-CS"/>
        </w:rPr>
        <w:t>2</w:t>
      </w:r>
      <w:r w:rsidR="008D6506" w:rsidRPr="00CC35F0">
        <w:rPr>
          <w:rFonts w:ascii="Times New Roman" w:eastAsia="Times New Roman" w:hAnsi="Times New Roman"/>
          <w:sz w:val="24"/>
          <w:szCs w:val="24"/>
          <w:lang w:val="sr-Cyrl-CS"/>
        </w:rPr>
        <w:t>, NOx, NMVOC, NH</w:t>
      </w:r>
      <w:r w:rsidR="008D6506" w:rsidRPr="00CC35F0">
        <w:rPr>
          <w:rFonts w:ascii="Times New Roman" w:eastAsia="Times New Roman" w:hAnsi="Times New Roman"/>
          <w:sz w:val="24"/>
          <w:szCs w:val="24"/>
          <w:vertAlign w:val="subscript"/>
          <w:lang w:val="sr-Cyrl-CS"/>
        </w:rPr>
        <w:t>3</w:t>
      </w:r>
      <w:r w:rsidR="008D6506" w:rsidRPr="00CC35F0">
        <w:rPr>
          <w:rFonts w:ascii="Times New Roman" w:eastAsia="Times New Roman" w:hAnsi="Times New Roman"/>
          <w:sz w:val="24"/>
          <w:szCs w:val="24"/>
          <w:lang w:val="sr-Cyrl-CS"/>
        </w:rPr>
        <w:t xml:space="preserve"> и суспендованих честица 2025. године. Индикативни нивои тих емисија утврђују се линеарном трајекторијом смањења која је израчуната на основу нивоа емисија за ове материје дефинисаних обавезама смањења емисија за 2020. годину и нивоа емисија дефинисаних обавезама смањења за 2030. годину. </w:t>
      </w:r>
    </w:p>
    <w:p w14:paraId="70C0E38A" w14:textId="77777777" w:rsidR="00A0251B" w:rsidRPr="00CC35F0" w:rsidRDefault="008D6506" w:rsidP="00931AC2">
      <w:pPr>
        <w:pBdr>
          <w:top w:val="nil"/>
          <w:left w:val="nil"/>
          <w:bottom w:val="nil"/>
          <w:right w:val="nil"/>
          <w:between w:val="nil"/>
        </w:pBdr>
        <w:spacing w:before="280" w:after="280"/>
        <w:ind w:firstLine="57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Поред тога, државе чланице су у обавези да израде, усвоје и имплементирају одговарајуће националне програме контроле загађивања ваздуха</w:t>
      </w:r>
      <w:r w:rsidRPr="00CC35F0">
        <w:rPr>
          <w:rFonts w:ascii="Times New Roman" w:eastAsia="Times New Roman" w:hAnsi="Times New Roman"/>
          <w:color w:val="000000"/>
          <w:sz w:val="24"/>
          <w:szCs w:val="24"/>
          <w:vertAlign w:val="superscript"/>
          <w:lang w:val="sr-Cyrl-CS"/>
        </w:rPr>
        <w:footnoteReference w:id="2"/>
      </w:r>
      <w:r w:rsidRPr="00CC35F0">
        <w:rPr>
          <w:rFonts w:ascii="Times New Roman" w:eastAsia="Times New Roman" w:hAnsi="Times New Roman"/>
          <w:color w:val="000000"/>
          <w:sz w:val="24"/>
          <w:szCs w:val="24"/>
          <w:lang w:val="sr-Cyrl-CS"/>
        </w:rPr>
        <w:t xml:space="preserve"> како би ограничиле своје годишње антропогене емисије. Национални програми контроле загађивања ваздуха такође треба да допринесу успешном спровођењу планова квалитета ваздуха израђених у складу са чланом 23 Директиве 2008/50/EЗ о квалитету амбијенталног ваздуха и чистијег ваздуха за Европу. У том смислу, државе чланице треба да узму у обзир потребу за смањењем емисија, нарочито емисија NOx и суспендованих честица у зонама и агломерацијама које су под утицајима прекомерних концентрација загађујућих материја у ваздуху и/или у </w:t>
      </w:r>
      <w:r w:rsidRPr="00CC35F0">
        <w:rPr>
          <w:rFonts w:ascii="Times New Roman" w:eastAsia="Times New Roman" w:hAnsi="Times New Roman"/>
          <w:color w:val="000000"/>
          <w:sz w:val="24"/>
          <w:szCs w:val="24"/>
          <w:lang w:val="sr-Cyrl-CS"/>
        </w:rPr>
        <w:lastRenderedPageBreak/>
        <w:t>зонама и агломерацијама које знатно доприносе загађењу ваздуха у другим зонама и агломерацијама, укључујући и оне у суседним државама.</w:t>
      </w:r>
    </w:p>
    <w:p w14:paraId="32E61C0C" w14:textId="77777777" w:rsidR="00A0251B" w:rsidRPr="00CC35F0" w:rsidRDefault="008D6506" w:rsidP="0015442F">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Приликом</w:t>
      </w:r>
      <w:r w:rsidR="00BC5C09" w:rsidRPr="00CC35F0">
        <w:rPr>
          <w:rFonts w:ascii="Times New Roman" w:eastAsia="Times New Roman" w:hAnsi="Times New Roman"/>
          <w:sz w:val="24"/>
          <w:szCs w:val="24"/>
          <w:lang w:val="sr-Cyrl-CS"/>
        </w:rPr>
        <w:t xml:space="preserve"> израде, усвајања и спровођења П</w:t>
      </w:r>
      <w:r w:rsidRPr="00CC35F0">
        <w:rPr>
          <w:rFonts w:ascii="Times New Roman" w:eastAsia="Times New Roman" w:hAnsi="Times New Roman"/>
          <w:sz w:val="24"/>
          <w:szCs w:val="24"/>
          <w:lang w:val="sr-Cyrl-CS"/>
        </w:rPr>
        <w:t>рограма, државе чланице у обавези су да:</w:t>
      </w:r>
    </w:p>
    <w:p w14:paraId="40CEB607" w14:textId="77777777" w:rsidR="00A0251B" w:rsidRPr="00CC35F0" w:rsidRDefault="0015442F" w:rsidP="0015442F">
      <w:pPr>
        <w:pBdr>
          <w:top w:val="nil"/>
          <w:left w:val="nil"/>
          <w:bottom w:val="nil"/>
          <w:right w:val="nil"/>
          <w:between w:val="nil"/>
        </w:pBdr>
        <w:tabs>
          <w:tab w:val="left" w:pos="284"/>
          <w:tab w:val="left" w:pos="426"/>
        </w:tabs>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w:t>
      </w:r>
      <w:r w:rsidR="008919A6" w:rsidRPr="00CC35F0">
        <w:rPr>
          <w:rFonts w:ascii="Times New Roman" w:eastAsia="Times New Roman" w:hAnsi="Times New Roman"/>
          <w:color w:val="000000"/>
          <w:sz w:val="24"/>
          <w:szCs w:val="24"/>
          <w:lang w:val="sr-Cyrl-CS"/>
        </w:rPr>
        <w:t xml:space="preserve">    </w:t>
      </w:r>
      <w:r w:rsidRPr="00CC35F0">
        <w:rPr>
          <w:rFonts w:ascii="Times New Roman" w:eastAsia="Times New Roman" w:hAnsi="Times New Roman"/>
          <w:color w:val="000000"/>
          <w:sz w:val="24"/>
          <w:szCs w:val="24"/>
          <w:lang w:val="sr-Cyrl-CS"/>
        </w:rPr>
        <w:t xml:space="preserve">1) </w:t>
      </w:r>
      <w:r w:rsidR="008D6506" w:rsidRPr="00CC35F0">
        <w:rPr>
          <w:rFonts w:ascii="Times New Roman" w:eastAsia="Times New Roman" w:hAnsi="Times New Roman"/>
          <w:color w:val="000000"/>
          <w:sz w:val="24"/>
          <w:szCs w:val="24"/>
          <w:lang w:val="sr-Cyrl-CS"/>
        </w:rPr>
        <w:t xml:space="preserve">врше процену опсега до којег домаћи извори емисија могу да утичу на квалитет ваздуха на својим територијама и у суседним државама чланицама, користећи, када је прикладно, податке и методологије развијене у оквиру </w:t>
      </w:r>
      <w:r w:rsidR="008D6506" w:rsidRPr="00CC35F0">
        <w:rPr>
          <w:rFonts w:ascii="Times New Roman" w:eastAsia="Times New Roman" w:hAnsi="Times New Roman"/>
          <w:i/>
          <w:color w:val="000000"/>
          <w:sz w:val="24"/>
          <w:szCs w:val="24"/>
          <w:lang w:val="sr-Cyrl-CS"/>
        </w:rPr>
        <w:t>EMEP</w:t>
      </w:r>
      <w:r w:rsidR="008D6506" w:rsidRPr="00CC35F0">
        <w:rPr>
          <w:rFonts w:ascii="Times New Roman" w:eastAsia="Times New Roman" w:hAnsi="Times New Roman"/>
          <w:color w:val="000000"/>
          <w:sz w:val="24"/>
          <w:szCs w:val="24"/>
          <w:lang w:val="sr-Cyrl-CS"/>
        </w:rPr>
        <w:t xml:space="preserve"> у складу са Протоколом уз Конвенцију о далекосежном прекограничном загађењу ваздуха из програма сарадње у активностима мониторинга и процене далекосежног преноса загађујућих материја у ваздух у Европи;</w:t>
      </w:r>
    </w:p>
    <w:p w14:paraId="5529F0D3" w14:textId="77777777" w:rsidR="00A0251B" w:rsidRPr="00CC35F0" w:rsidRDefault="0015442F" w:rsidP="0015442F">
      <w:pPr>
        <w:pBdr>
          <w:top w:val="nil"/>
          <w:left w:val="nil"/>
          <w:bottom w:val="nil"/>
          <w:right w:val="nil"/>
          <w:between w:val="nil"/>
        </w:pBdr>
        <w:tabs>
          <w:tab w:val="left" w:pos="567"/>
        </w:tabs>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2) </w:t>
      </w:r>
      <w:r w:rsidR="008D6506" w:rsidRPr="00CC35F0">
        <w:rPr>
          <w:rFonts w:ascii="Times New Roman" w:eastAsia="Times New Roman" w:hAnsi="Times New Roman"/>
          <w:color w:val="000000"/>
          <w:sz w:val="24"/>
          <w:szCs w:val="24"/>
          <w:lang w:val="sr-Cyrl-CS"/>
        </w:rPr>
        <w:t>узимају у обзир потребу за смањењем емисија загађујућих материја у ваздух ради постизања усаглашености са циљевима за квалитет ваздуха на својим територијама и, када је прикладно, у суседним државама чланицама;</w:t>
      </w:r>
    </w:p>
    <w:p w14:paraId="4508B707" w14:textId="77777777" w:rsidR="00A0251B" w:rsidRPr="00CC35F0" w:rsidRDefault="0015442F" w:rsidP="0015442F">
      <w:pPr>
        <w:pBdr>
          <w:top w:val="nil"/>
          <w:left w:val="nil"/>
          <w:bottom w:val="nil"/>
          <w:right w:val="nil"/>
          <w:between w:val="nil"/>
        </w:pBdr>
        <w:tabs>
          <w:tab w:val="left" w:pos="567"/>
        </w:tabs>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3) </w:t>
      </w:r>
      <w:r w:rsidR="008D6506" w:rsidRPr="00CC35F0">
        <w:rPr>
          <w:rFonts w:ascii="Times New Roman" w:eastAsia="Times New Roman" w:hAnsi="Times New Roman"/>
          <w:color w:val="000000"/>
          <w:sz w:val="24"/>
          <w:szCs w:val="24"/>
          <w:lang w:val="sr-Cyrl-CS"/>
        </w:rPr>
        <w:t>утврде приоритете у мерама за смањење емисија з</w:t>
      </w:r>
      <w:r w:rsidR="00DF39E4" w:rsidRPr="00CC35F0">
        <w:rPr>
          <w:rFonts w:ascii="Times New Roman" w:eastAsia="Times New Roman" w:hAnsi="Times New Roman"/>
          <w:color w:val="000000"/>
          <w:sz w:val="24"/>
          <w:szCs w:val="24"/>
          <w:lang w:val="sr-Cyrl-CS"/>
        </w:rPr>
        <w:t xml:space="preserve">а </w:t>
      </w:r>
      <w:r w:rsidR="008D6506" w:rsidRPr="00CC35F0">
        <w:rPr>
          <w:rFonts w:ascii="Times New Roman" w:eastAsia="Times New Roman" w:hAnsi="Times New Roman"/>
          <w:color w:val="000000"/>
          <w:sz w:val="24"/>
          <w:szCs w:val="24"/>
          <w:lang w:val="sr-Cyrl-CS"/>
        </w:rPr>
        <w:t>BC приликом предузимања мера за постизање националних обавеза смањења емисија суспендованих честица;</w:t>
      </w:r>
    </w:p>
    <w:p w14:paraId="7A62625A" w14:textId="77777777" w:rsidR="00A0251B" w:rsidRPr="00CC35F0" w:rsidRDefault="0015442F" w:rsidP="0015442F">
      <w:pPr>
        <w:pBdr>
          <w:top w:val="nil"/>
          <w:left w:val="nil"/>
          <w:bottom w:val="nil"/>
          <w:right w:val="nil"/>
          <w:between w:val="nil"/>
        </w:pBdr>
        <w:tabs>
          <w:tab w:val="left" w:pos="426"/>
        </w:tabs>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4) </w:t>
      </w:r>
      <w:r w:rsidR="008D6506" w:rsidRPr="00CC35F0">
        <w:rPr>
          <w:rFonts w:ascii="Times New Roman" w:eastAsia="Times New Roman" w:hAnsi="Times New Roman"/>
          <w:color w:val="000000"/>
          <w:sz w:val="24"/>
          <w:szCs w:val="24"/>
          <w:lang w:val="sr-Cyrl-CS"/>
        </w:rPr>
        <w:t xml:space="preserve">обезбеде усклађеност са другим релевантним плановима и програмима донесеним на основу захтева </w:t>
      </w:r>
      <w:r w:rsidR="009865FE" w:rsidRPr="00CC35F0">
        <w:rPr>
          <w:rFonts w:ascii="Times New Roman" w:eastAsia="Times New Roman" w:hAnsi="Times New Roman"/>
          <w:color w:val="000000"/>
          <w:sz w:val="24"/>
          <w:szCs w:val="24"/>
          <w:lang w:val="sr-Cyrl-CS"/>
        </w:rPr>
        <w:t>законодавства</w:t>
      </w:r>
      <w:r w:rsidR="009865FE">
        <w:rPr>
          <w:rFonts w:ascii="Times New Roman" w:eastAsia="Times New Roman" w:hAnsi="Times New Roman"/>
          <w:color w:val="000000"/>
          <w:sz w:val="24"/>
          <w:szCs w:val="24"/>
          <w:lang w:val="sr-Cyrl-CS"/>
        </w:rPr>
        <w:t xml:space="preserve"> </w:t>
      </w:r>
      <w:r w:rsidR="009865FE" w:rsidRPr="009865FE">
        <w:rPr>
          <w:rFonts w:ascii="Times New Roman" w:eastAsia="Times New Roman" w:hAnsi="Times New Roman"/>
          <w:bCs/>
          <w:color w:val="000000"/>
          <w:sz w:val="24"/>
          <w:szCs w:val="24"/>
          <w:lang w:val="sr-Cyrl-RS"/>
        </w:rPr>
        <w:t>Републике Србије</w:t>
      </w:r>
      <w:r w:rsidR="009865FE" w:rsidRPr="00CC35F0">
        <w:rPr>
          <w:rFonts w:ascii="Times New Roman" w:eastAsia="Times New Roman" w:hAnsi="Times New Roman"/>
          <w:color w:val="000000"/>
          <w:sz w:val="24"/>
          <w:szCs w:val="24"/>
          <w:lang w:val="sr-Cyrl-CS"/>
        </w:rPr>
        <w:t xml:space="preserve"> </w:t>
      </w:r>
      <w:r w:rsidR="008D6506" w:rsidRPr="00CC35F0">
        <w:rPr>
          <w:rFonts w:ascii="Times New Roman" w:eastAsia="Times New Roman" w:hAnsi="Times New Roman"/>
          <w:color w:val="000000"/>
          <w:sz w:val="24"/>
          <w:szCs w:val="24"/>
          <w:lang w:val="sr-Cyrl-CS"/>
        </w:rPr>
        <w:t xml:space="preserve">или законодавства </w:t>
      </w:r>
      <w:r w:rsidR="00167FD2" w:rsidRPr="00CC35F0">
        <w:rPr>
          <w:rFonts w:ascii="Times New Roman" w:eastAsia="Times New Roman" w:hAnsi="Times New Roman"/>
          <w:color w:val="000000"/>
          <w:sz w:val="24"/>
          <w:szCs w:val="24"/>
          <w:lang w:val="sr-Cyrl-CS"/>
        </w:rPr>
        <w:t>Европске у</w:t>
      </w:r>
      <w:r w:rsidR="008D6506" w:rsidRPr="00CC35F0">
        <w:rPr>
          <w:rFonts w:ascii="Times New Roman" w:eastAsia="Times New Roman" w:hAnsi="Times New Roman"/>
          <w:color w:val="000000"/>
          <w:sz w:val="24"/>
          <w:szCs w:val="24"/>
          <w:lang w:val="sr-Cyrl-CS"/>
        </w:rPr>
        <w:t>није.</w:t>
      </w:r>
    </w:p>
    <w:p w14:paraId="2B641C98" w14:textId="77777777" w:rsidR="00A0251B" w:rsidRPr="00CC35F0" w:rsidRDefault="008D6506" w:rsidP="00220035">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Директивом се државама чланицама прописује низ нових обавеза у погледу извештавања и од њих се захтева да извештавају о емисијама загађујућих материја у ваздуху. Оне су дефинисане у Анексу I Директиве и укључују годишње информисање о емисијама за велики број загађујућих материја:</w:t>
      </w:r>
    </w:p>
    <w:p w14:paraId="3AA9BD79" w14:textId="77777777" w:rsidR="00A0251B" w:rsidRPr="00CC35F0" w:rsidRDefault="008D6506" w:rsidP="00382EC6">
      <w:pPr>
        <w:numPr>
          <w:ilvl w:val="0"/>
          <w:numId w:val="25"/>
        </w:numPr>
        <w:pBdr>
          <w:top w:val="nil"/>
          <w:left w:val="nil"/>
          <w:bottom w:val="nil"/>
          <w:right w:val="nil"/>
          <w:between w:val="nil"/>
        </w:pBdr>
        <w:spacing w:after="0"/>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пет главних загађујућих материја у ваздуху NOx, NMVOCs, SO</w:t>
      </w:r>
      <w:r w:rsidRPr="00CC35F0">
        <w:rPr>
          <w:rFonts w:ascii="Times New Roman" w:eastAsia="Times New Roman" w:hAnsi="Times New Roman"/>
          <w:color w:val="000000"/>
          <w:sz w:val="24"/>
          <w:szCs w:val="24"/>
          <w:vertAlign w:val="subscript"/>
          <w:lang w:val="sr-Cyrl-CS"/>
        </w:rPr>
        <w:t>2</w:t>
      </w:r>
      <w:r w:rsidRPr="00CC35F0">
        <w:rPr>
          <w:rFonts w:ascii="Times New Roman" w:eastAsia="Times New Roman" w:hAnsi="Times New Roman"/>
          <w:color w:val="000000"/>
          <w:sz w:val="24"/>
          <w:szCs w:val="24"/>
          <w:lang w:val="sr-Cyrl-CS"/>
        </w:rPr>
        <w:t>,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и PM</w:t>
      </w:r>
      <w:r w:rsidRPr="00CC35F0">
        <w:rPr>
          <w:rFonts w:ascii="Times New Roman" w:eastAsia="Times New Roman" w:hAnsi="Times New Roman"/>
          <w:color w:val="000000"/>
          <w:sz w:val="24"/>
          <w:szCs w:val="24"/>
          <w:vertAlign w:val="subscript"/>
          <w:lang w:val="sr-Cyrl-CS"/>
        </w:rPr>
        <w:t>2.5</w:t>
      </w:r>
      <w:r w:rsidRPr="00CC35F0">
        <w:rPr>
          <w:rFonts w:ascii="Times New Roman" w:eastAsia="Times New Roman" w:hAnsi="Times New Roman"/>
          <w:color w:val="000000"/>
          <w:sz w:val="24"/>
          <w:szCs w:val="24"/>
          <w:lang w:val="sr-Cyrl-CS"/>
        </w:rPr>
        <w:t>, као и угљен-моноксид (CO);</w:t>
      </w:r>
    </w:p>
    <w:p w14:paraId="1CD6A506" w14:textId="77777777" w:rsidR="00A0251B" w:rsidRPr="00CC35F0" w:rsidRDefault="008D6506" w:rsidP="00382EC6">
      <w:pPr>
        <w:numPr>
          <w:ilvl w:val="0"/>
          <w:numId w:val="25"/>
        </w:numPr>
        <w:pBdr>
          <w:top w:val="nil"/>
          <w:left w:val="nil"/>
          <w:bottom w:val="nil"/>
          <w:right w:val="nil"/>
          <w:between w:val="nil"/>
        </w:pBdr>
        <w:spacing w:after="0"/>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поред PM</w:t>
      </w:r>
      <w:r w:rsidRPr="00CC35F0">
        <w:rPr>
          <w:rFonts w:ascii="Times New Roman" w:eastAsia="Times New Roman" w:hAnsi="Times New Roman"/>
          <w:color w:val="000000"/>
          <w:sz w:val="24"/>
          <w:szCs w:val="24"/>
          <w:vertAlign w:val="subscript"/>
          <w:lang w:val="sr-Cyrl-CS"/>
        </w:rPr>
        <w:t>2.5</w:t>
      </w:r>
      <w:r w:rsidRPr="00CC35F0">
        <w:rPr>
          <w:rFonts w:ascii="Times New Roman" w:eastAsia="Times New Roman" w:hAnsi="Times New Roman"/>
          <w:color w:val="000000"/>
          <w:sz w:val="24"/>
          <w:szCs w:val="24"/>
          <w:lang w:val="sr-Cyrl-CS"/>
        </w:rPr>
        <w:t xml:space="preserve"> и PM</w:t>
      </w:r>
      <w:r w:rsidRPr="00CC35F0">
        <w:rPr>
          <w:rFonts w:ascii="Times New Roman" w:eastAsia="Times New Roman" w:hAnsi="Times New Roman"/>
          <w:color w:val="000000"/>
          <w:sz w:val="24"/>
          <w:szCs w:val="24"/>
          <w:vertAlign w:val="subscript"/>
          <w:lang w:val="sr-Cyrl-CS"/>
        </w:rPr>
        <w:t>10</w:t>
      </w:r>
      <w:r w:rsidRPr="00CC35F0">
        <w:rPr>
          <w:rFonts w:ascii="Times New Roman" w:eastAsia="Times New Roman" w:hAnsi="Times New Roman"/>
          <w:color w:val="000000"/>
          <w:sz w:val="24"/>
          <w:szCs w:val="24"/>
          <w:lang w:val="sr-Cyrl-CS"/>
        </w:rPr>
        <w:t> суспендованих честица, ако је могуће, захтева с</w:t>
      </w:r>
      <w:r w:rsidR="00DF39E4" w:rsidRPr="00CC35F0">
        <w:rPr>
          <w:rFonts w:ascii="Times New Roman" w:eastAsia="Times New Roman" w:hAnsi="Times New Roman"/>
          <w:color w:val="000000"/>
          <w:sz w:val="24"/>
          <w:szCs w:val="24"/>
          <w:lang w:val="sr-Cyrl-CS"/>
        </w:rPr>
        <w:t xml:space="preserve">е извештавање о </w:t>
      </w:r>
      <w:r w:rsidRPr="00CC35F0">
        <w:rPr>
          <w:rFonts w:ascii="Times New Roman" w:eastAsia="Times New Roman" w:hAnsi="Times New Roman"/>
          <w:color w:val="000000"/>
          <w:sz w:val="24"/>
          <w:szCs w:val="24"/>
          <w:lang w:val="sr-Cyrl-CS"/>
        </w:rPr>
        <w:t>BC и TSP;</w:t>
      </w:r>
    </w:p>
    <w:p w14:paraId="71859764" w14:textId="77777777" w:rsidR="00A0251B" w:rsidRPr="00CC35F0" w:rsidRDefault="008D6506" w:rsidP="00382EC6">
      <w:pPr>
        <w:numPr>
          <w:ilvl w:val="0"/>
          <w:numId w:val="25"/>
        </w:numPr>
        <w:pBdr>
          <w:top w:val="nil"/>
          <w:left w:val="nil"/>
          <w:bottom w:val="nil"/>
          <w:right w:val="nil"/>
          <w:between w:val="nil"/>
        </w:pBdr>
        <w:tabs>
          <w:tab w:val="left" w:pos="709"/>
        </w:tabs>
        <w:spacing w:after="0"/>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тешки метали, и то кадмијум (Cd), олово (P</w:t>
      </w:r>
      <w:r w:rsidR="00E84647" w:rsidRPr="00CC35F0">
        <w:rPr>
          <w:rFonts w:ascii="Times New Roman" w:eastAsia="Times New Roman" w:hAnsi="Times New Roman"/>
          <w:color w:val="000000"/>
          <w:sz w:val="24"/>
          <w:szCs w:val="24"/>
          <w:lang w:val="sr-Cyrl-CS"/>
        </w:rPr>
        <w:t>b) и жива (Hg), а ако је могуће</w:t>
      </w:r>
      <w:r w:rsidRPr="00CC35F0">
        <w:rPr>
          <w:rFonts w:ascii="Times New Roman" w:eastAsia="Times New Roman" w:hAnsi="Times New Roman"/>
          <w:color w:val="000000"/>
          <w:sz w:val="24"/>
          <w:szCs w:val="24"/>
          <w:lang w:val="sr-Cyrl-CS"/>
        </w:rPr>
        <w:t xml:space="preserve"> и за тешке метале арсен, хром, бакар, никл, селен и цинк;</w:t>
      </w:r>
    </w:p>
    <w:p w14:paraId="2D0DCAB8" w14:textId="77777777" w:rsidR="00A0251B" w:rsidRPr="00CC35F0" w:rsidRDefault="008D6506" w:rsidP="00382EC6">
      <w:pPr>
        <w:numPr>
          <w:ilvl w:val="0"/>
          <w:numId w:val="25"/>
        </w:numPr>
        <w:pBdr>
          <w:top w:val="nil"/>
          <w:left w:val="nil"/>
          <w:bottom w:val="nil"/>
          <w:right w:val="nil"/>
          <w:between w:val="nil"/>
        </w:pBdr>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дуготрајне органске загађујуће материје (POPs), укључујући</w:t>
      </w:r>
      <w:r w:rsidR="00F90ED5" w:rsidRPr="00CC35F0">
        <w:rPr>
          <w:rFonts w:ascii="Times New Roman" w:eastAsia="Times New Roman" w:hAnsi="Times New Roman"/>
          <w:color w:val="000000"/>
          <w:sz w:val="24"/>
          <w:szCs w:val="24"/>
          <w:lang w:val="sr-Cyrl-CS"/>
        </w:rPr>
        <w:t xml:space="preserve"> одређене PAHs</w:t>
      </w:r>
      <w:r w:rsidRPr="00CC35F0">
        <w:rPr>
          <w:rFonts w:ascii="Times New Roman" w:eastAsia="Times New Roman" w:hAnsi="Times New Roman"/>
          <w:color w:val="000000"/>
          <w:sz w:val="24"/>
          <w:szCs w:val="24"/>
          <w:lang w:val="sr-Cyrl-CS"/>
        </w:rPr>
        <w:t xml:space="preserve">, диоксине и </w:t>
      </w:r>
      <w:r w:rsidR="00F90ED5" w:rsidRPr="00CC35F0">
        <w:rPr>
          <w:rFonts w:ascii="Times New Roman" w:eastAsia="Times New Roman" w:hAnsi="Times New Roman"/>
          <w:color w:val="000000"/>
          <w:sz w:val="24"/>
          <w:szCs w:val="24"/>
          <w:lang w:val="sr-Cyrl-CS"/>
        </w:rPr>
        <w:t xml:space="preserve">фуране, </w:t>
      </w:r>
      <w:r w:rsidRPr="00CC35F0">
        <w:rPr>
          <w:rFonts w:ascii="Times New Roman" w:eastAsia="Times New Roman" w:hAnsi="Times New Roman"/>
          <w:color w:val="000000"/>
          <w:sz w:val="24"/>
          <w:szCs w:val="24"/>
          <w:lang w:val="sr-Cyrl-CS"/>
        </w:rPr>
        <w:t>PCBs</w:t>
      </w:r>
      <w:r w:rsidR="00F90ED5" w:rsidRPr="00CC35F0">
        <w:rPr>
          <w:rFonts w:ascii="Times New Roman" w:eastAsia="Times New Roman" w:hAnsi="Times New Roman"/>
          <w:color w:val="000000"/>
          <w:sz w:val="24"/>
          <w:szCs w:val="24"/>
          <w:lang w:val="sr-Cyrl-CS"/>
        </w:rPr>
        <w:t xml:space="preserve"> и </w:t>
      </w:r>
      <w:r w:rsidRPr="00CC35F0">
        <w:rPr>
          <w:rFonts w:ascii="Times New Roman" w:eastAsia="Times New Roman" w:hAnsi="Times New Roman"/>
          <w:color w:val="000000"/>
          <w:sz w:val="24"/>
          <w:szCs w:val="24"/>
          <w:lang w:val="sr-Cyrl-CS"/>
        </w:rPr>
        <w:t>HCB.</w:t>
      </w:r>
    </w:p>
    <w:p w14:paraId="0526C432" w14:textId="77777777" w:rsidR="00A0251B" w:rsidRPr="00CC35F0" w:rsidRDefault="008D6506" w:rsidP="00220035">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Државе чланице су, поред тога, у обавези да извештавају о пројекцијама које су припремљене у складу са правним оквиром о клими и о емисијама у просторној мрежи. </w:t>
      </w:r>
    </w:p>
    <w:p w14:paraId="3B41735A" w14:textId="77777777" w:rsidR="00A0251B" w:rsidRPr="00CC35F0" w:rsidRDefault="008D6506" w:rsidP="00220035">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Како многе агломерације у Европској унији имају проблема са квалитетом ваздуха, правни оквир такође прописује обавезан садржај локалних планова заштите ваздуха и мониторинг.</w:t>
      </w:r>
    </w:p>
    <w:p w14:paraId="58F31E95" w14:textId="77777777" w:rsidR="00A0251B" w:rsidRPr="00CC35F0" w:rsidRDefault="008D6506" w:rsidP="00FF5EFF">
      <w:pPr>
        <w:spacing w:after="0"/>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Паралелно са ограничавањем емисиј</w:t>
      </w:r>
      <w:r w:rsidR="00697062" w:rsidRPr="00CC35F0">
        <w:rPr>
          <w:rFonts w:ascii="Times New Roman" w:eastAsia="Times New Roman" w:hAnsi="Times New Roman"/>
          <w:sz w:val="24"/>
          <w:szCs w:val="24"/>
          <w:lang w:val="sr-Cyrl-CS"/>
        </w:rPr>
        <w:t>а загађујућих материја у ваздух</w:t>
      </w:r>
      <w:r w:rsidRPr="00CC35F0">
        <w:rPr>
          <w:rFonts w:ascii="Times New Roman" w:eastAsia="Times New Roman" w:hAnsi="Times New Roman"/>
          <w:sz w:val="24"/>
          <w:szCs w:val="24"/>
          <w:lang w:val="sr-Cyrl-CS"/>
        </w:rPr>
        <w:t xml:space="preserve"> из извора загађења, правни оквир ЕУ такође придаје већи значај мониторингу амбијенталног ваздуха кроз измене и допуне Директиве 2008/50/EЗ о амбијенталном ваздуху и чистијем ваздуху за Европу. Овом директивом дефинишу се и успостављају циљеви у погледу квалитета амбијенталног ваздуха којима се избегавају, спречавају или смањују штетни утицаји на здравље људи и животну средину у целости. У том смислу, она утврђује мере за процену квалитета амбијенталног ваздуха у државама чланицама на основу заједничких метода и критеријума, као и за прикупљање информација о квалитету амбијенталног ваздуха, како би се подржала борба против загађења ваздуха и непријатности услед загађеног ваздуха и пратили дугорочни трендови и побољшања која проистичу из националних и мера </w:t>
      </w:r>
      <w:r w:rsidR="006E6E6C" w:rsidRPr="00CC35F0">
        <w:rPr>
          <w:rFonts w:ascii="Times New Roman" w:eastAsia="Times New Roman" w:hAnsi="Times New Roman"/>
          <w:sz w:val="24"/>
          <w:szCs w:val="24"/>
          <w:lang w:val="sr-Cyrl-CS"/>
        </w:rPr>
        <w:t xml:space="preserve">Европске </w:t>
      </w:r>
      <w:r w:rsidR="009C41F4" w:rsidRPr="00CC35F0">
        <w:rPr>
          <w:rFonts w:ascii="Times New Roman" w:eastAsia="Times New Roman" w:hAnsi="Times New Roman"/>
          <w:sz w:val="24"/>
          <w:szCs w:val="24"/>
          <w:lang w:val="sr-Cyrl-CS"/>
        </w:rPr>
        <w:t xml:space="preserve">Заједнице </w:t>
      </w:r>
      <w:r w:rsidRPr="00CC35F0">
        <w:rPr>
          <w:rFonts w:ascii="Times New Roman" w:eastAsia="Times New Roman" w:hAnsi="Times New Roman"/>
          <w:sz w:val="24"/>
          <w:szCs w:val="24"/>
          <w:lang w:val="sr-Cyrl-CS"/>
        </w:rPr>
        <w:t xml:space="preserve">и како би те информације биле доступне јавности. Измене и допуне неколико анекса Директиве 2008/50/EЗ Европског парламента и Савета прописале су ажурирана </w:t>
      </w:r>
      <w:r w:rsidRPr="00CC35F0">
        <w:rPr>
          <w:rFonts w:ascii="Times New Roman" w:eastAsia="Times New Roman" w:hAnsi="Times New Roman"/>
          <w:sz w:val="24"/>
          <w:szCs w:val="24"/>
          <w:lang w:val="sr-Cyrl-CS"/>
        </w:rPr>
        <w:lastRenderedPageBreak/>
        <w:t>правила о референтним методама, валидацији података и одређивању локација за узимање узорака за процену квалитета ваздуха. Поред тога, унапређена је и сарадња између држава чланица у напорима за смањење загађења ваздуха.</w:t>
      </w:r>
    </w:p>
    <w:p w14:paraId="01E920A3" w14:textId="77777777" w:rsidR="00A0251B" w:rsidRPr="00CC35F0" w:rsidRDefault="008D6506" w:rsidP="00FF5EFF">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Поред тога, правним оквиром ЕУ уређују се и концентрације тешких метала, и то на основу Директиве 2004/107/EЗ о арсену, кадмијуму, живи, никлу и полицикличним ароматичним угљоводоницима у амбијенталном ваздуху (позната као 4. кћерка директива). Циљеви ове директиве су успостављање циљне вредности за концентрације арсена, кадмијума, никла и бензо(а)пирена у амбијенталном ваздуху, како би се избегли, спречили или смањили штетни утицаји арсена, кадмијума, никла и PAHs на здравље људи и животну средину уопште; како би се осигурало одржавање квалитета амбијенталног ваздуха где је добар, односно побољшао тамо где није, утврдиле заједничке методе и критеријуми за процену концентрација и обезбедило да релевантне информације буду доступне јавности.</w:t>
      </w:r>
    </w:p>
    <w:p w14:paraId="6795ACE8" w14:textId="77777777" w:rsidR="00A0251B" w:rsidRPr="00CC35F0" w:rsidRDefault="008D6506" w:rsidP="00FF5EFF">
      <w:pPr>
        <w:pBdr>
          <w:top w:val="nil"/>
          <w:left w:val="nil"/>
          <w:bottom w:val="nil"/>
          <w:right w:val="nil"/>
          <w:between w:val="nil"/>
        </w:pBdr>
        <w:spacing w:after="0"/>
        <w:ind w:firstLine="720"/>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Како загађујуће материје не знају за државне границе, међународна координација политика заштите ваздуха од загађења је од </w:t>
      </w:r>
      <w:r w:rsidRPr="00CC35F0">
        <w:rPr>
          <w:rFonts w:ascii="Times New Roman" w:eastAsia="Times New Roman" w:hAnsi="Times New Roman"/>
          <w:sz w:val="24"/>
          <w:szCs w:val="24"/>
          <w:lang w:val="sr-Cyrl-CS"/>
        </w:rPr>
        <w:t>непроцењивог значаја. Конвенција UNECE</w:t>
      </w:r>
      <w:r w:rsidR="008016A6"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о далекосежном прекограничном загађењу ваздуха</w:t>
      </w:r>
      <w:r w:rsidR="00007CD2" w:rsidRPr="00CC35F0">
        <w:rPr>
          <w:rFonts w:ascii="Times New Roman" w:eastAsia="Times New Roman" w:hAnsi="Times New Roman"/>
          <w:sz w:val="24"/>
          <w:szCs w:val="24"/>
          <w:lang w:val="sr-Cyrl-CS"/>
        </w:rPr>
        <w:t xml:space="preserve"> (Закон о ратификацији Конвенције о </w:t>
      </w:r>
      <w:r w:rsidR="00697062" w:rsidRPr="00CC35F0">
        <w:rPr>
          <w:rFonts w:ascii="Times New Roman" w:eastAsia="Times New Roman" w:hAnsi="Times New Roman"/>
          <w:sz w:val="24"/>
          <w:szCs w:val="24"/>
          <w:lang w:val="sr-Cyrl-CS"/>
        </w:rPr>
        <w:t>прекограничном</w:t>
      </w:r>
      <w:r w:rsidR="00007CD2" w:rsidRPr="00CC35F0">
        <w:rPr>
          <w:rFonts w:ascii="Times New Roman" w:eastAsia="Times New Roman" w:hAnsi="Times New Roman"/>
          <w:sz w:val="24"/>
          <w:szCs w:val="24"/>
          <w:lang w:val="sr-Cyrl-CS"/>
        </w:rPr>
        <w:t xml:space="preserve"> загађивању ваздух</w:t>
      </w:r>
      <w:r w:rsidR="009C41F4" w:rsidRPr="00CC35F0">
        <w:rPr>
          <w:rFonts w:ascii="Times New Roman" w:eastAsia="Times New Roman" w:hAnsi="Times New Roman"/>
          <w:sz w:val="24"/>
          <w:szCs w:val="24"/>
          <w:lang w:val="sr-Cyrl-CS"/>
        </w:rPr>
        <w:t>а на великим удаљеностима (,,Службени</w:t>
      </w:r>
      <w:r w:rsidR="00007CD2" w:rsidRPr="00CC35F0">
        <w:rPr>
          <w:rFonts w:ascii="Times New Roman" w:eastAsia="Times New Roman" w:hAnsi="Times New Roman"/>
          <w:sz w:val="24"/>
          <w:szCs w:val="24"/>
          <w:lang w:val="sr-Cyrl-CS"/>
        </w:rPr>
        <w:t xml:space="preserve"> лист </w:t>
      </w:r>
      <w:r w:rsidR="009C41F4" w:rsidRPr="00CC35F0">
        <w:rPr>
          <w:rFonts w:ascii="Times New Roman" w:eastAsia="Times New Roman" w:hAnsi="Times New Roman"/>
          <w:sz w:val="24"/>
          <w:szCs w:val="24"/>
          <w:lang w:val="sr-Cyrl-CS"/>
        </w:rPr>
        <w:t>СФРЈ - Међународни уговори”, број</w:t>
      </w:r>
      <w:r w:rsidR="00BC5C09" w:rsidRPr="00CC35F0">
        <w:rPr>
          <w:rFonts w:ascii="Times New Roman" w:eastAsia="Times New Roman" w:hAnsi="Times New Roman"/>
          <w:sz w:val="24"/>
          <w:szCs w:val="24"/>
          <w:lang w:val="sr-Cyrl-CS"/>
        </w:rPr>
        <w:t xml:space="preserve"> 11/86)</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 xml:space="preserve">донесена као одговор на </w:t>
      </w:r>
      <w:r w:rsidR="00B9092B">
        <w:rPr>
          <w:rFonts w:ascii="Times New Roman" w:eastAsia="Times New Roman" w:hAnsi="Times New Roman"/>
          <w:color w:val="000000"/>
          <w:sz w:val="24"/>
          <w:szCs w:val="24"/>
          <w:lang w:val="sr-Cyrl-CS"/>
        </w:rPr>
        <w:t>захтев</w:t>
      </w:r>
      <w:r w:rsidRPr="00CC35F0">
        <w:rPr>
          <w:rFonts w:ascii="Times New Roman" w:eastAsia="Times New Roman" w:hAnsi="Times New Roman"/>
          <w:color w:val="000000"/>
          <w:sz w:val="24"/>
          <w:szCs w:val="24"/>
          <w:lang w:val="sr-Cyrl-CS"/>
        </w:rPr>
        <w:t xml:space="preserve"> јавности због разорних утицаја киселих киша у Европи, представља окосницу међународних </w:t>
      </w:r>
      <w:r w:rsidRPr="00CC35F0">
        <w:rPr>
          <w:rFonts w:ascii="Times New Roman" w:eastAsia="Times New Roman" w:hAnsi="Times New Roman"/>
          <w:sz w:val="24"/>
          <w:szCs w:val="24"/>
          <w:lang w:val="sr-Cyrl-CS"/>
        </w:rPr>
        <w:t>напора на смањењу кључних штетних загађујућих материја у атмосфери. Гетеборшки протокол</w:t>
      </w:r>
      <w:r w:rsidR="008016A6"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 xml:space="preserve">је измењен и допуњен 2012. године. Ревидирани протокол представља први обавезујући споразум који укључује обавезе смањења емисија суспендованих честица. </w:t>
      </w:r>
      <w:r w:rsidR="000E7AFE" w:rsidRPr="00CC35F0">
        <w:rPr>
          <w:rFonts w:ascii="Times New Roman" w:eastAsia="Times New Roman" w:hAnsi="Times New Roman"/>
          <w:sz w:val="24"/>
          <w:szCs w:val="24"/>
          <w:lang w:val="sr-Cyrl-CS"/>
        </w:rPr>
        <w:t>Гетеборшким п</w:t>
      </w:r>
      <w:r w:rsidRPr="00CC35F0">
        <w:rPr>
          <w:rFonts w:ascii="Times New Roman" w:eastAsia="Times New Roman" w:hAnsi="Times New Roman"/>
          <w:sz w:val="24"/>
          <w:szCs w:val="24"/>
          <w:lang w:val="sr-Cyrl-CS"/>
        </w:rPr>
        <w:t>ротоколом су уведене и одређене флексибилности како би се омогућио приступ новим странама Протокола, углавном земаља из Источне и Југоисточне Европе, Кавказа и Централне Азије.</w:t>
      </w:r>
    </w:p>
    <w:p w14:paraId="74173A1D" w14:textId="77777777" w:rsidR="00A0251B" w:rsidRPr="00CC35F0" w:rsidRDefault="008D6506" w:rsidP="00FF5EFF">
      <w:pPr>
        <w:pBdr>
          <w:top w:val="nil"/>
          <w:left w:val="nil"/>
          <w:bottom w:val="nil"/>
          <w:right w:val="nil"/>
          <w:between w:val="nil"/>
        </w:pBdr>
        <w:spacing w:after="0"/>
        <w:ind w:firstLine="576"/>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Изменама су утврђене нове обавезе смањења националних емисија за 2020. годину и даље. Измене нарочито укључују: смањење емисија за BC, ажурирање граничних вредности емисије из анекса уз Протокол и нове стандарде за садржај NMVOC у производима</w:t>
      </w:r>
      <w:r w:rsidRPr="00CC35F0">
        <w:rPr>
          <w:rFonts w:ascii="Times New Roman" w:eastAsia="Times New Roman" w:hAnsi="Times New Roman"/>
          <w:color w:val="000000"/>
          <w:sz w:val="24"/>
          <w:szCs w:val="24"/>
          <w:lang w:val="sr-Cyrl-CS"/>
        </w:rPr>
        <w:t xml:space="preserve">. Поред тога, изменама се од сваке стране захтева да примењује граничне вредности за горива и нове покретне изворе (увођење EURO5 и EURO6 за путничка возила и EUROV и EURO VI за теретна возила, затим емисионих стандарда за друга превозна средства, као што су мотоцикли и мопеди, локомотиве, пружна возила, пловна средства, пловила за рекреацију и тешку механизацију (у даљем тексту: ТМ)). </w:t>
      </w:r>
    </w:p>
    <w:p w14:paraId="3A1D68B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p w14:paraId="154709D4" w14:textId="77777777" w:rsidR="00A0251B" w:rsidRPr="00CC35F0" w:rsidRDefault="00EF58ED" w:rsidP="00EF58ED">
      <w:pPr>
        <w:pStyle w:val="Heading2"/>
        <w:numPr>
          <w:ilvl w:val="0"/>
          <w:numId w:val="0"/>
        </w:numPr>
        <w:ind w:left="450"/>
        <w:rPr>
          <w:rFonts w:ascii="Times New Roman" w:eastAsia="Times New Roman" w:hAnsi="Times New Roman"/>
          <w:lang w:val="sr-Cyrl-CS"/>
        </w:rPr>
      </w:pPr>
      <w:bookmarkStart w:id="6" w:name="_heading=h.4d34og8" w:colFirst="0" w:colLast="0"/>
      <w:bookmarkEnd w:id="6"/>
      <w:r w:rsidRPr="00CC35F0">
        <w:rPr>
          <w:rFonts w:ascii="Times New Roman" w:eastAsia="Times New Roman" w:hAnsi="Times New Roman"/>
          <w:lang w:val="sr-Cyrl-CS"/>
        </w:rPr>
        <w:t xml:space="preserve">2.2 </w:t>
      </w:r>
      <w:r w:rsidR="008D6506" w:rsidRPr="00CC35F0">
        <w:rPr>
          <w:rFonts w:ascii="Times New Roman" w:eastAsia="Times New Roman" w:hAnsi="Times New Roman"/>
          <w:lang w:val="sr-Cyrl-CS"/>
        </w:rPr>
        <w:t xml:space="preserve">Национални оквир јавне политике </w:t>
      </w:r>
    </w:p>
    <w:p w14:paraId="6150B938" w14:textId="77777777" w:rsidR="00A0251B" w:rsidRPr="00CC35F0" w:rsidRDefault="00A0251B">
      <w:pPr>
        <w:rPr>
          <w:rFonts w:ascii="Times New Roman" w:eastAsia="Times New Roman" w:hAnsi="Times New Roman"/>
          <w:sz w:val="24"/>
          <w:szCs w:val="24"/>
          <w:highlight w:val="yellow"/>
          <w:lang w:val="sr-Cyrl-CS"/>
        </w:rPr>
      </w:pPr>
    </w:p>
    <w:p w14:paraId="70DE83D0" w14:textId="77777777" w:rsidR="00A0251B" w:rsidRPr="00CC35F0" w:rsidRDefault="008D6506" w:rsidP="00FF5EFF">
      <w:pPr>
        <w:spacing w:after="0" w:line="276" w:lineRule="auto"/>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Камен темељац националног оквира јавне политике у области заштите ваздуха је Закон о заштити ваздуха</w:t>
      </w:r>
      <w:r w:rsidR="00120A9C"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(„Службени гласник РС”, бр. 36/09, 10/13 и 26/21</w:t>
      </w:r>
      <w:r w:rsidR="00F14619"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w:t>
      </w:r>
      <w:r w:rsidR="00F14619"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др. закон). Овај закон и подзаконска акта донесена на основу овог закона уређују управљање квалитетом ваздуха и утврђују мере, начин организације и контроле и надзора над спровођењем заштите и унапређења квалитета ваздуха као природне вредности од општег интереса који заслужује посебну бригу и заштиту.</w:t>
      </w:r>
    </w:p>
    <w:p w14:paraId="2373C70A" w14:textId="77777777" w:rsidR="00A0251B" w:rsidRPr="00CC35F0" w:rsidRDefault="008D6506" w:rsidP="00BD3226">
      <w:pPr>
        <w:spacing w:after="0" w:line="276" w:lineRule="auto"/>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Контрола квалитета ваздуха спроводи се кроз одређивање зона и агломерација и прописаним активностима за процену квалитета ваздуха у зонама и агломерацијама за изабране загађујуће материје у ваздуху. </w:t>
      </w:r>
      <w:r w:rsidR="00BC5C09" w:rsidRPr="00CC35F0">
        <w:rPr>
          <w:rFonts w:ascii="Times New Roman" w:eastAsia="Times New Roman" w:hAnsi="Times New Roman"/>
          <w:sz w:val="24"/>
          <w:szCs w:val="24"/>
          <w:lang w:val="sr-Cyrl-CS"/>
        </w:rPr>
        <w:t>Овај з</w:t>
      </w:r>
      <w:r w:rsidRPr="00CC35F0">
        <w:rPr>
          <w:rFonts w:ascii="Times New Roman" w:eastAsia="Times New Roman" w:hAnsi="Times New Roman"/>
          <w:sz w:val="24"/>
          <w:szCs w:val="24"/>
          <w:lang w:val="sr-Cyrl-CS"/>
        </w:rPr>
        <w:t>акон такође обезбеђује правну основу за систем мониторинга у области заштите вазду</w:t>
      </w:r>
      <w:r w:rsidR="00F14619" w:rsidRPr="00CC35F0">
        <w:rPr>
          <w:rFonts w:ascii="Times New Roman" w:eastAsia="Times New Roman" w:hAnsi="Times New Roman"/>
          <w:sz w:val="24"/>
          <w:szCs w:val="24"/>
          <w:lang w:val="sr-Cyrl-CS"/>
        </w:rPr>
        <w:t>ха на државном и локалном нивоу</w:t>
      </w:r>
      <w:r w:rsidRPr="00CC35F0">
        <w:rPr>
          <w:rFonts w:ascii="Times New Roman" w:eastAsia="Times New Roman" w:hAnsi="Times New Roman"/>
          <w:sz w:val="24"/>
          <w:szCs w:val="24"/>
          <w:lang w:val="sr-Cyrl-CS"/>
        </w:rPr>
        <w:t xml:space="preserve"> и дефинише надлежности релевантних институција. Осим тога, њиме се дефинишу и прецизирају захтеви за квалитет ваздуха, категорије квалитета ваздуха, временски ок</w:t>
      </w:r>
      <w:r w:rsidR="00F14619" w:rsidRPr="00CC35F0">
        <w:rPr>
          <w:rFonts w:ascii="Times New Roman" w:eastAsia="Times New Roman" w:hAnsi="Times New Roman"/>
          <w:sz w:val="24"/>
          <w:szCs w:val="24"/>
          <w:lang w:val="sr-Cyrl-CS"/>
        </w:rPr>
        <w:t xml:space="preserve">вири за </w:t>
      </w:r>
      <w:r w:rsidR="00F14619" w:rsidRPr="00CC35F0">
        <w:rPr>
          <w:rFonts w:ascii="Times New Roman" w:eastAsia="Times New Roman" w:hAnsi="Times New Roman"/>
          <w:sz w:val="24"/>
          <w:szCs w:val="24"/>
          <w:lang w:val="sr-Cyrl-CS"/>
        </w:rPr>
        <w:lastRenderedPageBreak/>
        <w:t xml:space="preserve">прекорачења и изузетке </w:t>
      </w:r>
      <w:r w:rsidRPr="00CC35F0">
        <w:rPr>
          <w:rFonts w:ascii="Times New Roman" w:eastAsia="Times New Roman" w:hAnsi="Times New Roman"/>
          <w:sz w:val="24"/>
          <w:szCs w:val="24"/>
          <w:lang w:val="sr-Cyrl-CS"/>
        </w:rPr>
        <w:t xml:space="preserve">и одређују поступци за информисање јавности у случају прекорачења граничних вредности. </w:t>
      </w:r>
      <w:r w:rsidR="00BC5C09" w:rsidRPr="00CC35F0">
        <w:rPr>
          <w:rFonts w:ascii="Times New Roman" w:eastAsia="Times New Roman" w:hAnsi="Times New Roman"/>
          <w:sz w:val="24"/>
          <w:szCs w:val="24"/>
          <w:lang w:val="sr-Cyrl-CS"/>
        </w:rPr>
        <w:t>Овај</w:t>
      </w:r>
      <w:r w:rsidR="009C41F4" w:rsidRPr="00CC35F0">
        <w:rPr>
          <w:rFonts w:ascii="Times New Roman" w:eastAsia="Times New Roman" w:hAnsi="Times New Roman"/>
          <w:sz w:val="24"/>
          <w:szCs w:val="24"/>
          <w:lang w:val="sr-Cyrl-CS"/>
        </w:rPr>
        <w:t xml:space="preserve"> з</w:t>
      </w:r>
      <w:r w:rsidRPr="00CC35F0">
        <w:rPr>
          <w:rFonts w:ascii="Times New Roman" w:eastAsia="Times New Roman" w:hAnsi="Times New Roman"/>
          <w:sz w:val="24"/>
          <w:szCs w:val="24"/>
          <w:lang w:val="sr-Cyrl-CS"/>
        </w:rPr>
        <w:t>акон такође дефинише загађење из природних извора и прекорачења изазвана посипањем саобраћајница ризлом и сољу.</w:t>
      </w:r>
    </w:p>
    <w:p w14:paraId="2BA78381" w14:textId="77777777" w:rsidR="00A0251B" w:rsidRPr="00CC35F0" w:rsidRDefault="008D6506" w:rsidP="00BD3226">
      <w:pPr>
        <w:spacing w:after="0" w:line="276" w:lineRule="auto"/>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 посебном поглављу </w:t>
      </w:r>
      <w:r w:rsidR="009C41F4" w:rsidRPr="00CC35F0">
        <w:rPr>
          <w:rFonts w:ascii="Times New Roman" w:eastAsia="Times New Roman" w:hAnsi="Times New Roman"/>
          <w:sz w:val="24"/>
          <w:szCs w:val="24"/>
          <w:lang w:val="sr-Cyrl-CS"/>
        </w:rPr>
        <w:t>овог з</w:t>
      </w:r>
      <w:r w:rsidRPr="00CC35F0">
        <w:rPr>
          <w:rFonts w:ascii="Times New Roman" w:eastAsia="Times New Roman" w:hAnsi="Times New Roman"/>
          <w:sz w:val="24"/>
          <w:szCs w:val="24"/>
          <w:lang w:val="sr-Cyrl-CS"/>
        </w:rPr>
        <w:t>акона дефинисани су инструменти националне јавне политике и планирања, и то: програм заштите ваздуха, планови заштите ваздуха, краткорочни акциони планови, национални програм за постепено смањење годишњих националних граничних вредности емисија из постој</w:t>
      </w:r>
      <w:r w:rsidR="00F14619" w:rsidRPr="00CC35F0">
        <w:rPr>
          <w:rFonts w:ascii="Times New Roman" w:eastAsia="Times New Roman" w:hAnsi="Times New Roman"/>
          <w:sz w:val="24"/>
          <w:szCs w:val="24"/>
          <w:lang w:val="sr-Cyrl-CS"/>
        </w:rPr>
        <w:t xml:space="preserve">ећих постројења са сагоревањем </w:t>
      </w:r>
      <w:r w:rsidRPr="00CC35F0">
        <w:rPr>
          <w:rFonts w:ascii="Times New Roman" w:eastAsia="Times New Roman" w:hAnsi="Times New Roman"/>
          <w:sz w:val="24"/>
          <w:szCs w:val="24"/>
          <w:lang w:val="sr-Cyrl-CS"/>
        </w:rPr>
        <w:t>и планови оператера за смањење емисија из стацио</w:t>
      </w:r>
      <w:r w:rsidR="009C41F4" w:rsidRPr="00CC35F0">
        <w:rPr>
          <w:rFonts w:ascii="Times New Roman" w:eastAsia="Times New Roman" w:hAnsi="Times New Roman"/>
          <w:sz w:val="24"/>
          <w:szCs w:val="24"/>
          <w:lang w:val="sr-Cyrl-CS"/>
        </w:rPr>
        <w:t>нарних постројења, за које наведени з</w:t>
      </w:r>
      <w:r w:rsidRPr="00CC35F0">
        <w:rPr>
          <w:rFonts w:ascii="Times New Roman" w:eastAsia="Times New Roman" w:hAnsi="Times New Roman"/>
          <w:sz w:val="24"/>
          <w:szCs w:val="24"/>
          <w:lang w:val="sr-Cyrl-CS"/>
        </w:rPr>
        <w:t>акон прописује релевантан садржај.</w:t>
      </w:r>
    </w:p>
    <w:p w14:paraId="546CC088" w14:textId="77777777" w:rsidR="00A0251B" w:rsidRPr="00CC35F0" w:rsidRDefault="008D6506" w:rsidP="00BD3226">
      <w:pPr>
        <w:spacing w:after="0" w:line="276" w:lineRule="auto"/>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Поред тога, поглављем о мерама за квалитет ваздуха дефинишу се мере за спречавање и смањење загађења ваздуха из стационарних извора, затим емисије испарљивих органских једињења, предлажу се националне граничне вредности емисије (у даљем тексту: NEC), прописују се дозвољене количине појединачних загађујућих материја у специфичним производима (у фосилним горивима и у бојама и лаковима), постепено смањење коришћења супстанци које оштећују озонски омотач и друге мере за спречавање и смањење загађења.</w:t>
      </w:r>
    </w:p>
    <w:p w14:paraId="6B2304FC" w14:textId="77777777" w:rsidR="00A0251B" w:rsidRPr="00CC35F0" w:rsidRDefault="00BC5C09" w:rsidP="00BD3226">
      <w:pPr>
        <w:pBdr>
          <w:top w:val="nil"/>
          <w:left w:val="nil"/>
          <w:bottom w:val="nil"/>
          <w:right w:val="nil"/>
          <w:between w:val="nil"/>
        </w:pBdr>
        <w:ind w:right="114" w:firstLine="576"/>
        <w:rPr>
          <w:rFonts w:ascii="Times New Roman" w:eastAsia="Times New Roman" w:hAnsi="Times New Roman"/>
          <w:color w:val="000000"/>
          <w:sz w:val="24"/>
          <w:szCs w:val="24"/>
          <w:lang w:val="sr-Cyrl-CS"/>
        </w:rPr>
      </w:pPr>
      <w:bookmarkStart w:id="7" w:name="_heading=h.2s8eyo1" w:colFirst="0" w:colLast="0"/>
      <w:bookmarkEnd w:id="7"/>
      <w:r w:rsidRPr="00CC35F0">
        <w:rPr>
          <w:rFonts w:ascii="Times New Roman" w:eastAsia="Times New Roman" w:hAnsi="Times New Roman"/>
          <w:color w:val="000000"/>
          <w:sz w:val="24"/>
          <w:szCs w:val="24"/>
          <w:lang w:val="sr-Cyrl-CS"/>
        </w:rPr>
        <w:t>Овај</w:t>
      </w:r>
      <w:r w:rsidR="009C41F4" w:rsidRPr="00CC35F0">
        <w:rPr>
          <w:rFonts w:ascii="Times New Roman" w:eastAsia="Times New Roman" w:hAnsi="Times New Roman"/>
          <w:color w:val="000000"/>
          <w:sz w:val="24"/>
          <w:szCs w:val="24"/>
          <w:lang w:val="sr-Cyrl-CS"/>
        </w:rPr>
        <w:t xml:space="preserve"> з</w:t>
      </w:r>
      <w:r w:rsidR="008D6506" w:rsidRPr="00CC35F0">
        <w:rPr>
          <w:rFonts w:ascii="Times New Roman" w:eastAsia="Times New Roman" w:hAnsi="Times New Roman"/>
          <w:color w:val="000000"/>
          <w:sz w:val="24"/>
          <w:szCs w:val="24"/>
          <w:lang w:val="sr-Cyrl-CS"/>
        </w:rPr>
        <w:t>акон такође уређује материје за које се врше мерења и нивое загађујућих материја у ваздуху, као и питања која се односе на информисање и извештавање о садржају информационог система о квалитету ваздуха и финансирање заштите и унапређења квалитета ваздуха. Средства за финансирање заштите и унапређења квалитета ваздуха обезбеђују се из буџета Републике Србије и по основу</w:t>
      </w:r>
      <w:r w:rsidRPr="00CC35F0">
        <w:rPr>
          <w:rFonts w:ascii="Times New Roman" w:eastAsia="Times New Roman" w:hAnsi="Times New Roman"/>
          <w:color w:val="000000"/>
          <w:sz w:val="24"/>
          <w:szCs w:val="24"/>
          <w:lang w:val="sr-Cyrl-CS"/>
        </w:rPr>
        <w:t xml:space="preserve"> обавеза оператера у складу са </w:t>
      </w:r>
      <w:r w:rsidR="00697062" w:rsidRPr="00CC35F0">
        <w:rPr>
          <w:rFonts w:ascii="Times New Roman" w:eastAsia="Times New Roman" w:hAnsi="Times New Roman"/>
          <w:color w:val="000000"/>
          <w:sz w:val="24"/>
          <w:szCs w:val="24"/>
          <w:lang w:val="sr-Cyrl-CS"/>
        </w:rPr>
        <w:t xml:space="preserve">Законом </w:t>
      </w:r>
      <w:r w:rsidRPr="00CC35F0">
        <w:rPr>
          <w:rFonts w:ascii="Times New Roman" w:eastAsia="Times New Roman" w:hAnsi="Times New Roman"/>
          <w:color w:val="000000"/>
          <w:sz w:val="24"/>
          <w:szCs w:val="24"/>
          <w:lang w:val="sr-Cyrl-CS"/>
        </w:rPr>
        <w:t>о заштити ваздуха</w:t>
      </w:r>
      <w:r w:rsidR="008D6506" w:rsidRPr="00CC35F0">
        <w:rPr>
          <w:rFonts w:ascii="Times New Roman" w:eastAsia="Times New Roman" w:hAnsi="Times New Roman"/>
          <w:color w:val="000000"/>
          <w:sz w:val="24"/>
          <w:szCs w:val="24"/>
          <w:lang w:val="sr-Cyrl-CS"/>
        </w:rPr>
        <w:t>.</w:t>
      </w:r>
    </w:p>
    <w:p w14:paraId="398320BF" w14:textId="77777777" w:rsidR="00A0251B" w:rsidRPr="00CC35F0" w:rsidRDefault="008D6506" w:rsidP="00BD3226">
      <w:pPr>
        <w:pBdr>
          <w:top w:val="nil"/>
          <w:left w:val="nil"/>
          <w:bottom w:val="nil"/>
          <w:right w:val="nil"/>
          <w:between w:val="nil"/>
        </w:pBdr>
        <w:ind w:right="114" w:firstLine="48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На основу </w:t>
      </w:r>
      <w:r w:rsidR="009C41F4" w:rsidRPr="00CC35F0">
        <w:rPr>
          <w:rFonts w:ascii="Times New Roman" w:eastAsia="Times New Roman" w:hAnsi="Times New Roman"/>
          <w:color w:val="000000"/>
          <w:sz w:val="24"/>
          <w:szCs w:val="24"/>
          <w:lang w:val="sr-Cyrl-CS"/>
        </w:rPr>
        <w:t>овог з</w:t>
      </w:r>
      <w:r w:rsidRPr="00CC35F0">
        <w:rPr>
          <w:rFonts w:ascii="Times New Roman" w:eastAsia="Times New Roman" w:hAnsi="Times New Roman"/>
          <w:color w:val="000000"/>
          <w:sz w:val="24"/>
          <w:szCs w:val="24"/>
          <w:lang w:val="sr-Cyrl-CS"/>
        </w:rPr>
        <w:t xml:space="preserve">акона донесена су одговарајућа подзаконска акта за потребе детаљне разраде управљања и побољшања </w:t>
      </w:r>
      <w:r w:rsidR="00307033" w:rsidRPr="00CC35F0">
        <w:rPr>
          <w:rFonts w:ascii="Times New Roman" w:eastAsia="Times New Roman" w:hAnsi="Times New Roman"/>
          <w:color w:val="000000"/>
          <w:sz w:val="24"/>
          <w:szCs w:val="24"/>
          <w:lang w:val="sr-Cyrl-CS"/>
        </w:rPr>
        <w:t>квалитета амбијенталног ваздуха</w:t>
      </w:r>
      <w:r w:rsidRPr="00CC35F0">
        <w:rPr>
          <w:rFonts w:ascii="Times New Roman" w:eastAsia="Times New Roman" w:hAnsi="Times New Roman"/>
          <w:color w:val="000000"/>
          <w:sz w:val="24"/>
          <w:szCs w:val="24"/>
          <w:lang w:val="sr-Cyrl-CS"/>
        </w:rPr>
        <w:t xml:space="preserve"> и њима се дефинишу зоне и агломерације</w:t>
      </w:r>
      <w:r w:rsidRPr="00CC35F0">
        <w:rPr>
          <w:rFonts w:ascii="Times New Roman" w:eastAsia="Times New Roman" w:hAnsi="Times New Roman"/>
          <w:color w:val="000000"/>
          <w:sz w:val="24"/>
          <w:szCs w:val="24"/>
          <w:vertAlign w:val="superscript"/>
          <w:lang w:val="sr-Cyrl-CS"/>
        </w:rPr>
        <w:footnoteReference w:id="3"/>
      </w:r>
      <w:r w:rsidRPr="00CC35F0">
        <w:rPr>
          <w:rFonts w:ascii="Times New Roman" w:eastAsia="Times New Roman" w:hAnsi="Times New Roman"/>
          <w:color w:val="000000"/>
          <w:sz w:val="24"/>
          <w:szCs w:val="24"/>
          <w:lang w:val="sr-Cyrl-CS"/>
        </w:rPr>
        <w:t xml:space="preserve"> и категорије квалитета ваздуха у зонама и агломерацијама. </w:t>
      </w:r>
    </w:p>
    <w:p w14:paraId="768C1A1F" w14:textId="77777777" w:rsidR="00A0251B" w:rsidRPr="00CC35F0" w:rsidRDefault="008D6506">
      <w:pPr>
        <w:shd w:val="clear" w:color="auto" w:fill="FFFFFF"/>
        <w:spacing w:before="280" w:after="280"/>
        <w:ind w:firstLine="480"/>
        <w:rPr>
          <w:rFonts w:ascii="Times New Roman" w:eastAsia="Times New Roman" w:hAnsi="Times New Roman"/>
          <w:color w:val="333333"/>
          <w:sz w:val="24"/>
          <w:szCs w:val="24"/>
          <w:lang w:val="sr-Cyrl-CS"/>
        </w:rPr>
      </w:pPr>
      <w:bookmarkStart w:id="8" w:name="_heading=h.17dp8vu" w:colFirst="0" w:colLast="0"/>
      <w:bookmarkEnd w:id="8"/>
      <w:r w:rsidRPr="00CC35F0">
        <w:rPr>
          <w:rFonts w:ascii="Times New Roman" w:eastAsia="Times New Roman" w:hAnsi="Times New Roman"/>
          <w:sz w:val="24"/>
          <w:szCs w:val="24"/>
          <w:lang w:val="sr-Cyrl-CS"/>
        </w:rPr>
        <w:t>Поред тога, Уредба о условима за мониторинг и захтевима квалитета ваздуха (</w:t>
      </w:r>
      <w:r w:rsidRPr="00CC35F0">
        <w:rPr>
          <w:rFonts w:ascii="Times New Roman" w:eastAsia="Times New Roman" w:hAnsi="Times New Roman"/>
          <w:color w:val="333333"/>
          <w:sz w:val="24"/>
          <w:szCs w:val="24"/>
          <w:lang w:val="sr-Cyrl-CS"/>
        </w:rPr>
        <w:t xml:space="preserve">„Службени гласник РС”, бр. 11/10, 75/10 и 63/13), </w:t>
      </w:r>
      <w:r w:rsidRPr="00CC35F0">
        <w:rPr>
          <w:rFonts w:ascii="Times New Roman" w:eastAsia="Times New Roman" w:hAnsi="Times New Roman"/>
          <w:sz w:val="24"/>
          <w:szCs w:val="24"/>
          <w:lang w:val="sr-Cyrl-CS"/>
        </w:rPr>
        <w:t xml:space="preserve">одређује критеријуме за утврђивање минималног броја мерних локација и локација за узорковање у случају фиксних мерења и у случајевима када се фиксно мерење допуњава индикативним мерењима или моделирање; мерења у области квалитета ваздуха и методологија процене (референтне мерне методе и критеријуми за процену концентрација); захтеви у погледу података потребних за процену квалитета ваздуха; методе провере квалитета података за процену квалитета ваздуха (према захтевима стандарда </w:t>
      </w:r>
      <w:r w:rsidRPr="00CC35F0">
        <w:rPr>
          <w:rFonts w:ascii="Times New Roman" w:eastAsia="Times New Roman" w:hAnsi="Times New Roman"/>
          <w:i/>
          <w:sz w:val="24"/>
          <w:szCs w:val="24"/>
          <w:lang w:val="sr-Cyrl-CS"/>
        </w:rPr>
        <w:t>SRPS ISO / IEC 17025</w:t>
      </w:r>
      <w:r w:rsidRPr="00CC35F0">
        <w:rPr>
          <w:rFonts w:ascii="Times New Roman" w:eastAsia="Times New Roman" w:hAnsi="Times New Roman"/>
          <w:sz w:val="24"/>
          <w:szCs w:val="24"/>
          <w:lang w:val="sr-Cyrl-CS"/>
        </w:rPr>
        <w:t xml:space="preserve">); обим и садржај информација о процени квалитета ваздуха у складу са Законом о заштити ваздуха. Поред тога, ова уредба утврђује захтеве квалитета, као што су граничне вредности загађујућих материја у ваздуху; границе толеранције и толерантне вредности; концентрације опасне за здравље људи и концентрације о којима се обавештава јавност; критични нивои загађујућих материја у ваздуху; циљне вредности и (националне) дугорочне циљне вредности за загађујуће материје и рокови за постизање граничних и/или циљних вредности у случају прекорачења. </w:t>
      </w:r>
      <w:r w:rsidR="00D139F0"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Да би се оствариле утврђене граничне или циљне вредности и рокови, и да би се ускладио приступ, донесен је Правилник о садржају планова квалитета ваздуха (</w:t>
      </w:r>
      <w:r w:rsidRPr="00CC35F0">
        <w:rPr>
          <w:rFonts w:ascii="Times New Roman" w:eastAsia="Times New Roman" w:hAnsi="Times New Roman"/>
          <w:color w:val="333333"/>
          <w:sz w:val="24"/>
          <w:szCs w:val="24"/>
          <w:lang w:val="sr-Cyrl-CS"/>
        </w:rPr>
        <w:t>„Службени гласник РС</w:t>
      </w:r>
      <w:r w:rsidR="0046702F" w:rsidRPr="00CC35F0">
        <w:rPr>
          <w:rFonts w:ascii="Times New Roman" w:eastAsia="Times New Roman" w:hAnsi="Times New Roman"/>
          <w:color w:val="333333"/>
          <w:sz w:val="24"/>
          <w:szCs w:val="24"/>
          <w:lang w:val="sr-Cyrl-CS"/>
        </w:rPr>
        <w:t>ˮ</w:t>
      </w:r>
      <w:r w:rsidRPr="00CC35F0">
        <w:rPr>
          <w:rFonts w:ascii="Times New Roman" w:eastAsia="Times New Roman" w:hAnsi="Times New Roman"/>
          <w:color w:val="333333"/>
          <w:sz w:val="24"/>
          <w:szCs w:val="24"/>
          <w:lang w:val="sr-Cyrl-CS"/>
        </w:rPr>
        <w:t>, број 21/10)</w:t>
      </w:r>
      <w:r w:rsidRPr="00CC35F0">
        <w:rPr>
          <w:rFonts w:ascii="Times New Roman" w:eastAsia="Times New Roman" w:hAnsi="Times New Roman"/>
          <w:sz w:val="24"/>
          <w:szCs w:val="24"/>
          <w:lang w:val="sr-Cyrl-CS"/>
        </w:rPr>
        <w:t xml:space="preserve"> и Правилник о садржају краткорочних акционих планова (</w:t>
      </w:r>
      <w:r w:rsidRPr="00CC35F0">
        <w:rPr>
          <w:rFonts w:ascii="Times New Roman" w:eastAsia="Times New Roman" w:hAnsi="Times New Roman"/>
          <w:color w:val="333333"/>
          <w:sz w:val="24"/>
          <w:szCs w:val="24"/>
          <w:lang w:val="sr-Cyrl-CS"/>
        </w:rPr>
        <w:t>„Службени гласник РС</w:t>
      </w:r>
      <w:r w:rsidR="0046702F" w:rsidRPr="00CC35F0">
        <w:rPr>
          <w:rFonts w:ascii="Times New Roman" w:eastAsia="Times New Roman" w:hAnsi="Times New Roman"/>
          <w:color w:val="333333"/>
          <w:sz w:val="24"/>
          <w:szCs w:val="24"/>
          <w:lang w:val="sr-Cyrl-CS"/>
        </w:rPr>
        <w:t>ˮ</w:t>
      </w:r>
      <w:r w:rsidRPr="00CC35F0">
        <w:rPr>
          <w:rFonts w:ascii="Times New Roman" w:eastAsia="Times New Roman" w:hAnsi="Times New Roman"/>
          <w:color w:val="333333"/>
          <w:sz w:val="24"/>
          <w:szCs w:val="24"/>
          <w:lang w:val="sr-Cyrl-CS"/>
        </w:rPr>
        <w:t>, број 65/10)</w:t>
      </w:r>
      <w:r w:rsidR="00A07366"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 xml:space="preserve">који детаљније дефинишу садржај планова квалитета ваздуха и краткорочних акционих планова које усвајају органи аутономне покрајине и/или надлежни </w:t>
      </w:r>
      <w:r w:rsidRPr="00CC35F0">
        <w:rPr>
          <w:rFonts w:ascii="Times New Roman" w:eastAsia="Times New Roman" w:hAnsi="Times New Roman"/>
          <w:sz w:val="24"/>
          <w:szCs w:val="24"/>
          <w:lang w:val="sr-Cyrl-CS"/>
        </w:rPr>
        <w:lastRenderedPageBreak/>
        <w:t xml:space="preserve">органи </w:t>
      </w:r>
      <w:r w:rsidR="00C72B80" w:rsidRPr="00CC35F0">
        <w:rPr>
          <w:rFonts w:ascii="Times New Roman" w:eastAsia="Times New Roman" w:hAnsi="Times New Roman"/>
          <w:sz w:val="24"/>
          <w:szCs w:val="24"/>
          <w:lang w:val="sr-Cyrl-CS"/>
        </w:rPr>
        <w:t xml:space="preserve">јединица </w:t>
      </w:r>
      <w:r w:rsidRPr="00CC35F0">
        <w:rPr>
          <w:rFonts w:ascii="Times New Roman" w:eastAsia="Times New Roman" w:hAnsi="Times New Roman"/>
          <w:sz w:val="24"/>
          <w:szCs w:val="24"/>
          <w:lang w:val="sr-Cyrl-CS"/>
        </w:rPr>
        <w:t xml:space="preserve">локалних самоуправа. Надлежни орган аутономне покрајине и надлежни орган локалне самоуправе припремају план заштите ваздуха у зонама и агломерацијама на својој територији у којима је квалитет ваздуха сврстан у трећу категорију. До краја 2020. године, планови заштите ваздуха припремљени су за Београд, Бор, Нови Сад, Панчево, Смедерево, Ужице и Крагујевац. </w:t>
      </w:r>
    </w:p>
    <w:p w14:paraId="77D31630" w14:textId="77777777" w:rsidR="00A0251B" w:rsidRPr="00CC35F0" w:rsidRDefault="008D6506" w:rsidP="00BD3226">
      <w:pPr>
        <w:pBdr>
          <w:top w:val="nil"/>
          <w:left w:val="nil"/>
          <w:bottom w:val="nil"/>
          <w:right w:val="nil"/>
          <w:between w:val="nil"/>
        </w:pBdr>
        <w:spacing w:line="240" w:lineRule="auto"/>
        <w:ind w:right="114" w:firstLine="48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Када у некој зони или агломерацији постоји ризик од прекорачења концентрација опасних по здравље људи за једну или више загађујућих материја, надлежни орган аутономне покрајине и надлежни орган </w:t>
      </w:r>
      <w:r w:rsidR="00C72B80" w:rsidRPr="00CC35F0">
        <w:rPr>
          <w:rFonts w:ascii="Times New Roman" w:eastAsia="Times New Roman" w:hAnsi="Times New Roman"/>
          <w:sz w:val="24"/>
          <w:szCs w:val="24"/>
          <w:lang w:val="sr-Cyrl-CS"/>
        </w:rPr>
        <w:t xml:space="preserve">јединица </w:t>
      </w:r>
      <w:r w:rsidRPr="00CC35F0">
        <w:rPr>
          <w:rFonts w:ascii="Times New Roman" w:eastAsia="Times New Roman" w:hAnsi="Times New Roman"/>
          <w:sz w:val="24"/>
          <w:szCs w:val="24"/>
          <w:lang w:val="sr-Cyrl-CS"/>
        </w:rPr>
        <w:t>локалне самоуправе имају обавезу да израде краткорочне акционе планове којима се дефинишу мере које треба предузети у краткорочном периоду како би се смањио ризик или продужено трајање таквог прекорачења. Краткорочни акциони планови и информације о начину њиховог спровођења морају бити доступни јавности и заинтересованим организацијама. Такви планови израђени су</w:t>
      </w:r>
      <w:r w:rsidR="00303232" w:rsidRPr="00CC35F0">
        <w:rPr>
          <w:rFonts w:ascii="Times New Roman" w:eastAsia="Times New Roman" w:hAnsi="Times New Roman"/>
          <w:sz w:val="24"/>
          <w:szCs w:val="24"/>
          <w:lang w:val="sr-Cyrl-CS"/>
        </w:rPr>
        <w:t xml:space="preserve"> за Ужице, Сомбор и Бор, а МЗЖС</w:t>
      </w:r>
      <w:r w:rsidRPr="00CC35F0">
        <w:rPr>
          <w:rFonts w:ascii="Times New Roman" w:eastAsia="Times New Roman" w:hAnsi="Times New Roman"/>
          <w:sz w:val="24"/>
          <w:szCs w:val="24"/>
          <w:lang w:val="sr-Cyrl-CS"/>
        </w:rPr>
        <w:t xml:space="preserve"> је 2021. године одобрило планове за Сремску Митровицу, Крагујевац и Лесковац, док је краткорочни акциони план за Београд укључен у ажурирани план заштите ваздуха.</w:t>
      </w:r>
    </w:p>
    <w:p w14:paraId="7807243F" w14:textId="77777777" w:rsidR="00A0251B" w:rsidRPr="00CC35F0" w:rsidRDefault="008D6506">
      <w:pPr>
        <w:pBdr>
          <w:top w:val="nil"/>
          <w:left w:val="nil"/>
          <w:bottom w:val="nil"/>
          <w:right w:val="nil"/>
          <w:between w:val="nil"/>
        </w:pBdr>
        <w:shd w:val="clear" w:color="auto" w:fill="FFFFFF"/>
        <w:spacing w:after="0" w:line="240" w:lineRule="auto"/>
        <w:ind w:firstLine="480"/>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 xml:space="preserve">Да би се осигурао одговарајући ниво мерења квалитета ваздуха у државној мрежи, Влада је </w:t>
      </w:r>
      <w:r w:rsidR="00303232" w:rsidRPr="00CC35F0">
        <w:rPr>
          <w:rFonts w:ascii="Times New Roman" w:eastAsia="Times New Roman" w:hAnsi="Times New Roman"/>
          <w:color w:val="000000"/>
          <w:sz w:val="24"/>
          <w:szCs w:val="24"/>
          <w:lang w:val="sr-Cyrl-CS"/>
        </w:rPr>
        <w:t>донела</w:t>
      </w:r>
      <w:r w:rsidRPr="00CC35F0">
        <w:rPr>
          <w:rFonts w:ascii="Times New Roman" w:eastAsia="Times New Roman" w:hAnsi="Times New Roman"/>
          <w:color w:val="000000"/>
          <w:sz w:val="24"/>
          <w:szCs w:val="24"/>
          <w:lang w:val="sr-Cyrl-CS"/>
        </w:rPr>
        <w:t xml:space="preserve"> Уредбу о утврђивању Програма контроле квалитета ваздуха у државној мрежи</w:t>
      </w:r>
      <w:r w:rsidRPr="00CC35F0">
        <w:rPr>
          <w:rFonts w:ascii="Times New Roman" w:eastAsia="Times New Roman" w:hAnsi="Times New Roman"/>
          <w:b/>
          <w:color w:val="000000"/>
          <w:sz w:val="24"/>
          <w:szCs w:val="24"/>
          <w:lang w:val="sr-Cyrl-CS"/>
        </w:rPr>
        <w:t xml:space="preserve"> </w:t>
      </w:r>
      <w:r w:rsidRPr="00CC35F0">
        <w:rPr>
          <w:rFonts w:ascii="Times New Roman" w:eastAsia="Times New Roman" w:hAnsi="Times New Roman"/>
          <w:color w:val="000000"/>
          <w:sz w:val="24"/>
          <w:szCs w:val="24"/>
          <w:lang w:val="sr-Cyrl-CS"/>
        </w:rPr>
        <w:t xml:space="preserve">(,,Службени гласник РС”, број 58/11). </w:t>
      </w:r>
      <w:r w:rsidRPr="00CC35F0">
        <w:rPr>
          <w:rFonts w:ascii="Times New Roman" w:eastAsia="Times New Roman" w:hAnsi="Times New Roman"/>
          <w:sz w:val="24"/>
          <w:szCs w:val="24"/>
          <w:lang w:val="sr-Cyrl-CS"/>
        </w:rPr>
        <w:t>Такође</w:t>
      </w:r>
      <w:r w:rsidRPr="00CC35F0">
        <w:rPr>
          <w:rFonts w:ascii="Times New Roman" w:eastAsia="Times New Roman" w:hAnsi="Times New Roman"/>
          <w:color w:val="000000"/>
          <w:sz w:val="24"/>
          <w:szCs w:val="24"/>
          <w:lang w:val="sr-Cyrl-CS"/>
        </w:rPr>
        <w:t xml:space="preserve">, </w:t>
      </w:r>
      <w:r w:rsidR="00303232" w:rsidRPr="00CC35F0">
        <w:rPr>
          <w:rFonts w:ascii="Times New Roman" w:eastAsia="Times New Roman" w:hAnsi="Times New Roman"/>
          <w:color w:val="000000"/>
          <w:sz w:val="24"/>
          <w:szCs w:val="24"/>
          <w:lang w:val="sr-Cyrl-CS"/>
        </w:rPr>
        <w:t>донет</w:t>
      </w:r>
      <w:r w:rsidRPr="00CC35F0">
        <w:rPr>
          <w:rFonts w:ascii="Times New Roman" w:eastAsia="Times New Roman" w:hAnsi="Times New Roman"/>
          <w:color w:val="000000"/>
          <w:sz w:val="24"/>
          <w:szCs w:val="24"/>
          <w:lang w:val="sr-Cyrl-CS"/>
        </w:rPr>
        <w:t xml:space="preserve"> је Правилник о условима за издавање дозволе за мерење квалитета ваздуха и дозволе за мерење емисије из стационарних извора загађивања (,,Службени гласник РС”, број 1/12), којим су прописани детаљни услови за издавање дозвола за мерење квалитета ваздуха и дозвола за мерење емисија из стационарних извора загађења, као и услови које треба да испуњава правно лице чији је оснивач надлежни орган аутономне покрајине, односно надлежни орган јединице локалне самоуправе, у вршењу мониторинга квалитета ваздуха, праћења функционисања аутоматских станица, и приликом сакупљања и обраде података добијених контролом квалитета ваздуха у локалној мрежи.</w:t>
      </w:r>
    </w:p>
    <w:p w14:paraId="45068BFC" w14:textId="77777777" w:rsidR="00A0251B" w:rsidRPr="00CC35F0" w:rsidRDefault="008D6506">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Како су информације о квалитету ваздуха из државне мреже и из локалне мреже од кључног значаја за адекватну оцену квалитета амбијенталног ваздуха у</w:t>
      </w:r>
      <w:r w:rsidR="00303232" w:rsidRPr="00CC35F0">
        <w:rPr>
          <w:rFonts w:ascii="Times New Roman" w:eastAsia="Times New Roman" w:hAnsi="Times New Roman"/>
          <w:sz w:val="24"/>
          <w:szCs w:val="24"/>
          <w:lang w:val="sr-Cyrl-CS"/>
        </w:rPr>
        <w:t xml:space="preserve"> Републици</w:t>
      </w:r>
      <w:r w:rsidRPr="00CC35F0">
        <w:rPr>
          <w:rFonts w:ascii="Times New Roman" w:eastAsia="Times New Roman" w:hAnsi="Times New Roman"/>
          <w:sz w:val="24"/>
          <w:szCs w:val="24"/>
          <w:lang w:val="sr-Cyrl-CS"/>
        </w:rPr>
        <w:t xml:space="preserve"> Србији, </w:t>
      </w:r>
      <w:r w:rsidR="00303232" w:rsidRPr="00CC35F0">
        <w:rPr>
          <w:rFonts w:ascii="Times New Roman" w:eastAsia="Times New Roman" w:hAnsi="Times New Roman"/>
          <w:sz w:val="24"/>
          <w:szCs w:val="24"/>
          <w:lang w:val="sr-Cyrl-CS"/>
        </w:rPr>
        <w:t>донет</w:t>
      </w:r>
      <w:r w:rsidRPr="00CC35F0">
        <w:rPr>
          <w:rFonts w:ascii="Times New Roman" w:eastAsia="Times New Roman" w:hAnsi="Times New Roman"/>
          <w:sz w:val="24"/>
          <w:szCs w:val="24"/>
          <w:lang w:val="sr-Cyrl-CS"/>
        </w:rPr>
        <w:t xml:space="preserve"> је Правилник о начину размене информација о мерним местима у државној и локалној мрежи, техникама мерења, као и о начину размене података добијених праћењем квалитета ваздуха у државној и локалним мрежама (,,Службени гласник РС”, број 84/10), како би се омогућило извештавање у електронској форми, чиме се осигурава интегритет информационог система о квалитету ваздуха који је саставни део јединственог информационог система заштите животне средине. </w:t>
      </w:r>
    </w:p>
    <w:p w14:paraId="27350935" w14:textId="77777777" w:rsidR="00A0251B" w:rsidRPr="00CC35F0" w:rsidRDefault="00BD3226">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Такође, у </w:t>
      </w:r>
      <w:r w:rsidR="008D6506" w:rsidRPr="00CC35F0">
        <w:rPr>
          <w:rFonts w:ascii="Times New Roman" w:eastAsia="Times New Roman" w:hAnsi="Times New Roman"/>
          <w:sz w:val="24"/>
          <w:szCs w:val="24"/>
          <w:lang w:val="sr-Cyrl-CS"/>
        </w:rPr>
        <w:t xml:space="preserve">Годишњем извештају о напретку Европске комисије, за 2021. годину, у оквиру Поглавља 27 – </w:t>
      </w:r>
      <w:r w:rsidR="00303232" w:rsidRPr="00CC35F0">
        <w:rPr>
          <w:rFonts w:ascii="Times New Roman" w:eastAsia="Times New Roman" w:hAnsi="Times New Roman"/>
          <w:sz w:val="24"/>
          <w:szCs w:val="24"/>
          <w:lang w:val="sr-Cyrl-CS"/>
        </w:rPr>
        <w:t xml:space="preserve">Животна </w:t>
      </w:r>
      <w:r w:rsidR="008D6506" w:rsidRPr="00CC35F0">
        <w:rPr>
          <w:rFonts w:ascii="Times New Roman" w:eastAsia="Times New Roman" w:hAnsi="Times New Roman"/>
          <w:sz w:val="24"/>
          <w:szCs w:val="24"/>
          <w:lang w:val="sr-Cyrl-CS"/>
        </w:rPr>
        <w:t xml:space="preserve">средина и климатске промене, дата је као кључна препорука да Република Србија усвoји индекс ЕУ за квалитет ваздуха, како би се постигла усаглашеност са индексом који користи Европска Агенција за заштиту животне средине. </w:t>
      </w:r>
    </w:p>
    <w:p w14:paraId="38AEF4BF" w14:textId="77777777" w:rsidR="00BD3226" w:rsidRPr="00CC35F0" w:rsidRDefault="008D6506" w:rsidP="00891573">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Имајући у виду очекивани обим посла, недостатак особља и чињеницу да би капацитети морали постепено да се граде током времена,</w:t>
      </w:r>
      <w:r w:rsidR="00FE4860" w:rsidRPr="00CC35F0">
        <w:rPr>
          <w:rFonts w:ascii="Times New Roman" w:eastAsia="Times New Roman" w:hAnsi="Times New Roman"/>
          <w:sz w:val="24"/>
          <w:szCs w:val="24"/>
          <w:lang w:val="sr-Cyrl-CS"/>
        </w:rPr>
        <w:t xml:space="preserve"> од значаја је и</w:t>
      </w:r>
      <w:r w:rsidRPr="00CC35F0">
        <w:rPr>
          <w:rFonts w:ascii="Times New Roman" w:eastAsia="Times New Roman" w:hAnsi="Times New Roman"/>
          <w:sz w:val="24"/>
          <w:szCs w:val="24"/>
          <w:lang w:val="sr-Cyrl-CS"/>
        </w:rPr>
        <w:t xml:space="preserve"> подршка спољних стручњака</w:t>
      </w:r>
      <w:r w:rsidR="00FE4860" w:rsidRPr="00CC35F0">
        <w:rPr>
          <w:rFonts w:ascii="Times New Roman" w:eastAsia="Times New Roman" w:hAnsi="Times New Roman"/>
          <w:sz w:val="24"/>
          <w:szCs w:val="24"/>
          <w:lang w:val="sr-Cyrl-CS"/>
        </w:rPr>
        <w:t xml:space="preserve"> и </w:t>
      </w:r>
      <w:r w:rsidRPr="00CC35F0">
        <w:rPr>
          <w:rFonts w:ascii="Times New Roman" w:eastAsia="Times New Roman" w:hAnsi="Times New Roman"/>
          <w:sz w:val="24"/>
          <w:szCs w:val="24"/>
          <w:lang w:val="sr-Cyrl-CS"/>
        </w:rPr>
        <w:t>дугорочна партнерства са научним институтима који би пружили екстерну подршку</w:t>
      </w:r>
      <w:r w:rsidR="00FE4860" w:rsidRPr="00CC35F0">
        <w:rPr>
          <w:rFonts w:ascii="Times New Roman" w:eastAsia="Times New Roman" w:hAnsi="Times New Roman"/>
          <w:sz w:val="24"/>
          <w:szCs w:val="24"/>
          <w:lang w:val="sr-Cyrl-CS"/>
        </w:rPr>
        <w:t>.</w:t>
      </w:r>
    </w:p>
    <w:p w14:paraId="2AF00999" w14:textId="77777777" w:rsidR="00891573" w:rsidRPr="00CC35F0" w:rsidRDefault="00891573" w:rsidP="00891573">
      <w:pPr>
        <w:ind w:firstLine="720"/>
        <w:rPr>
          <w:rFonts w:ascii="Times New Roman" w:eastAsia="Times New Roman" w:hAnsi="Times New Roman"/>
          <w:sz w:val="24"/>
          <w:szCs w:val="24"/>
          <w:lang w:val="sr-Cyrl-CS"/>
        </w:rPr>
      </w:pPr>
    </w:p>
    <w:p w14:paraId="55ACEDA0" w14:textId="77777777" w:rsidR="00A0251B" w:rsidRPr="00CC35F0" w:rsidRDefault="008D6506" w:rsidP="00BD3226">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Регулатива у секторима који су повезани са квалитетом ваздуха</w:t>
      </w:r>
      <w:r w:rsidR="00432CB6" w:rsidRPr="00CC35F0">
        <w:rPr>
          <w:rFonts w:ascii="Times New Roman" w:eastAsia="Times New Roman" w:hAnsi="Times New Roman"/>
          <w:color w:val="000000"/>
          <w:sz w:val="24"/>
          <w:szCs w:val="24"/>
          <w:lang w:val="sr-Cyrl-CS"/>
        </w:rPr>
        <w:t>:</w:t>
      </w:r>
      <w:r w:rsidRPr="00CC35F0">
        <w:rPr>
          <w:rFonts w:ascii="Times New Roman" w:eastAsia="Times New Roman" w:hAnsi="Times New Roman"/>
          <w:color w:val="000000"/>
          <w:sz w:val="24"/>
          <w:szCs w:val="24"/>
          <w:lang w:val="sr-Cyrl-CS"/>
        </w:rPr>
        <w:t xml:space="preserve"> </w:t>
      </w:r>
    </w:p>
    <w:p w14:paraId="6624F20F" w14:textId="77777777" w:rsidR="00A0251B" w:rsidRPr="00CC35F0" w:rsidRDefault="00A0251B">
      <w:pPr>
        <w:pBdr>
          <w:top w:val="nil"/>
          <w:left w:val="nil"/>
          <w:bottom w:val="nil"/>
          <w:right w:val="nil"/>
          <w:between w:val="nil"/>
        </w:pBdr>
        <w:ind w:right="114"/>
        <w:rPr>
          <w:rFonts w:ascii="Times New Roman" w:eastAsia="Times New Roman" w:hAnsi="Times New Roman"/>
          <w:color w:val="000000"/>
          <w:sz w:val="24"/>
          <w:szCs w:val="24"/>
          <w:lang w:val="sr-Cyrl-CS"/>
        </w:rPr>
      </w:pPr>
    </w:p>
    <w:p w14:paraId="3267089C" w14:textId="77777777" w:rsidR="00432CB6" w:rsidRPr="00CC35F0" w:rsidRDefault="00432CB6">
      <w:pPr>
        <w:pBdr>
          <w:top w:val="nil"/>
          <w:left w:val="nil"/>
          <w:bottom w:val="nil"/>
          <w:right w:val="nil"/>
          <w:between w:val="nil"/>
        </w:pBdr>
        <w:ind w:right="114"/>
        <w:rPr>
          <w:rFonts w:ascii="Times New Roman" w:eastAsia="Times New Roman" w:hAnsi="Times New Roman"/>
          <w:color w:val="000000"/>
          <w:sz w:val="24"/>
          <w:szCs w:val="24"/>
          <w:lang w:val="sr-Cyrl-CS"/>
        </w:rPr>
      </w:pPr>
    </w:p>
    <w:p w14:paraId="35C21660" w14:textId="77777777" w:rsidR="00A0251B" w:rsidRPr="00CC35F0" w:rsidRDefault="008D6506" w:rsidP="00BD3226">
      <w:pPr>
        <w:pBdr>
          <w:top w:val="nil"/>
          <w:left w:val="nil"/>
          <w:bottom w:val="nil"/>
          <w:right w:val="nil"/>
          <w:between w:val="nil"/>
        </w:pBdr>
        <w:ind w:right="114" w:firstLine="720"/>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lastRenderedPageBreak/>
        <w:t xml:space="preserve">Сектори енергетике и производње </w:t>
      </w:r>
    </w:p>
    <w:p w14:paraId="71E12236" w14:textId="77777777" w:rsidR="00A0251B" w:rsidRPr="00CC35F0" w:rsidRDefault="008D6506" w:rsidP="00BD3226">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Када је реч о секторској регулативи и програмима који значајно доприносе општем циљу Закона о заштити ваздуха, треба нагласити да је Уредба о граничним вредностима емисија загађујућих материја у ваздух из постројења за сагоревање („Службени гласник РС”, бр. 6/16 и 67/21) усвојена на основу Закона о заштити ваздуха. Ова уредба прописује: граничне вредности за емисије загађујућих материја у ваздух из постројења за сагоревање; начине и рокове за подношење података; поступак за утврђивање укупних годишњих емисија из постројења за сагоревање. Одредбе ове уредбе примењују се на постројења за сагоревање, која могу бити велика, средња и мала. Емисије загађујућих материја из постројења за сагоревање утврђују се на основу мерења и/или израчунавања параметара емисија на основу резултата мерења.</w:t>
      </w:r>
    </w:p>
    <w:p w14:paraId="64EA5A71" w14:textId="77777777" w:rsidR="00A0251B" w:rsidRPr="00CC35F0" w:rsidRDefault="008D6506" w:rsidP="00BD3226">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На основу одредби ов</w:t>
      </w:r>
      <w:r w:rsidR="004455E8" w:rsidRPr="00CC35F0">
        <w:rPr>
          <w:rFonts w:ascii="Times New Roman" w:eastAsia="Times New Roman" w:hAnsi="Times New Roman"/>
          <w:color w:val="000000"/>
          <w:sz w:val="24"/>
          <w:szCs w:val="24"/>
          <w:lang w:val="sr-Cyrl-CS"/>
        </w:rPr>
        <w:t>е уредбе, Влада</w:t>
      </w:r>
      <w:r w:rsidRPr="00CC35F0">
        <w:rPr>
          <w:rFonts w:ascii="Times New Roman" w:eastAsia="Times New Roman" w:hAnsi="Times New Roman"/>
          <w:color w:val="000000"/>
          <w:sz w:val="24"/>
          <w:szCs w:val="24"/>
          <w:lang w:val="sr-Cyrl-CS"/>
        </w:rPr>
        <w:t xml:space="preserve"> је, у оквиру својих обавеза као уговорне стране Енергетске заједнице, усвојила NERP. Спровођење NERP-а ће до 2027. године довести до знатних смањења</w:t>
      </w:r>
      <w:r w:rsidRPr="00CC35F0">
        <w:rPr>
          <w:rFonts w:ascii="Times New Roman" w:eastAsia="Times New Roman" w:hAnsi="Times New Roman"/>
          <w:color w:val="000000"/>
          <w:sz w:val="24"/>
          <w:szCs w:val="24"/>
          <w:vertAlign w:val="superscript"/>
          <w:lang w:val="sr-Cyrl-CS"/>
        </w:rPr>
        <w:footnoteReference w:id="4"/>
      </w:r>
      <w:r w:rsidRPr="00CC35F0">
        <w:rPr>
          <w:rFonts w:ascii="Times New Roman" w:eastAsia="Times New Roman" w:hAnsi="Times New Roman"/>
          <w:color w:val="000000"/>
          <w:sz w:val="24"/>
          <w:szCs w:val="24"/>
          <w:lang w:val="sr-Cyrl-CS"/>
        </w:rPr>
        <w:t xml:space="preserve"> загађујућих материја у ваздуху из старих великих постројења за сагоревање</w:t>
      </w:r>
      <w:r w:rsidRPr="00CC35F0">
        <w:rPr>
          <w:rFonts w:ascii="Times New Roman" w:eastAsia="Times New Roman" w:hAnsi="Times New Roman"/>
          <w:color w:val="000000"/>
          <w:sz w:val="24"/>
          <w:szCs w:val="24"/>
          <w:vertAlign w:val="superscript"/>
          <w:lang w:val="sr-Cyrl-CS"/>
        </w:rPr>
        <w:footnoteReference w:id="5"/>
      </w:r>
      <w:r w:rsidRPr="00CC35F0">
        <w:rPr>
          <w:rFonts w:ascii="Times New Roman" w:eastAsia="Times New Roman" w:hAnsi="Times New Roman"/>
          <w:color w:val="000000"/>
          <w:sz w:val="24"/>
          <w:szCs w:val="24"/>
          <w:lang w:val="sr-Cyrl-CS"/>
        </w:rPr>
        <w:t>, јер ће сва стара велика постројења за сагоревање 2027. године бити у складу са прописаним граничним вредностима емисије за загађујуће материје у ваздуху.</w:t>
      </w:r>
    </w:p>
    <w:p w14:paraId="0D9C7F64" w14:textId="77777777" w:rsidR="00A0251B" w:rsidRPr="00CC35F0" w:rsidRDefault="008D6506" w:rsidP="00BD3226">
      <w:pPr>
        <w:pBdr>
          <w:top w:val="nil"/>
          <w:left w:val="nil"/>
          <w:bottom w:val="nil"/>
          <w:right w:val="nil"/>
          <w:between w:val="nil"/>
        </w:pBdr>
        <w:ind w:right="114" w:firstLine="720"/>
        <w:rPr>
          <w:rFonts w:ascii="Times New Roman" w:eastAsia="Times New Roman" w:hAnsi="Times New Roman"/>
          <w:color w:val="000000"/>
          <w:sz w:val="24"/>
          <w:szCs w:val="24"/>
          <w:lang w:val="sr-Cyrl-CS"/>
        </w:rPr>
      </w:pPr>
      <w:bookmarkStart w:id="9" w:name="_heading=h.3rdcrjn" w:colFirst="0" w:colLast="0"/>
      <w:bookmarkEnd w:id="9"/>
      <w:r w:rsidRPr="00CC35F0">
        <w:rPr>
          <w:rFonts w:ascii="Times New Roman" w:eastAsia="Times New Roman" w:hAnsi="Times New Roman"/>
          <w:color w:val="000000"/>
          <w:sz w:val="24"/>
          <w:szCs w:val="24"/>
          <w:lang w:val="sr-Cyrl-CS"/>
        </w:rPr>
        <w:t>Поред тога, Закон о интегрисаном спречавању и контр</w:t>
      </w:r>
      <w:r w:rsidR="00306467" w:rsidRPr="00CC35F0">
        <w:rPr>
          <w:rFonts w:ascii="Times New Roman" w:eastAsia="Times New Roman" w:hAnsi="Times New Roman"/>
          <w:color w:val="000000"/>
          <w:sz w:val="24"/>
          <w:szCs w:val="24"/>
          <w:lang w:val="sr-Cyrl-CS"/>
        </w:rPr>
        <w:t>оли загађивања животне средине</w:t>
      </w:r>
      <w:r w:rsidRPr="00CC35F0">
        <w:rPr>
          <w:rFonts w:ascii="Times New Roman" w:eastAsia="Times New Roman" w:hAnsi="Times New Roman"/>
          <w:color w:val="000000"/>
          <w:sz w:val="24"/>
          <w:szCs w:val="24"/>
          <w:lang w:val="sr-Cyrl-CS"/>
        </w:rPr>
        <w:t xml:space="preserve"> („Службени гласник РС”, бр. 135/04, 25/15 и 109/21), донесен у децембру 2004, измењен и допуњен у </w:t>
      </w:r>
      <w:r w:rsidR="00432CB6" w:rsidRPr="00CC35F0">
        <w:rPr>
          <w:rFonts w:ascii="Times New Roman" w:eastAsia="Times New Roman" w:hAnsi="Times New Roman"/>
          <w:color w:val="000000"/>
          <w:sz w:val="24"/>
          <w:szCs w:val="24"/>
          <w:lang w:val="sr-Cyrl-CS"/>
        </w:rPr>
        <w:t>марту</w:t>
      </w:r>
      <w:r w:rsidRPr="00CC35F0">
        <w:rPr>
          <w:rFonts w:ascii="Times New Roman" w:eastAsia="Times New Roman" w:hAnsi="Times New Roman"/>
          <w:color w:val="000000"/>
          <w:sz w:val="24"/>
          <w:szCs w:val="24"/>
          <w:lang w:val="sr-Cyrl-CS"/>
        </w:rPr>
        <w:t xml:space="preserve"> 2015. и новембру 2021. године утврђује услове и поступке за издавање интегрисаних дозвола за постројења и активности које могу имати негативне утицаје на здравље људи, животну средину и материјална добра, затим дефинише врсте активности и постројења, надзор и друга питања од значаја за спречавање и контролу загађивања животне средине. Према прелиминарној листи постојећих постројења, израђеној на основу Уредбе о врстама активности и постројења за које се издаје интегрисана дозвола („Службени гласник РС”, број 84/05), у Републици Србији послује 227 постројења која подлежу овом закону. Међутим, до краја 2020. године издато је свега 39 интегрисаних дозвола. Законом о интегрисаном спречавању и контроли загађивања животне средине је дефинисана подела надлежности за издавање интегрисаних дозвола (национални, покрајински и локални ниво).</w:t>
      </w:r>
    </w:p>
    <w:p w14:paraId="47CFC6BE" w14:textId="77777777" w:rsidR="00A0251B" w:rsidRPr="00CC35F0" w:rsidRDefault="008D6506" w:rsidP="00BD3226">
      <w:pPr>
        <w:pBdr>
          <w:top w:val="nil"/>
          <w:left w:val="nil"/>
          <w:bottom w:val="nil"/>
          <w:right w:val="nil"/>
          <w:between w:val="nil"/>
        </w:pBdr>
        <w:ind w:right="114" w:firstLine="720"/>
        <w:rPr>
          <w:rFonts w:ascii="Times New Roman" w:eastAsia="Times New Roman" w:hAnsi="Times New Roman"/>
          <w:color w:val="000000"/>
          <w:sz w:val="24"/>
          <w:szCs w:val="24"/>
          <w:lang w:val="sr-Cyrl-CS"/>
        </w:rPr>
      </w:pPr>
      <w:bookmarkStart w:id="10" w:name="_heading=h.26in1rg" w:colFirst="0" w:colLast="0"/>
      <w:bookmarkEnd w:id="10"/>
      <w:r w:rsidRPr="00CC35F0">
        <w:rPr>
          <w:rFonts w:ascii="Times New Roman" w:eastAsia="Times New Roman" w:hAnsi="Times New Roman"/>
          <w:color w:val="000000"/>
          <w:sz w:val="24"/>
          <w:szCs w:val="24"/>
          <w:lang w:val="sr-Cyrl-CS"/>
        </w:rPr>
        <w:t>На основу овог закона, донесен је низ подзаконских аката, између осталих, Уредба о критеријумима за одређивање најбољих доступних техника, за примену стандарда квалитета, као и за одређивање граничних вредности емисија у интегрисаној дозволи („Службени гласник РС”, број  84/05)</w:t>
      </w:r>
      <w:r w:rsidRPr="00CC35F0">
        <w:rPr>
          <w:rFonts w:ascii="Times New Roman" w:eastAsia="Times New Roman" w:hAnsi="Times New Roman"/>
          <w:color w:val="000000"/>
          <w:sz w:val="24"/>
          <w:szCs w:val="24"/>
          <w:vertAlign w:val="superscript"/>
          <w:lang w:val="sr-Cyrl-CS"/>
        </w:rPr>
        <w:footnoteReference w:id="6"/>
      </w:r>
      <w:r w:rsidRPr="00CC35F0">
        <w:rPr>
          <w:rFonts w:ascii="Times New Roman" w:eastAsia="Times New Roman" w:hAnsi="Times New Roman"/>
          <w:color w:val="000000"/>
          <w:sz w:val="24"/>
          <w:szCs w:val="24"/>
          <w:lang w:val="sr-Cyrl-CS"/>
        </w:rPr>
        <w:t xml:space="preserve"> и Уредба о садржини програма мера прилагођавања рада постојећег постројења или активности прописаним условима („Службени гласник РС”, број 84/05), које дефинишу: мере за прилагођавање рада постројења условима прописаним</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у Закону о интегрисаном спречавању и контроли загађивања животне средине, динамику спровођења прописаних мера са дефинисаним временом почетка и завршетка спровођења мера, очекиване резултате, мониторинг (контролу) мера, очекиване трошкове мера.</w:t>
      </w:r>
    </w:p>
    <w:p w14:paraId="09082F55" w14:textId="77777777" w:rsidR="00A0251B" w:rsidRPr="00CC35F0" w:rsidRDefault="008D6506" w:rsidP="00BD3226">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xml:space="preserve">Поред напред наведене секундарне регулативе, донети су и други подзаконски </w:t>
      </w:r>
      <w:r w:rsidR="001D7260" w:rsidRPr="00CC35F0">
        <w:rPr>
          <w:rFonts w:ascii="Times New Roman" w:eastAsia="Times New Roman" w:hAnsi="Times New Roman"/>
          <w:color w:val="000000"/>
          <w:sz w:val="24"/>
          <w:szCs w:val="24"/>
          <w:lang w:val="sr-Cyrl-CS"/>
        </w:rPr>
        <w:t xml:space="preserve">акти, између осталих, Уредба о </w:t>
      </w:r>
      <w:r w:rsidRPr="00CC35F0">
        <w:rPr>
          <w:rFonts w:ascii="Times New Roman" w:eastAsia="Times New Roman" w:hAnsi="Times New Roman"/>
          <w:color w:val="000000"/>
          <w:sz w:val="24"/>
          <w:szCs w:val="24"/>
          <w:lang w:val="sr-Cyrl-CS"/>
        </w:rPr>
        <w:t>врстама активности и постројења за које с</w:t>
      </w:r>
      <w:r w:rsidR="0062600B" w:rsidRPr="00CC35F0">
        <w:rPr>
          <w:rFonts w:ascii="Times New Roman" w:eastAsia="Times New Roman" w:hAnsi="Times New Roman"/>
          <w:color w:val="000000"/>
          <w:sz w:val="24"/>
          <w:szCs w:val="24"/>
          <w:lang w:val="sr-Cyrl-CS"/>
        </w:rPr>
        <w:t>е издаје интегрисана дозвола</w:t>
      </w:r>
      <w:r w:rsidRPr="00CC35F0">
        <w:rPr>
          <w:rFonts w:ascii="Times New Roman" w:eastAsia="Times New Roman" w:hAnsi="Times New Roman"/>
          <w:color w:val="000000"/>
          <w:sz w:val="24"/>
          <w:szCs w:val="24"/>
          <w:lang w:val="sr-Cyrl-CS"/>
        </w:rPr>
        <w:t>, Правилник о садржини, изгледу и начину попуњавања захтева за издавање интегрисане дозволе („Службени гласник РС”, бр. 30/06</w:t>
      </w:r>
      <w:r w:rsidR="0062600B" w:rsidRPr="00CC35F0">
        <w:rPr>
          <w:rFonts w:ascii="Times New Roman" w:eastAsia="Times New Roman" w:hAnsi="Times New Roman"/>
          <w:color w:val="333333"/>
          <w:sz w:val="24"/>
          <w:szCs w:val="24"/>
          <w:highlight w:val="white"/>
          <w:lang w:val="sr-Cyrl-CS"/>
        </w:rPr>
        <w:t xml:space="preserve">, 32/16 и </w:t>
      </w:r>
      <w:r w:rsidRPr="00CC35F0">
        <w:rPr>
          <w:rFonts w:ascii="Times New Roman" w:eastAsia="Times New Roman" w:hAnsi="Times New Roman"/>
          <w:color w:val="333333"/>
          <w:sz w:val="24"/>
          <w:szCs w:val="24"/>
          <w:highlight w:val="white"/>
          <w:lang w:val="sr-Cyrl-CS"/>
        </w:rPr>
        <w:t>44/18 - </w:t>
      </w:r>
      <w:r w:rsidRPr="00CC35F0">
        <w:rPr>
          <w:rFonts w:ascii="Times New Roman" w:eastAsia="Times New Roman" w:hAnsi="Times New Roman"/>
          <w:color w:val="000000"/>
          <w:sz w:val="24"/>
          <w:szCs w:val="24"/>
          <w:highlight w:val="white"/>
          <w:lang w:val="sr-Cyrl-CS"/>
        </w:rPr>
        <w:t>др. закон</w:t>
      </w:r>
      <w:r w:rsidRPr="00CC35F0">
        <w:rPr>
          <w:rFonts w:ascii="Times New Roman" w:eastAsia="Times New Roman" w:hAnsi="Times New Roman"/>
          <w:color w:val="000000"/>
          <w:sz w:val="24"/>
          <w:szCs w:val="24"/>
          <w:lang w:val="sr-Cyrl-CS"/>
        </w:rPr>
        <w:t>) и Правилник о садржини и изгледу интегрисане дозволе („Службени гласник РС”, број 30/06).</w:t>
      </w:r>
    </w:p>
    <w:p w14:paraId="1A0C8E39" w14:textId="77777777" w:rsidR="00A0251B" w:rsidRPr="00CC35F0" w:rsidRDefault="008D6506" w:rsidP="00D968A0">
      <w:pPr>
        <w:pBdr>
          <w:top w:val="nil"/>
          <w:left w:val="nil"/>
          <w:bottom w:val="nil"/>
          <w:right w:val="nil"/>
          <w:between w:val="nil"/>
        </w:pBdr>
        <w:ind w:right="114" w:firstLine="720"/>
        <w:rPr>
          <w:rFonts w:ascii="Times New Roman" w:eastAsia="Times New Roman" w:hAnsi="Times New Roman"/>
          <w:color w:val="000000"/>
          <w:sz w:val="24"/>
          <w:szCs w:val="24"/>
          <w:lang w:val="sr-Cyrl-CS"/>
        </w:rPr>
      </w:pPr>
      <w:bookmarkStart w:id="11" w:name="_heading=h.lnxbz9" w:colFirst="0" w:colLast="0"/>
      <w:bookmarkEnd w:id="11"/>
      <w:r w:rsidRPr="00CC35F0">
        <w:rPr>
          <w:rFonts w:ascii="Times New Roman" w:eastAsia="Times New Roman" w:hAnsi="Times New Roman"/>
          <w:color w:val="000000"/>
          <w:sz w:val="24"/>
          <w:szCs w:val="24"/>
          <w:lang w:val="sr-Cyrl-CS"/>
        </w:rPr>
        <w:t>Поред тога, Уредба о граничним вредностима емисија загађујућих материја у ваздух из стационарних извора загађивања,</w:t>
      </w:r>
      <w:r w:rsidRPr="00CC35F0">
        <w:rPr>
          <w:rFonts w:ascii="Times New Roman" w:eastAsia="Times New Roman" w:hAnsi="Times New Roman"/>
          <w:color w:val="000000"/>
          <w:sz w:val="24"/>
          <w:szCs w:val="24"/>
          <w:vertAlign w:val="superscript"/>
          <w:lang w:val="sr-Cyrl-CS"/>
        </w:rPr>
        <w:footnoteReference w:id="7"/>
      </w:r>
      <w:r w:rsidRPr="00CC35F0">
        <w:rPr>
          <w:rFonts w:ascii="Times New Roman" w:eastAsia="Times New Roman" w:hAnsi="Times New Roman"/>
          <w:color w:val="000000"/>
          <w:sz w:val="24"/>
          <w:szCs w:val="24"/>
          <w:lang w:val="sr-Cyrl-CS"/>
        </w:rPr>
        <w:t xml:space="preserve"> осим постројења за сагорева</w:t>
      </w:r>
      <w:r w:rsidR="00BD3226" w:rsidRPr="00CC35F0">
        <w:rPr>
          <w:rFonts w:ascii="Times New Roman" w:eastAsia="Times New Roman" w:hAnsi="Times New Roman"/>
          <w:color w:val="000000"/>
          <w:sz w:val="24"/>
          <w:szCs w:val="24"/>
          <w:lang w:val="sr-Cyrl-CS"/>
        </w:rPr>
        <w:t xml:space="preserve">ње („Службени гласник РС”, бр. </w:t>
      </w:r>
      <w:r w:rsidRPr="00CC35F0">
        <w:rPr>
          <w:rFonts w:ascii="Times New Roman" w:eastAsia="Times New Roman" w:hAnsi="Times New Roman"/>
          <w:color w:val="000000"/>
          <w:sz w:val="24"/>
          <w:szCs w:val="24"/>
          <w:lang w:val="sr-Cyrl-CS"/>
        </w:rPr>
        <w:t>111/15 и 83/21)</w:t>
      </w:r>
      <w:r w:rsidRPr="00CC35F0">
        <w:rPr>
          <w:rFonts w:ascii="Times New Roman" w:eastAsia="Times New Roman" w:hAnsi="Times New Roman"/>
          <w:color w:val="000000"/>
          <w:sz w:val="24"/>
          <w:szCs w:val="24"/>
          <w:vertAlign w:val="superscript"/>
          <w:lang w:val="sr-Cyrl-CS"/>
        </w:rPr>
        <w:footnoteReference w:id="8"/>
      </w:r>
      <w:r w:rsidRPr="00CC35F0">
        <w:rPr>
          <w:rFonts w:ascii="Times New Roman" w:eastAsia="Times New Roman" w:hAnsi="Times New Roman"/>
          <w:color w:val="000000"/>
          <w:sz w:val="24"/>
          <w:szCs w:val="24"/>
          <w:lang w:val="sr-Cyrl-CS"/>
        </w:rPr>
        <w:t xml:space="preserve"> прописује граничне вредности емисија загађујућих материја у ваздух из стационарних извора загађивања, осим постројења за сагоревање; садржај извештаја о билансу емисија и начин достављања података о емисијама за потребе информационог система, као и рокове за подношење података. Мерења емисија загађујућих материја у ваздух из стационарних извора загађивања врше се у складу са одредбама прописа којим се уређује мерење емисија загађујућих материја у ваздух из стационарних извора загађивања. На нове и постојеће стационарне изворе загађивања, примењиваће се граничне вредности емисије од дана ступања на снагу ове уредбе; емисије из постојећих стационарних извора морају бити у складу са граничним вредностима емисија за нове стационарне изворе загађивања у периоду од пет година од дана ступања на снагу ове уредбе (од 6. јануара 2016. године). На постојеће стационарне изворе загађивања који подлежу обавези прибављања интегрисане дозволе, примењују се рокови за постизање граничних вредности загађујућих материја у ваздуху до издавања интегрисане дозволе.</w:t>
      </w:r>
    </w:p>
    <w:p w14:paraId="6EB8D8FA" w14:textId="77777777" w:rsidR="00A0251B" w:rsidRPr="00CC35F0" w:rsidRDefault="00A0251B">
      <w:pPr>
        <w:pBdr>
          <w:top w:val="nil"/>
          <w:left w:val="nil"/>
          <w:bottom w:val="nil"/>
          <w:right w:val="nil"/>
          <w:between w:val="nil"/>
        </w:pBdr>
        <w:ind w:right="114"/>
        <w:rPr>
          <w:rFonts w:ascii="Times New Roman" w:eastAsia="Times New Roman" w:hAnsi="Times New Roman"/>
          <w:color w:val="000000"/>
          <w:sz w:val="24"/>
          <w:szCs w:val="24"/>
          <w:lang w:val="sr-Cyrl-CS"/>
        </w:rPr>
      </w:pPr>
    </w:p>
    <w:p w14:paraId="4468D878" w14:textId="77777777" w:rsidR="00A0251B" w:rsidRPr="00CC35F0" w:rsidRDefault="008D6506" w:rsidP="00D968A0">
      <w:pPr>
        <w:pBdr>
          <w:top w:val="nil"/>
          <w:left w:val="nil"/>
          <w:bottom w:val="nil"/>
          <w:right w:val="nil"/>
          <w:between w:val="nil"/>
        </w:pBdr>
        <w:ind w:right="114" w:firstLine="720"/>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Сектор саобраћаја</w:t>
      </w:r>
    </w:p>
    <w:p w14:paraId="054551EF" w14:textId="77777777" w:rsidR="00A0251B" w:rsidRPr="00CC35F0" w:rsidRDefault="008D6506" w:rsidP="00D968A0">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Стандарди за област моторних возила уопште у Републици Србији прописани су Правилником о подели моторних и прикључних возила и техничким условима за возила у саобраћају на путевима („Службени гласник РС”, бр. 40/12, 102/12, 19/13, 41/13, 102/14, 41/15, 78/15, 111/1</w:t>
      </w:r>
      <w:r w:rsidR="00C60056" w:rsidRPr="00CC35F0">
        <w:rPr>
          <w:rFonts w:ascii="Times New Roman" w:eastAsia="Times New Roman" w:hAnsi="Times New Roman"/>
          <w:color w:val="000000"/>
          <w:sz w:val="24"/>
          <w:szCs w:val="24"/>
          <w:lang w:val="sr-Cyrl-CS"/>
        </w:rPr>
        <w:t>5, 14/16, 108/16, 7/</w:t>
      </w:r>
      <w:r w:rsidR="0062600B" w:rsidRPr="00CC35F0">
        <w:rPr>
          <w:rFonts w:ascii="Times New Roman" w:eastAsia="Times New Roman" w:hAnsi="Times New Roman"/>
          <w:color w:val="000000"/>
          <w:sz w:val="24"/>
          <w:szCs w:val="24"/>
          <w:lang w:val="sr-Cyrl-CS"/>
        </w:rPr>
        <w:t>17 - исправка</w:t>
      </w:r>
      <w:r w:rsidRPr="00CC35F0">
        <w:rPr>
          <w:rFonts w:ascii="Times New Roman" w:eastAsia="Times New Roman" w:hAnsi="Times New Roman"/>
          <w:color w:val="000000"/>
          <w:sz w:val="24"/>
          <w:szCs w:val="24"/>
          <w:lang w:val="sr-Cyrl-CS"/>
        </w:rPr>
        <w:t>, 63/17, 45/18, 70/18, 95/18, 104/18, 93/19, 2/20 - испр</w:t>
      </w:r>
      <w:r w:rsidR="0062600B" w:rsidRPr="00CC35F0">
        <w:rPr>
          <w:rFonts w:ascii="Times New Roman" w:eastAsia="Times New Roman" w:hAnsi="Times New Roman"/>
          <w:color w:val="000000"/>
          <w:sz w:val="24"/>
          <w:szCs w:val="24"/>
          <w:lang w:val="sr-Cyrl-CS"/>
        </w:rPr>
        <w:t>авка</w:t>
      </w:r>
      <w:r w:rsidRPr="00CC35F0">
        <w:rPr>
          <w:rFonts w:ascii="Times New Roman" w:eastAsia="Times New Roman" w:hAnsi="Times New Roman"/>
          <w:color w:val="000000"/>
          <w:sz w:val="24"/>
          <w:szCs w:val="24"/>
          <w:lang w:val="sr-Cyrl-CS"/>
        </w:rPr>
        <w:t xml:space="preserve">, 64/21, 129/21 - др. правилник и 110/22 - др. правилник). </w:t>
      </w:r>
      <w:r w:rsidRPr="00CC35F0">
        <w:rPr>
          <w:rFonts w:ascii="Times New Roman" w:eastAsia="Times New Roman" w:hAnsi="Times New Roman"/>
          <w:sz w:val="24"/>
          <w:szCs w:val="24"/>
          <w:lang w:val="sr-Cyrl-CS"/>
        </w:rPr>
        <w:t>Наведени правилник</w:t>
      </w:r>
      <w:r w:rsidRPr="00CC35F0">
        <w:rPr>
          <w:rFonts w:ascii="Times New Roman" w:eastAsia="Times New Roman" w:hAnsi="Times New Roman"/>
          <w:color w:val="000000"/>
          <w:sz w:val="24"/>
          <w:szCs w:val="24"/>
          <w:lang w:val="sr-Cyrl-CS"/>
        </w:rPr>
        <w:t xml:space="preserve"> прописује различите захтеве за возила произведена у земљи и увезена нова возила у погледу издувних гасова, јер се за аутобусе и теретна возила</w:t>
      </w:r>
      <w:r w:rsidRPr="00CC35F0">
        <w:rPr>
          <w:rFonts w:ascii="Times New Roman" w:eastAsia="Times New Roman" w:hAnsi="Times New Roman"/>
          <w:color w:val="000000"/>
          <w:sz w:val="24"/>
          <w:szCs w:val="24"/>
          <w:vertAlign w:val="superscript"/>
          <w:lang w:val="sr-Cyrl-CS"/>
        </w:rPr>
        <w:footnoteReference w:id="9"/>
      </w:r>
      <w:r w:rsidRPr="00CC35F0">
        <w:rPr>
          <w:rFonts w:ascii="Times New Roman" w:eastAsia="Times New Roman" w:hAnsi="Times New Roman"/>
          <w:color w:val="000000"/>
          <w:sz w:val="24"/>
          <w:szCs w:val="24"/>
          <w:lang w:val="sr-Cyrl-CS"/>
        </w:rPr>
        <w:t xml:space="preserve"> произведена у Републици Србији захтева најмање стандард EURO 4</w:t>
      </w:r>
      <w:r w:rsidRPr="00CC35F0">
        <w:rPr>
          <w:rFonts w:ascii="Times New Roman" w:eastAsia="Times New Roman" w:hAnsi="Times New Roman"/>
          <w:sz w:val="24"/>
          <w:szCs w:val="24"/>
          <w:vertAlign w:val="superscript"/>
          <w:lang w:val="sr-Cyrl-CS"/>
        </w:rPr>
        <w:footnoteReference w:id="10"/>
      </w:r>
      <w:r w:rsidRPr="00CC35F0">
        <w:rPr>
          <w:rFonts w:ascii="Times New Roman" w:eastAsia="Times New Roman" w:hAnsi="Times New Roman"/>
          <w:color w:val="000000"/>
          <w:sz w:val="24"/>
          <w:szCs w:val="24"/>
          <w:lang w:val="sr-Cyrl-CS"/>
        </w:rPr>
        <w:t>, односно најмање EURO 5 ако се аутобуси склапају у Републици Србији. За увезена половна возила захтева се најмање стандард EURO 3</w:t>
      </w:r>
      <w:r w:rsidRPr="00CC35F0">
        <w:rPr>
          <w:rFonts w:ascii="Times New Roman" w:eastAsia="Times New Roman" w:hAnsi="Times New Roman"/>
          <w:color w:val="000000"/>
          <w:sz w:val="24"/>
          <w:szCs w:val="24"/>
          <w:vertAlign w:val="superscript"/>
          <w:lang w:val="sr-Cyrl-CS"/>
        </w:rPr>
        <w:footnoteReference w:id="11"/>
      </w:r>
      <w:r w:rsidRPr="00CC35F0">
        <w:rPr>
          <w:rFonts w:ascii="Times New Roman" w:eastAsia="Times New Roman" w:hAnsi="Times New Roman"/>
          <w:color w:val="000000"/>
          <w:sz w:val="24"/>
          <w:szCs w:val="24"/>
          <w:lang w:val="sr-Cyrl-CS"/>
        </w:rPr>
        <w:t>.</w:t>
      </w:r>
    </w:p>
    <w:p w14:paraId="4F64E53C" w14:textId="77777777" w:rsidR="00A0251B" w:rsidRPr="00CC35F0" w:rsidRDefault="00A0251B">
      <w:pPr>
        <w:pBdr>
          <w:top w:val="nil"/>
          <w:left w:val="nil"/>
          <w:bottom w:val="nil"/>
          <w:right w:val="nil"/>
          <w:between w:val="nil"/>
        </w:pBdr>
        <w:ind w:right="114"/>
        <w:rPr>
          <w:rFonts w:ascii="Times New Roman" w:eastAsia="Times New Roman" w:hAnsi="Times New Roman"/>
          <w:color w:val="000000"/>
          <w:sz w:val="24"/>
          <w:szCs w:val="24"/>
          <w:lang w:val="sr-Cyrl-CS"/>
        </w:rPr>
      </w:pPr>
    </w:p>
    <w:p w14:paraId="6CBB1D77" w14:textId="77777777" w:rsidR="00A0251B" w:rsidRPr="00CC35F0" w:rsidRDefault="008D6506" w:rsidP="00530B2A">
      <w:pPr>
        <w:pBdr>
          <w:top w:val="nil"/>
          <w:left w:val="nil"/>
          <w:bottom w:val="nil"/>
          <w:right w:val="nil"/>
          <w:between w:val="nil"/>
        </w:pBdr>
        <w:ind w:right="114" w:firstLine="720"/>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Домаћинства </w:t>
      </w:r>
    </w:p>
    <w:p w14:paraId="616642EF" w14:textId="77777777" w:rsidR="00A0251B" w:rsidRPr="00CC35F0" w:rsidRDefault="008D6506" w:rsidP="00530B2A">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Граничне вредности емисије из домаћинстава прописан</w:t>
      </w:r>
      <w:r w:rsidRPr="00CC35F0">
        <w:rPr>
          <w:rFonts w:ascii="Times New Roman" w:eastAsia="Times New Roman" w:hAnsi="Times New Roman"/>
          <w:sz w:val="24"/>
          <w:szCs w:val="24"/>
          <w:lang w:val="sr-Cyrl-CS"/>
        </w:rPr>
        <w:t>е</w:t>
      </w:r>
      <w:r w:rsidRPr="00CC35F0">
        <w:rPr>
          <w:rFonts w:ascii="Times New Roman" w:eastAsia="Times New Roman" w:hAnsi="Times New Roman"/>
          <w:color w:val="000000"/>
          <w:sz w:val="24"/>
          <w:szCs w:val="24"/>
          <w:lang w:val="sr-Cyrl-CS"/>
        </w:rPr>
        <w:t xml:space="preserve"> су Уредбом о граничним вредностима емисије загађујућих материја у ваздух из п</w:t>
      </w:r>
      <w:r w:rsidR="00764A36" w:rsidRPr="00CC35F0">
        <w:rPr>
          <w:rFonts w:ascii="Times New Roman" w:eastAsia="Times New Roman" w:hAnsi="Times New Roman"/>
          <w:color w:val="000000"/>
          <w:sz w:val="24"/>
          <w:szCs w:val="24"/>
          <w:lang w:val="sr-Cyrl-CS"/>
        </w:rPr>
        <w:t>остројења за сагоревање</w:t>
      </w:r>
      <w:r w:rsidRPr="00CC35F0">
        <w:rPr>
          <w:rFonts w:ascii="Times New Roman" w:eastAsia="Times New Roman" w:hAnsi="Times New Roman"/>
          <w:color w:val="000000"/>
          <w:sz w:val="24"/>
          <w:szCs w:val="24"/>
          <w:lang w:val="sr-Cyrl-CS"/>
        </w:rPr>
        <w:t>, која је значајна за мала постројења за сагоревање, односно постројења која производе топлотну енергију за грејање домаћинстава и санитарне воде за домаћинства, а чији је номинални термални инпут мањи од 1 MW</w:t>
      </w:r>
      <w:r w:rsidRPr="00CC35F0">
        <w:rPr>
          <w:rFonts w:ascii="Times New Roman" w:eastAsia="Times New Roman" w:hAnsi="Times New Roman"/>
          <w:color w:val="000000"/>
          <w:sz w:val="24"/>
          <w:szCs w:val="24"/>
          <w:vertAlign w:val="subscript"/>
          <w:lang w:val="sr-Cyrl-CS"/>
        </w:rPr>
        <w:t>th</w:t>
      </w:r>
      <w:r w:rsidRPr="00CC35F0">
        <w:rPr>
          <w:rFonts w:ascii="Times New Roman" w:eastAsia="Times New Roman" w:hAnsi="Times New Roman"/>
          <w:color w:val="000000"/>
          <w:sz w:val="24"/>
          <w:szCs w:val="24"/>
          <w:lang w:val="sr-Cyrl-CS"/>
        </w:rPr>
        <w:t xml:space="preserve"> ако користе чврсто гориво, односно 5 MW</w:t>
      </w:r>
      <w:r w:rsidRPr="00CC35F0">
        <w:rPr>
          <w:rFonts w:ascii="Times New Roman" w:eastAsia="Times New Roman" w:hAnsi="Times New Roman"/>
          <w:color w:val="000000"/>
          <w:sz w:val="24"/>
          <w:szCs w:val="24"/>
          <w:vertAlign w:val="subscript"/>
          <w:lang w:val="sr-Cyrl-CS"/>
        </w:rPr>
        <w:t>th</w:t>
      </w:r>
      <w:r w:rsidRPr="00CC35F0">
        <w:rPr>
          <w:rFonts w:ascii="Times New Roman" w:eastAsia="Times New Roman" w:hAnsi="Times New Roman"/>
          <w:color w:val="000000"/>
          <w:sz w:val="24"/>
          <w:szCs w:val="24"/>
          <w:lang w:val="sr-Cyrl-CS"/>
        </w:rPr>
        <w:t xml:space="preserve"> ако користе течно гориво и 10 MW</w:t>
      </w:r>
      <w:r w:rsidRPr="00CC35F0">
        <w:rPr>
          <w:rFonts w:ascii="Times New Roman" w:eastAsia="Times New Roman" w:hAnsi="Times New Roman"/>
          <w:color w:val="000000"/>
          <w:sz w:val="24"/>
          <w:szCs w:val="24"/>
          <w:vertAlign w:val="subscript"/>
          <w:lang w:val="sr-Cyrl-CS"/>
        </w:rPr>
        <w:t>th</w:t>
      </w:r>
      <w:r w:rsidRPr="00CC35F0">
        <w:rPr>
          <w:rFonts w:ascii="Times New Roman" w:eastAsia="Times New Roman" w:hAnsi="Times New Roman"/>
          <w:color w:val="000000"/>
          <w:sz w:val="24"/>
          <w:szCs w:val="24"/>
          <w:lang w:val="sr-Cyrl-CS"/>
        </w:rPr>
        <w:t xml:space="preserve"> ако користе гас. Међутим, треба нагласити да оперативни мониторинг емисија загађујућих материја у ваздух из малих постројења за сагоревање није нити дефинисан, нити успостављен.</w:t>
      </w:r>
    </w:p>
    <w:p w14:paraId="2B22A976" w14:textId="77777777" w:rsidR="00A0251B" w:rsidRPr="00CC35F0" w:rsidRDefault="008D6506" w:rsidP="00530B2A">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 Европској унији се примењује еко-дизајн којим се уређују еколошке карактеристике више од 20 сетова производа, а од њих, два прописа ЕУ се односе на котлове на чврста горива и локалне грејаче простора на чврста горива у домаћинствима, која су од значајног интереса за смањење емисија суспендованих честица из малих грејних тела за домаћинства која користе биомасу или чврста фосилна горива, чија транспозиција је према Националном програму за усвајање правних тековина ЕУ</w:t>
      </w:r>
      <w:r w:rsidRPr="00CC35F0">
        <w:rPr>
          <w:rFonts w:ascii="Times New Roman" w:eastAsia="Times New Roman" w:hAnsi="Times New Roman"/>
          <w:color w:val="000000"/>
          <w:sz w:val="24"/>
          <w:szCs w:val="24"/>
          <w:vertAlign w:val="superscript"/>
          <w:lang w:val="sr-Cyrl-CS"/>
        </w:rPr>
        <w:footnoteReference w:id="12"/>
      </w:r>
      <w:r w:rsidRPr="00CC35F0">
        <w:rPr>
          <w:rFonts w:ascii="Times New Roman" w:eastAsia="Times New Roman" w:hAnsi="Times New Roman"/>
          <w:color w:val="000000"/>
          <w:sz w:val="24"/>
          <w:szCs w:val="24"/>
          <w:lang w:val="sr-Cyrl-CS"/>
        </w:rPr>
        <w:t xml:space="preserve"> планирана за децембар 2021. године, или по приступању Европској унији, када се делегиране уредбе директно примењују.</w:t>
      </w:r>
    </w:p>
    <w:p w14:paraId="6BCBD727" w14:textId="77777777" w:rsidR="00A0251B" w:rsidRPr="00CC35F0" w:rsidRDefault="00A0251B">
      <w:pPr>
        <w:pBdr>
          <w:top w:val="nil"/>
          <w:left w:val="nil"/>
          <w:bottom w:val="nil"/>
          <w:right w:val="nil"/>
          <w:between w:val="nil"/>
        </w:pBdr>
        <w:ind w:right="114"/>
        <w:rPr>
          <w:rFonts w:ascii="Times New Roman" w:eastAsia="Times New Roman" w:hAnsi="Times New Roman"/>
          <w:color w:val="000000"/>
          <w:sz w:val="24"/>
          <w:szCs w:val="24"/>
          <w:lang w:val="sr-Cyrl-CS"/>
        </w:rPr>
      </w:pPr>
    </w:p>
    <w:p w14:paraId="0609D15B" w14:textId="77777777" w:rsidR="00A0251B" w:rsidRPr="00CC35F0" w:rsidRDefault="008D6506" w:rsidP="00530B2A">
      <w:pPr>
        <w:pBdr>
          <w:top w:val="nil"/>
          <w:left w:val="nil"/>
          <w:bottom w:val="nil"/>
          <w:right w:val="nil"/>
          <w:between w:val="nil"/>
        </w:pBdr>
        <w:ind w:right="114" w:firstLine="720"/>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Сектор пољопривреде</w:t>
      </w:r>
    </w:p>
    <w:p w14:paraId="41B14FF9" w14:textId="77777777" w:rsidR="00A0251B" w:rsidRPr="00CC35F0" w:rsidRDefault="008D6506" w:rsidP="00530B2A">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Како је пољопривреда предоминантни извор емисија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емисије из пољопривреде су до извесне мере уређене Законом о интегрисаном спречавању и контроли загађивања животне средине, којим се уређују емисије из објеката за интензиван узгој живине и свиња за које се издаје интегрисана дозвола (у </w:t>
      </w:r>
      <w:r w:rsidR="00285C01" w:rsidRPr="00CC35F0">
        <w:rPr>
          <w:rFonts w:ascii="Times New Roman" w:eastAsia="Times New Roman" w:hAnsi="Times New Roman"/>
          <w:color w:val="000000"/>
          <w:sz w:val="24"/>
          <w:szCs w:val="24"/>
          <w:lang w:val="sr-Cyrl-CS"/>
        </w:rPr>
        <w:t xml:space="preserve">Републици </w:t>
      </w:r>
      <w:r w:rsidRPr="00CC35F0">
        <w:rPr>
          <w:rFonts w:ascii="Times New Roman" w:eastAsia="Times New Roman" w:hAnsi="Times New Roman"/>
          <w:color w:val="000000"/>
          <w:sz w:val="24"/>
          <w:szCs w:val="24"/>
          <w:lang w:val="sr-Cyrl-CS"/>
        </w:rPr>
        <w:t xml:space="preserve">Србији има 91 такво постројење). </w:t>
      </w:r>
    </w:p>
    <w:p w14:paraId="4A55DAF9" w14:textId="77777777" w:rsidR="00A0251B" w:rsidRPr="00CC35F0" w:rsidRDefault="008D6506" w:rsidP="00530B2A">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Један од важних извора емисија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су азотна ђубрива која се наносе на обрадиво пољопривредно земљиште. Те емисије индиректно су уређене Законом о водама („Службени гласник РС”, бр. 30/10, 93/12, 101/16, 95/18 и 95/18</w:t>
      </w:r>
      <w:r w:rsidR="00285C01" w:rsidRPr="00CC35F0">
        <w:rPr>
          <w:rFonts w:ascii="Times New Roman" w:eastAsia="Times New Roman" w:hAnsi="Times New Roman"/>
          <w:color w:val="000000"/>
          <w:sz w:val="24"/>
          <w:szCs w:val="24"/>
          <w:lang w:val="sr-Cyrl-CS"/>
        </w:rPr>
        <w:t xml:space="preserve"> </w:t>
      </w:r>
      <w:r w:rsidRPr="00CC35F0">
        <w:rPr>
          <w:rFonts w:ascii="Times New Roman" w:eastAsia="Times New Roman" w:hAnsi="Times New Roman"/>
          <w:color w:val="000000"/>
          <w:sz w:val="24"/>
          <w:szCs w:val="24"/>
          <w:lang w:val="sr-Cyrl-CS"/>
        </w:rPr>
        <w:t>-</w:t>
      </w:r>
      <w:r w:rsidR="00285C01" w:rsidRPr="00CC35F0">
        <w:rPr>
          <w:rFonts w:ascii="Times New Roman" w:eastAsia="Times New Roman" w:hAnsi="Times New Roman"/>
          <w:color w:val="000000"/>
          <w:sz w:val="24"/>
          <w:szCs w:val="24"/>
          <w:lang w:val="sr-Cyrl-CS"/>
        </w:rPr>
        <w:t xml:space="preserve"> </w:t>
      </w:r>
      <w:r w:rsidRPr="00CC35F0">
        <w:rPr>
          <w:rFonts w:ascii="Times New Roman" w:eastAsia="Times New Roman" w:hAnsi="Times New Roman"/>
          <w:color w:val="000000"/>
          <w:sz w:val="24"/>
          <w:szCs w:val="24"/>
          <w:lang w:val="sr-Cyrl-CS"/>
        </w:rPr>
        <w:t xml:space="preserve">др. закон). </w:t>
      </w:r>
    </w:p>
    <w:p w14:paraId="5ABE624A" w14:textId="77777777" w:rsidR="00A0251B" w:rsidRPr="00CC35F0" w:rsidRDefault="008D6506" w:rsidP="00530B2A">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Републичка дирекција за воде, орган у саставу Министарства пољопривреде, шумарства и водопривреде, надлежни је орган за одређивање зона осетљивих на нутријенте и њихових граница, предлагање акционих програма са обавезним мерама за заштићена подручја која су означена као осетљиве зоне, предлагање добре пољопривредне праксе, како би се постигао општи ниво заштите воде од загађења нитратима из пољопривредних извора у свим водним телима, површинским и подземним. Кодекс добре пољопривредне праксе</w:t>
      </w:r>
      <w:r w:rsidRPr="00CC35F0">
        <w:rPr>
          <w:rFonts w:ascii="Times New Roman" w:eastAsia="Times New Roman" w:hAnsi="Times New Roman"/>
          <w:color w:val="000000"/>
          <w:sz w:val="24"/>
          <w:szCs w:val="24"/>
          <w:vertAlign w:val="superscript"/>
          <w:lang w:val="sr-Cyrl-CS"/>
        </w:rPr>
        <w:footnoteReference w:id="13"/>
      </w:r>
      <w:r w:rsidRPr="00CC35F0">
        <w:rPr>
          <w:rFonts w:ascii="Times New Roman" w:eastAsia="Times New Roman" w:hAnsi="Times New Roman"/>
          <w:color w:val="000000"/>
          <w:sz w:val="24"/>
          <w:szCs w:val="24"/>
          <w:lang w:val="sr-Cyrl-CS"/>
        </w:rPr>
        <w:t xml:space="preserve"> израђен је 2016. године, али још увек није усвојен. </w:t>
      </w:r>
    </w:p>
    <w:p w14:paraId="54CD96EF" w14:textId="77777777" w:rsidR="00A0251B" w:rsidRPr="00CC35F0" w:rsidRDefault="00A0251B">
      <w:pPr>
        <w:pBdr>
          <w:top w:val="nil"/>
          <w:left w:val="nil"/>
          <w:bottom w:val="nil"/>
          <w:right w:val="nil"/>
          <w:between w:val="nil"/>
        </w:pBdr>
        <w:ind w:right="114"/>
        <w:rPr>
          <w:rFonts w:ascii="Times New Roman" w:eastAsia="Times New Roman" w:hAnsi="Times New Roman"/>
          <w:color w:val="000000"/>
          <w:sz w:val="24"/>
          <w:szCs w:val="24"/>
          <w:lang w:val="sr-Cyrl-CS"/>
        </w:rPr>
      </w:pPr>
    </w:p>
    <w:p w14:paraId="6E2437CC" w14:textId="77777777" w:rsidR="00A0251B" w:rsidRPr="00CC35F0" w:rsidRDefault="008D6506" w:rsidP="00530B2A">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Хоризонтално законодавство за смањење загађења ваздуха</w:t>
      </w:r>
    </w:p>
    <w:p w14:paraId="7E7D794D" w14:textId="77777777" w:rsidR="00A0251B" w:rsidRPr="00CC35F0" w:rsidRDefault="008D6506" w:rsidP="00530B2A">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Емисије појединих загађујућих материја (као што су SO</w:t>
      </w:r>
      <w:r w:rsidRPr="00CC35F0">
        <w:rPr>
          <w:rFonts w:ascii="Times New Roman" w:eastAsia="Times New Roman" w:hAnsi="Times New Roman"/>
          <w:color w:val="000000"/>
          <w:sz w:val="24"/>
          <w:szCs w:val="24"/>
          <w:vertAlign w:val="subscript"/>
          <w:lang w:val="sr-Cyrl-CS"/>
        </w:rPr>
        <w:t>2</w:t>
      </w:r>
      <w:r w:rsidRPr="00CC35F0">
        <w:rPr>
          <w:rFonts w:ascii="Times New Roman" w:eastAsia="Times New Roman" w:hAnsi="Times New Roman"/>
          <w:color w:val="000000"/>
          <w:sz w:val="24"/>
          <w:szCs w:val="24"/>
          <w:lang w:val="sr-Cyrl-CS"/>
        </w:rPr>
        <w:t xml:space="preserve"> и VOC) се због своје природе најбоље могу уредити контролом квалитета горива или садржаја загађујуће материје која се ослобађа из одређеног производног процеса, производа или материјала.</w:t>
      </w:r>
    </w:p>
    <w:p w14:paraId="2EA38A44" w14:textId="77777777" w:rsidR="00A0251B" w:rsidRPr="00CC35F0" w:rsidRDefault="008D6506" w:rsidP="002576CB">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Емисије SO</w:t>
      </w:r>
      <w:r w:rsidRPr="00CC35F0">
        <w:rPr>
          <w:rFonts w:ascii="Times New Roman" w:eastAsia="Times New Roman" w:hAnsi="Times New Roman"/>
          <w:color w:val="000000"/>
          <w:sz w:val="24"/>
          <w:szCs w:val="24"/>
          <w:vertAlign w:val="subscript"/>
          <w:lang w:val="sr-Cyrl-CS"/>
        </w:rPr>
        <w:t>2</w:t>
      </w:r>
      <w:r w:rsidRPr="00CC35F0">
        <w:rPr>
          <w:rFonts w:ascii="Times New Roman" w:eastAsia="Times New Roman" w:hAnsi="Times New Roman"/>
          <w:color w:val="000000"/>
          <w:sz w:val="24"/>
          <w:szCs w:val="24"/>
          <w:lang w:val="sr-Cyrl-CS"/>
        </w:rPr>
        <w:t xml:space="preserve"> из течних горива се дакле најбоље могу уредити ограничавањем садржаја сумпора у горивима. Мада садржај сумпора у чврстим горивима није уређен, за </w:t>
      </w:r>
      <w:r w:rsidRPr="00CC35F0">
        <w:rPr>
          <w:rFonts w:ascii="Times New Roman" w:eastAsia="Times New Roman" w:hAnsi="Times New Roman"/>
          <w:color w:val="000000"/>
          <w:sz w:val="24"/>
          <w:szCs w:val="24"/>
          <w:lang w:val="sr-Cyrl-CS"/>
        </w:rPr>
        <w:lastRenderedPageBreak/>
        <w:t>течна горива је донесен Правилник о техничким и другим захтевима за течна горива нафтног порекла („Службени гласник РС”, бр. 150/20</w:t>
      </w:r>
      <w:r w:rsidR="008D1687" w:rsidRPr="00CC35F0">
        <w:rPr>
          <w:rFonts w:ascii="Times New Roman" w:eastAsia="Times New Roman" w:hAnsi="Times New Roman"/>
          <w:color w:val="000000"/>
          <w:sz w:val="24"/>
          <w:szCs w:val="24"/>
          <w:lang w:val="sr-Cyrl-CS"/>
        </w:rPr>
        <w:t xml:space="preserve">, </w:t>
      </w:r>
      <w:r w:rsidR="00BF0A84" w:rsidRPr="00CC35F0">
        <w:rPr>
          <w:rFonts w:ascii="Times New Roman" w:eastAsia="Times New Roman" w:hAnsi="Times New Roman"/>
          <w:color w:val="000000"/>
          <w:sz w:val="24"/>
          <w:szCs w:val="24"/>
          <w:lang w:val="sr-Cyrl-CS"/>
        </w:rPr>
        <w:t>127/21</w:t>
      </w:r>
      <w:r w:rsidR="008D1687" w:rsidRPr="00CC35F0">
        <w:rPr>
          <w:rFonts w:ascii="Times New Roman" w:eastAsia="Times New Roman" w:hAnsi="Times New Roman"/>
          <w:color w:val="000000"/>
          <w:sz w:val="24"/>
          <w:szCs w:val="24"/>
          <w:lang w:val="sr-Cyrl-CS"/>
        </w:rPr>
        <w:t xml:space="preserve"> и 129/22</w:t>
      </w:r>
      <w:r w:rsidRPr="00CC35F0">
        <w:rPr>
          <w:rFonts w:ascii="Times New Roman" w:eastAsia="Times New Roman" w:hAnsi="Times New Roman"/>
          <w:color w:val="000000"/>
          <w:sz w:val="24"/>
          <w:szCs w:val="24"/>
          <w:lang w:val="sr-Cyrl-CS"/>
        </w:rPr>
        <w:t xml:space="preserve">), који прописује техничке и друге захтеве које морају испуњавати горива нафтног порекла, као што су горива за моторе са унутрашњим сагоревањем и енергетска горива која се стављају на тржиште Републике Србије, а прописује и начин оцењивања усаглашености течних горива. Садржај сумпора у уљу за ложење је од 1. јануара 2021. године смањен са 3% на максималних 1%, за гасно уље је утврђен у проценту од 0,1%, и у Евро дизелу је смањен на свега 10 делова по милиону (ppm). </w:t>
      </w:r>
    </w:p>
    <w:p w14:paraId="52FC1FF4" w14:textId="77777777" w:rsidR="00A0251B" w:rsidRPr="00CC35F0" w:rsidRDefault="008D6506" w:rsidP="002576CB">
      <w:pPr>
        <w:pBdr>
          <w:top w:val="nil"/>
          <w:left w:val="nil"/>
          <w:bottom w:val="nil"/>
          <w:right w:val="nil"/>
          <w:between w:val="nil"/>
        </w:pBdr>
        <w:ind w:right="114" w:firstLine="720"/>
        <w:rPr>
          <w:rFonts w:ascii="Times New Roman" w:eastAsia="Times New Roman" w:hAnsi="Times New Roman"/>
          <w:color w:val="000000"/>
          <w:sz w:val="24"/>
          <w:szCs w:val="24"/>
          <w:lang w:val="sr-Cyrl-CS"/>
        </w:rPr>
      </w:pPr>
      <w:bookmarkStart w:id="12" w:name="_heading=h.35nkun2" w:colFirst="0" w:colLast="0"/>
      <w:bookmarkEnd w:id="12"/>
      <w:r w:rsidRPr="00CC35F0">
        <w:rPr>
          <w:rFonts w:ascii="Times New Roman" w:eastAsia="Times New Roman" w:hAnsi="Times New Roman"/>
          <w:color w:val="000000"/>
          <w:sz w:val="24"/>
          <w:szCs w:val="24"/>
          <w:lang w:val="sr-Cyrl-CS"/>
        </w:rPr>
        <w:t>За смањење емисија VOC (имајући у виду природу емисија, које не морају бити условљене процесом сагоревања горива и/или материјала, већ пре потичу из испаравања), донесен је правни оквир, описан у наставку:</w:t>
      </w:r>
    </w:p>
    <w:p w14:paraId="2D62B7E5" w14:textId="77777777" w:rsidR="00A0251B" w:rsidRPr="00CC35F0" w:rsidRDefault="008D6506" w:rsidP="002576CB">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Уредба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 („Службени гласник РС”, број 100/11), садржи листу индустријских постројења и активности у којима се контролише емисија испарљивих органских једињења, вредности емисије испарљивих органских једињења при одређеној потрошњи растварача, као и укупне дозвољене емисије испарљивих органских једињења из постројења и активности и шеме за смањење емисије испарљивих органских једињења.</w:t>
      </w:r>
    </w:p>
    <w:p w14:paraId="3F35A761" w14:textId="77777777" w:rsidR="00A0251B" w:rsidRPr="00CC35F0" w:rsidRDefault="008D6506" w:rsidP="002576CB">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Емисије испарљивих органских једињења из извора као што су транспорт, складиштење и дистрибуција моторних горива уређене су Законом о заштити ваздуха и Правилником о техничким мерама и захтевима који се односе на дозвољене емисионе факторе за VOC која потичу из процеса складиштења и транспорта бензи</w:t>
      </w:r>
      <w:r w:rsidR="008D1687" w:rsidRPr="00CC35F0">
        <w:rPr>
          <w:rFonts w:ascii="Times New Roman" w:eastAsia="Times New Roman" w:hAnsi="Times New Roman"/>
          <w:color w:val="000000"/>
          <w:sz w:val="24"/>
          <w:szCs w:val="24"/>
          <w:lang w:val="sr-Cyrl-CS"/>
        </w:rPr>
        <w:t xml:space="preserve">на („Службени гласник РС”, бр. </w:t>
      </w:r>
      <w:r w:rsidRPr="00CC35F0">
        <w:rPr>
          <w:rFonts w:ascii="Times New Roman" w:eastAsia="Times New Roman" w:hAnsi="Times New Roman"/>
          <w:color w:val="000000"/>
          <w:sz w:val="24"/>
          <w:szCs w:val="24"/>
          <w:lang w:val="sr-Cyrl-CS"/>
        </w:rPr>
        <w:t>1/12, 25/12, 48/12 и 96/19), којим се утврђују техничке мере и захтеви који се односе на дозвољене факторе емисије за VOC која потичу из процеса складиштења и транспорта бензина, односно за складишта, опрему за утакање и истакање на терминалима и опрему за утакање и истакање покретних резервоара на бензинским станицама.</w:t>
      </w:r>
    </w:p>
    <w:p w14:paraId="08631041" w14:textId="77777777" w:rsidR="00A0251B" w:rsidRPr="00CC35F0" w:rsidRDefault="008D6506" w:rsidP="002576CB">
      <w:pPr>
        <w:pBdr>
          <w:top w:val="nil"/>
          <w:left w:val="nil"/>
          <w:bottom w:val="nil"/>
          <w:right w:val="nil"/>
          <w:between w:val="nil"/>
        </w:pBdr>
        <w:ind w:right="114"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Неке боје, лакови и премази за аутомобиле представљају значајан извор испарљивих органских једињења, а емисије из тих извора уређене су Законом о хемикалијама („Службени гласник РС”, бр. 36/09, 88/10, 92/11, 93/12 и 25/15) и Правилником о ограничењима и забранама производње, стављања у промет и коришћења хемикалија („Службени гласник РС”, бр. 90/13, 25/15, 2/16, 44/17</w:t>
      </w:r>
      <w:r w:rsidR="009B1644" w:rsidRPr="00CC35F0">
        <w:rPr>
          <w:rFonts w:ascii="Times New Roman" w:eastAsia="Times New Roman" w:hAnsi="Times New Roman"/>
          <w:color w:val="000000"/>
          <w:sz w:val="24"/>
          <w:szCs w:val="24"/>
          <w:lang w:val="sr-Cyrl-CS"/>
        </w:rPr>
        <w:t>,</w:t>
      </w:r>
      <w:r w:rsidRPr="00CC35F0">
        <w:rPr>
          <w:rFonts w:ascii="Times New Roman" w:eastAsia="Times New Roman" w:hAnsi="Times New Roman"/>
          <w:color w:val="000000"/>
          <w:sz w:val="24"/>
          <w:szCs w:val="24"/>
          <w:lang w:val="sr-Cyrl-CS"/>
        </w:rPr>
        <w:t xml:space="preserve"> 36/18</w:t>
      </w:r>
      <w:r w:rsidR="009B1644" w:rsidRPr="00CC35F0">
        <w:rPr>
          <w:rFonts w:ascii="Times New Roman" w:eastAsia="Times New Roman" w:hAnsi="Times New Roman"/>
          <w:color w:val="000000"/>
          <w:sz w:val="24"/>
          <w:szCs w:val="24"/>
          <w:lang w:val="sr-Cyrl-CS"/>
        </w:rPr>
        <w:t>, 9/20 и 57/22</w:t>
      </w:r>
      <w:r w:rsidRPr="00CC35F0">
        <w:rPr>
          <w:rFonts w:ascii="Times New Roman" w:eastAsia="Times New Roman" w:hAnsi="Times New Roman"/>
          <w:color w:val="000000"/>
          <w:sz w:val="24"/>
          <w:szCs w:val="24"/>
          <w:lang w:val="sr-Cyrl-CS"/>
        </w:rPr>
        <w:t>), који прописује ограничења и забране</w:t>
      </w:r>
      <w:r w:rsidRPr="00CC35F0">
        <w:rPr>
          <w:rFonts w:ascii="Times New Roman" w:eastAsia="Times New Roman" w:hAnsi="Times New Roman"/>
          <w:color w:val="000000"/>
          <w:sz w:val="24"/>
          <w:szCs w:val="24"/>
          <w:vertAlign w:val="superscript"/>
          <w:lang w:val="sr-Cyrl-CS"/>
        </w:rPr>
        <w:footnoteReference w:id="14"/>
      </w:r>
      <w:r w:rsidRPr="00CC35F0">
        <w:rPr>
          <w:rFonts w:ascii="Times New Roman" w:eastAsia="Times New Roman" w:hAnsi="Times New Roman"/>
          <w:color w:val="000000"/>
          <w:sz w:val="24"/>
          <w:szCs w:val="24"/>
          <w:lang w:val="sr-Cyrl-CS"/>
        </w:rPr>
        <w:t xml:space="preserve"> производње, стављања у промет и употребе хемикалија, забрањену или дозвољену употребу, као и друге услове за производњу, стављање у промет и употребу супстанци, смеша или производа који представљају неприхватљив ризик за здравље људи и животну средину.</w:t>
      </w:r>
    </w:p>
    <w:p w14:paraId="5B734330" w14:textId="77777777" w:rsidR="00A0251B" w:rsidRPr="00CC35F0" w:rsidRDefault="00A0251B">
      <w:pPr>
        <w:pBdr>
          <w:top w:val="nil"/>
          <w:left w:val="nil"/>
          <w:bottom w:val="nil"/>
          <w:right w:val="nil"/>
          <w:between w:val="nil"/>
        </w:pBdr>
        <w:ind w:right="114"/>
        <w:rPr>
          <w:rFonts w:ascii="Times New Roman" w:eastAsia="Times New Roman" w:hAnsi="Times New Roman"/>
          <w:color w:val="000000"/>
          <w:sz w:val="24"/>
          <w:szCs w:val="24"/>
          <w:lang w:val="sr-Cyrl-CS"/>
        </w:rPr>
      </w:pPr>
    </w:p>
    <w:p w14:paraId="6FE55D67" w14:textId="77777777" w:rsidR="00A0251B" w:rsidRPr="00CC35F0" w:rsidRDefault="008D6506" w:rsidP="002576CB">
      <w:pPr>
        <w:spacing w:after="0" w:line="240" w:lineRule="auto"/>
        <w:ind w:firstLine="72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Супстанце које оштећују озонски омотач</w:t>
      </w:r>
      <w:r w:rsidR="00120A9C"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HCFC) и флуоровани гасови са ефектом стаклене баште (HFC)</w:t>
      </w:r>
    </w:p>
    <w:p w14:paraId="4D3D37DF" w14:textId="77777777" w:rsidR="008D1687" w:rsidRPr="00CC35F0" w:rsidRDefault="008D1687" w:rsidP="002576CB">
      <w:pPr>
        <w:spacing w:after="0" w:line="240" w:lineRule="auto"/>
        <w:ind w:firstLine="720"/>
        <w:jc w:val="left"/>
        <w:rPr>
          <w:rFonts w:ascii="Times New Roman" w:eastAsia="Times New Roman" w:hAnsi="Times New Roman"/>
          <w:sz w:val="24"/>
          <w:szCs w:val="24"/>
          <w:lang w:val="sr-Cyrl-CS"/>
        </w:rPr>
      </w:pPr>
    </w:p>
    <w:p w14:paraId="40953ECD" w14:textId="77777777" w:rsidR="00A0251B" w:rsidRPr="00CC35F0" w:rsidRDefault="002576CB" w:rsidP="00CD6D20">
      <w:pPr>
        <w:pBdr>
          <w:top w:val="nil"/>
          <w:left w:val="nil"/>
          <w:bottom w:val="nil"/>
          <w:right w:val="nil"/>
          <w:between w:val="nil"/>
        </w:pBdr>
        <w:tabs>
          <w:tab w:val="left" w:pos="3825"/>
        </w:tabs>
        <w:spacing w:before="120" w:line="240" w:lineRule="auto"/>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lastRenderedPageBreak/>
        <w:t xml:space="preserve">             </w:t>
      </w:r>
      <w:r w:rsidR="008D6506" w:rsidRPr="00CC35F0">
        <w:rPr>
          <w:rFonts w:ascii="Times New Roman" w:eastAsia="Times New Roman" w:hAnsi="Times New Roman"/>
          <w:color w:val="000000"/>
          <w:sz w:val="24"/>
          <w:szCs w:val="24"/>
          <w:lang w:val="sr-Cyrl-CS"/>
        </w:rPr>
        <w:t xml:space="preserve">Република Србија је ратификовала </w:t>
      </w:r>
      <w:r w:rsidR="008D6506" w:rsidRPr="00CC35F0">
        <w:rPr>
          <w:rFonts w:ascii="Times New Roman" w:eastAsia="Times New Roman" w:hAnsi="Times New Roman"/>
          <w:sz w:val="24"/>
          <w:szCs w:val="24"/>
          <w:lang w:val="sr-Cyrl-CS"/>
        </w:rPr>
        <w:t>Монтреалски протокол о супстанцама које оштећују озонски омотач</w:t>
      </w:r>
      <w:r w:rsidR="00CD6D20" w:rsidRPr="00CC35F0">
        <w:rPr>
          <w:rFonts w:ascii="Times New Roman" w:eastAsia="Times New Roman" w:hAnsi="Times New Roman"/>
          <w:sz w:val="24"/>
          <w:szCs w:val="24"/>
          <w:lang w:val="sr-Cyrl-CS"/>
        </w:rPr>
        <w:t xml:space="preserve"> (Закон о ратификацији Монтреалског протокола о супстанцама које оштећују озонски омотач („</w:t>
      </w:r>
      <w:r w:rsidR="009C41F4" w:rsidRPr="00CC35F0">
        <w:rPr>
          <w:rFonts w:ascii="Times New Roman" w:eastAsia="Times New Roman" w:hAnsi="Times New Roman"/>
          <w:sz w:val="24"/>
          <w:szCs w:val="24"/>
          <w:lang w:val="sr-Cyrl-CS"/>
        </w:rPr>
        <w:t>Службени</w:t>
      </w:r>
      <w:r w:rsidR="00CD6D20" w:rsidRPr="00CC35F0">
        <w:rPr>
          <w:rFonts w:ascii="Times New Roman" w:eastAsia="Times New Roman" w:hAnsi="Times New Roman"/>
          <w:sz w:val="24"/>
          <w:szCs w:val="24"/>
          <w:lang w:val="sr-Cyrl-CS"/>
        </w:rPr>
        <w:t xml:space="preserve"> лист СФРЈ - Међународни уговори</w:t>
      </w:r>
      <w:r w:rsidR="009C41F4" w:rsidRPr="00CC35F0">
        <w:rPr>
          <w:rFonts w:ascii="Times New Roman" w:eastAsia="Times New Roman" w:hAnsi="Times New Roman"/>
          <w:sz w:val="24"/>
          <w:szCs w:val="24"/>
          <w:lang w:val="sr-Cyrl-CS"/>
        </w:rPr>
        <w:t>”, број</w:t>
      </w:r>
      <w:r w:rsidR="00CD6D20" w:rsidRPr="00CC35F0">
        <w:rPr>
          <w:rFonts w:ascii="Times New Roman" w:eastAsia="Times New Roman" w:hAnsi="Times New Roman"/>
          <w:sz w:val="24"/>
          <w:szCs w:val="24"/>
          <w:lang w:val="sr-Cyrl-CS"/>
        </w:rPr>
        <w:t xml:space="preserve"> 16/90 и „Сл</w:t>
      </w:r>
      <w:r w:rsidR="009C41F4" w:rsidRPr="00CC35F0">
        <w:rPr>
          <w:rFonts w:ascii="Times New Roman" w:eastAsia="Times New Roman" w:hAnsi="Times New Roman"/>
          <w:sz w:val="24"/>
          <w:szCs w:val="24"/>
          <w:lang w:val="sr-Cyrl-CS"/>
        </w:rPr>
        <w:t xml:space="preserve">ужбени </w:t>
      </w:r>
      <w:r w:rsidR="00CD6D20" w:rsidRPr="00CC35F0">
        <w:rPr>
          <w:rFonts w:ascii="Times New Roman" w:eastAsia="Times New Roman" w:hAnsi="Times New Roman"/>
          <w:sz w:val="24"/>
          <w:szCs w:val="24"/>
          <w:lang w:val="sr-Cyrl-CS"/>
        </w:rPr>
        <w:t xml:space="preserve"> лист СЦГ – Међународни уговори</w:t>
      </w:r>
      <w:r w:rsidR="009C41F4" w:rsidRPr="00CC35F0">
        <w:rPr>
          <w:rFonts w:ascii="Times New Roman" w:eastAsia="Times New Roman" w:hAnsi="Times New Roman"/>
          <w:sz w:val="24"/>
          <w:szCs w:val="24"/>
          <w:lang w:val="sr-Cyrl-CS"/>
        </w:rPr>
        <w:t>”, број</w:t>
      </w:r>
      <w:r w:rsidR="00C60056" w:rsidRPr="00CC35F0">
        <w:rPr>
          <w:rFonts w:ascii="Times New Roman" w:eastAsia="Times New Roman" w:hAnsi="Times New Roman"/>
          <w:sz w:val="24"/>
          <w:szCs w:val="24"/>
          <w:lang w:val="sr-Cyrl-CS"/>
        </w:rPr>
        <w:t xml:space="preserve"> 24/</w:t>
      </w:r>
      <w:r w:rsidR="00CD6D20" w:rsidRPr="00CC35F0">
        <w:rPr>
          <w:rFonts w:ascii="Times New Roman" w:eastAsia="Times New Roman" w:hAnsi="Times New Roman"/>
          <w:sz w:val="24"/>
          <w:szCs w:val="24"/>
          <w:lang w:val="sr-Cyrl-CS"/>
        </w:rPr>
        <w:t>04 - др. закон)</w:t>
      </w:r>
      <w:r w:rsidR="008D6506" w:rsidRPr="00CC35F0">
        <w:rPr>
          <w:rFonts w:ascii="Times New Roman" w:eastAsia="Times New Roman" w:hAnsi="Times New Roman"/>
          <w:sz w:val="24"/>
          <w:szCs w:val="24"/>
          <w:lang w:val="sr-Cyrl-CS"/>
        </w:rPr>
        <w:t>, као и све амандмане на Протокол, након чега је преузела одређене обавезе које се односе на контролу производње и потрошње супстанци које оштећују озонски омотач и флуорованих гасова са ефектом стаклене баште.</w:t>
      </w:r>
    </w:p>
    <w:p w14:paraId="389721AE" w14:textId="77777777" w:rsidR="00A0251B" w:rsidRPr="00CC35F0" w:rsidRDefault="00F00C40">
      <w:pPr>
        <w:pBdr>
          <w:top w:val="nil"/>
          <w:left w:val="nil"/>
          <w:bottom w:val="nil"/>
          <w:right w:val="nil"/>
          <w:between w:val="nil"/>
        </w:pBdr>
        <w:tabs>
          <w:tab w:val="left" w:pos="3825"/>
        </w:tabs>
        <w:spacing w:before="12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r w:rsidR="008D6506" w:rsidRPr="00CC35F0">
        <w:rPr>
          <w:rFonts w:ascii="Times New Roman" w:eastAsia="Times New Roman" w:hAnsi="Times New Roman"/>
          <w:sz w:val="24"/>
          <w:szCs w:val="24"/>
          <w:lang w:val="sr-Cyrl-CS"/>
        </w:rPr>
        <w:t>У Републици Србији је забрањена производња супстанци које оштећују озонски омотач, као и потрошња за одређену групу ових супстанци: CFC, халоне (осим за критичне употребе), угљен-тетрахлорид, метил хлороформ, метил бромид. Увоз је дозвољен само за једну групу ових супстанци, односно за хлорофлуороугљоводонике (</w:t>
      </w:r>
      <w:r w:rsidR="00717BF6" w:rsidRPr="00CC35F0">
        <w:rPr>
          <w:rFonts w:ascii="Times New Roman" w:eastAsia="Times New Roman" w:hAnsi="Times New Roman"/>
          <w:sz w:val="24"/>
          <w:szCs w:val="24"/>
          <w:lang w:val="sr-Cyrl-CS"/>
        </w:rPr>
        <w:t xml:space="preserve">у даљем тексту: </w:t>
      </w:r>
      <w:r w:rsidR="008D6506" w:rsidRPr="00CC35F0">
        <w:rPr>
          <w:rFonts w:ascii="Times New Roman" w:eastAsia="Times New Roman" w:hAnsi="Times New Roman"/>
          <w:sz w:val="24"/>
          <w:szCs w:val="24"/>
          <w:lang w:val="sr-Cyrl-CS"/>
        </w:rPr>
        <w:t xml:space="preserve">HCFC), што је строго контролисано кроз систем издавања дозвола и годишњих квота. </w:t>
      </w:r>
    </w:p>
    <w:p w14:paraId="18F3D692" w14:textId="77777777" w:rsidR="00A0251B" w:rsidRPr="00CC35F0" w:rsidRDefault="00E100D8" w:rsidP="00DB0D61">
      <w:p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             </w:t>
      </w:r>
      <w:r w:rsidR="008D6506" w:rsidRPr="00CC35F0">
        <w:rPr>
          <w:rFonts w:ascii="Times New Roman" w:eastAsia="Times New Roman" w:hAnsi="Times New Roman"/>
          <w:sz w:val="24"/>
          <w:szCs w:val="24"/>
          <w:lang w:val="sr-Cyrl-CS"/>
        </w:rPr>
        <w:t>У складу са јасно дефинисаном динамиком, Република Србија као земља члана 5. Монтреалског протокола спроводи мере у циљу смањења потрошње</w:t>
      </w:r>
      <w:r w:rsidR="00120A9C" w:rsidRPr="00CC35F0">
        <w:rPr>
          <w:rFonts w:ascii="Times New Roman" w:eastAsia="Times New Roman" w:hAnsi="Times New Roman"/>
          <w:sz w:val="24"/>
          <w:szCs w:val="24"/>
          <w:lang w:val="sr-Cyrl-CS"/>
        </w:rPr>
        <w:t xml:space="preserve"> </w:t>
      </w:r>
      <w:r w:rsidR="003979B2" w:rsidRPr="00CC35F0">
        <w:rPr>
          <w:rFonts w:ascii="Times New Roman" w:hAnsi="Times New Roman"/>
          <w:sz w:val="24"/>
          <w:szCs w:val="24"/>
          <w:lang w:val="sr-Cyrl-CS"/>
        </w:rPr>
        <w:t>хлорофлуороугљоводоника (</w:t>
      </w:r>
      <w:r w:rsidR="009C41F4" w:rsidRPr="00CC35F0">
        <w:rPr>
          <w:rFonts w:ascii="Times New Roman" w:hAnsi="Times New Roman"/>
          <w:sz w:val="24"/>
          <w:szCs w:val="24"/>
          <w:lang w:val="sr-Cyrl-CS"/>
        </w:rPr>
        <w:t xml:space="preserve">у даљем тексту: </w:t>
      </w:r>
      <w:r w:rsidR="008D6506" w:rsidRPr="00CC35F0">
        <w:rPr>
          <w:rFonts w:ascii="Times New Roman" w:eastAsia="Times New Roman" w:hAnsi="Times New Roman"/>
          <w:sz w:val="24"/>
          <w:szCs w:val="24"/>
          <w:lang w:val="sr-Cyrl-CS"/>
        </w:rPr>
        <w:t>HCFC супстанци</w:t>
      </w:r>
      <w:r w:rsidR="003979B2" w:rsidRPr="00CC35F0">
        <w:rPr>
          <w:rFonts w:ascii="Times New Roman" w:eastAsia="Times New Roman" w:hAnsi="Times New Roman"/>
          <w:sz w:val="24"/>
          <w:szCs w:val="24"/>
          <w:lang w:val="sr-Cyrl-CS"/>
        </w:rPr>
        <w:t>)</w:t>
      </w:r>
      <w:r w:rsidR="008D6506" w:rsidRPr="00CC35F0">
        <w:rPr>
          <w:rFonts w:ascii="Times New Roman" w:eastAsia="Times New Roman" w:hAnsi="Times New Roman"/>
          <w:sz w:val="24"/>
          <w:szCs w:val="24"/>
          <w:lang w:val="sr-Cyrl-CS"/>
        </w:rPr>
        <w:t xml:space="preserve">, почев од 2013. године када је утврђен базни ниво (базна потрошња) од 8,37 </w:t>
      </w:r>
      <w:r w:rsidR="009C41F4" w:rsidRPr="00CC35F0">
        <w:rPr>
          <w:rFonts w:ascii="Times New Roman" w:eastAsia="Times New Roman" w:hAnsi="Times New Roman"/>
          <w:sz w:val="24"/>
          <w:szCs w:val="24"/>
          <w:lang w:val="sr-Cyrl-CS"/>
        </w:rPr>
        <w:t>ОДП (</w:t>
      </w:r>
      <w:r w:rsidR="0053112A" w:rsidRPr="00CC35F0">
        <w:rPr>
          <w:rFonts w:ascii="Times New Roman" w:eastAsia="Times New Roman" w:hAnsi="Times New Roman"/>
          <w:sz w:val="24"/>
          <w:szCs w:val="24"/>
          <w:lang w:val="sr-Cyrl-CS"/>
        </w:rPr>
        <w:t xml:space="preserve">ozone depleting potential-потенцијал оштећења озона) </w:t>
      </w:r>
      <w:r w:rsidR="008D6506" w:rsidRPr="00CC35F0">
        <w:rPr>
          <w:rFonts w:ascii="Times New Roman" w:eastAsia="Times New Roman" w:hAnsi="Times New Roman"/>
          <w:sz w:val="24"/>
          <w:szCs w:val="24"/>
          <w:lang w:val="sr-Cyrl-CS"/>
        </w:rPr>
        <w:t xml:space="preserve">тоне. Након тога, у 2020 години постигнут је циљ смањењем потрошње HCFC супстанци за више од 35% у односу на базни ниво. Следећи циљ и преузета обавеза Републике Србије је смањење потрошње HCFC супстанци за 67,5 % у односу на базни ниво до 2025. године, након чега следи потпуно искључивање ових супстанци </w:t>
      </w:r>
      <w:r w:rsidR="008D6506" w:rsidRPr="00CC35F0">
        <w:rPr>
          <w:rFonts w:ascii="Times New Roman" w:eastAsia="Times New Roman" w:hAnsi="Times New Roman"/>
          <w:color w:val="000000"/>
          <w:sz w:val="24"/>
          <w:szCs w:val="24"/>
          <w:lang w:val="sr-Cyrl-CS"/>
        </w:rPr>
        <w:t>из употребе 2030. године.</w:t>
      </w:r>
      <w:r w:rsidR="00DB0D61" w:rsidRPr="00CC35F0">
        <w:rPr>
          <w:rFonts w:ascii="Times New Roman" w:eastAsia="Times New Roman" w:hAnsi="Times New Roman"/>
          <w:color w:val="000000"/>
          <w:sz w:val="24"/>
          <w:szCs w:val="24"/>
          <w:lang w:val="sr-Cyrl-CS"/>
        </w:rPr>
        <w:tab/>
      </w:r>
    </w:p>
    <w:p w14:paraId="5D7B6805" w14:textId="77777777" w:rsidR="00A0251B" w:rsidRPr="00CC35F0" w:rsidRDefault="005C75B8">
      <w:p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w:t>
      </w:r>
      <w:r w:rsidR="008D6506" w:rsidRPr="00CC35F0">
        <w:rPr>
          <w:rFonts w:ascii="Times New Roman" w:eastAsia="Times New Roman" w:hAnsi="Times New Roman"/>
          <w:color w:val="000000"/>
          <w:sz w:val="24"/>
          <w:szCs w:val="24"/>
          <w:lang w:val="sr-Cyrl-CS"/>
        </w:rPr>
        <w:t xml:space="preserve">Када су у питању </w:t>
      </w:r>
      <w:r w:rsidR="0053112A" w:rsidRPr="00CC35F0">
        <w:rPr>
          <w:rFonts w:ascii="Times New Roman" w:hAnsi="Times New Roman"/>
          <w:sz w:val="24"/>
          <w:szCs w:val="24"/>
          <w:lang w:val="sr-Cyrl-CS"/>
        </w:rPr>
        <w:t>флуороугљоводоници (</w:t>
      </w:r>
      <w:r w:rsidR="0053112A" w:rsidRPr="00CC35F0">
        <w:rPr>
          <w:rStyle w:val="Emphasis"/>
          <w:rFonts w:ascii="Times New Roman" w:hAnsi="Times New Roman"/>
          <w:sz w:val="24"/>
          <w:szCs w:val="24"/>
          <w:lang w:val="sr-Cyrl-CS"/>
        </w:rPr>
        <w:t>HFC</w:t>
      </w:r>
      <w:r w:rsidR="0053112A" w:rsidRPr="00CC35F0">
        <w:rPr>
          <w:rFonts w:ascii="Times New Roman" w:hAnsi="Times New Roman"/>
          <w:sz w:val="24"/>
          <w:szCs w:val="24"/>
          <w:lang w:val="sr-Cyrl-CS"/>
        </w:rPr>
        <w:t>)</w:t>
      </w:r>
      <w:r w:rsidR="0053112A" w:rsidRPr="00CC35F0">
        <w:rPr>
          <w:rFonts w:ascii="Times New Roman" w:eastAsia="Times New Roman" w:hAnsi="Times New Roman"/>
          <w:sz w:val="24"/>
          <w:szCs w:val="24"/>
          <w:lang w:val="sr-Cyrl-CS"/>
        </w:rPr>
        <w:t xml:space="preserve"> </w:t>
      </w:r>
      <w:r w:rsidR="008D6506" w:rsidRPr="00CC35F0">
        <w:rPr>
          <w:rFonts w:ascii="Times New Roman" w:eastAsia="Times New Roman" w:hAnsi="Times New Roman"/>
          <w:sz w:val="24"/>
          <w:szCs w:val="24"/>
          <w:lang w:val="sr-Cyrl-CS"/>
        </w:rPr>
        <w:t>супстанце</w:t>
      </w:r>
      <w:r w:rsidR="008D6506" w:rsidRPr="00CC35F0">
        <w:rPr>
          <w:rFonts w:ascii="Times New Roman" w:eastAsia="Times New Roman" w:hAnsi="Times New Roman"/>
          <w:color w:val="000000"/>
          <w:sz w:val="24"/>
          <w:szCs w:val="24"/>
          <w:lang w:val="sr-Cyrl-CS"/>
        </w:rPr>
        <w:t>, односно флуоровани гасови са ефектом стаклене баште, прва мера и преузета обавеза је утврђивање базне потрошње ових супстанци 2024. године и то на основу просечне потрошње у 2020, 2021. и 2022. години, након чега следи смањење потрошње ових супстанци према јасно дефинисаној динамици</w:t>
      </w:r>
      <w:r w:rsidR="00DA6004" w:rsidRPr="00CC35F0">
        <w:rPr>
          <w:rFonts w:ascii="Times New Roman" w:eastAsia="Times New Roman" w:hAnsi="Times New Roman"/>
          <w:color w:val="000000"/>
          <w:sz w:val="24"/>
          <w:szCs w:val="24"/>
          <w:lang w:val="sr-Cyrl-CS"/>
        </w:rPr>
        <w:t xml:space="preserve"> за</w:t>
      </w:r>
      <w:r w:rsidR="008D6506" w:rsidRPr="00CC35F0">
        <w:rPr>
          <w:rFonts w:ascii="Times New Roman" w:eastAsia="Times New Roman" w:hAnsi="Times New Roman"/>
          <w:color w:val="000000"/>
          <w:sz w:val="24"/>
          <w:szCs w:val="24"/>
          <w:lang w:val="sr-Cyrl-CS"/>
        </w:rPr>
        <w:t>:</w:t>
      </w:r>
      <w:r w:rsidR="006675A2" w:rsidRPr="00CC35F0">
        <w:rPr>
          <w:rFonts w:ascii="Times New Roman" w:eastAsia="Times New Roman" w:hAnsi="Times New Roman"/>
          <w:color w:val="000000"/>
          <w:sz w:val="24"/>
          <w:szCs w:val="24"/>
          <w:lang w:val="sr-Cyrl-CS"/>
        </w:rPr>
        <w:tab/>
      </w:r>
    </w:p>
    <w:p w14:paraId="62525E82" w14:textId="77777777" w:rsidR="00A0251B" w:rsidRPr="00CC35F0" w:rsidRDefault="008D6506" w:rsidP="00382EC6">
      <w:pPr>
        <w:numPr>
          <w:ilvl w:val="0"/>
          <w:numId w:val="19"/>
        </w:numPr>
        <w:pBdr>
          <w:top w:val="nil"/>
          <w:left w:val="nil"/>
          <w:bottom w:val="nil"/>
          <w:right w:val="nil"/>
          <w:between w:val="nil"/>
        </w:pBdr>
        <w:tabs>
          <w:tab w:val="left" w:pos="3825"/>
        </w:tabs>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10 % у од</w:t>
      </w:r>
      <w:r w:rsidR="0065312F" w:rsidRPr="00CC35F0">
        <w:rPr>
          <w:rFonts w:ascii="Times New Roman" w:eastAsia="Times New Roman" w:hAnsi="Times New Roman"/>
          <w:color w:val="000000"/>
          <w:sz w:val="24"/>
          <w:szCs w:val="24"/>
          <w:lang w:val="sr-Cyrl-CS"/>
        </w:rPr>
        <w:t>носу на базни ниво 2029. године;</w:t>
      </w:r>
    </w:p>
    <w:p w14:paraId="0D008123" w14:textId="77777777" w:rsidR="00A0251B" w:rsidRPr="00CC35F0" w:rsidRDefault="008D6506" w:rsidP="00382EC6">
      <w:pPr>
        <w:numPr>
          <w:ilvl w:val="0"/>
          <w:numId w:val="19"/>
        </w:numPr>
        <w:pBdr>
          <w:top w:val="nil"/>
          <w:left w:val="nil"/>
          <w:bottom w:val="nil"/>
          <w:right w:val="nil"/>
          <w:between w:val="nil"/>
        </w:pBdr>
        <w:tabs>
          <w:tab w:val="left" w:pos="3825"/>
        </w:tabs>
        <w:spacing w:after="1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30% у односу на базни ниво 2035. године.</w:t>
      </w:r>
    </w:p>
    <w:p w14:paraId="6766E25F" w14:textId="77777777" w:rsidR="005A4745" w:rsidRPr="00CC35F0" w:rsidRDefault="005A4745" w:rsidP="005A4745">
      <w:pPr>
        <w:pBdr>
          <w:top w:val="nil"/>
          <w:left w:val="nil"/>
          <w:bottom w:val="nil"/>
          <w:right w:val="nil"/>
          <w:between w:val="nil"/>
        </w:pBdr>
        <w:tabs>
          <w:tab w:val="left" w:pos="810"/>
        </w:tabs>
        <w:spacing w:after="160"/>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ab/>
      </w:r>
      <w:r w:rsidRPr="00CC35F0">
        <w:rPr>
          <w:rFonts w:ascii="Times New Roman" w:hAnsi="Times New Roman"/>
          <w:sz w:val="24"/>
          <w:szCs w:val="24"/>
          <w:lang w:val="sr-Cyrl-CS"/>
        </w:rPr>
        <w:t>Листа правног оквира потребног за потпуну примену овог програма не</w:t>
      </w:r>
      <w:r w:rsidR="003468A9" w:rsidRPr="00CC35F0">
        <w:rPr>
          <w:rFonts w:ascii="Times New Roman" w:hAnsi="Times New Roman"/>
          <w:sz w:val="24"/>
          <w:szCs w:val="24"/>
          <w:lang w:val="sr-Cyrl-CS"/>
        </w:rPr>
        <w:t xml:space="preserve">зависно од </w:t>
      </w:r>
      <w:r w:rsidRPr="00CC35F0">
        <w:rPr>
          <w:rFonts w:ascii="Times New Roman" w:hAnsi="Times New Roman"/>
          <w:sz w:val="24"/>
          <w:szCs w:val="24"/>
          <w:lang w:val="sr-Cyrl-CS"/>
        </w:rPr>
        <w:t xml:space="preserve"> транспозициј</w:t>
      </w:r>
      <w:r w:rsidR="003468A9" w:rsidRPr="00CC35F0">
        <w:rPr>
          <w:rFonts w:ascii="Times New Roman" w:hAnsi="Times New Roman"/>
          <w:sz w:val="24"/>
          <w:szCs w:val="24"/>
          <w:lang w:val="sr-Cyrl-CS"/>
        </w:rPr>
        <w:t>е</w:t>
      </w:r>
      <w:r w:rsidRPr="00CC35F0">
        <w:rPr>
          <w:rFonts w:ascii="Times New Roman" w:hAnsi="Times New Roman"/>
          <w:sz w:val="24"/>
          <w:szCs w:val="24"/>
          <w:lang w:val="sr-Cyrl-CS"/>
        </w:rPr>
        <w:t xml:space="preserve"> законодавства ЕУ</w:t>
      </w:r>
      <w:r w:rsidR="003468A9" w:rsidRPr="00CC35F0">
        <w:rPr>
          <w:rFonts w:ascii="Times New Roman" w:hAnsi="Times New Roman"/>
          <w:sz w:val="24"/>
          <w:szCs w:val="24"/>
          <w:lang w:val="sr-Cyrl-CS"/>
        </w:rPr>
        <w:t>,</w:t>
      </w:r>
      <w:r w:rsidR="009C41F4" w:rsidRPr="00CC35F0">
        <w:rPr>
          <w:rFonts w:ascii="Times New Roman" w:hAnsi="Times New Roman"/>
          <w:sz w:val="24"/>
          <w:szCs w:val="24"/>
          <w:lang w:val="sr-Cyrl-CS"/>
        </w:rPr>
        <w:t xml:space="preserve"> дата је у П</w:t>
      </w:r>
      <w:r w:rsidRPr="00CC35F0">
        <w:rPr>
          <w:rFonts w:ascii="Times New Roman" w:hAnsi="Times New Roman"/>
          <w:sz w:val="24"/>
          <w:szCs w:val="24"/>
          <w:lang w:val="sr-Cyrl-CS"/>
        </w:rPr>
        <w:t xml:space="preserve">рилогу 2 </w:t>
      </w:r>
      <w:r w:rsidR="009C41F4" w:rsidRPr="00CC35F0">
        <w:rPr>
          <w:rFonts w:ascii="Times New Roman" w:hAnsi="Times New Roman"/>
          <w:sz w:val="24"/>
          <w:szCs w:val="24"/>
          <w:lang w:val="sr-Cyrl-CS"/>
        </w:rPr>
        <w:t xml:space="preserve">- </w:t>
      </w:r>
      <w:r w:rsidRPr="00CC35F0">
        <w:rPr>
          <w:rFonts w:ascii="Times New Roman" w:hAnsi="Times New Roman"/>
          <w:sz w:val="24"/>
          <w:szCs w:val="24"/>
          <w:lang w:val="sr-Cyrl-CS"/>
        </w:rPr>
        <w:t>Информације о правном оквиру којег треба донети или изменити и допунити, који одштампан уз овај програм и чини његов саставни део.</w:t>
      </w:r>
    </w:p>
    <w:p w14:paraId="71073B5D" w14:textId="77777777" w:rsidR="00A0251B" w:rsidRPr="00CC35F0" w:rsidRDefault="008D6506" w:rsidP="00382EC6">
      <w:pPr>
        <w:pStyle w:val="Heading1"/>
        <w:numPr>
          <w:ilvl w:val="0"/>
          <w:numId w:val="23"/>
        </w:numPr>
        <w:rPr>
          <w:rFonts w:ascii="Times New Roman" w:eastAsia="Times New Roman" w:hAnsi="Times New Roman"/>
          <w:sz w:val="24"/>
          <w:szCs w:val="24"/>
          <w:lang w:val="sr-Cyrl-CS"/>
        </w:rPr>
      </w:pPr>
      <w:bookmarkStart w:id="13" w:name="_heading=h.1ksv4uv" w:colFirst="0" w:colLast="0"/>
      <w:bookmarkEnd w:id="13"/>
      <w:r w:rsidRPr="00CC35F0">
        <w:rPr>
          <w:rFonts w:ascii="Times New Roman" w:eastAsia="Times New Roman" w:hAnsi="Times New Roman"/>
          <w:sz w:val="24"/>
          <w:szCs w:val="24"/>
          <w:lang w:val="sr-Cyrl-CS"/>
        </w:rPr>
        <w:t xml:space="preserve">ТРЕНУТНО СТАЊЕ У СЕКТОРУ ЗАШТИТЕ ВАЗДУХА </w:t>
      </w:r>
    </w:p>
    <w:p w14:paraId="3D7D4B5B" w14:textId="77777777" w:rsidR="00A0251B" w:rsidRPr="00CC35F0" w:rsidRDefault="008D6506" w:rsidP="00382EC6">
      <w:pPr>
        <w:pStyle w:val="Heading2"/>
        <w:numPr>
          <w:ilvl w:val="1"/>
          <w:numId w:val="26"/>
        </w:numPr>
        <w:rPr>
          <w:rFonts w:ascii="Times New Roman" w:eastAsia="Times New Roman" w:hAnsi="Times New Roman"/>
          <w:lang w:val="sr-Cyrl-CS"/>
        </w:rPr>
      </w:pPr>
      <w:bookmarkStart w:id="14" w:name="_heading=h.44sinio" w:colFirst="0" w:colLast="0"/>
      <w:bookmarkEnd w:id="14"/>
      <w:r w:rsidRPr="00CC35F0">
        <w:rPr>
          <w:rFonts w:ascii="Times New Roman" w:eastAsia="Times New Roman" w:hAnsi="Times New Roman"/>
          <w:lang w:val="sr-Cyrl-CS"/>
        </w:rPr>
        <w:t xml:space="preserve">Историјске емисије загађујућих материја у ваздуху </w:t>
      </w:r>
    </w:p>
    <w:p w14:paraId="0AC0C38B" w14:textId="77777777" w:rsidR="00A0251B" w:rsidRPr="00CC35F0" w:rsidRDefault="00A0251B">
      <w:pPr>
        <w:rPr>
          <w:rFonts w:ascii="Times New Roman" w:eastAsia="Times New Roman" w:hAnsi="Times New Roman"/>
          <w:i/>
          <w:sz w:val="24"/>
          <w:szCs w:val="24"/>
          <w:lang w:val="sr-Cyrl-CS"/>
        </w:rPr>
      </w:pPr>
    </w:p>
    <w:p w14:paraId="201A6B0A" w14:textId="77777777" w:rsidR="00A0251B" w:rsidRPr="00CC35F0" w:rsidRDefault="008D6506" w:rsidP="008E061A">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Укупне 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су 2019. године достигле 395,4 kt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што представља повећање емисија од 8,6% у односу на 2015. годину и смањење од 11,2% у поређењу са 2005. годином (Слика 1). </w:t>
      </w:r>
    </w:p>
    <w:p w14:paraId="3089134F"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i/>
          <w:color w:val="000000"/>
          <w:sz w:val="24"/>
          <w:szCs w:val="24"/>
          <w:lang w:val="sr-Cyrl-CS"/>
        </w:rPr>
      </w:pPr>
      <w:bookmarkStart w:id="15" w:name="_heading=h.2jxsxqh" w:colFirst="0" w:colLast="0"/>
      <w:bookmarkEnd w:id="15"/>
      <w:r w:rsidRPr="00CC35F0">
        <w:rPr>
          <w:rFonts w:ascii="Times New Roman" w:eastAsia="Times New Roman" w:hAnsi="Times New Roman"/>
          <w:b/>
          <w:color w:val="000000"/>
          <w:sz w:val="24"/>
          <w:szCs w:val="24"/>
          <w:lang w:val="sr-Cyrl-CS"/>
        </w:rPr>
        <w:lastRenderedPageBreak/>
        <w:t>Слика 1: Укупне емисије SO</w:t>
      </w:r>
      <w:r w:rsidRPr="00CC35F0">
        <w:rPr>
          <w:rFonts w:ascii="Times New Roman" w:eastAsia="Times New Roman" w:hAnsi="Times New Roman"/>
          <w:b/>
          <w:color w:val="000000"/>
          <w:sz w:val="24"/>
          <w:szCs w:val="24"/>
          <w:vertAlign w:val="subscript"/>
          <w:lang w:val="sr-Cyrl-CS"/>
        </w:rPr>
        <w:t>2</w:t>
      </w:r>
      <w:r w:rsidRPr="00CC35F0">
        <w:rPr>
          <w:rFonts w:ascii="Times New Roman" w:eastAsia="Times New Roman" w:hAnsi="Times New Roman"/>
          <w:b/>
          <w:color w:val="000000"/>
          <w:sz w:val="24"/>
          <w:szCs w:val="24"/>
          <w:lang w:val="sr-Cyrl-CS"/>
        </w:rPr>
        <w:t xml:space="preserve"> у Републици Србији (2005-2019. године)</w:t>
      </w:r>
    </w:p>
    <w:p w14:paraId="15B68BC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73E92F2D" wp14:editId="53C3BF1E">
            <wp:extent cx="5711825" cy="3439160"/>
            <wp:effectExtent l="0" t="0" r="0" b="0"/>
            <wp:docPr id="586"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9"/>
                    <a:srcRect/>
                    <a:stretch>
                      <a:fillRect/>
                    </a:stretch>
                  </pic:blipFill>
                  <pic:spPr>
                    <a:xfrm>
                      <a:off x="0" y="0"/>
                      <a:ext cx="5711825" cy="3439160"/>
                    </a:xfrm>
                    <a:prstGeom prst="rect">
                      <a:avLst/>
                    </a:prstGeom>
                    <a:ln/>
                  </pic:spPr>
                </pic:pic>
              </a:graphicData>
            </a:graphic>
          </wp:inline>
        </w:drawing>
      </w:r>
    </w:p>
    <w:p w14:paraId="171D0F1D" w14:textId="77777777" w:rsidR="00A0251B" w:rsidRPr="00CC35F0" w:rsidRDefault="008D6506" w:rsidP="008F7A25">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Јавна производња електричне и топлотне енергије далеко је највећи извор емисија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овај сектор емитује 91,5% укупних емисија. 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потичу од употребе домаћег лигнита као енергента у термоелектранама, и садржаја сумпора у домаћем лигниту. Треба нагласити да је NERP предвиђао већ знатно смањење емисија за 2018. и 2019. годину, и то 54,6</w:t>
      </w:r>
      <w:r w:rsidR="000F7C3C"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kt 2018. и 2019</w:t>
      </w:r>
      <w:r w:rsidR="000F7C3C" w:rsidRPr="00CC35F0">
        <w:rPr>
          <w:rFonts w:ascii="Times New Roman" w:eastAsia="Times New Roman" w:hAnsi="Times New Roman"/>
          <w:sz w:val="24"/>
          <w:szCs w:val="24"/>
          <w:lang w:val="sr-Cyrl-CS"/>
        </w:rPr>
        <w:t>. године</w:t>
      </w:r>
      <w:r w:rsidRPr="00CC35F0">
        <w:rPr>
          <w:rFonts w:ascii="Times New Roman" w:eastAsia="Times New Roman" w:hAnsi="Times New Roman"/>
          <w:sz w:val="24"/>
          <w:szCs w:val="24"/>
          <w:lang w:val="sr-Cyrl-CS"/>
        </w:rPr>
        <w:t>, уместо 310,3</w:t>
      </w:r>
      <w:r w:rsidR="000F7C3C"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kt и 361,8</w:t>
      </w:r>
      <w:r w:rsidR="000F7C3C"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kt респективно.</w:t>
      </w:r>
    </w:p>
    <w:p w14:paraId="50D97964" w14:textId="77777777" w:rsidR="00A0251B" w:rsidRPr="00CC35F0" w:rsidRDefault="008D6506" w:rsidP="008F7A25">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Преосталих 4,9% емисија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потиче из индустрије, нарочито оне која у својим процесима користи лигнит (66%), затим следе емисије које потичу од употребе уља за ложење (33%), док преостале 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из индустрије потичу од других енергената.</w:t>
      </w:r>
    </w:p>
    <w:p w14:paraId="4212D176" w14:textId="77777777" w:rsidR="00A0251B" w:rsidRPr="00CC35F0" w:rsidRDefault="008D6506" w:rsidP="008F7A25">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Укупне емисије NOx су 2019. године износиле 128,9 kt NOx, што значи да су пале за 13,0% у поређењу са 2015. годином, односно 23,8% у односу на 2005. годину. Укупне емисије одржавају константан опадајући тренд, што је резултат смањења емисија из сектора саобраћаја (29,6% смањење у односу на 2015. годину), а у одређеној мери и из сектора индустрије (7,9% смањење у поређењу са 2015. годином) (Слика 2). </w:t>
      </w:r>
    </w:p>
    <w:p w14:paraId="66FA776D"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i/>
          <w:color w:val="000000"/>
          <w:sz w:val="24"/>
          <w:szCs w:val="24"/>
          <w:lang w:val="sr-Cyrl-CS"/>
        </w:rPr>
      </w:pPr>
      <w:bookmarkStart w:id="16" w:name="_heading=h.z337ya" w:colFirst="0" w:colLast="0"/>
      <w:bookmarkEnd w:id="16"/>
      <w:r w:rsidRPr="00CC35F0">
        <w:rPr>
          <w:rFonts w:ascii="Times New Roman" w:eastAsia="Times New Roman" w:hAnsi="Times New Roman"/>
          <w:b/>
          <w:color w:val="000000"/>
          <w:sz w:val="24"/>
          <w:szCs w:val="24"/>
          <w:lang w:val="sr-Cyrl-CS"/>
        </w:rPr>
        <w:lastRenderedPageBreak/>
        <w:t>Слика 2: Укупне емисије NOx у Републици Србији (2005-2019. године)</w:t>
      </w:r>
    </w:p>
    <w:p w14:paraId="31C48F7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1787BFC9" wp14:editId="4DD54C59">
            <wp:extent cx="5779770" cy="3418840"/>
            <wp:effectExtent l="0" t="0" r="0" b="0"/>
            <wp:docPr id="588"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0"/>
                    <a:srcRect/>
                    <a:stretch>
                      <a:fillRect/>
                    </a:stretch>
                  </pic:blipFill>
                  <pic:spPr>
                    <a:xfrm>
                      <a:off x="0" y="0"/>
                      <a:ext cx="5779770" cy="3418840"/>
                    </a:xfrm>
                    <a:prstGeom prst="rect">
                      <a:avLst/>
                    </a:prstGeom>
                    <a:ln/>
                  </pic:spPr>
                </pic:pic>
              </a:graphicData>
            </a:graphic>
          </wp:inline>
        </w:drawing>
      </w:r>
    </w:p>
    <w:p w14:paraId="5CC01C79" w14:textId="77777777" w:rsidR="00A0251B" w:rsidRPr="00CC35F0" w:rsidRDefault="008D6506" w:rsidP="004E7B65">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Када је реч о емисијама NOx, највећи извор емисија у Републици Србији чини сектор производње електричне и топлотне енергије. Удео расте у односу на 2015. годину, када су чиниле 49,5%. Сектор саобраћаја са својих 19,2% представља други по реду извор емисија, али је удео овог сектора од 2015. године и поред повећања потрошње горива у друмском саобраћају ипак мањи захваљујући обнављању возног парка возилима бољих емисионих стандарда. У сектору друмског саобраћаја, 52,8% емисија NOx потичу од теретних возила и аутобуса, 36,3% од путничких аутомобила и 10,9% од комерцијалних возила. Треба нагласити да су емисије NOx из друмског саобраћаја у порасту од 2016. године.    </w:t>
      </w:r>
    </w:p>
    <w:p w14:paraId="511124CC" w14:textId="77777777" w:rsidR="00A0251B" w:rsidRPr="00CC35F0" w:rsidRDefault="008D6506" w:rsidP="00E66FF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Емисије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су 2019. године износиле 45,6 kt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што представља повећање од 2,3% у односу на 2015. годину, односно смањење од 5,7% у односу на 2005. годину. Укупне емисије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бележе раст од 2015. године. Предоминантни извор емисија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су остала стационарна ложишта, која доприносе са 67,4% емисија (у чему је удео емисија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од биомасе и лигнита који се ложе у домаћинствима 99,3%), затим спаљивање остатака из пољопривреде (спаљивање на отвореном) са 14,2%, и индустрија са 7,3% (Слика 3). За растући тренд емисија од 2016. године најодговорнији је сектор саобраћаја, у којем су емисије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порасле за 23,7% од 2016. године захваљујући повећању продаје дизел горива и повећању броја старих дизел возила у Републици Србији. Повећање укупне километраже аутомобила, комби и теретних возила узроковало је константан раст емисија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од хабања гума и кочница (те емисије од 2005. године расту у просеку 4,6% годишње, а између 2005</w:t>
      </w:r>
      <w:r w:rsidR="000F7C3C"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и 2019. године порасле су за чак 187,5%).</w:t>
      </w:r>
    </w:p>
    <w:p w14:paraId="19BD93F5"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i/>
          <w:color w:val="000000"/>
          <w:sz w:val="24"/>
          <w:szCs w:val="24"/>
          <w:lang w:val="sr-Cyrl-CS"/>
        </w:rPr>
      </w:pPr>
      <w:bookmarkStart w:id="17" w:name="_heading=h.3j2qqm3" w:colFirst="0" w:colLast="0"/>
      <w:bookmarkEnd w:id="17"/>
      <w:r w:rsidRPr="00CC35F0">
        <w:rPr>
          <w:rFonts w:ascii="Times New Roman" w:eastAsia="Times New Roman" w:hAnsi="Times New Roman"/>
          <w:b/>
          <w:color w:val="000000"/>
          <w:sz w:val="24"/>
          <w:szCs w:val="24"/>
          <w:lang w:val="sr-Cyrl-CS"/>
        </w:rPr>
        <w:lastRenderedPageBreak/>
        <w:t>Слика 3: Укупне емисије PM</w:t>
      </w:r>
      <w:r w:rsidRPr="00CC35F0">
        <w:rPr>
          <w:rFonts w:ascii="Times New Roman" w:eastAsia="Times New Roman" w:hAnsi="Times New Roman"/>
          <w:b/>
          <w:color w:val="000000"/>
          <w:sz w:val="24"/>
          <w:szCs w:val="24"/>
          <w:vertAlign w:val="subscript"/>
          <w:lang w:val="sr-Cyrl-CS"/>
        </w:rPr>
        <w:t>2.5</w:t>
      </w:r>
      <w:r w:rsidRPr="00CC35F0">
        <w:rPr>
          <w:rFonts w:ascii="Times New Roman" w:eastAsia="Times New Roman" w:hAnsi="Times New Roman"/>
          <w:b/>
          <w:color w:val="000000"/>
          <w:sz w:val="24"/>
          <w:szCs w:val="24"/>
          <w:lang w:val="sr-Cyrl-CS"/>
        </w:rPr>
        <w:t xml:space="preserve"> у Републици Србији (2005-2019. године)</w:t>
      </w:r>
    </w:p>
    <w:p w14:paraId="18E1DC6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0ADED35E" wp14:editId="215F793E">
            <wp:extent cx="5861685" cy="3466465"/>
            <wp:effectExtent l="0" t="0" r="0" b="0"/>
            <wp:docPr id="58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11"/>
                    <a:srcRect/>
                    <a:stretch>
                      <a:fillRect/>
                    </a:stretch>
                  </pic:blipFill>
                  <pic:spPr>
                    <a:xfrm>
                      <a:off x="0" y="0"/>
                      <a:ext cx="5861685" cy="3466465"/>
                    </a:xfrm>
                    <a:prstGeom prst="rect">
                      <a:avLst/>
                    </a:prstGeom>
                    <a:ln/>
                  </pic:spPr>
                </pic:pic>
              </a:graphicData>
            </a:graphic>
          </wp:inline>
        </w:drawing>
      </w:r>
    </w:p>
    <w:p w14:paraId="2BD1DA7A" w14:textId="77777777" w:rsidR="00A0251B" w:rsidRPr="00CC35F0" w:rsidRDefault="008D6506" w:rsidP="004E7B65">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Емисије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из ложења биомасе у домаћинствима не показују значајно побољшање од 2005. године, што одражава мала технолошка побољшања у смислу коришћења биомасе и других чврстих горива, што се може приписати и недостатку релевантних прописа којима би се стимулисали произвођачи котлова, шпорета и других уређаја на биомасу уместо на друга чврста горива, чиме би се побољшао учинак уређаја кроз унапређени дизајн производа намењених домаћем тржишту.</w:t>
      </w:r>
    </w:p>
    <w:p w14:paraId="2CB7397D" w14:textId="77777777" w:rsidR="00A0251B" w:rsidRPr="00CC35F0" w:rsidRDefault="008D6506" w:rsidP="004E7B65">
      <w:pPr>
        <w:ind w:firstLine="720"/>
        <w:rPr>
          <w:rFonts w:ascii="Times New Roman" w:eastAsia="Times New Roman" w:hAnsi="Times New Roman"/>
          <w:sz w:val="24"/>
          <w:szCs w:val="24"/>
          <w:lang w:val="sr-Cyrl-CS"/>
        </w:rPr>
      </w:pPr>
      <w:bookmarkStart w:id="18" w:name="_heading=h.1y810tw" w:colFirst="0" w:colLast="0"/>
      <w:bookmarkEnd w:id="18"/>
      <w:r w:rsidRPr="00CC35F0">
        <w:rPr>
          <w:rFonts w:ascii="Times New Roman" w:eastAsia="Times New Roman" w:hAnsi="Times New Roman"/>
          <w:sz w:val="24"/>
          <w:szCs w:val="24"/>
          <w:lang w:val="sr-Cyrl-CS"/>
        </w:rPr>
        <w:t>Поред тога, треба нагласити да је спаљивање остатака из пољопривреде једна од активности која знатно доприноси емисијама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нарочито емисијама које се јављају у периоду од неколико месеци. Спаљивање на отвореном се у Републици Србији и даље практикује упркос томе што је ова активност забрањена Законом о заштити од пожара („Службени гласник РС</w:t>
      </w:r>
      <w:r w:rsidR="004E7B65" w:rsidRPr="00CC35F0">
        <w:rPr>
          <w:rFonts w:ascii="Times New Roman" w:eastAsia="Times New Roman" w:hAnsi="Times New Roman"/>
          <w:sz w:val="24"/>
          <w:szCs w:val="24"/>
          <w:lang w:val="sr-Cyrl-CS"/>
        </w:rPr>
        <w:t>ˮ</w:t>
      </w:r>
      <w:r w:rsidRPr="00CC35F0">
        <w:rPr>
          <w:rFonts w:ascii="Times New Roman" w:eastAsia="Times New Roman" w:hAnsi="Times New Roman"/>
          <w:sz w:val="24"/>
          <w:szCs w:val="24"/>
          <w:lang w:val="sr-Cyrl-CS"/>
        </w:rPr>
        <w:t>, бр. 111/09, 20/15, 87/18 и 87/18 - др. закони) и Законом о пољопривредном земљишту („Службени гласник РС</w:t>
      </w:r>
      <w:r w:rsidR="004E7B65" w:rsidRPr="00CC35F0">
        <w:rPr>
          <w:rFonts w:ascii="Times New Roman" w:eastAsia="Times New Roman" w:hAnsi="Times New Roman"/>
          <w:sz w:val="24"/>
          <w:szCs w:val="24"/>
          <w:lang w:val="sr-Cyrl-CS"/>
        </w:rPr>
        <w:t>ˮ</w:t>
      </w:r>
      <w:r w:rsidRPr="00CC35F0">
        <w:rPr>
          <w:rFonts w:ascii="Times New Roman" w:eastAsia="Times New Roman" w:hAnsi="Times New Roman"/>
          <w:sz w:val="24"/>
          <w:szCs w:val="24"/>
          <w:lang w:val="sr-Cyrl-CS"/>
        </w:rPr>
        <w:t xml:space="preserve">, бр. 62/06, 65/08 - др. закон, 41/09, 112/15, 80/17 и 95/18 - др. закон). </w:t>
      </w:r>
    </w:p>
    <w:p w14:paraId="0C25289C" w14:textId="77777777" w:rsidR="00A0251B" w:rsidRPr="00CC35F0" w:rsidRDefault="008D6506" w:rsidP="004E7B65">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Емисије РМ</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садржане у националном </w:t>
      </w:r>
      <w:r w:rsidR="000314C7" w:rsidRPr="00CC35F0">
        <w:rPr>
          <w:rFonts w:ascii="Times New Roman" w:eastAsia="Times New Roman" w:hAnsi="Times New Roman"/>
          <w:sz w:val="24"/>
          <w:szCs w:val="24"/>
          <w:lang w:val="sr-Cyrl-CS"/>
        </w:rPr>
        <w:t>CLRTAP</w:t>
      </w:r>
      <w:r w:rsidRPr="00CC35F0">
        <w:rPr>
          <w:rFonts w:ascii="Times New Roman" w:eastAsia="Times New Roman" w:hAnsi="Times New Roman"/>
          <w:sz w:val="24"/>
          <w:szCs w:val="24"/>
          <w:lang w:val="sr-Cyrl-CS"/>
        </w:rPr>
        <w:t xml:space="preserve"> инвентару су примарне емисије PМ</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Треба напоменути да поред примарног PМ</w:t>
      </w:r>
      <w:r w:rsidRPr="00CC35F0">
        <w:rPr>
          <w:rFonts w:ascii="Times New Roman" w:eastAsia="Times New Roman" w:hAnsi="Times New Roman"/>
          <w:sz w:val="24"/>
          <w:szCs w:val="24"/>
          <w:vertAlign w:val="subscript"/>
          <w:lang w:val="sr-Cyrl-CS"/>
        </w:rPr>
        <w:t xml:space="preserve">2,5 </w:t>
      </w:r>
      <w:r w:rsidRPr="00CC35F0">
        <w:rPr>
          <w:rFonts w:ascii="Times New Roman" w:eastAsia="Times New Roman" w:hAnsi="Times New Roman"/>
          <w:sz w:val="24"/>
          <w:szCs w:val="24"/>
          <w:lang w:val="sr-Cyrl-CS"/>
        </w:rPr>
        <w:t>амбијентални ваздух садржи и секундарни PМ</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Секундарна формација настаје услед сложених фотохемијских реакција у атмосфери. Према томе, вредности које детектује систем за надзор амбијенталног ваздуха представљају и примарни и секундарни PМ</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Главни прекурсори/компоненте за секундарно формирање PМ</w:t>
      </w:r>
      <w:r w:rsidRPr="00CC35F0">
        <w:rPr>
          <w:rFonts w:ascii="Times New Roman" w:eastAsia="Times New Roman" w:hAnsi="Times New Roman"/>
          <w:sz w:val="24"/>
          <w:szCs w:val="24"/>
          <w:vertAlign w:val="subscript"/>
          <w:lang w:val="sr-Cyrl-CS"/>
        </w:rPr>
        <w:t xml:space="preserve">2,5 </w:t>
      </w:r>
      <w:r w:rsidRPr="00CC35F0">
        <w:rPr>
          <w:rFonts w:ascii="Times New Roman" w:eastAsia="Times New Roman" w:hAnsi="Times New Roman"/>
          <w:sz w:val="24"/>
          <w:szCs w:val="24"/>
          <w:lang w:val="sr-Cyrl-CS"/>
        </w:rPr>
        <w:t>су SО</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NOx, VOC и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На пример, SО</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у амбијенталном ваздуху може бити оксидован оксидантом као што је озон и хидроксилни радикал (OH) у H</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SО</w:t>
      </w:r>
      <w:r w:rsidRPr="00CC35F0">
        <w:rPr>
          <w:rFonts w:ascii="Times New Roman" w:eastAsia="Times New Roman" w:hAnsi="Times New Roman"/>
          <w:sz w:val="24"/>
          <w:szCs w:val="24"/>
          <w:vertAlign w:val="subscript"/>
          <w:lang w:val="sr-Cyrl-CS"/>
        </w:rPr>
        <w:t>4</w:t>
      </w:r>
      <w:r w:rsidRPr="00CC35F0">
        <w:rPr>
          <w:rFonts w:ascii="Times New Roman" w:eastAsia="Times New Roman" w:hAnsi="Times New Roman"/>
          <w:sz w:val="24"/>
          <w:szCs w:val="24"/>
          <w:lang w:val="sr-Cyrl-CS"/>
        </w:rPr>
        <w:t xml:space="preserve"> и скоро цео гас H</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SО</w:t>
      </w:r>
      <w:r w:rsidRPr="00CC35F0">
        <w:rPr>
          <w:rFonts w:ascii="Times New Roman" w:eastAsia="Times New Roman" w:hAnsi="Times New Roman"/>
          <w:sz w:val="24"/>
          <w:szCs w:val="24"/>
          <w:vertAlign w:val="subscript"/>
          <w:lang w:val="sr-Cyrl-CS"/>
        </w:rPr>
        <w:t>4</w:t>
      </w:r>
      <w:r w:rsidRPr="00CC35F0">
        <w:rPr>
          <w:rFonts w:ascii="Times New Roman" w:eastAsia="Times New Roman" w:hAnsi="Times New Roman"/>
          <w:sz w:val="24"/>
          <w:szCs w:val="24"/>
          <w:lang w:val="sr-Cyrl-CS"/>
        </w:rPr>
        <w:t xml:space="preserve"> може бити последица његовог ниског притиска паре у амбијенталном ваздуху који се претвара из гасовите фазе у фазу честица јер H</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SО</w:t>
      </w:r>
      <w:r w:rsidRPr="00CC35F0">
        <w:rPr>
          <w:rFonts w:ascii="Times New Roman" w:eastAsia="Times New Roman" w:hAnsi="Times New Roman"/>
          <w:sz w:val="24"/>
          <w:szCs w:val="24"/>
          <w:vertAlign w:val="subscript"/>
          <w:lang w:val="sr-Cyrl-CS"/>
        </w:rPr>
        <w:t>4</w:t>
      </w:r>
      <w:r w:rsidRPr="00CC35F0">
        <w:rPr>
          <w:rFonts w:ascii="Times New Roman" w:eastAsia="Times New Roman" w:hAnsi="Times New Roman"/>
          <w:sz w:val="24"/>
          <w:szCs w:val="24"/>
          <w:lang w:val="sr-Cyrl-CS"/>
        </w:rPr>
        <w:t xml:space="preserve"> даље реагује са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и формира сулфатне соли (NH</w:t>
      </w:r>
      <w:r w:rsidRPr="00CC35F0">
        <w:rPr>
          <w:rFonts w:ascii="Times New Roman" w:eastAsia="Times New Roman" w:hAnsi="Times New Roman"/>
          <w:sz w:val="24"/>
          <w:szCs w:val="24"/>
          <w:vertAlign w:val="subscript"/>
          <w:lang w:val="sr-Cyrl-CS"/>
        </w:rPr>
        <w:t>4</w:t>
      </w:r>
      <w:r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SО</w:t>
      </w:r>
      <w:r w:rsidRPr="00CC35F0">
        <w:rPr>
          <w:rFonts w:ascii="Times New Roman" w:eastAsia="Times New Roman" w:hAnsi="Times New Roman"/>
          <w:sz w:val="24"/>
          <w:szCs w:val="24"/>
          <w:vertAlign w:val="subscript"/>
          <w:lang w:val="sr-Cyrl-CS"/>
        </w:rPr>
        <w:t>4</w:t>
      </w:r>
      <w:r w:rsidRPr="00CC35F0">
        <w:rPr>
          <w:rFonts w:ascii="Times New Roman" w:eastAsia="Times New Roman" w:hAnsi="Times New Roman"/>
          <w:sz w:val="24"/>
          <w:szCs w:val="24"/>
          <w:lang w:val="sr-Cyrl-CS"/>
        </w:rPr>
        <w:t>, које су термички стабилне. Према томе, свако смањење емисије SО</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ће се поред примарних смањења PМ</w:t>
      </w:r>
      <w:r w:rsidRPr="00CC35F0">
        <w:rPr>
          <w:rFonts w:ascii="Times New Roman" w:eastAsia="Times New Roman" w:hAnsi="Times New Roman"/>
          <w:sz w:val="24"/>
          <w:szCs w:val="24"/>
          <w:vertAlign w:val="subscript"/>
          <w:lang w:val="sr-Cyrl-CS"/>
        </w:rPr>
        <w:t xml:space="preserve">2,5 </w:t>
      </w:r>
      <w:r w:rsidRPr="00CC35F0">
        <w:rPr>
          <w:rFonts w:ascii="Times New Roman" w:eastAsia="Times New Roman" w:hAnsi="Times New Roman"/>
          <w:sz w:val="24"/>
          <w:szCs w:val="24"/>
          <w:lang w:val="sr-Cyrl-CS"/>
        </w:rPr>
        <w:t>(које је покренуто примењеном технологијом одсумпоравања) одразити и на смањење секундарних PМ</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а комбиновани ефекат ће бити откривен од стране мреже за праћење квалитета амбијенталног ваздуха. Сличан процес се примењује и за емисије NOx које се завршава формирањем </w:t>
      </w:r>
      <w:r w:rsidRPr="00CC35F0">
        <w:rPr>
          <w:rFonts w:ascii="Times New Roman" w:eastAsia="Times New Roman" w:hAnsi="Times New Roman"/>
          <w:sz w:val="24"/>
          <w:szCs w:val="24"/>
          <w:lang w:val="sr-Cyrl-CS"/>
        </w:rPr>
        <w:lastRenderedPageBreak/>
        <w:t>нитратних соли које нису термички стабилне и могу се распасти у специфичним атмосферским условима.</w:t>
      </w:r>
    </w:p>
    <w:p w14:paraId="0893A4FE" w14:textId="77777777" w:rsidR="00A0251B" w:rsidRPr="00CC35F0" w:rsidRDefault="008D6506" w:rsidP="00D23E85">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Емисије испарљивих органских једињења су 2019. године износиле 121,3 kt VOC, што представља смањење од 18,8% у поређењу са 2005. и 3,6% у поређењу са 2015. годином. Најзначајније смањење емисија VOC забележено је у сектору друмског саобраћаја, где су емисије VOC пале за 77,2% у односу на 2005. и 49,7% у односу на 2015. годину, углавном због побољшаног возног парка путничких и комби возила на бензин. Ненамерне емисије VOC</w:t>
      </w:r>
      <w:r w:rsidRPr="00CC35F0">
        <w:rPr>
          <w:rFonts w:ascii="Times New Roman" w:eastAsia="Times New Roman" w:hAnsi="Times New Roman"/>
          <w:sz w:val="24"/>
          <w:szCs w:val="24"/>
          <w:vertAlign w:val="superscript"/>
          <w:lang w:val="sr-Cyrl-CS"/>
        </w:rPr>
        <w:footnoteReference w:id="15"/>
      </w:r>
      <w:r w:rsidRPr="00CC35F0">
        <w:rPr>
          <w:rFonts w:ascii="Times New Roman" w:eastAsia="Times New Roman" w:hAnsi="Times New Roman"/>
          <w:sz w:val="24"/>
          <w:szCs w:val="24"/>
          <w:lang w:val="sr-Cyrl-CS"/>
        </w:rPr>
        <w:t>, које представљају 30,8% свих емисија, су од 2015. порасле за 3,2%, углавном због повећања ненамерних емисија из употребе чврстих горива, на пример, из активности рударења и руковања угљем (+1,9%) и услед повећања дистрибуције нафтних производа (+11,9%).</w:t>
      </w:r>
    </w:p>
    <w:p w14:paraId="232D6038" w14:textId="77777777" w:rsidR="00A0251B" w:rsidRPr="00CC35F0" w:rsidRDefault="008D6506" w:rsidP="00D23E85">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После ненамерних емисија VOC, следе емисије из других стационарних извора (са биомасом која се користи у домаћинствима), чији удео износи 21,9% у укупним емисијама VOC. Емисије из ових извора су од 2015. године порасле за 6,5%, углавном због повећања коришћења биомасе као енергента у домаћинствима. </w:t>
      </w:r>
    </w:p>
    <w:p w14:paraId="1ED103CF"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i/>
          <w:color w:val="000000"/>
          <w:sz w:val="24"/>
          <w:szCs w:val="24"/>
          <w:lang w:val="sr-Cyrl-CS"/>
        </w:rPr>
      </w:pPr>
      <w:bookmarkStart w:id="19" w:name="_heading=h.4i7ojhp" w:colFirst="0" w:colLast="0"/>
      <w:bookmarkEnd w:id="19"/>
      <w:r w:rsidRPr="00CC35F0">
        <w:rPr>
          <w:rFonts w:ascii="Times New Roman" w:eastAsia="Times New Roman" w:hAnsi="Times New Roman"/>
          <w:b/>
          <w:color w:val="000000"/>
          <w:sz w:val="24"/>
          <w:szCs w:val="24"/>
          <w:lang w:val="sr-Cyrl-CS"/>
        </w:rPr>
        <w:t>Слика 4: Укупне емисије VOC у Републици Србији (2005-2019. године)</w:t>
      </w:r>
    </w:p>
    <w:p w14:paraId="538BF04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66BB0CEC" wp14:editId="30EBABED">
            <wp:extent cx="5875655" cy="3466465"/>
            <wp:effectExtent l="0" t="0" r="0" b="0"/>
            <wp:docPr id="590"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2"/>
                    <a:srcRect/>
                    <a:stretch>
                      <a:fillRect/>
                    </a:stretch>
                  </pic:blipFill>
                  <pic:spPr>
                    <a:xfrm>
                      <a:off x="0" y="0"/>
                      <a:ext cx="5875655" cy="3466465"/>
                    </a:xfrm>
                    <a:prstGeom prst="rect">
                      <a:avLst/>
                    </a:prstGeom>
                    <a:ln/>
                  </pic:spPr>
                </pic:pic>
              </a:graphicData>
            </a:graphic>
          </wp:inline>
        </w:drawing>
      </w:r>
    </w:p>
    <w:p w14:paraId="3A8D5943" w14:textId="77777777" w:rsidR="00A0251B" w:rsidRPr="00CC35F0" w:rsidRDefault="008D6506" w:rsidP="00B54B2D">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Емисије VOC из сектора пољопривреде чине удео од 17,5%, и пале су за 3,7% од 2015. године. Највећи извор емисија VOC из пољопривреде потиче из управљања стајњаком, и чине 83,3% удела у укупним емисијама VOC, затим следе VOC из узгоја житарица са 14,1% и спаљивање остатака из пољопривреде на отвореном са 2,6%. У делу управљања стајњаком, VOC из млечног говедарства износи 42,8%, из немлечног говедарства 23,9%, из узгоја свиња 12,2% и 21,2% из узгоја остале стоке и живине, као што су овце, козе, коке носиље и товни пилићи. </w:t>
      </w:r>
    </w:p>
    <w:p w14:paraId="5BA64325" w14:textId="77777777" w:rsidR="00A0251B" w:rsidRPr="00CC35F0" w:rsidRDefault="008D6506" w:rsidP="00B54B2D">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су 2019. године у Републици Србији износиле 76,1 kt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што у односу на 2005. годину представља пад емисија, будући да су те године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имале удео од 31,2%; међутим, у односу на 2015. годину, забележен је пораст од 14,5%. Предоминантни сектор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је пољопривреда, чији је удео у укупним националним емисијама чак 90,7%. Преосталих 9,3% потиче из сектора управљања отпадом (5,1%), индустрије (3,4%) и осталих сектора (0,7%). Главни извор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је управљање стајњаком, који чини 85,5% пољопривредних емисија, затим следе 10,6% од неорганских азотних ђубрива (укључујући наношење урее) и спаљивање пољопривредних остатака на отвореном (3,8%). Опадајући тренд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углавном је резултат смањења активности узгоја свиња у Републици Србији.</w:t>
      </w:r>
    </w:p>
    <w:p w14:paraId="146ABA2F"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i/>
          <w:color w:val="000000"/>
          <w:sz w:val="24"/>
          <w:szCs w:val="24"/>
          <w:lang w:val="sr-Cyrl-CS"/>
        </w:rPr>
      </w:pPr>
      <w:bookmarkStart w:id="20" w:name="_heading=h.2xcytpi" w:colFirst="0" w:colLast="0"/>
      <w:bookmarkEnd w:id="20"/>
      <w:r w:rsidRPr="00CC35F0">
        <w:rPr>
          <w:rFonts w:ascii="Times New Roman" w:eastAsia="Times New Roman" w:hAnsi="Times New Roman"/>
          <w:b/>
          <w:color w:val="000000"/>
          <w:sz w:val="24"/>
          <w:szCs w:val="24"/>
          <w:lang w:val="sr-Cyrl-CS"/>
        </w:rPr>
        <w:t>Слика 5: Укупне емисије NH</w:t>
      </w:r>
      <w:r w:rsidRPr="00CC35F0">
        <w:rPr>
          <w:rFonts w:ascii="Times New Roman" w:eastAsia="Times New Roman" w:hAnsi="Times New Roman"/>
          <w:b/>
          <w:color w:val="000000"/>
          <w:sz w:val="24"/>
          <w:szCs w:val="24"/>
          <w:vertAlign w:val="subscript"/>
          <w:lang w:val="sr-Cyrl-CS"/>
        </w:rPr>
        <w:t>3</w:t>
      </w:r>
      <w:r w:rsidRPr="00CC35F0">
        <w:rPr>
          <w:rFonts w:ascii="Times New Roman" w:eastAsia="Times New Roman" w:hAnsi="Times New Roman"/>
          <w:b/>
          <w:color w:val="000000"/>
          <w:sz w:val="24"/>
          <w:szCs w:val="24"/>
          <w:lang w:val="sr-Cyrl-CS"/>
        </w:rPr>
        <w:t xml:space="preserve"> у Републици Србији (2005-2019. године)</w:t>
      </w:r>
    </w:p>
    <w:p w14:paraId="5D756B7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5C2F760B" wp14:editId="23D060C2">
            <wp:extent cx="5841365" cy="3446145"/>
            <wp:effectExtent l="0" t="0" r="0" b="0"/>
            <wp:docPr id="589"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3"/>
                    <a:srcRect/>
                    <a:stretch>
                      <a:fillRect/>
                    </a:stretch>
                  </pic:blipFill>
                  <pic:spPr>
                    <a:xfrm>
                      <a:off x="0" y="0"/>
                      <a:ext cx="5841365" cy="3446145"/>
                    </a:xfrm>
                    <a:prstGeom prst="rect">
                      <a:avLst/>
                    </a:prstGeom>
                    <a:ln/>
                  </pic:spPr>
                </pic:pic>
              </a:graphicData>
            </a:graphic>
          </wp:inline>
        </w:drawing>
      </w:r>
    </w:p>
    <w:p w14:paraId="7CA7F477" w14:textId="77777777" w:rsidR="00A0251B" w:rsidRPr="00CC35F0" w:rsidRDefault="008D6506" w:rsidP="00D23E85">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Треба нагласити да су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из индустрије знатно опале 2019. године. Смањење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из овог сектора последица је обуставе производње амонијум-нитрата због неусаглашености са прописима из области заштите животне средине и са тржишним условима. </w:t>
      </w:r>
    </w:p>
    <w:p w14:paraId="525A6354" w14:textId="77777777" w:rsidR="00A0251B" w:rsidRPr="00CC35F0" w:rsidRDefault="00A0251B">
      <w:pPr>
        <w:rPr>
          <w:rFonts w:ascii="Times New Roman" w:eastAsia="Times New Roman" w:hAnsi="Times New Roman"/>
          <w:sz w:val="24"/>
          <w:szCs w:val="24"/>
          <w:lang w:val="sr-Cyrl-CS"/>
        </w:rPr>
      </w:pPr>
    </w:p>
    <w:p w14:paraId="70A16F25" w14:textId="77777777" w:rsidR="00A0251B" w:rsidRPr="00CC35F0" w:rsidRDefault="008D6506" w:rsidP="00382EC6">
      <w:pPr>
        <w:pStyle w:val="Heading2"/>
        <w:numPr>
          <w:ilvl w:val="1"/>
          <w:numId w:val="26"/>
        </w:numPr>
        <w:rPr>
          <w:rFonts w:ascii="Times New Roman" w:eastAsia="Times New Roman" w:hAnsi="Times New Roman"/>
          <w:lang w:val="sr-Cyrl-CS"/>
        </w:rPr>
      </w:pPr>
      <w:bookmarkStart w:id="21" w:name="_heading=h.1ci93xb" w:colFirst="0" w:colLast="0"/>
      <w:bookmarkEnd w:id="21"/>
      <w:r w:rsidRPr="00CC35F0">
        <w:rPr>
          <w:rFonts w:ascii="Times New Roman" w:eastAsia="Times New Roman" w:hAnsi="Times New Roman"/>
          <w:lang w:val="sr-Cyrl-CS"/>
        </w:rPr>
        <w:t>Историјски преглед заштите ваздуха у зонама и агломерацијама у Републици Србији</w:t>
      </w:r>
    </w:p>
    <w:p w14:paraId="7C31D247" w14:textId="77777777" w:rsidR="00A0251B" w:rsidRPr="00CC35F0" w:rsidRDefault="00A0251B">
      <w:pPr>
        <w:rPr>
          <w:rFonts w:ascii="Times New Roman" w:eastAsia="Times New Roman" w:hAnsi="Times New Roman"/>
          <w:sz w:val="24"/>
          <w:szCs w:val="24"/>
          <w:highlight w:val="yellow"/>
          <w:lang w:val="sr-Cyrl-CS"/>
        </w:rPr>
      </w:pPr>
    </w:p>
    <w:p w14:paraId="1E5CE71B" w14:textId="77777777" w:rsidR="00A0251B" w:rsidRPr="00CC35F0" w:rsidRDefault="008D6506" w:rsidP="00D23E85">
      <w:pPr>
        <w:spacing w:after="0"/>
        <w:ind w:firstLine="576"/>
        <w:rPr>
          <w:rFonts w:ascii="Times New Roman" w:eastAsia="Times New Roman" w:hAnsi="Times New Roman"/>
          <w:sz w:val="24"/>
          <w:szCs w:val="24"/>
          <w:lang w:val="sr-Cyrl-CS"/>
        </w:rPr>
      </w:pPr>
      <w:bookmarkStart w:id="22" w:name="_heading=h.3whwml4" w:colFirst="0" w:colLast="0"/>
      <w:bookmarkEnd w:id="22"/>
      <w:r w:rsidRPr="00CC35F0">
        <w:rPr>
          <w:rFonts w:ascii="Times New Roman" w:eastAsia="Times New Roman" w:hAnsi="Times New Roman"/>
          <w:sz w:val="24"/>
          <w:szCs w:val="24"/>
          <w:lang w:val="sr-Cyrl-CS"/>
        </w:rPr>
        <w:t>Аутоматски и систематски мониторинг квалитета ваздуха у Републици Србији датира још из 2002. године, када су успостављене прве аутоматске станице за мониторинг у Републици Србији, и то у Панчеву и у Градском заводу за јавно здравље у Београду. Убрзо по оснивању А</w:t>
      </w:r>
      <w:r w:rsidR="00530410" w:rsidRPr="00CC35F0">
        <w:rPr>
          <w:rFonts w:ascii="Times New Roman" w:eastAsia="Times New Roman" w:hAnsi="Times New Roman"/>
          <w:sz w:val="24"/>
          <w:szCs w:val="24"/>
          <w:lang w:val="sr-Cyrl-CS"/>
        </w:rPr>
        <w:t>ЗЖС</w:t>
      </w:r>
      <w:r w:rsidRPr="00CC35F0">
        <w:rPr>
          <w:rFonts w:ascii="Times New Roman" w:eastAsia="Times New Roman" w:hAnsi="Times New Roman"/>
          <w:sz w:val="24"/>
          <w:szCs w:val="24"/>
          <w:lang w:val="sr-Cyrl-CS"/>
        </w:rPr>
        <w:t xml:space="preserve">, </w:t>
      </w:r>
      <w:r w:rsidR="00C31969" w:rsidRPr="00CC35F0">
        <w:rPr>
          <w:rFonts w:ascii="Times New Roman" w:eastAsia="Times New Roman" w:hAnsi="Times New Roman"/>
          <w:sz w:val="24"/>
          <w:szCs w:val="24"/>
          <w:lang w:val="sr-Cyrl-CS"/>
        </w:rPr>
        <w:t xml:space="preserve">АЗЖС </w:t>
      </w:r>
      <w:r w:rsidRPr="00CC35F0">
        <w:rPr>
          <w:rFonts w:ascii="Times New Roman" w:eastAsia="Times New Roman" w:hAnsi="Times New Roman"/>
          <w:sz w:val="24"/>
          <w:szCs w:val="24"/>
          <w:lang w:val="sr-Cyrl-CS"/>
        </w:rPr>
        <w:t xml:space="preserve">је 2006. године инсталирала и ставила у рад станице за мониторинг. Државна мрежа за аутоматски мониторинг квалитета ваздуха у Републици Србији, којом управља </w:t>
      </w:r>
      <w:r w:rsidR="000F7C3C" w:rsidRPr="00CC35F0">
        <w:rPr>
          <w:rFonts w:ascii="Times New Roman" w:eastAsia="Times New Roman" w:hAnsi="Times New Roman"/>
          <w:sz w:val="24"/>
          <w:szCs w:val="24"/>
          <w:lang w:val="sr-Cyrl-CS"/>
        </w:rPr>
        <w:t>АЗЖС</w:t>
      </w:r>
      <w:r w:rsidRPr="00CC35F0">
        <w:rPr>
          <w:rFonts w:ascii="Times New Roman" w:eastAsia="Times New Roman" w:hAnsi="Times New Roman"/>
          <w:sz w:val="24"/>
          <w:szCs w:val="24"/>
          <w:lang w:val="sr-Cyrl-CS"/>
        </w:rPr>
        <w:t xml:space="preserve">, се ширила и употпунила у периоду 2009-2010. године у оквиру пројекта Европске уније. Паралелно с тим, расла је информисаност и свест о доступности података о квалитету ваздуха и у локалним заједницама и агломерацијама. До краја 2020. године, државна мрежа имала је [34] локације. На различитим местима мере се </w:t>
      </w:r>
      <w:r w:rsidRPr="00CC35F0">
        <w:rPr>
          <w:rFonts w:ascii="Times New Roman" w:eastAsia="Times New Roman" w:hAnsi="Times New Roman"/>
          <w:sz w:val="24"/>
          <w:szCs w:val="24"/>
          <w:lang w:val="sr-Cyrl-CS"/>
        </w:rPr>
        <w:lastRenderedPageBreak/>
        <w:t>различити параметри квалитета ваздуха, као што су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NO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O</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CO, BTX (бензен, толуен, ксилен), тешки метали и PAHs. Мрежа за праћење квалитета ваздуха је 2019. године покривала 47,6% укупног становништва. Квалитет ваздуха у Републици Србији сврстава се у три категорије. Прва категорија квалитета ва</w:t>
      </w:r>
      <w:r w:rsidR="000F7C3C" w:rsidRPr="00CC35F0">
        <w:rPr>
          <w:rFonts w:ascii="Times New Roman" w:eastAsia="Times New Roman" w:hAnsi="Times New Roman"/>
          <w:sz w:val="24"/>
          <w:szCs w:val="24"/>
          <w:lang w:val="sr-Cyrl-CS"/>
        </w:rPr>
        <w:t>здуха је чист или благо загађен</w:t>
      </w:r>
      <w:r w:rsidRPr="00CC35F0">
        <w:rPr>
          <w:rFonts w:ascii="Times New Roman" w:eastAsia="Times New Roman" w:hAnsi="Times New Roman"/>
          <w:sz w:val="24"/>
          <w:szCs w:val="24"/>
          <w:lang w:val="sr-Cyrl-CS"/>
        </w:rPr>
        <w:t xml:space="preserve"> амбијентални ваздух, где нема прекорачења граничних вредности ни за једну загађујућу материју. Друга категорија је умерено загађен ваздух, где се бележе прекорачења граничних вредности за једну или више загађујућих материја, али није прекорачена толерантна вредност за те загађујуће материје,</w:t>
      </w:r>
      <w:r w:rsidRPr="00CC35F0">
        <w:rPr>
          <w:rFonts w:ascii="Times New Roman" w:eastAsia="Times New Roman" w:hAnsi="Times New Roman"/>
          <w:sz w:val="24"/>
          <w:szCs w:val="24"/>
          <w:vertAlign w:val="superscript"/>
          <w:lang w:val="sr-Cyrl-CS"/>
        </w:rPr>
        <w:footnoteReference w:id="16"/>
      </w:r>
      <w:r w:rsidRPr="00CC35F0">
        <w:rPr>
          <w:rFonts w:ascii="Times New Roman" w:eastAsia="Times New Roman" w:hAnsi="Times New Roman"/>
          <w:sz w:val="24"/>
          <w:szCs w:val="24"/>
          <w:lang w:val="sr-Cyrl-CS"/>
        </w:rPr>
        <w:t xml:space="preserve"> док трећа категорија представља прекомерно загађен амбијентални ваздух, при чему су забележена прекорачења прагова толеранције једне или више загађујућих материја. </w:t>
      </w:r>
    </w:p>
    <w:p w14:paraId="6D1AAD47" w14:textId="77777777" w:rsidR="00A0251B" w:rsidRPr="00CC35F0" w:rsidRDefault="008D6506" w:rsidP="000F7C3C">
      <w:pPr>
        <w:spacing w:after="0"/>
        <w:ind w:firstLine="720"/>
        <w:rPr>
          <w:rFonts w:ascii="Times New Roman" w:eastAsia="Times New Roman" w:hAnsi="Times New Roman"/>
          <w:sz w:val="24"/>
          <w:szCs w:val="24"/>
          <w:u w:val="single"/>
          <w:lang w:val="sr-Cyrl-CS"/>
        </w:rPr>
      </w:pPr>
      <w:r w:rsidRPr="00CC35F0">
        <w:rPr>
          <w:rFonts w:ascii="Times New Roman" w:eastAsia="Times New Roman" w:hAnsi="Times New Roman"/>
          <w:sz w:val="24"/>
          <w:szCs w:val="24"/>
          <w:lang w:val="sr-Cyrl-CS"/>
        </w:rPr>
        <w:t xml:space="preserve">Број становника изложених ваздуху лошег квалитета у Републици Србији расте од 2013. године (Слика 6) </w:t>
      </w:r>
    </w:p>
    <w:p w14:paraId="33767F05" w14:textId="77777777" w:rsidR="00A0251B" w:rsidRPr="00CC35F0" w:rsidRDefault="008D6506">
      <w:pP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 xml:space="preserve"> </w:t>
      </w:r>
    </w:p>
    <w:p w14:paraId="63F3B0F7"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i/>
          <w:color w:val="000000"/>
          <w:sz w:val="24"/>
          <w:szCs w:val="24"/>
          <w:lang w:val="sr-Cyrl-CS"/>
        </w:rPr>
      </w:pPr>
      <w:bookmarkStart w:id="23" w:name="_heading=h.2bn6wsx" w:colFirst="0" w:colLast="0"/>
      <w:bookmarkEnd w:id="23"/>
      <w:r w:rsidRPr="00CC35F0">
        <w:rPr>
          <w:rFonts w:ascii="Times New Roman" w:eastAsia="Times New Roman" w:hAnsi="Times New Roman"/>
          <w:b/>
          <w:color w:val="000000"/>
          <w:sz w:val="24"/>
          <w:szCs w:val="24"/>
          <w:lang w:val="sr-Cyrl-CS"/>
        </w:rPr>
        <w:t>Слика 6: Дистрибуција становништва у Републици Србији према категоријама квалитета ваздуха (2010-2019. године)</w:t>
      </w:r>
    </w:p>
    <w:p w14:paraId="16D8DEE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0C1CC760" wp14:editId="471959A2">
            <wp:extent cx="5861685" cy="3050540"/>
            <wp:effectExtent l="0" t="0" r="0" b="0"/>
            <wp:docPr id="592"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4"/>
                    <a:srcRect/>
                    <a:stretch>
                      <a:fillRect/>
                    </a:stretch>
                  </pic:blipFill>
                  <pic:spPr>
                    <a:xfrm>
                      <a:off x="0" y="0"/>
                      <a:ext cx="5861685" cy="3050540"/>
                    </a:xfrm>
                    <a:prstGeom prst="rect">
                      <a:avLst/>
                    </a:prstGeom>
                    <a:ln/>
                  </pic:spPr>
                </pic:pic>
              </a:graphicData>
            </a:graphic>
          </wp:inline>
        </w:drawing>
      </w:r>
    </w:p>
    <w:p w14:paraId="18EB2DD7" w14:textId="77777777" w:rsidR="00A0251B" w:rsidRPr="00CC35F0" w:rsidRDefault="008D6506" w:rsidP="00D23E85">
      <w:pPr>
        <w:keepNext/>
        <w:pBdr>
          <w:top w:val="nil"/>
          <w:left w:val="nil"/>
          <w:bottom w:val="nil"/>
          <w:right w:val="nil"/>
          <w:between w:val="nil"/>
        </w:pBdr>
        <w:spacing w:before="120" w:after="60"/>
        <w:ind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Број градова у зони Србија и зони Војводина и агломерација са ваздухом лошег квалитета расте од 2013. године, када је 26,7% свих становника у градовима и агломерацијама било изложено ваздуху треће категорије, док је тај проценат 2019. године нарастао на 44%. Када посматрамо само градове и агломерације у којима постоји праћење квалитета ваздуха у зони Србија и зони Војводина, може се уочити да се квалитет ваздуха погоршава. </w:t>
      </w:r>
    </w:p>
    <w:p w14:paraId="114A4B41" w14:textId="77777777" w:rsidR="00A0251B" w:rsidRPr="00CC35F0" w:rsidRDefault="00A0251B">
      <w:pPr>
        <w:rPr>
          <w:rFonts w:ascii="Times New Roman" w:eastAsia="Times New Roman" w:hAnsi="Times New Roman"/>
          <w:sz w:val="24"/>
          <w:szCs w:val="24"/>
          <w:lang w:val="sr-Cyrl-CS"/>
        </w:rPr>
      </w:pPr>
    </w:p>
    <w:p w14:paraId="6A35AE4A"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i/>
          <w:color w:val="000000"/>
          <w:sz w:val="24"/>
          <w:szCs w:val="24"/>
          <w:lang w:val="sr-Cyrl-CS"/>
        </w:rPr>
      </w:pPr>
      <w:bookmarkStart w:id="24" w:name="_heading=h.qsh70q" w:colFirst="0" w:colLast="0"/>
      <w:bookmarkEnd w:id="24"/>
      <w:r w:rsidRPr="00CC35F0">
        <w:rPr>
          <w:rFonts w:ascii="Times New Roman" w:eastAsia="Times New Roman" w:hAnsi="Times New Roman"/>
          <w:b/>
          <w:color w:val="000000"/>
          <w:sz w:val="24"/>
          <w:szCs w:val="24"/>
          <w:lang w:val="sr-Cyrl-CS"/>
        </w:rPr>
        <w:lastRenderedPageBreak/>
        <w:t>Слика 7: Дистрибуција становништва у агломерацијама</w:t>
      </w:r>
      <w:r w:rsidRPr="00CC35F0">
        <w:rPr>
          <w:rFonts w:ascii="Times New Roman" w:eastAsia="Times New Roman" w:hAnsi="Times New Roman"/>
          <w:color w:val="000000"/>
          <w:sz w:val="24"/>
          <w:szCs w:val="24"/>
          <w:vertAlign w:val="superscript"/>
          <w:lang w:val="sr-Cyrl-CS"/>
        </w:rPr>
        <w:footnoteReference w:id="17"/>
      </w:r>
      <w:r w:rsidRPr="00CC35F0">
        <w:rPr>
          <w:rFonts w:ascii="Times New Roman" w:eastAsia="Times New Roman" w:hAnsi="Times New Roman"/>
          <w:b/>
          <w:color w:val="000000"/>
          <w:sz w:val="24"/>
          <w:szCs w:val="24"/>
          <w:lang w:val="sr-Cyrl-CS"/>
        </w:rPr>
        <w:t xml:space="preserve"> према категоријама квалитета ваздуха (2010-2019. године)</w:t>
      </w:r>
    </w:p>
    <w:p w14:paraId="286C372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329078B0" wp14:editId="6B72D3CC">
            <wp:extent cx="5868670" cy="3098165"/>
            <wp:effectExtent l="0" t="0" r="0" b="0"/>
            <wp:docPr id="591"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5"/>
                    <a:srcRect/>
                    <a:stretch>
                      <a:fillRect/>
                    </a:stretch>
                  </pic:blipFill>
                  <pic:spPr>
                    <a:xfrm>
                      <a:off x="0" y="0"/>
                      <a:ext cx="5868670" cy="3098165"/>
                    </a:xfrm>
                    <a:prstGeom prst="rect">
                      <a:avLst/>
                    </a:prstGeom>
                    <a:ln/>
                  </pic:spPr>
                </pic:pic>
              </a:graphicData>
            </a:graphic>
          </wp:inline>
        </w:drawing>
      </w:r>
    </w:p>
    <w:p w14:paraId="5A8BDC8E" w14:textId="77777777" w:rsidR="00A0251B" w:rsidRPr="00CC35F0" w:rsidRDefault="008D6506" w:rsidP="007856A4">
      <w:pPr>
        <w:keepNext/>
        <w:pBdr>
          <w:top w:val="nil"/>
          <w:left w:val="nil"/>
          <w:bottom w:val="nil"/>
          <w:right w:val="nil"/>
          <w:between w:val="nil"/>
        </w:pBdr>
        <w:spacing w:before="120" w:after="60"/>
        <w:ind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Године 2019. је 92,4% становништва живело у агломерацијама (3,053 милиона) у којима је ваздух био прекомерно загађен, и где је дошло до прекорачења </w:t>
      </w:r>
      <w:r w:rsidRPr="00CC35F0">
        <w:rPr>
          <w:rFonts w:ascii="Times New Roman" w:eastAsia="Times New Roman" w:hAnsi="Times New Roman"/>
          <w:sz w:val="24"/>
          <w:szCs w:val="24"/>
          <w:lang w:val="sr-Cyrl-CS"/>
        </w:rPr>
        <w:t>толерантних вредности</w:t>
      </w:r>
      <w:r w:rsidRPr="00CC35F0">
        <w:rPr>
          <w:rFonts w:ascii="Times New Roman" w:eastAsia="Times New Roman" w:hAnsi="Times New Roman"/>
          <w:color w:val="000000"/>
          <w:sz w:val="24"/>
          <w:szCs w:val="24"/>
          <w:lang w:val="sr-Cyrl-CS"/>
        </w:rPr>
        <w:t xml:space="preserve"> за једну или више загађујућих материја, док је тај проценат 2014. године износио 57,5%.</w:t>
      </w:r>
    </w:p>
    <w:p w14:paraId="42991F2F" w14:textId="77777777" w:rsidR="00A0251B" w:rsidRPr="00CC35F0" w:rsidRDefault="008D6506" w:rsidP="007856A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Процена састава прекорачења граничних вредности указује да је највећи извор прекорачења прекорачење за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Број календарских дана за који се сматра да прекорачење граничне вредности од 50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не утиче на здравље људи је 35. Овај захтев је прекорачен на 28 од 32 локације у националној мрежи у којима се врши мерење овог параметра (Слика 8).</w:t>
      </w:r>
    </w:p>
    <w:p w14:paraId="074E21A0"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color w:val="000000"/>
          <w:sz w:val="24"/>
          <w:szCs w:val="24"/>
          <w:lang w:val="sr-Cyrl-CS"/>
        </w:rPr>
      </w:pPr>
      <w:bookmarkStart w:id="25" w:name="_heading=h.3as4poj" w:colFirst="0" w:colLast="0"/>
      <w:bookmarkEnd w:id="25"/>
      <w:r w:rsidRPr="00CC35F0">
        <w:rPr>
          <w:rFonts w:ascii="Times New Roman" w:eastAsia="Times New Roman" w:hAnsi="Times New Roman"/>
          <w:b/>
          <w:color w:val="000000"/>
          <w:sz w:val="24"/>
          <w:szCs w:val="24"/>
          <w:lang w:val="sr-Cyrl-CS"/>
        </w:rPr>
        <w:lastRenderedPageBreak/>
        <w:t>Слика 8: Станице за мерење квалитета ваздуха са бројем дана у којима је забележено прекорачење од 50 μg/m</w:t>
      </w:r>
      <w:r w:rsidRPr="00CC35F0">
        <w:rPr>
          <w:rFonts w:ascii="Times New Roman" w:eastAsia="Times New Roman" w:hAnsi="Times New Roman"/>
          <w:b/>
          <w:color w:val="000000"/>
          <w:sz w:val="24"/>
          <w:szCs w:val="24"/>
          <w:vertAlign w:val="superscript"/>
          <w:lang w:val="sr-Cyrl-CS"/>
        </w:rPr>
        <w:t>3</w:t>
      </w:r>
      <w:r w:rsidRPr="00CC35F0">
        <w:rPr>
          <w:rFonts w:ascii="Times New Roman" w:eastAsia="Times New Roman" w:hAnsi="Times New Roman"/>
          <w:b/>
          <w:color w:val="000000"/>
          <w:sz w:val="24"/>
          <w:szCs w:val="24"/>
          <w:lang w:val="sr-Cyrl-CS"/>
        </w:rPr>
        <w:t xml:space="preserve"> и годишња вредност PM</w:t>
      </w:r>
      <w:r w:rsidRPr="00CC35F0">
        <w:rPr>
          <w:rFonts w:ascii="Times New Roman" w:eastAsia="Times New Roman" w:hAnsi="Times New Roman"/>
          <w:b/>
          <w:color w:val="000000"/>
          <w:sz w:val="24"/>
          <w:szCs w:val="24"/>
          <w:vertAlign w:val="subscript"/>
          <w:lang w:val="sr-Cyrl-CS"/>
        </w:rPr>
        <w:t>10</w:t>
      </w:r>
      <w:r w:rsidRPr="00CC35F0">
        <w:rPr>
          <w:rFonts w:ascii="Times New Roman" w:eastAsia="Times New Roman" w:hAnsi="Times New Roman"/>
          <w:b/>
          <w:color w:val="000000"/>
          <w:sz w:val="24"/>
          <w:szCs w:val="24"/>
          <w:lang w:val="sr-Cyrl-CS"/>
        </w:rPr>
        <w:t xml:space="preserve"> </w:t>
      </w:r>
    </w:p>
    <w:p w14:paraId="5B6C988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2F342D79" wp14:editId="7FC1583D">
            <wp:extent cx="5875655" cy="4094480"/>
            <wp:effectExtent l="0" t="0" r="0" b="0"/>
            <wp:docPr id="594"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6"/>
                    <a:srcRect/>
                    <a:stretch>
                      <a:fillRect/>
                    </a:stretch>
                  </pic:blipFill>
                  <pic:spPr>
                    <a:xfrm>
                      <a:off x="0" y="0"/>
                      <a:ext cx="5875655" cy="4094480"/>
                    </a:xfrm>
                    <a:prstGeom prst="rect">
                      <a:avLst/>
                    </a:prstGeom>
                    <a:ln/>
                  </pic:spPr>
                </pic:pic>
              </a:graphicData>
            </a:graphic>
          </wp:inline>
        </w:drawing>
      </w:r>
    </w:p>
    <w:p w14:paraId="7024E6C8" w14:textId="77777777" w:rsidR="00A0251B" w:rsidRPr="00CC35F0" w:rsidRDefault="008D6506" w:rsidP="007856A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Поред тога, са аспекта заштите здравља људи, прописана годишња гранична вредност за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износи 40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и она не сме бити прекорачена у току календарске године. Међутим, 2019. године је у Републици Србији забележено прекорачење ове граничне вредности на 15 од 32 локације, а укупно посматрано, на 16 станица за мониторинг квалитета ваздуха забележено је прекорачење оба праћена параметра.</w:t>
      </w:r>
    </w:p>
    <w:p w14:paraId="52B68223" w14:textId="77777777" w:rsidR="00A0251B" w:rsidRPr="00CC35F0" w:rsidRDefault="008D6506" w:rsidP="007856A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Знатна прекорачења забележена су и за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при чему је циљна вредност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25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у календарској години. Ова циљна вредност је 2019. године прекорачена на 12 од 16 локација са мерним станицама. Поред тога, треба нагласити да је показатељ просечне изложености (</w:t>
      </w:r>
      <w:r w:rsidRPr="00CC35F0">
        <w:rPr>
          <w:rFonts w:ascii="Times New Roman" w:eastAsia="Times New Roman" w:hAnsi="Times New Roman"/>
          <w:i/>
          <w:sz w:val="24"/>
          <w:szCs w:val="24"/>
          <w:lang w:val="sr-Cyrl-CS"/>
        </w:rPr>
        <w:t>Average Exposure Indicator (AEI)</w:t>
      </w:r>
      <w:r w:rsidR="001F6549" w:rsidRPr="00CC35F0">
        <w:rPr>
          <w:rFonts w:ascii="Times New Roman" w:eastAsia="Times New Roman" w:hAnsi="Times New Roman"/>
          <w:sz w:val="24"/>
          <w:szCs w:val="24"/>
          <w:lang w:val="sr-Cyrl-CS"/>
        </w:rPr>
        <w:t>) у Републици Србији у току три</w:t>
      </w:r>
      <w:r w:rsidRPr="00CC35F0">
        <w:rPr>
          <w:rFonts w:ascii="Times New Roman" w:eastAsia="Times New Roman" w:hAnsi="Times New Roman"/>
          <w:sz w:val="24"/>
          <w:szCs w:val="24"/>
          <w:lang w:val="sr-Cyrl-CS"/>
        </w:rPr>
        <w:t xml:space="preserve"> године (2017, 2018. и 2019.) процењен</w:t>
      </w:r>
      <w:r w:rsidRPr="00CC35F0">
        <w:rPr>
          <w:rFonts w:ascii="Times New Roman" w:eastAsia="Times New Roman" w:hAnsi="Times New Roman"/>
          <w:sz w:val="24"/>
          <w:szCs w:val="24"/>
          <w:vertAlign w:val="superscript"/>
          <w:lang w:val="sr-Cyrl-CS"/>
        </w:rPr>
        <w:footnoteReference w:id="18"/>
      </w:r>
      <w:r w:rsidRPr="00CC35F0">
        <w:rPr>
          <w:rFonts w:ascii="Times New Roman" w:eastAsia="Times New Roman" w:hAnsi="Times New Roman"/>
          <w:sz w:val="24"/>
          <w:szCs w:val="24"/>
          <w:lang w:val="sr-Cyrl-CS"/>
        </w:rPr>
        <w:t xml:space="preserve"> у опсегу од 31 до 34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што је знатно изнад вредности од 20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утврђене за 2017. годину у Прилогу XIII Уредбе о условима за мониторинг и захтевима квалитета ваздуха („Службени</w:t>
      </w:r>
      <w:r w:rsidR="001F6549" w:rsidRPr="00CC35F0">
        <w:rPr>
          <w:rFonts w:ascii="Times New Roman" w:eastAsia="Times New Roman" w:hAnsi="Times New Roman"/>
          <w:sz w:val="24"/>
          <w:szCs w:val="24"/>
          <w:lang w:val="sr-Cyrl-CS"/>
        </w:rPr>
        <w:t xml:space="preserve"> гласник РС”, бр. 11/10, 75/10 и </w:t>
      </w:r>
      <w:r w:rsidRPr="00CC35F0">
        <w:rPr>
          <w:rFonts w:ascii="Times New Roman" w:eastAsia="Times New Roman" w:hAnsi="Times New Roman"/>
          <w:sz w:val="24"/>
          <w:szCs w:val="24"/>
          <w:lang w:val="sr-Cyrl-CS"/>
        </w:rPr>
        <w:t>63/13), која је била рок за постизање дозвољеног нивоа изложености.</w:t>
      </w:r>
    </w:p>
    <w:p w14:paraId="3EAB5FBE" w14:textId="77777777" w:rsidR="00A0251B" w:rsidRPr="00CC35F0" w:rsidRDefault="008D6506" w:rsidP="007856A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Поред прекорачења вредности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2019. године је на две локације (Београд, ул. Деспота Стефана и Београд, петља Мостар) забележено прекорачење годишњих граничних вредности NO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Треба нагласити да су обе ове категорије станица категорисане као градске саобраћајне станице, што показује да емисије из сектора саобраћаја такође представљају проблем у густо насељеним подручјима, као што је Београд.  </w:t>
      </w:r>
    </w:p>
    <w:p w14:paraId="4F84CC7F" w14:textId="77777777" w:rsidR="00A0251B" w:rsidRPr="00CC35F0" w:rsidRDefault="008D6506" w:rsidP="007856A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Прекорачења дневних граничних вредности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су 2019. године изолована само на три мерне станице, све у агломерацији Бор, где је главни извор емисија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рударско-топионичарски комплекс, који се налази у источном приградском подручју Бора. Треба напоменути да су у истом граду циљне вредности за арсен и кадмијум прекорачене за неколико степена магнитуде. </w:t>
      </w:r>
    </w:p>
    <w:p w14:paraId="34A60120" w14:textId="77777777" w:rsidR="00A0251B" w:rsidRPr="00CC35F0" w:rsidRDefault="008D6506" w:rsidP="007856A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Територија изложена прекорачењима граничних вредности озона прописаних за заштиту вегетације је у референтној години, према прорачуну по моделу </w:t>
      </w:r>
      <w:r w:rsidRPr="00CC35F0">
        <w:rPr>
          <w:rFonts w:ascii="Times New Roman" w:eastAsia="Times New Roman" w:hAnsi="Times New Roman"/>
          <w:i/>
          <w:sz w:val="24"/>
          <w:szCs w:val="24"/>
          <w:lang w:val="sr-Cyrl-CS"/>
        </w:rPr>
        <w:t>CHIMERE</w:t>
      </w:r>
      <w:r w:rsidRPr="00CC35F0">
        <w:rPr>
          <w:rFonts w:ascii="Times New Roman" w:eastAsia="Times New Roman" w:hAnsi="Times New Roman"/>
          <w:sz w:val="24"/>
          <w:szCs w:val="24"/>
          <w:lang w:val="sr-Cyrl-CS"/>
        </w:rPr>
        <w:t>, износила 1.440.288 km</w:t>
      </w:r>
      <w:r w:rsidRPr="00CC35F0">
        <w:rPr>
          <w:rFonts w:ascii="Times New Roman" w:eastAsia="Times New Roman" w:hAnsi="Times New Roman"/>
          <w:sz w:val="24"/>
          <w:szCs w:val="24"/>
          <w:vertAlign w:val="superscript"/>
          <w:lang w:val="sr-Cyrl-CS"/>
        </w:rPr>
        <w:t>2</w:t>
      </w:r>
      <w:r w:rsidRPr="00CC35F0">
        <w:rPr>
          <w:rFonts w:ascii="Times New Roman" w:eastAsia="Times New Roman" w:hAnsi="Times New Roman"/>
          <w:sz w:val="24"/>
          <w:szCs w:val="24"/>
          <w:lang w:val="sr-Cyrl-CS"/>
        </w:rPr>
        <w:t xml:space="preserve">, што процентуално одговара 38,7% укупне површине.  </w:t>
      </w:r>
    </w:p>
    <w:p w14:paraId="5F85EC0F" w14:textId="77777777" w:rsidR="00A0251B" w:rsidRPr="00CC35F0" w:rsidRDefault="008D6506" w:rsidP="007856A4">
      <w:pPr>
        <w:ind w:firstLine="720"/>
        <w:rPr>
          <w:rFonts w:ascii="Times New Roman" w:eastAsia="Times New Roman" w:hAnsi="Times New Roman"/>
          <w:sz w:val="24"/>
          <w:szCs w:val="24"/>
          <w:lang w:val="sr-Cyrl-CS"/>
        </w:rPr>
      </w:pPr>
      <w:bookmarkStart w:id="26" w:name="_heading=h.1pxezwc" w:colFirst="0" w:colLast="0"/>
      <w:bookmarkEnd w:id="26"/>
      <w:r w:rsidRPr="00CC35F0">
        <w:rPr>
          <w:rFonts w:ascii="Times New Roman" w:eastAsia="Times New Roman" w:hAnsi="Times New Roman"/>
          <w:sz w:val="24"/>
          <w:szCs w:val="24"/>
          <w:lang w:val="sr-Cyrl-CS"/>
        </w:rPr>
        <w:t xml:space="preserve">Тренутно актуелни утицаји загађења ваздуха на здравље људи процењени су применом модела </w:t>
      </w:r>
      <w:r w:rsidRPr="00CC35F0">
        <w:rPr>
          <w:rFonts w:ascii="Times New Roman" w:eastAsia="Times New Roman" w:hAnsi="Times New Roman"/>
          <w:i/>
          <w:sz w:val="24"/>
          <w:szCs w:val="24"/>
          <w:lang w:val="sr-Cyrl-CS"/>
        </w:rPr>
        <w:t>Alpha-RiskPoll (ARP</w:t>
      </w:r>
      <w:r w:rsidRPr="00CC35F0">
        <w:rPr>
          <w:rFonts w:ascii="Times New Roman" w:eastAsia="Times New Roman" w:hAnsi="Times New Roman"/>
          <w:sz w:val="24"/>
          <w:szCs w:val="24"/>
          <w:lang w:val="sr-Cyrl-CS"/>
        </w:rPr>
        <w:t xml:space="preserve">), који користи ажуриране аналитичке методе које се примењују на анализе трошкова и користи у оквиру политика које предлаже Европска комисија и Економска комисија УН за Европу (у даљем тексту: </w:t>
      </w:r>
      <w:r w:rsidRPr="00CC35F0">
        <w:rPr>
          <w:rFonts w:ascii="Times New Roman" w:eastAsia="Times New Roman" w:hAnsi="Times New Roman"/>
          <w:i/>
          <w:sz w:val="24"/>
          <w:szCs w:val="24"/>
          <w:lang w:val="sr-Cyrl-CS"/>
        </w:rPr>
        <w:t>UNECE</w:t>
      </w:r>
      <w:r w:rsidRPr="00CC35F0">
        <w:rPr>
          <w:rFonts w:ascii="Times New Roman" w:eastAsia="Times New Roman" w:hAnsi="Times New Roman"/>
          <w:sz w:val="24"/>
          <w:szCs w:val="24"/>
          <w:lang w:val="sr-Cyrl-CS"/>
        </w:rPr>
        <w:t xml:space="preserve">), а нарочито за утврђивање циљева смањења емисија у складу са Гетеборшким протоколом Конвенције </w:t>
      </w:r>
      <w:r w:rsidRPr="00CC35F0">
        <w:rPr>
          <w:rFonts w:ascii="Times New Roman" w:eastAsia="Times New Roman" w:hAnsi="Times New Roman"/>
          <w:i/>
          <w:sz w:val="24"/>
          <w:szCs w:val="24"/>
          <w:lang w:val="sr-Cyrl-CS"/>
        </w:rPr>
        <w:t>UNECE</w:t>
      </w:r>
      <w:r w:rsidRPr="00CC35F0">
        <w:rPr>
          <w:rFonts w:ascii="Times New Roman" w:eastAsia="Times New Roman" w:hAnsi="Times New Roman"/>
          <w:sz w:val="24"/>
          <w:szCs w:val="24"/>
          <w:lang w:val="sr-Cyrl-CS"/>
        </w:rPr>
        <w:t xml:space="preserve"> о ваздуху и циљевима Директиве ЕУ о смањењу националних емисија одређених атмосферских загађујућих материја (</w:t>
      </w:r>
      <w:r w:rsidRPr="00CC35F0">
        <w:rPr>
          <w:rFonts w:ascii="Times New Roman" w:eastAsia="Times New Roman" w:hAnsi="Times New Roman"/>
          <w:i/>
          <w:sz w:val="24"/>
          <w:szCs w:val="24"/>
          <w:lang w:val="sr-Cyrl-CS"/>
        </w:rPr>
        <w:t>NEC/2016/2284/EU</w:t>
      </w:r>
      <w:r w:rsidRPr="00CC35F0">
        <w:rPr>
          <w:rFonts w:ascii="Times New Roman" w:eastAsia="Times New Roman" w:hAnsi="Times New Roman"/>
          <w:sz w:val="24"/>
          <w:szCs w:val="24"/>
          <w:lang w:val="sr-Cyrl-CS"/>
        </w:rPr>
        <w:t>).</w:t>
      </w:r>
    </w:p>
    <w:p w14:paraId="2FBDE792" w14:textId="77777777" w:rsidR="00A0251B" w:rsidRPr="00CC35F0" w:rsidRDefault="008D6506" w:rsidP="007856A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Квантитативно изражавање утицаја на здравље по старосним групама за сваку функцију изложеност-реакција, извршено је на основу епидемиолошких истраживања. Неки показатељи утицаја на здравље израчунати су нарочито за угрожене сегменте становништва, као што су деца и старији људи. </w:t>
      </w:r>
    </w:p>
    <w:p w14:paraId="2369AA00" w14:textId="77777777" w:rsidR="00A0251B" w:rsidRPr="00CC35F0" w:rsidRDefault="008D6506" w:rsidP="007856A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Утицаји на здравље су за потребе овог програма подељени и на хроничне и акутне утицаје на здравље становништва изложеног концентрацијама суспендованих честица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тропосферском озону (O</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и азот-диоксиду (NO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и приказани су према морбидитету и морталитету. Утицаји су наведени као „акутни” када настају услед повећања амбијенталним условима у року од неколико дана (нпр. број пацијената примљених на болничко лечење) и као „хронични”, када су последица излагања амбијенталним условима у дужем периоду, некада и током целог живота (нпр. морталитет). Резултати процене тренутне ситуације приказани су у Табели 3-1.</w:t>
      </w:r>
    </w:p>
    <w:p w14:paraId="27AB934D" w14:textId="77777777" w:rsidR="00A0251B" w:rsidRPr="00CC35F0" w:rsidRDefault="008D6506" w:rsidP="007856A4">
      <w:pPr>
        <w:pBdr>
          <w:top w:val="nil"/>
          <w:left w:val="nil"/>
          <w:bottom w:val="nil"/>
          <w:right w:val="nil"/>
          <w:between w:val="nil"/>
        </w:pBdr>
        <w:spacing w:before="120" w:after="60"/>
        <w:jc w:val="center"/>
        <w:rPr>
          <w:rFonts w:ascii="Times New Roman" w:eastAsia="Times New Roman" w:hAnsi="Times New Roman"/>
          <w:b/>
          <w:color w:val="000000"/>
          <w:sz w:val="24"/>
          <w:szCs w:val="24"/>
          <w:lang w:val="sr-Cyrl-CS"/>
        </w:rPr>
      </w:pPr>
      <w:bookmarkStart w:id="27" w:name="_heading=h.49x2ik5" w:colFirst="0" w:colLast="0"/>
      <w:bookmarkEnd w:id="27"/>
      <w:r w:rsidRPr="00CC35F0">
        <w:rPr>
          <w:rFonts w:ascii="Times New Roman" w:eastAsia="Times New Roman" w:hAnsi="Times New Roman"/>
          <w:b/>
          <w:color w:val="000000"/>
          <w:sz w:val="24"/>
          <w:szCs w:val="24"/>
          <w:lang w:val="sr-Cyrl-CS"/>
        </w:rPr>
        <w:t>Табела 3-1 Процена утицаја тренутног квалитета ваздуха на здравље у Републици Србији</w:t>
      </w:r>
      <w:r w:rsidRPr="00CC35F0">
        <w:rPr>
          <w:rFonts w:ascii="Times New Roman" w:eastAsia="Times New Roman" w:hAnsi="Times New Roman"/>
          <w:b/>
          <w:color w:val="000000"/>
          <w:sz w:val="24"/>
          <w:szCs w:val="24"/>
          <w:vertAlign w:val="superscript"/>
          <w:lang w:val="sr-Cyrl-CS"/>
        </w:rPr>
        <w:footnoteReference w:id="19"/>
      </w:r>
    </w:p>
    <w:tbl>
      <w:tblPr>
        <w:tblStyle w:val="a0"/>
        <w:tblW w:w="9319" w:type="dxa"/>
        <w:tblLayout w:type="fixed"/>
        <w:tblLook w:val="0400" w:firstRow="0" w:lastRow="0" w:firstColumn="0" w:lastColumn="0" w:noHBand="0" w:noVBand="1"/>
      </w:tblPr>
      <w:tblGrid>
        <w:gridCol w:w="3574"/>
        <w:gridCol w:w="2393"/>
        <w:gridCol w:w="1675"/>
        <w:gridCol w:w="1677"/>
      </w:tblGrid>
      <w:tr w:rsidR="00A0251B" w:rsidRPr="00CC35F0" w14:paraId="518BBD9A" w14:textId="77777777">
        <w:trPr>
          <w:trHeight w:val="264"/>
          <w:tblHeader/>
        </w:trPr>
        <w:tc>
          <w:tcPr>
            <w:tcW w:w="3574" w:type="dxa"/>
            <w:vMerge w:val="restart"/>
            <w:tcBorders>
              <w:top w:val="single" w:sz="8" w:space="0" w:color="000000"/>
              <w:left w:val="single" w:sz="8" w:space="0" w:color="000000"/>
              <w:bottom w:val="single" w:sz="8" w:space="0" w:color="000000"/>
              <w:right w:val="single" w:sz="4" w:space="0" w:color="000000"/>
            </w:tcBorders>
            <w:shd w:val="clear" w:color="auto" w:fill="D9E2F3"/>
            <w:vAlign w:val="center"/>
          </w:tcPr>
          <w:p w14:paraId="7C3EA784" w14:textId="77777777" w:rsidR="00A0251B" w:rsidRPr="00CC35F0" w:rsidRDefault="008D6506">
            <w:pPr>
              <w:keepNext/>
              <w:spacing w:after="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Утицаји на здравље у Републици Србији</w:t>
            </w:r>
          </w:p>
        </w:tc>
        <w:tc>
          <w:tcPr>
            <w:tcW w:w="2393" w:type="dxa"/>
            <w:vMerge w:val="restart"/>
            <w:tcBorders>
              <w:top w:val="single" w:sz="8" w:space="0" w:color="000000"/>
              <w:left w:val="single" w:sz="4" w:space="0" w:color="000000"/>
              <w:bottom w:val="single" w:sz="8" w:space="0" w:color="000000"/>
              <w:right w:val="single" w:sz="4" w:space="0" w:color="000000"/>
            </w:tcBorders>
            <w:shd w:val="clear" w:color="auto" w:fill="D9E2F3"/>
            <w:vAlign w:val="center"/>
          </w:tcPr>
          <w:p w14:paraId="0AAD7C27" w14:textId="77777777" w:rsidR="00A0251B" w:rsidRPr="00CC35F0" w:rsidRDefault="008D6506">
            <w:pPr>
              <w:keepNext/>
              <w:spacing w:after="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Јединица</w:t>
            </w:r>
          </w:p>
        </w:tc>
        <w:tc>
          <w:tcPr>
            <w:tcW w:w="1675" w:type="dxa"/>
            <w:vMerge w:val="restart"/>
            <w:tcBorders>
              <w:top w:val="single" w:sz="8" w:space="0" w:color="000000"/>
              <w:left w:val="single" w:sz="4" w:space="0" w:color="000000"/>
              <w:bottom w:val="single" w:sz="8" w:space="0" w:color="000000"/>
              <w:right w:val="single" w:sz="4" w:space="0" w:color="000000"/>
            </w:tcBorders>
            <w:shd w:val="clear" w:color="auto" w:fill="D9E2F3"/>
            <w:vAlign w:val="center"/>
          </w:tcPr>
          <w:p w14:paraId="3C8087C2"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Загађујућа материја</w:t>
            </w:r>
          </w:p>
        </w:tc>
        <w:tc>
          <w:tcPr>
            <w:tcW w:w="1677" w:type="dxa"/>
            <w:tcBorders>
              <w:top w:val="single" w:sz="8" w:space="0" w:color="000000"/>
              <w:left w:val="nil"/>
              <w:bottom w:val="single" w:sz="4" w:space="0" w:color="000000"/>
              <w:right w:val="single" w:sz="4" w:space="0" w:color="000000"/>
            </w:tcBorders>
            <w:shd w:val="clear" w:color="auto" w:fill="D9E2F3"/>
            <w:vAlign w:val="center"/>
          </w:tcPr>
          <w:p w14:paraId="29E50208"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Референтна година</w:t>
            </w:r>
          </w:p>
        </w:tc>
      </w:tr>
      <w:tr w:rsidR="00A0251B" w:rsidRPr="00CC35F0" w14:paraId="0413BF23" w14:textId="77777777">
        <w:trPr>
          <w:trHeight w:val="276"/>
          <w:tblHeader/>
        </w:trPr>
        <w:tc>
          <w:tcPr>
            <w:tcW w:w="3574" w:type="dxa"/>
            <w:vMerge/>
            <w:tcBorders>
              <w:top w:val="single" w:sz="8" w:space="0" w:color="000000"/>
              <w:left w:val="single" w:sz="8" w:space="0" w:color="000000"/>
              <w:bottom w:val="single" w:sz="8" w:space="0" w:color="000000"/>
              <w:right w:val="single" w:sz="4" w:space="0" w:color="000000"/>
            </w:tcBorders>
            <w:shd w:val="clear" w:color="auto" w:fill="D9E2F3"/>
            <w:vAlign w:val="center"/>
          </w:tcPr>
          <w:p w14:paraId="78F5AED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2393" w:type="dxa"/>
            <w:vMerge/>
            <w:tcBorders>
              <w:top w:val="single" w:sz="8" w:space="0" w:color="000000"/>
              <w:left w:val="single" w:sz="4" w:space="0" w:color="000000"/>
              <w:bottom w:val="single" w:sz="8" w:space="0" w:color="000000"/>
              <w:right w:val="single" w:sz="4" w:space="0" w:color="000000"/>
            </w:tcBorders>
            <w:shd w:val="clear" w:color="auto" w:fill="D9E2F3"/>
            <w:vAlign w:val="center"/>
          </w:tcPr>
          <w:p w14:paraId="0441252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675" w:type="dxa"/>
            <w:vMerge/>
            <w:tcBorders>
              <w:top w:val="single" w:sz="8" w:space="0" w:color="000000"/>
              <w:left w:val="single" w:sz="4" w:space="0" w:color="000000"/>
              <w:bottom w:val="single" w:sz="8" w:space="0" w:color="000000"/>
              <w:right w:val="single" w:sz="4" w:space="0" w:color="000000"/>
            </w:tcBorders>
            <w:shd w:val="clear" w:color="auto" w:fill="D9E2F3"/>
            <w:vAlign w:val="center"/>
          </w:tcPr>
          <w:p w14:paraId="523C1CA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677" w:type="dxa"/>
            <w:tcBorders>
              <w:top w:val="nil"/>
              <w:left w:val="nil"/>
              <w:bottom w:val="single" w:sz="8" w:space="0" w:color="000000"/>
              <w:right w:val="single" w:sz="4" w:space="0" w:color="000000"/>
            </w:tcBorders>
            <w:shd w:val="clear" w:color="auto" w:fill="D9E2F3"/>
            <w:vAlign w:val="center"/>
          </w:tcPr>
          <w:p w14:paraId="6724A67C"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2015</w:t>
            </w:r>
          </w:p>
        </w:tc>
      </w:tr>
      <w:tr w:rsidR="00A0251B" w:rsidRPr="00CC35F0" w14:paraId="239E5E5A"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04985E43"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Акутни морталитет (све старосне групе)</w:t>
            </w:r>
          </w:p>
        </w:tc>
        <w:tc>
          <w:tcPr>
            <w:tcW w:w="2393" w:type="dxa"/>
            <w:tcBorders>
              <w:top w:val="nil"/>
              <w:left w:val="nil"/>
              <w:bottom w:val="single" w:sz="4" w:space="0" w:color="000000"/>
              <w:right w:val="single" w:sz="4" w:space="0" w:color="000000"/>
            </w:tcBorders>
            <w:shd w:val="clear" w:color="auto" w:fill="auto"/>
            <w:vAlign w:val="center"/>
          </w:tcPr>
          <w:p w14:paraId="6464DAD3"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 превремене смрти</w:t>
            </w:r>
          </w:p>
        </w:tc>
        <w:tc>
          <w:tcPr>
            <w:tcW w:w="1675" w:type="dxa"/>
            <w:vMerge w:val="restart"/>
            <w:tcBorders>
              <w:top w:val="nil"/>
              <w:left w:val="single" w:sz="4" w:space="0" w:color="000000"/>
              <w:bottom w:val="single" w:sz="8" w:space="0" w:color="000000"/>
              <w:right w:val="single" w:sz="4" w:space="0" w:color="000000"/>
            </w:tcBorders>
            <w:shd w:val="clear" w:color="auto" w:fill="auto"/>
            <w:vAlign w:val="center"/>
          </w:tcPr>
          <w:p w14:paraId="0C2BAA1F"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O</w:t>
            </w:r>
            <w:r w:rsidRPr="00CC35F0">
              <w:rPr>
                <w:rFonts w:ascii="Times New Roman" w:eastAsia="Times New Roman" w:hAnsi="Times New Roman"/>
                <w:sz w:val="24"/>
                <w:szCs w:val="24"/>
                <w:vertAlign w:val="subscript"/>
                <w:lang w:val="sr-Cyrl-CS"/>
              </w:rPr>
              <w:t>3</w:t>
            </w:r>
          </w:p>
        </w:tc>
        <w:tc>
          <w:tcPr>
            <w:tcW w:w="1677" w:type="dxa"/>
            <w:tcBorders>
              <w:top w:val="nil"/>
              <w:left w:val="nil"/>
              <w:bottom w:val="single" w:sz="4" w:space="0" w:color="000000"/>
              <w:right w:val="single" w:sz="4" w:space="0" w:color="000000"/>
            </w:tcBorders>
            <w:shd w:val="clear" w:color="auto" w:fill="auto"/>
            <w:vAlign w:val="center"/>
          </w:tcPr>
          <w:p w14:paraId="022A1619"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461</w:t>
            </w:r>
          </w:p>
        </w:tc>
      </w:tr>
      <w:tr w:rsidR="00A0251B" w:rsidRPr="00CC35F0" w14:paraId="3D57D960"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0D966F0E"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Пријем у болницу због респираторних тегоба (&gt;64)</w:t>
            </w:r>
          </w:p>
        </w:tc>
        <w:tc>
          <w:tcPr>
            <w:tcW w:w="2393" w:type="dxa"/>
            <w:tcBorders>
              <w:top w:val="nil"/>
              <w:left w:val="nil"/>
              <w:bottom w:val="single" w:sz="4" w:space="0" w:color="000000"/>
              <w:right w:val="single" w:sz="4" w:space="0" w:color="000000"/>
            </w:tcBorders>
            <w:shd w:val="clear" w:color="auto" w:fill="auto"/>
            <w:vAlign w:val="center"/>
          </w:tcPr>
          <w:p w14:paraId="5F2F13B9" w14:textId="77777777" w:rsidR="00A0251B" w:rsidRPr="00CC35F0" w:rsidRDefault="008D6506" w:rsidP="009C41F4">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w:t>
            </w:r>
            <w:r w:rsidR="00A10898" w:rsidRPr="00CC35F0">
              <w:rPr>
                <w:rFonts w:ascii="Times New Roman" w:eastAsia="Times New Roman" w:hAnsi="Times New Roman"/>
                <w:sz w:val="24"/>
                <w:szCs w:val="24"/>
                <w:lang w:val="sr-Cyrl-CS"/>
              </w:rPr>
              <w:t xml:space="preserve"> </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2C147D6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291C4A37"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242</w:t>
            </w:r>
          </w:p>
        </w:tc>
      </w:tr>
      <w:tr w:rsidR="00A0251B" w:rsidRPr="00CC35F0" w14:paraId="6D0C29DF"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6E3B16F5"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Пријем у болницу због кардио-васкуларних тегоба (&gt;64)</w:t>
            </w:r>
          </w:p>
        </w:tc>
        <w:tc>
          <w:tcPr>
            <w:tcW w:w="2393" w:type="dxa"/>
            <w:tcBorders>
              <w:top w:val="nil"/>
              <w:left w:val="nil"/>
              <w:bottom w:val="single" w:sz="4" w:space="0" w:color="000000"/>
              <w:right w:val="single" w:sz="4" w:space="0" w:color="000000"/>
            </w:tcBorders>
            <w:shd w:val="clear" w:color="auto" w:fill="auto"/>
            <w:vAlign w:val="center"/>
          </w:tcPr>
          <w:p w14:paraId="6BECA219"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701384E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37DE7A72"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9D7CA9"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061</w:t>
            </w:r>
          </w:p>
        </w:tc>
      </w:tr>
      <w:tr w:rsidR="00A0251B" w:rsidRPr="00CC35F0" w14:paraId="76C52FC6" w14:textId="77777777">
        <w:trPr>
          <w:trHeight w:val="276"/>
        </w:trPr>
        <w:tc>
          <w:tcPr>
            <w:tcW w:w="3574" w:type="dxa"/>
            <w:tcBorders>
              <w:top w:val="nil"/>
              <w:left w:val="single" w:sz="8" w:space="0" w:color="000000"/>
              <w:bottom w:val="single" w:sz="8" w:space="0" w:color="000000"/>
              <w:right w:val="single" w:sz="4" w:space="0" w:color="000000"/>
            </w:tcBorders>
            <w:shd w:val="clear" w:color="auto" w:fill="auto"/>
            <w:vAlign w:val="center"/>
          </w:tcPr>
          <w:p w14:paraId="06AF54A3"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 ограничених радних активности услед лакших тегоба (све старосне групе)</w:t>
            </w:r>
          </w:p>
        </w:tc>
        <w:tc>
          <w:tcPr>
            <w:tcW w:w="2393" w:type="dxa"/>
            <w:tcBorders>
              <w:top w:val="nil"/>
              <w:left w:val="nil"/>
              <w:bottom w:val="single" w:sz="8" w:space="0" w:color="000000"/>
              <w:right w:val="single" w:sz="4" w:space="0" w:color="000000"/>
            </w:tcBorders>
            <w:shd w:val="clear" w:color="auto" w:fill="auto"/>
            <w:vAlign w:val="center"/>
          </w:tcPr>
          <w:p w14:paraId="0F4EB82D"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59FC4A5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8" w:space="0" w:color="000000"/>
              <w:right w:val="single" w:sz="4" w:space="0" w:color="000000"/>
            </w:tcBorders>
            <w:shd w:val="clear" w:color="auto" w:fill="auto"/>
            <w:vAlign w:val="center"/>
          </w:tcPr>
          <w:p w14:paraId="3EBD146B"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1.415.555</w:t>
            </w:r>
          </w:p>
        </w:tc>
      </w:tr>
      <w:tr w:rsidR="00A0251B" w:rsidRPr="00CC35F0" w14:paraId="5BA46361"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05C6B625"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Хронични морталитет (све старосне групе) </w:t>
            </w:r>
          </w:p>
        </w:tc>
        <w:tc>
          <w:tcPr>
            <w:tcW w:w="2393" w:type="dxa"/>
            <w:tcBorders>
              <w:top w:val="nil"/>
              <w:left w:val="nil"/>
              <w:bottom w:val="single" w:sz="4" w:space="0" w:color="000000"/>
              <w:right w:val="single" w:sz="4" w:space="0" w:color="000000"/>
            </w:tcBorders>
            <w:shd w:val="clear" w:color="auto" w:fill="auto"/>
            <w:vAlign w:val="center"/>
          </w:tcPr>
          <w:p w14:paraId="33465C9E"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Године од смрти до просечног животног века</w:t>
            </w:r>
          </w:p>
        </w:tc>
        <w:tc>
          <w:tcPr>
            <w:tcW w:w="1675" w:type="dxa"/>
            <w:vMerge w:val="restart"/>
            <w:tcBorders>
              <w:top w:val="nil"/>
              <w:left w:val="single" w:sz="4" w:space="0" w:color="000000"/>
              <w:bottom w:val="single" w:sz="8" w:space="0" w:color="000000"/>
              <w:right w:val="single" w:sz="4" w:space="0" w:color="000000"/>
            </w:tcBorders>
            <w:shd w:val="clear" w:color="auto" w:fill="auto"/>
            <w:vAlign w:val="center"/>
          </w:tcPr>
          <w:p w14:paraId="2D5BF590"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2.5</w:t>
            </w:r>
          </w:p>
        </w:tc>
        <w:tc>
          <w:tcPr>
            <w:tcW w:w="1677" w:type="dxa"/>
            <w:tcBorders>
              <w:top w:val="nil"/>
              <w:left w:val="nil"/>
              <w:bottom w:val="single" w:sz="4" w:space="0" w:color="000000"/>
              <w:right w:val="single" w:sz="4" w:space="0" w:color="000000"/>
            </w:tcBorders>
            <w:shd w:val="clear" w:color="auto" w:fill="auto"/>
            <w:vAlign w:val="center"/>
          </w:tcPr>
          <w:p w14:paraId="3BE858D3"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92.013</w:t>
            </w:r>
          </w:p>
        </w:tc>
      </w:tr>
      <w:tr w:rsidR="00A0251B" w:rsidRPr="00CC35F0" w14:paraId="6CF0E506"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4C855A14"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Хронични морталитет (30+) </w:t>
            </w:r>
          </w:p>
        </w:tc>
        <w:tc>
          <w:tcPr>
            <w:tcW w:w="2393" w:type="dxa"/>
            <w:tcBorders>
              <w:top w:val="nil"/>
              <w:left w:val="nil"/>
              <w:bottom w:val="single" w:sz="4" w:space="0" w:color="000000"/>
              <w:right w:val="single" w:sz="4" w:space="0" w:color="000000"/>
            </w:tcBorders>
            <w:shd w:val="clear" w:color="auto" w:fill="auto"/>
            <w:vAlign w:val="center"/>
          </w:tcPr>
          <w:p w14:paraId="32DD82F0"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 превремене смрти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76F50A9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31A39DFE"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w:t>
            </w:r>
            <w:r w:rsidR="006F0BE4"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773</w:t>
            </w:r>
          </w:p>
        </w:tc>
      </w:tr>
      <w:tr w:rsidR="00A0251B" w:rsidRPr="00CC35F0" w14:paraId="0F723ABE"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708F0985"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Морталитет новорођенчади (0-1) </w:t>
            </w:r>
          </w:p>
        </w:tc>
        <w:tc>
          <w:tcPr>
            <w:tcW w:w="2393" w:type="dxa"/>
            <w:tcBorders>
              <w:top w:val="nil"/>
              <w:left w:val="nil"/>
              <w:bottom w:val="single" w:sz="4" w:space="0" w:color="000000"/>
              <w:right w:val="single" w:sz="4" w:space="0" w:color="000000"/>
            </w:tcBorders>
            <w:shd w:val="clear" w:color="auto" w:fill="auto"/>
            <w:vAlign w:val="center"/>
          </w:tcPr>
          <w:p w14:paraId="3A6D1459"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 превремене смрти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05B27CD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2B6CFEA8"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w:t>
            </w:r>
          </w:p>
        </w:tc>
      </w:tr>
      <w:tr w:rsidR="00A0251B" w:rsidRPr="00CC35F0" w14:paraId="0887A419"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2C4437FB"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Хронични бронхитис (27+)</w:t>
            </w:r>
          </w:p>
        </w:tc>
        <w:tc>
          <w:tcPr>
            <w:tcW w:w="2393" w:type="dxa"/>
            <w:tcBorders>
              <w:top w:val="nil"/>
              <w:left w:val="nil"/>
              <w:bottom w:val="single" w:sz="4" w:space="0" w:color="000000"/>
              <w:right w:val="single" w:sz="4" w:space="0" w:color="000000"/>
            </w:tcBorders>
            <w:shd w:val="clear" w:color="auto" w:fill="auto"/>
            <w:vAlign w:val="center"/>
          </w:tcPr>
          <w:p w14:paraId="5024716C"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212022E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68E73275"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r w:rsidR="006F0BE4"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934</w:t>
            </w:r>
          </w:p>
        </w:tc>
      </w:tr>
      <w:tr w:rsidR="00A0251B" w:rsidRPr="00CC35F0" w14:paraId="305A5BD1"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56AF14A5" w14:textId="77777777" w:rsidR="00A0251B" w:rsidRPr="00CC35F0" w:rsidRDefault="001F6549">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Бронхитис код деце старости од шест</w:t>
            </w:r>
            <w:r w:rsidR="008D6506" w:rsidRPr="00CC35F0">
              <w:rPr>
                <w:rFonts w:ascii="Times New Roman" w:eastAsia="Times New Roman" w:hAnsi="Times New Roman"/>
                <w:sz w:val="24"/>
                <w:szCs w:val="24"/>
                <w:lang w:val="sr-Cyrl-CS"/>
              </w:rPr>
              <w:t xml:space="preserve"> до 12 година</w:t>
            </w:r>
          </w:p>
        </w:tc>
        <w:tc>
          <w:tcPr>
            <w:tcW w:w="2393" w:type="dxa"/>
            <w:tcBorders>
              <w:top w:val="nil"/>
              <w:left w:val="nil"/>
              <w:bottom w:val="single" w:sz="4" w:space="0" w:color="000000"/>
              <w:right w:val="single" w:sz="4" w:space="0" w:color="000000"/>
            </w:tcBorders>
            <w:shd w:val="clear" w:color="auto" w:fill="auto"/>
            <w:vAlign w:val="center"/>
          </w:tcPr>
          <w:p w14:paraId="15B7D550"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Додатни случајеви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487F099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4C9FFA83"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22.762</w:t>
            </w:r>
          </w:p>
        </w:tc>
      </w:tr>
      <w:tr w:rsidR="00A0251B" w:rsidRPr="00CC35F0" w14:paraId="4D4899E0"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15812DCE"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Пријем у болницу због респираторних тегоба (све старосне групе)</w:t>
            </w:r>
          </w:p>
        </w:tc>
        <w:tc>
          <w:tcPr>
            <w:tcW w:w="2393" w:type="dxa"/>
            <w:tcBorders>
              <w:top w:val="nil"/>
              <w:left w:val="nil"/>
              <w:bottom w:val="single" w:sz="4" w:space="0" w:color="000000"/>
              <w:right w:val="single" w:sz="4" w:space="0" w:color="000000"/>
            </w:tcBorders>
            <w:shd w:val="clear" w:color="auto" w:fill="auto"/>
            <w:vAlign w:val="center"/>
          </w:tcPr>
          <w:p w14:paraId="17C6F940"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4754D5A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1C964E5A"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w:t>
            </w:r>
            <w:r w:rsidR="006F0BE4"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261</w:t>
            </w:r>
          </w:p>
        </w:tc>
      </w:tr>
      <w:tr w:rsidR="00A0251B" w:rsidRPr="00CC35F0" w14:paraId="6AFF3821"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754415A4"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Пријем у болницу због кардио-васкуларних тегоба (све старосне групе)</w:t>
            </w:r>
          </w:p>
        </w:tc>
        <w:tc>
          <w:tcPr>
            <w:tcW w:w="2393" w:type="dxa"/>
            <w:tcBorders>
              <w:top w:val="nil"/>
              <w:left w:val="nil"/>
              <w:bottom w:val="single" w:sz="4" w:space="0" w:color="000000"/>
              <w:right w:val="single" w:sz="4" w:space="0" w:color="000000"/>
            </w:tcBorders>
            <w:shd w:val="clear" w:color="auto" w:fill="auto"/>
            <w:vAlign w:val="center"/>
          </w:tcPr>
          <w:p w14:paraId="4FFF2AAA"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0B149FC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3142CEAB"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r w:rsidR="006F0BE4"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144</w:t>
            </w:r>
          </w:p>
        </w:tc>
      </w:tr>
      <w:tr w:rsidR="00A0251B" w:rsidRPr="00CC35F0" w14:paraId="4A9E8780"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5C194B2A"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 ограничених радних активности (све старосне групе)</w:t>
            </w:r>
          </w:p>
        </w:tc>
        <w:tc>
          <w:tcPr>
            <w:tcW w:w="2393" w:type="dxa"/>
            <w:tcBorders>
              <w:top w:val="nil"/>
              <w:left w:val="nil"/>
              <w:bottom w:val="single" w:sz="8" w:space="0" w:color="000000"/>
              <w:right w:val="single" w:sz="4" w:space="0" w:color="000000"/>
            </w:tcBorders>
            <w:shd w:val="clear" w:color="auto" w:fill="auto"/>
            <w:vAlign w:val="center"/>
          </w:tcPr>
          <w:p w14:paraId="516569CA"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3A985AE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01E50932"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8.656.749</w:t>
            </w:r>
          </w:p>
        </w:tc>
      </w:tr>
      <w:tr w:rsidR="00A0251B" w:rsidRPr="00CC35F0" w14:paraId="2F0D371C"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3EC10628" w14:textId="77777777" w:rsidR="00A0251B" w:rsidRPr="00CC35F0" w:rsidRDefault="008D6506" w:rsidP="001F6549">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Дани у којима се јављају симптоми астме (деца од </w:t>
            </w:r>
            <w:r w:rsidR="001F6549" w:rsidRPr="00CC35F0">
              <w:rPr>
                <w:rFonts w:ascii="Times New Roman" w:eastAsia="Times New Roman" w:hAnsi="Times New Roman"/>
                <w:sz w:val="24"/>
                <w:szCs w:val="24"/>
                <w:lang w:val="sr-Cyrl-CS"/>
              </w:rPr>
              <w:t>пет</w:t>
            </w:r>
            <w:r w:rsidRPr="00CC35F0">
              <w:rPr>
                <w:rFonts w:ascii="Times New Roman" w:eastAsia="Times New Roman" w:hAnsi="Times New Roman"/>
                <w:sz w:val="24"/>
                <w:szCs w:val="24"/>
                <w:lang w:val="sr-Cyrl-CS"/>
              </w:rPr>
              <w:t xml:space="preserve"> до 19 година)</w:t>
            </w:r>
          </w:p>
        </w:tc>
        <w:tc>
          <w:tcPr>
            <w:tcW w:w="2393" w:type="dxa"/>
            <w:tcBorders>
              <w:top w:val="nil"/>
              <w:left w:val="nil"/>
              <w:bottom w:val="single" w:sz="8" w:space="0" w:color="000000"/>
              <w:right w:val="single" w:sz="4" w:space="0" w:color="000000"/>
            </w:tcBorders>
            <w:shd w:val="clear" w:color="auto" w:fill="auto"/>
            <w:vAlign w:val="center"/>
          </w:tcPr>
          <w:p w14:paraId="0E15F00C"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7AA6A2B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65BD6D0B"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186.041</w:t>
            </w:r>
          </w:p>
        </w:tc>
      </w:tr>
      <w:tr w:rsidR="00A0251B" w:rsidRPr="00CC35F0" w14:paraId="038EB154" w14:textId="77777777">
        <w:trPr>
          <w:trHeight w:val="276"/>
        </w:trPr>
        <w:tc>
          <w:tcPr>
            <w:tcW w:w="3574" w:type="dxa"/>
            <w:tcBorders>
              <w:top w:val="nil"/>
              <w:left w:val="single" w:sz="8" w:space="0" w:color="000000"/>
              <w:bottom w:val="single" w:sz="8" w:space="0" w:color="000000"/>
              <w:right w:val="single" w:sz="4" w:space="0" w:color="000000"/>
            </w:tcBorders>
            <w:shd w:val="clear" w:color="auto" w:fill="auto"/>
            <w:vAlign w:val="center"/>
          </w:tcPr>
          <w:p w14:paraId="2907E72B"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 спречености за рад (15-64 године)</w:t>
            </w:r>
          </w:p>
        </w:tc>
        <w:tc>
          <w:tcPr>
            <w:tcW w:w="2393" w:type="dxa"/>
            <w:tcBorders>
              <w:top w:val="nil"/>
              <w:left w:val="nil"/>
              <w:bottom w:val="single" w:sz="8" w:space="0" w:color="000000"/>
              <w:right w:val="single" w:sz="4" w:space="0" w:color="000000"/>
            </w:tcBorders>
            <w:shd w:val="clear" w:color="auto" w:fill="auto"/>
            <w:vAlign w:val="center"/>
          </w:tcPr>
          <w:p w14:paraId="2F3C26BA"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31A679B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8" w:space="0" w:color="000000"/>
              <w:right w:val="single" w:sz="4" w:space="0" w:color="000000"/>
            </w:tcBorders>
            <w:shd w:val="clear" w:color="auto" w:fill="auto"/>
            <w:vAlign w:val="center"/>
          </w:tcPr>
          <w:p w14:paraId="5A97907B"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2.132.518</w:t>
            </w:r>
          </w:p>
        </w:tc>
      </w:tr>
      <w:tr w:rsidR="00A0251B" w:rsidRPr="00CC35F0" w14:paraId="2DAE1318"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1435938C" w14:textId="77777777" w:rsidR="00A0251B" w:rsidRPr="00CC35F0" w:rsidRDefault="008D6506" w:rsidP="001F6549">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Бронхитис код деце узраста од </w:t>
            </w:r>
            <w:r w:rsidR="001F6549" w:rsidRPr="00CC35F0">
              <w:rPr>
                <w:rFonts w:ascii="Times New Roman" w:eastAsia="Times New Roman" w:hAnsi="Times New Roman"/>
                <w:sz w:val="24"/>
                <w:szCs w:val="24"/>
                <w:lang w:val="sr-Cyrl-CS"/>
              </w:rPr>
              <w:t>пет</w:t>
            </w:r>
            <w:r w:rsidRPr="00CC35F0">
              <w:rPr>
                <w:rFonts w:ascii="Times New Roman" w:eastAsia="Times New Roman" w:hAnsi="Times New Roman"/>
                <w:sz w:val="24"/>
                <w:szCs w:val="24"/>
                <w:lang w:val="sr-Cyrl-CS"/>
              </w:rPr>
              <w:t xml:space="preserve"> до 14 година</w:t>
            </w:r>
          </w:p>
        </w:tc>
        <w:tc>
          <w:tcPr>
            <w:tcW w:w="2393" w:type="dxa"/>
            <w:tcBorders>
              <w:top w:val="nil"/>
              <w:left w:val="nil"/>
              <w:bottom w:val="single" w:sz="4" w:space="0" w:color="000000"/>
              <w:right w:val="single" w:sz="4" w:space="0" w:color="000000"/>
            </w:tcBorders>
            <w:shd w:val="clear" w:color="auto" w:fill="auto"/>
            <w:vAlign w:val="center"/>
          </w:tcPr>
          <w:p w14:paraId="666A25E4"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Додатни случајеви</w:t>
            </w:r>
          </w:p>
        </w:tc>
        <w:tc>
          <w:tcPr>
            <w:tcW w:w="1675" w:type="dxa"/>
            <w:vMerge w:val="restart"/>
            <w:tcBorders>
              <w:top w:val="nil"/>
              <w:left w:val="single" w:sz="4" w:space="0" w:color="000000"/>
              <w:bottom w:val="single" w:sz="8" w:space="0" w:color="000000"/>
              <w:right w:val="single" w:sz="4" w:space="0" w:color="000000"/>
            </w:tcBorders>
            <w:shd w:val="clear" w:color="auto" w:fill="auto"/>
            <w:vAlign w:val="center"/>
          </w:tcPr>
          <w:p w14:paraId="113C9956"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NO</w:t>
            </w:r>
            <w:r w:rsidRPr="00CC35F0">
              <w:rPr>
                <w:rFonts w:ascii="Times New Roman" w:eastAsia="Times New Roman" w:hAnsi="Times New Roman"/>
                <w:sz w:val="24"/>
                <w:szCs w:val="24"/>
                <w:vertAlign w:val="subscript"/>
                <w:lang w:val="sr-Cyrl-CS"/>
              </w:rPr>
              <w:t>2</w:t>
            </w:r>
          </w:p>
        </w:tc>
        <w:tc>
          <w:tcPr>
            <w:tcW w:w="1677" w:type="dxa"/>
            <w:tcBorders>
              <w:top w:val="nil"/>
              <w:left w:val="nil"/>
              <w:bottom w:val="single" w:sz="4" w:space="0" w:color="000000"/>
              <w:right w:val="single" w:sz="4" w:space="0" w:color="000000"/>
            </w:tcBorders>
            <w:shd w:val="clear" w:color="auto" w:fill="auto"/>
            <w:vAlign w:val="center"/>
          </w:tcPr>
          <w:p w14:paraId="5CD3353B"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6F0BE4"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395</w:t>
            </w:r>
          </w:p>
        </w:tc>
      </w:tr>
      <w:tr w:rsidR="00A0251B" w:rsidRPr="00CC35F0" w14:paraId="35E0E093"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0A1F4076"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Пријем у болницу због респираторних тегоба (све старосне групе)</w:t>
            </w:r>
          </w:p>
        </w:tc>
        <w:tc>
          <w:tcPr>
            <w:tcW w:w="2393" w:type="dxa"/>
            <w:tcBorders>
              <w:top w:val="nil"/>
              <w:left w:val="nil"/>
              <w:bottom w:val="single" w:sz="4" w:space="0" w:color="000000"/>
              <w:right w:val="single" w:sz="4" w:space="0" w:color="000000"/>
            </w:tcBorders>
            <w:shd w:val="clear" w:color="auto" w:fill="auto"/>
            <w:vAlign w:val="center"/>
          </w:tcPr>
          <w:p w14:paraId="6BF89FF1"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3C1CDFC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3AC1BF9E"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6F0BE4"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113</w:t>
            </w:r>
          </w:p>
        </w:tc>
      </w:tr>
      <w:tr w:rsidR="00A0251B" w:rsidRPr="00CC35F0" w14:paraId="2187E48C" w14:textId="77777777">
        <w:trPr>
          <w:trHeight w:val="264"/>
        </w:trPr>
        <w:tc>
          <w:tcPr>
            <w:tcW w:w="3574" w:type="dxa"/>
            <w:tcBorders>
              <w:top w:val="nil"/>
              <w:left w:val="single" w:sz="8" w:space="0" w:color="000000"/>
              <w:bottom w:val="single" w:sz="4" w:space="0" w:color="000000"/>
              <w:right w:val="single" w:sz="4" w:space="0" w:color="000000"/>
            </w:tcBorders>
            <w:shd w:val="clear" w:color="auto" w:fill="auto"/>
            <w:vAlign w:val="center"/>
          </w:tcPr>
          <w:p w14:paraId="0F142885"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Хронични морталитет (све старосне групе) </w:t>
            </w:r>
          </w:p>
        </w:tc>
        <w:tc>
          <w:tcPr>
            <w:tcW w:w="2393" w:type="dxa"/>
            <w:tcBorders>
              <w:top w:val="nil"/>
              <w:left w:val="nil"/>
              <w:bottom w:val="single" w:sz="4" w:space="0" w:color="000000"/>
              <w:right w:val="single" w:sz="4" w:space="0" w:color="000000"/>
            </w:tcBorders>
            <w:shd w:val="clear" w:color="auto" w:fill="auto"/>
            <w:vAlign w:val="center"/>
          </w:tcPr>
          <w:p w14:paraId="136323E0"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Године од смрти до просечног животног века</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5D640CA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4" w:space="0" w:color="000000"/>
              <w:right w:val="single" w:sz="4" w:space="0" w:color="000000"/>
            </w:tcBorders>
            <w:shd w:val="clear" w:color="auto" w:fill="auto"/>
            <w:vAlign w:val="center"/>
          </w:tcPr>
          <w:p w14:paraId="62458EE5"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w:t>
            </w:r>
            <w:r w:rsidR="006F0BE4"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530</w:t>
            </w:r>
          </w:p>
        </w:tc>
      </w:tr>
      <w:tr w:rsidR="00A0251B" w:rsidRPr="00CC35F0" w14:paraId="50D9D4F4" w14:textId="77777777">
        <w:trPr>
          <w:trHeight w:val="276"/>
        </w:trPr>
        <w:tc>
          <w:tcPr>
            <w:tcW w:w="3574" w:type="dxa"/>
            <w:tcBorders>
              <w:top w:val="nil"/>
              <w:left w:val="single" w:sz="8" w:space="0" w:color="000000"/>
              <w:bottom w:val="single" w:sz="8" w:space="0" w:color="000000"/>
              <w:right w:val="single" w:sz="4" w:space="0" w:color="000000"/>
            </w:tcBorders>
            <w:shd w:val="clear" w:color="auto" w:fill="auto"/>
            <w:vAlign w:val="center"/>
          </w:tcPr>
          <w:p w14:paraId="7557A446"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Хронични морталитет (30+) средње вредности према </w:t>
            </w:r>
            <w:r w:rsidRPr="00CC35F0">
              <w:rPr>
                <w:rFonts w:ascii="Times New Roman" w:eastAsia="Times New Roman" w:hAnsi="Times New Roman"/>
                <w:i/>
                <w:sz w:val="24"/>
                <w:szCs w:val="24"/>
                <w:lang w:val="sr-Cyrl-CS"/>
              </w:rPr>
              <w:t>VSL</w:t>
            </w:r>
          </w:p>
        </w:tc>
        <w:tc>
          <w:tcPr>
            <w:tcW w:w="2393" w:type="dxa"/>
            <w:tcBorders>
              <w:top w:val="nil"/>
              <w:left w:val="nil"/>
              <w:bottom w:val="single" w:sz="4" w:space="0" w:color="000000"/>
              <w:right w:val="single" w:sz="4" w:space="0" w:color="000000"/>
            </w:tcBorders>
            <w:shd w:val="clear" w:color="auto" w:fill="auto"/>
            <w:vAlign w:val="center"/>
          </w:tcPr>
          <w:p w14:paraId="3E461454"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 превремене смрти</w:t>
            </w:r>
          </w:p>
        </w:tc>
        <w:tc>
          <w:tcPr>
            <w:tcW w:w="1675" w:type="dxa"/>
            <w:vMerge/>
            <w:tcBorders>
              <w:top w:val="nil"/>
              <w:left w:val="single" w:sz="4" w:space="0" w:color="000000"/>
              <w:bottom w:val="single" w:sz="8" w:space="0" w:color="000000"/>
              <w:right w:val="single" w:sz="4" w:space="0" w:color="000000"/>
            </w:tcBorders>
            <w:shd w:val="clear" w:color="auto" w:fill="auto"/>
            <w:vAlign w:val="center"/>
          </w:tcPr>
          <w:p w14:paraId="2186C0F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677" w:type="dxa"/>
            <w:tcBorders>
              <w:top w:val="nil"/>
              <w:left w:val="nil"/>
              <w:bottom w:val="single" w:sz="8" w:space="0" w:color="000000"/>
              <w:right w:val="single" w:sz="4" w:space="0" w:color="000000"/>
            </w:tcBorders>
            <w:shd w:val="clear" w:color="auto" w:fill="auto"/>
            <w:vAlign w:val="center"/>
          </w:tcPr>
          <w:p w14:paraId="49A4C301"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694</w:t>
            </w:r>
          </w:p>
        </w:tc>
      </w:tr>
    </w:tbl>
    <w:p w14:paraId="4FCB7B71" w14:textId="77777777" w:rsidR="00A0251B" w:rsidRPr="00CC35F0" w:rsidRDefault="00A0251B">
      <w:pPr>
        <w:rPr>
          <w:rFonts w:ascii="Times New Roman" w:eastAsia="Times New Roman" w:hAnsi="Times New Roman"/>
          <w:sz w:val="24"/>
          <w:szCs w:val="24"/>
          <w:lang w:val="sr-Cyrl-CS"/>
        </w:rPr>
      </w:pPr>
    </w:p>
    <w:p w14:paraId="4C4B7FFB" w14:textId="77777777" w:rsidR="00A0251B" w:rsidRPr="00CC35F0" w:rsidRDefault="008D6506" w:rsidP="007856A4">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Далеко најизраженији утицај на здравље уочен је при излагању суспендованим честицама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за које је моделирањем за референтну 2015. годину добијена процена од 9</w:t>
      </w:r>
      <w:r w:rsidR="006F0BE4"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773 превремених смртних случајева, и више од 92.000 година скраћеног животног века. Процењено је да је због излагања концентрацијама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у амбијенталном ваздуху 2015. године у Републици Србији изгубљено више од 2,1 милиона радних дана. Имајући у виду чињеницу да квалитет амбијенталног ваздуха слаби од 2015. године, негативни утицаји загађења ваздуха све су већи. Такође треба истаћи да бројке из Табеле 3-1 не укључују прекограничне утицаје емисија загађујућих материја из Републике Србије на здравље у суседним земљама.   </w:t>
      </w:r>
    </w:p>
    <w:p w14:paraId="0779A989" w14:textId="77777777" w:rsidR="00A0251B" w:rsidRPr="00CC35F0" w:rsidRDefault="00A0251B">
      <w:pPr>
        <w:rPr>
          <w:rFonts w:ascii="Times New Roman" w:eastAsia="Times New Roman" w:hAnsi="Times New Roman"/>
          <w:sz w:val="24"/>
          <w:szCs w:val="24"/>
          <w:lang w:val="sr-Cyrl-CS"/>
        </w:rPr>
      </w:pPr>
    </w:p>
    <w:p w14:paraId="6169AF14" w14:textId="77777777" w:rsidR="00A0251B" w:rsidRPr="00CC35F0" w:rsidRDefault="008D6506" w:rsidP="00382EC6">
      <w:pPr>
        <w:pStyle w:val="Heading2"/>
        <w:numPr>
          <w:ilvl w:val="1"/>
          <w:numId w:val="26"/>
        </w:numPr>
        <w:rPr>
          <w:rFonts w:ascii="Times New Roman" w:eastAsia="Times New Roman" w:hAnsi="Times New Roman"/>
          <w:lang w:val="sr-Cyrl-CS"/>
        </w:rPr>
      </w:pPr>
      <w:bookmarkStart w:id="28" w:name="_heading=h.2p2csry" w:colFirst="0" w:colLast="0"/>
      <w:bookmarkEnd w:id="28"/>
      <w:r w:rsidRPr="00CC35F0">
        <w:rPr>
          <w:rFonts w:ascii="Times New Roman" w:eastAsia="Times New Roman" w:hAnsi="Times New Roman"/>
          <w:lang w:val="sr-Cyrl-CS"/>
        </w:rPr>
        <w:t xml:space="preserve">Пројекције емисија на основу постојећих мера за </w:t>
      </w:r>
      <w:r w:rsidRPr="00CC35F0">
        <w:rPr>
          <w:rFonts w:ascii="Times New Roman" w:eastAsia="Times New Roman" w:hAnsi="Times New Roman"/>
          <w:color w:val="auto"/>
          <w:lang w:val="sr-Cyrl-CS"/>
        </w:rPr>
        <w:t xml:space="preserve">период </w:t>
      </w:r>
      <w:r w:rsidR="00D75378" w:rsidRPr="00CC35F0">
        <w:rPr>
          <w:rFonts w:ascii="Times New Roman" w:eastAsia="Times New Roman" w:hAnsi="Times New Roman"/>
          <w:color w:val="auto"/>
          <w:lang w:val="sr-Cyrl-CS"/>
        </w:rPr>
        <w:t>до</w:t>
      </w:r>
      <w:r w:rsidRPr="00CC35F0">
        <w:rPr>
          <w:rFonts w:ascii="Times New Roman" w:eastAsia="Times New Roman" w:hAnsi="Times New Roman"/>
          <w:color w:val="auto"/>
          <w:lang w:val="sr-Cyrl-CS"/>
        </w:rPr>
        <w:t xml:space="preserve"> 2030</w:t>
      </w:r>
      <w:r w:rsidRPr="00CC35F0">
        <w:rPr>
          <w:rFonts w:ascii="Times New Roman" w:eastAsia="Times New Roman" w:hAnsi="Times New Roman"/>
          <w:lang w:val="sr-Cyrl-CS"/>
        </w:rPr>
        <w:t>. године и даље</w:t>
      </w:r>
    </w:p>
    <w:p w14:paraId="2E6E88F4" w14:textId="77777777" w:rsidR="00A0251B" w:rsidRPr="00CC35F0" w:rsidRDefault="008D6506" w:rsidP="00BF51D9">
      <w:pPr>
        <w:spacing w:after="0"/>
        <w:ind w:firstLine="576"/>
        <w:rPr>
          <w:rFonts w:ascii="Times New Roman" w:eastAsia="Times New Roman" w:hAnsi="Times New Roman"/>
          <w:sz w:val="24"/>
          <w:szCs w:val="24"/>
          <w:lang w:val="sr-Cyrl-CS"/>
        </w:rPr>
      </w:pPr>
      <w:bookmarkStart w:id="29" w:name="_heading=h.147n2zr" w:colFirst="0" w:colLast="0"/>
      <w:bookmarkEnd w:id="29"/>
      <w:r w:rsidRPr="00CC35F0">
        <w:rPr>
          <w:rFonts w:ascii="Times New Roman" w:eastAsia="Times New Roman" w:hAnsi="Times New Roman"/>
          <w:sz w:val="24"/>
          <w:szCs w:val="24"/>
          <w:lang w:val="sr-Cyrl-CS"/>
        </w:rPr>
        <w:t>Основни, полазни или сценарио са постојећим мерама (</w:t>
      </w:r>
      <w:r w:rsidRPr="00CC35F0">
        <w:rPr>
          <w:rFonts w:ascii="Times New Roman" w:eastAsia="Times New Roman" w:hAnsi="Times New Roman"/>
          <w:i/>
          <w:sz w:val="24"/>
          <w:szCs w:val="24"/>
          <w:lang w:val="sr-Cyrl-CS"/>
        </w:rPr>
        <w:t xml:space="preserve">with existing measures) </w:t>
      </w:r>
      <w:r w:rsidRPr="00CC35F0">
        <w:rPr>
          <w:rFonts w:ascii="Times New Roman" w:eastAsia="Times New Roman" w:hAnsi="Times New Roman"/>
          <w:sz w:val="24"/>
          <w:szCs w:val="24"/>
          <w:lang w:val="sr-Cyrl-CS"/>
        </w:rPr>
        <w:t xml:space="preserve">(у даљем тексту: WEM), претпоставља да до 2030. године неће доћи до усвајања ПиМ којима би се деловало на загађујуће материје у ваздуху, осим оних које су усвојене до краја 2020. године. Сценарио WEM такође предвиђа да ће мере и политике усвојене до краја 2020. године бити у потпуности имплементиране у обиму и оквирима предвиђеним у тим документима. Треба нагласити да је један од најважнијих докумената јавне политике, који је укључен у сценарио WEM, NERP, који се фокусира на највеће појединачне загађиваче у сектору енергетике у Републици Србији. Спровођењем овог плана у обиму и према динамици из самог документа, извршиће се знатан утицај на смањење националних емисија загађујућих материја у ваздуху, али </w:t>
      </w:r>
      <w:r w:rsidR="00624623" w:rsidRPr="00CC35F0">
        <w:rPr>
          <w:rFonts w:ascii="Times New Roman" w:eastAsia="Times New Roman" w:hAnsi="Times New Roman"/>
          <w:sz w:val="24"/>
          <w:szCs w:val="24"/>
          <w:lang w:val="sr-Cyrl-CS"/>
        </w:rPr>
        <w:t xml:space="preserve">то не значи да ће се остварити </w:t>
      </w:r>
      <w:r w:rsidRPr="00CC35F0">
        <w:rPr>
          <w:rFonts w:ascii="Times New Roman" w:eastAsia="Times New Roman" w:hAnsi="Times New Roman"/>
          <w:sz w:val="24"/>
          <w:szCs w:val="24"/>
          <w:lang w:val="sr-Cyrl-CS"/>
        </w:rPr>
        <w:t>знатни утицаји на концентрације загађујућих материја у ваздуху у градовима и агломерацијама, јер ће се утицај од смањења емисија раширити на велики део територије Републике Србије, која неће обавезно укључивати густо насељене агломерације.</w:t>
      </w:r>
    </w:p>
    <w:p w14:paraId="6188C7B0" w14:textId="77777777" w:rsidR="00A0251B" w:rsidRPr="00CC35F0" w:rsidRDefault="008D6506" w:rsidP="00BF51D9">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Према основном сценарију, пројекције емисија загађујућих материја у ваздух приказане су у доњој табели (Табела 3-2)</w:t>
      </w:r>
      <w:r w:rsidR="00D765C5" w:rsidRPr="00CC35F0">
        <w:rPr>
          <w:rFonts w:ascii="Times New Roman" w:eastAsia="Times New Roman" w:hAnsi="Times New Roman"/>
          <w:sz w:val="24"/>
          <w:szCs w:val="24"/>
          <w:lang w:val="sr-Cyrl-CS"/>
        </w:rPr>
        <w:t>.</w:t>
      </w:r>
    </w:p>
    <w:p w14:paraId="57619CFA" w14:textId="77777777" w:rsidR="00A0251B" w:rsidRPr="00CC35F0" w:rsidRDefault="00A0251B">
      <w:pPr>
        <w:rPr>
          <w:rFonts w:ascii="Times New Roman" w:eastAsia="Times New Roman" w:hAnsi="Times New Roman"/>
          <w:sz w:val="24"/>
          <w:szCs w:val="24"/>
          <w:lang w:val="sr-Cyrl-CS"/>
        </w:rPr>
      </w:pPr>
    </w:p>
    <w:p w14:paraId="56D00E31" w14:textId="77777777" w:rsidR="00A0251B" w:rsidRPr="00CC35F0" w:rsidRDefault="008D6506">
      <w:pPr>
        <w:pBdr>
          <w:top w:val="nil"/>
          <w:left w:val="nil"/>
          <w:bottom w:val="nil"/>
          <w:right w:val="nil"/>
          <w:between w:val="nil"/>
        </w:pBdr>
        <w:spacing w:before="120" w:after="60"/>
        <w:rPr>
          <w:rFonts w:ascii="Times New Roman" w:eastAsia="Times New Roman" w:hAnsi="Times New Roman"/>
          <w:b/>
          <w:color w:val="000000"/>
          <w:sz w:val="24"/>
          <w:szCs w:val="24"/>
          <w:lang w:val="sr-Cyrl-CS"/>
        </w:rPr>
      </w:pPr>
      <w:bookmarkStart w:id="30" w:name="_heading=h.3o7alnk" w:colFirst="0" w:colLast="0"/>
      <w:bookmarkEnd w:id="30"/>
      <w:r w:rsidRPr="00CC35F0">
        <w:rPr>
          <w:rFonts w:ascii="Times New Roman" w:eastAsia="Times New Roman" w:hAnsi="Times New Roman"/>
          <w:b/>
          <w:color w:val="000000"/>
          <w:sz w:val="24"/>
          <w:szCs w:val="24"/>
          <w:lang w:val="sr-Cyrl-CS"/>
        </w:rPr>
        <w:t xml:space="preserve">Табела 3-2 Пројекција емисија загађујућих материја у ваздух према сценарију WEM </w:t>
      </w:r>
    </w:p>
    <w:tbl>
      <w:tblPr>
        <w:tblStyle w:val="a1"/>
        <w:tblW w:w="9249" w:type="dxa"/>
        <w:jc w:val="center"/>
        <w:tblLayout w:type="fixed"/>
        <w:tblLook w:val="0400" w:firstRow="0" w:lastRow="0" w:firstColumn="0" w:lastColumn="0" w:noHBand="0" w:noVBand="1"/>
      </w:tblPr>
      <w:tblGrid>
        <w:gridCol w:w="1313"/>
        <w:gridCol w:w="1376"/>
        <w:gridCol w:w="1276"/>
        <w:gridCol w:w="1276"/>
        <w:gridCol w:w="1417"/>
        <w:gridCol w:w="1276"/>
        <w:gridCol w:w="1315"/>
      </w:tblGrid>
      <w:tr w:rsidR="00A0251B" w:rsidRPr="00CC35F0" w14:paraId="16B24F67" w14:textId="77777777">
        <w:trPr>
          <w:trHeight w:val="300"/>
          <w:jc w:val="center"/>
        </w:trPr>
        <w:tc>
          <w:tcPr>
            <w:tcW w:w="1313" w:type="dxa"/>
            <w:vMerge w:val="restart"/>
            <w:tcBorders>
              <w:top w:val="single" w:sz="4" w:space="0" w:color="000000"/>
              <w:left w:val="single" w:sz="4" w:space="0" w:color="000000"/>
              <w:bottom w:val="nil"/>
              <w:right w:val="single" w:sz="4" w:space="0" w:color="000000"/>
            </w:tcBorders>
            <w:shd w:val="clear" w:color="auto" w:fill="D9E2F3"/>
            <w:vAlign w:val="center"/>
          </w:tcPr>
          <w:p w14:paraId="06BD52CF"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Година </w:t>
            </w:r>
          </w:p>
        </w:tc>
        <w:tc>
          <w:tcPr>
            <w:tcW w:w="1376" w:type="dxa"/>
            <w:tcBorders>
              <w:top w:val="single" w:sz="4" w:space="0" w:color="000000"/>
              <w:left w:val="nil"/>
              <w:bottom w:val="single" w:sz="4" w:space="0" w:color="000000"/>
              <w:right w:val="single" w:sz="4" w:space="0" w:color="000000"/>
            </w:tcBorders>
            <w:shd w:val="clear" w:color="auto" w:fill="D9E2F3"/>
            <w:vAlign w:val="center"/>
          </w:tcPr>
          <w:p w14:paraId="281E7CFB"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NO</w:t>
            </w:r>
            <w:r w:rsidRPr="00CC35F0">
              <w:rPr>
                <w:rFonts w:ascii="Times New Roman" w:eastAsia="Times New Roman" w:hAnsi="Times New Roman"/>
                <w:b/>
                <w:color w:val="000000"/>
                <w:sz w:val="24"/>
                <w:szCs w:val="24"/>
                <w:vertAlign w:val="subscript"/>
                <w:lang w:val="sr-Cyrl-CS"/>
              </w:rPr>
              <w:t>x</w:t>
            </w:r>
          </w:p>
        </w:tc>
        <w:tc>
          <w:tcPr>
            <w:tcW w:w="1276" w:type="dxa"/>
            <w:tcBorders>
              <w:top w:val="single" w:sz="4" w:space="0" w:color="000000"/>
              <w:left w:val="nil"/>
              <w:bottom w:val="single" w:sz="4" w:space="0" w:color="000000"/>
              <w:right w:val="single" w:sz="4" w:space="0" w:color="000000"/>
            </w:tcBorders>
            <w:shd w:val="clear" w:color="auto" w:fill="D9E2F3"/>
            <w:vAlign w:val="center"/>
          </w:tcPr>
          <w:p w14:paraId="34AD8259"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SO</w:t>
            </w:r>
            <w:r w:rsidRPr="00CC35F0">
              <w:rPr>
                <w:rFonts w:ascii="Times New Roman" w:eastAsia="Times New Roman" w:hAnsi="Times New Roman"/>
                <w:b/>
                <w:color w:val="000000"/>
                <w:sz w:val="24"/>
                <w:szCs w:val="24"/>
                <w:vertAlign w:val="subscript"/>
                <w:lang w:val="sr-Cyrl-CS"/>
              </w:rPr>
              <w:t>2</w:t>
            </w:r>
          </w:p>
        </w:tc>
        <w:tc>
          <w:tcPr>
            <w:tcW w:w="1276" w:type="dxa"/>
            <w:tcBorders>
              <w:top w:val="single" w:sz="4" w:space="0" w:color="000000"/>
              <w:left w:val="nil"/>
              <w:bottom w:val="single" w:sz="4" w:space="0" w:color="000000"/>
              <w:right w:val="single" w:sz="4" w:space="0" w:color="000000"/>
            </w:tcBorders>
            <w:shd w:val="clear" w:color="auto" w:fill="D9E2F3"/>
            <w:vAlign w:val="center"/>
          </w:tcPr>
          <w:p w14:paraId="7F6E7003"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VOC</w:t>
            </w:r>
          </w:p>
        </w:tc>
        <w:tc>
          <w:tcPr>
            <w:tcW w:w="1417" w:type="dxa"/>
            <w:tcBorders>
              <w:top w:val="single" w:sz="4" w:space="0" w:color="000000"/>
              <w:left w:val="nil"/>
              <w:bottom w:val="single" w:sz="4" w:space="0" w:color="000000"/>
              <w:right w:val="single" w:sz="4" w:space="0" w:color="000000"/>
            </w:tcBorders>
            <w:shd w:val="clear" w:color="auto" w:fill="D9E2F3"/>
            <w:vAlign w:val="center"/>
          </w:tcPr>
          <w:p w14:paraId="4ACC2192"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PM</w:t>
            </w:r>
            <w:r w:rsidRPr="00CC35F0">
              <w:rPr>
                <w:rFonts w:ascii="Times New Roman" w:eastAsia="Times New Roman" w:hAnsi="Times New Roman"/>
                <w:b/>
                <w:color w:val="000000"/>
                <w:sz w:val="24"/>
                <w:szCs w:val="24"/>
                <w:vertAlign w:val="subscript"/>
                <w:lang w:val="sr-Cyrl-CS"/>
              </w:rPr>
              <w:t>10</w:t>
            </w:r>
          </w:p>
        </w:tc>
        <w:tc>
          <w:tcPr>
            <w:tcW w:w="1276" w:type="dxa"/>
            <w:tcBorders>
              <w:top w:val="single" w:sz="4" w:space="0" w:color="000000"/>
              <w:left w:val="nil"/>
              <w:bottom w:val="single" w:sz="4" w:space="0" w:color="000000"/>
              <w:right w:val="single" w:sz="4" w:space="0" w:color="000000"/>
            </w:tcBorders>
            <w:shd w:val="clear" w:color="auto" w:fill="D9E2F3"/>
            <w:vAlign w:val="center"/>
          </w:tcPr>
          <w:p w14:paraId="1430A8E5"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PM</w:t>
            </w:r>
            <w:r w:rsidRPr="00CC35F0">
              <w:rPr>
                <w:rFonts w:ascii="Times New Roman" w:eastAsia="Times New Roman" w:hAnsi="Times New Roman"/>
                <w:b/>
                <w:color w:val="000000"/>
                <w:sz w:val="24"/>
                <w:szCs w:val="24"/>
                <w:vertAlign w:val="subscript"/>
                <w:lang w:val="sr-Cyrl-CS"/>
              </w:rPr>
              <w:t>2.5</w:t>
            </w:r>
          </w:p>
        </w:tc>
        <w:tc>
          <w:tcPr>
            <w:tcW w:w="1315" w:type="dxa"/>
            <w:tcBorders>
              <w:top w:val="single" w:sz="4" w:space="0" w:color="000000"/>
              <w:left w:val="nil"/>
              <w:bottom w:val="single" w:sz="4" w:space="0" w:color="000000"/>
              <w:right w:val="single" w:sz="4" w:space="0" w:color="000000"/>
            </w:tcBorders>
            <w:shd w:val="clear" w:color="auto" w:fill="D9E2F3"/>
            <w:vAlign w:val="center"/>
          </w:tcPr>
          <w:p w14:paraId="29CC1E47"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NH</w:t>
            </w:r>
            <w:r w:rsidRPr="00CC35F0">
              <w:rPr>
                <w:rFonts w:ascii="Times New Roman" w:eastAsia="Times New Roman" w:hAnsi="Times New Roman"/>
                <w:b/>
                <w:color w:val="000000"/>
                <w:sz w:val="24"/>
                <w:szCs w:val="24"/>
                <w:vertAlign w:val="subscript"/>
                <w:lang w:val="sr-Cyrl-CS"/>
              </w:rPr>
              <w:t>3</w:t>
            </w:r>
          </w:p>
        </w:tc>
      </w:tr>
      <w:tr w:rsidR="00A0251B" w:rsidRPr="00CC35F0" w14:paraId="47A3BFE5" w14:textId="77777777">
        <w:trPr>
          <w:trHeight w:val="315"/>
          <w:jc w:val="center"/>
        </w:trPr>
        <w:tc>
          <w:tcPr>
            <w:tcW w:w="1313" w:type="dxa"/>
            <w:vMerge/>
            <w:tcBorders>
              <w:top w:val="single" w:sz="4" w:space="0" w:color="000000"/>
              <w:left w:val="single" w:sz="4" w:space="0" w:color="000000"/>
              <w:bottom w:val="nil"/>
              <w:right w:val="single" w:sz="4" w:space="0" w:color="000000"/>
            </w:tcBorders>
            <w:shd w:val="clear" w:color="auto" w:fill="D9E2F3"/>
            <w:vAlign w:val="center"/>
          </w:tcPr>
          <w:p w14:paraId="519CF27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color w:val="000000"/>
                <w:sz w:val="24"/>
                <w:szCs w:val="24"/>
                <w:lang w:val="sr-Cyrl-CS"/>
              </w:rPr>
            </w:pPr>
          </w:p>
        </w:tc>
        <w:tc>
          <w:tcPr>
            <w:tcW w:w="1376" w:type="dxa"/>
            <w:tcBorders>
              <w:top w:val="nil"/>
              <w:left w:val="nil"/>
              <w:bottom w:val="nil"/>
              <w:right w:val="single" w:sz="4" w:space="0" w:color="000000"/>
            </w:tcBorders>
            <w:shd w:val="clear" w:color="auto" w:fill="D9E2F3"/>
            <w:vAlign w:val="center"/>
          </w:tcPr>
          <w:p w14:paraId="0D0DB298"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kt</w:t>
            </w:r>
          </w:p>
        </w:tc>
        <w:tc>
          <w:tcPr>
            <w:tcW w:w="1276" w:type="dxa"/>
            <w:tcBorders>
              <w:top w:val="nil"/>
              <w:left w:val="nil"/>
              <w:bottom w:val="nil"/>
              <w:right w:val="single" w:sz="4" w:space="0" w:color="000000"/>
            </w:tcBorders>
            <w:shd w:val="clear" w:color="auto" w:fill="D9E2F3"/>
            <w:vAlign w:val="center"/>
          </w:tcPr>
          <w:p w14:paraId="61892704"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kt</w:t>
            </w:r>
          </w:p>
        </w:tc>
        <w:tc>
          <w:tcPr>
            <w:tcW w:w="1276" w:type="dxa"/>
            <w:tcBorders>
              <w:top w:val="nil"/>
              <w:left w:val="nil"/>
              <w:bottom w:val="nil"/>
              <w:right w:val="single" w:sz="4" w:space="0" w:color="000000"/>
            </w:tcBorders>
            <w:shd w:val="clear" w:color="auto" w:fill="D9E2F3"/>
            <w:vAlign w:val="center"/>
          </w:tcPr>
          <w:p w14:paraId="65AAAE53" w14:textId="77777777" w:rsidR="00A0251B" w:rsidRPr="00CC35F0" w:rsidRDefault="004213B4">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K</w:t>
            </w:r>
            <w:r w:rsidR="008D6506" w:rsidRPr="00CC35F0">
              <w:rPr>
                <w:rFonts w:ascii="Times New Roman" w:eastAsia="Times New Roman" w:hAnsi="Times New Roman"/>
                <w:b/>
                <w:color w:val="000000"/>
                <w:sz w:val="24"/>
                <w:szCs w:val="24"/>
                <w:lang w:val="sr-Cyrl-CS"/>
              </w:rPr>
              <w:t>t</w:t>
            </w:r>
          </w:p>
        </w:tc>
        <w:tc>
          <w:tcPr>
            <w:tcW w:w="1417" w:type="dxa"/>
            <w:tcBorders>
              <w:top w:val="nil"/>
              <w:left w:val="nil"/>
              <w:bottom w:val="nil"/>
              <w:right w:val="single" w:sz="4" w:space="0" w:color="000000"/>
            </w:tcBorders>
            <w:shd w:val="clear" w:color="auto" w:fill="D9E2F3"/>
            <w:vAlign w:val="center"/>
          </w:tcPr>
          <w:p w14:paraId="5FEE993E"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kt</w:t>
            </w:r>
          </w:p>
        </w:tc>
        <w:tc>
          <w:tcPr>
            <w:tcW w:w="1276" w:type="dxa"/>
            <w:tcBorders>
              <w:top w:val="nil"/>
              <w:left w:val="nil"/>
              <w:bottom w:val="nil"/>
              <w:right w:val="single" w:sz="4" w:space="0" w:color="000000"/>
            </w:tcBorders>
            <w:shd w:val="clear" w:color="auto" w:fill="D9E2F3"/>
            <w:vAlign w:val="center"/>
          </w:tcPr>
          <w:p w14:paraId="5F79B95C"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kt</w:t>
            </w:r>
          </w:p>
        </w:tc>
        <w:tc>
          <w:tcPr>
            <w:tcW w:w="1315" w:type="dxa"/>
            <w:tcBorders>
              <w:top w:val="nil"/>
              <w:left w:val="nil"/>
              <w:bottom w:val="nil"/>
              <w:right w:val="single" w:sz="4" w:space="0" w:color="000000"/>
            </w:tcBorders>
            <w:shd w:val="clear" w:color="auto" w:fill="D9E2F3"/>
            <w:vAlign w:val="center"/>
          </w:tcPr>
          <w:p w14:paraId="5BC8F675"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kt</w:t>
            </w:r>
          </w:p>
        </w:tc>
      </w:tr>
      <w:tr w:rsidR="00A0251B" w:rsidRPr="00CC35F0" w14:paraId="6321DBE3" w14:textId="77777777">
        <w:trPr>
          <w:trHeight w:val="255"/>
          <w:jc w:val="center"/>
        </w:trPr>
        <w:tc>
          <w:tcPr>
            <w:tcW w:w="1313" w:type="dxa"/>
            <w:tcBorders>
              <w:top w:val="single" w:sz="8" w:space="0" w:color="000000"/>
              <w:left w:val="single" w:sz="4" w:space="0" w:color="000000"/>
              <w:bottom w:val="single" w:sz="4" w:space="0" w:color="000000"/>
              <w:right w:val="single" w:sz="4" w:space="0" w:color="000000"/>
            </w:tcBorders>
            <w:shd w:val="clear" w:color="auto" w:fill="auto"/>
            <w:vAlign w:val="center"/>
          </w:tcPr>
          <w:p w14:paraId="7005826A"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1376" w:type="dxa"/>
            <w:tcBorders>
              <w:top w:val="single" w:sz="8" w:space="0" w:color="000000"/>
              <w:left w:val="nil"/>
              <w:bottom w:val="single" w:sz="4" w:space="0" w:color="000000"/>
              <w:right w:val="single" w:sz="4" w:space="0" w:color="000000"/>
            </w:tcBorders>
            <w:shd w:val="clear" w:color="auto" w:fill="auto"/>
          </w:tcPr>
          <w:p w14:paraId="1E690EA0"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144,1   </w:t>
            </w:r>
          </w:p>
        </w:tc>
        <w:tc>
          <w:tcPr>
            <w:tcW w:w="1276" w:type="dxa"/>
            <w:tcBorders>
              <w:top w:val="single" w:sz="8" w:space="0" w:color="000000"/>
              <w:left w:val="nil"/>
              <w:bottom w:val="single" w:sz="4" w:space="0" w:color="000000"/>
              <w:right w:val="single" w:sz="4" w:space="0" w:color="000000"/>
            </w:tcBorders>
            <w:shd w:val="clear" w:color="auto" w:fill="auto"/>
          </w:tcPr>
          <w:p w14:paraId="3F62DC2D"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365,96   </w:t>
            </w:r>
          </w:p>
        </w:tc>
        <w:tc>
          <w:tcPr>
            <w:tcW w:w="1276" w:type="dxa"/>
            <w:tcBorders>
              <w:top w:val="single" w:sz="8" w:space="0" w:color="000000"/>
              <w:left w:val="nil"/>
              <w:bottom w:val="single" w:sz="4" w:space="0" w:color="000000"/>
              <w:right w:val="single" w:sz="4" w:space="0" w:color="000000"/>
            </w:tcBorders>
            <w:shd w:val="clear" w:color="auto" w:fill="auto"/>
          </w:tcPr>
          <w:p w14:paraId="4EA59233"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131,7   </w:t>
            </w:r>
          </w:p>
        </w:tc>
        <w:tc>
          <w:tcPr>
            <w:tcW w:w="1417" w:type="dxa"/>
            <w:tcBorders>
              <w:top w:val="single" w:sz="8" w:space="0" w:color="000000"/>
              <w:left w:val="nil"/>
              <w:bottom w:val="single" w:sz="4" w:space="0" w:color="000000"/>
              <w:right w:val="single" w:sz="4" w:space="0" w:color="000000"/>
            </w:tcBorders>
            <w:shd w:val="clear" w:color="auto" w:fill="auto"/>
          </w:tcPr>
          <w:p w14:paraId="40E67EED"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76,9   </w:t>
            </w:r>
          </w:p>
        </w:tc>
        <w:tc>
          <w:tcPr>
            <w:tcW w:w="1276" w:type="dxa"/>
            <w:tcBorders>
              <w:top w:val="single" w:sz="8" w:space="0" w:color="000000"/>
              <w:left w:val="nil"/>
              <w:bottom w:val="single" w:sz="4" w:space="0" w:color="000000"/>
              <w:right w:val="single" w:sz="4" w:space="0" w:color="000000"/>
            </w:tcBorders>
            <w:shd w:val="clear" w:color="auto" w:fill="auto"/>
          </w:tcPr>
          <w:p w14:paraId="65A0201D"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55,8   </w:t>
            </w:r>
          </w:p>
        </w:tc>
        <w:tc>
          <w:tcPr>
            <w:tcW w:w="1315" w:type="dxa"/>
            <w:tcBorders>
              <w:top w:val="single" w:sz="8" w:space="0" w:color="000000"/>
              <w:left w:val="nil"/>
              <w:bottom w:val="single" w:sz="4" w:space="0" w:color="000000"/>
              <w:right w:val="single" w:sz="8" w:space="0" w:color="000000"/>
            </w:tcBorders>
            <w:shd w:val="clear" w:color="auto" w:fill="auto"/>
          </w:tcPr>
          <w:p w14:paraId="4AFCE674"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83,8   </w:t>
            </w:r>
          </w:p>
        </w:tc>
      </w:tr>
      <w:tr w:rsidR="00A0251B" w:rsidRPr="00CC35F0" w14:paraId="2B4CBD5E" w14:textId="77777777">
        <w:trPr>
          <w:trHeight w:val="255"/>
          <w:jc w:val="center"/>
        </w:trPr>
        <w:tc>
          <w:tcPr>
            <w:tcW w:w="1313" w:type="dxa"/>
            <w:tcBorders>
              <w:top w:val="nil"/>
              <w:left w:val="single" w:sz="4" w:space="0" w:color="000000"/>
              <w:bottom w:val="single" w:sz="4" w:space="0" w:color="000000"/>
              <w:right w:val="single" w:sz="4" w:space="0" w:color="000000"/>
            </w:tcBorders>
            <w:shd w:val="clear" w:color="auto" w:fill="auto"/>
            <w:vAlign w:val="center"/>
          </w:tcPr>
          <w:p w14:paraId="24FD74F3"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1376" w:type="dxa"/>
            <w:tcBorders>
              <w:top w:val="nil"/>
              <w:left w:val="nil"/>
              <w:bottom w:val="single" w:sz="4" w:space="0" w:color="000000"/>
              <w:right w:val="single" w:sz="4" w:space="0" w:color="000000"/>
            </w:tcBorders>
            <w:shd w:val="clear" w:color="auto" w:fill="auto"/>
          </w:tcPr>
          <w:p w14:paraId="2A7C4DD1"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140,0   </w:t>
            </w:r>
          </w:p>
        </w:tc>
        <w:tc>
          <w:tcPr>
            <w:tcW w:w="1276" w:type="dxa"/>
            <w:tcBorders>
              <w:top w:val="nil"/>
              <w:left w:val="nil"/>
              <w:bottom w:val="single" w:sz="4" w:space="0" w:color="000000"/>
              <w:right w:val="single" w:sz="4" w:space="0" w:color="000000"/>
            </w:tcBorders>
            <w:shd w:val="clear" w:color="auto" w:fill="auto"/>
          </w:tcPr>
          <w:p w14:paraId="7DC225F6"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365,99   </w:t>
            </w:r>
          </w:p>
        </w:tc>
        <w:tc>
          <w:tcPr>
            <w:tcW w:w="1276" w:type="dxa"/>
            <w:tcBorders>
              <w:top w:val="nil"/>
              <w:left w:val="nil"/>
              <w:bottom w:val="single" w:sz="4" w:space="0" w:color="000000"/>
              <w:right w:val="single" w:sz="4" w:space="0" w:color="000000"/>
            </w:tcBorders>
            <w:shd w:val="clear" w:color="auto" w:fill="auto"/>
          </w:tcPr>
          <w:p w14:paraId="1C3742CF"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125,0   </w:t>
            </w:r>
          </w:p>
        </w:tc>
        <w:tc>
          <w:tcPr>
            <w:tcW w:w="1417" w:type="dxa"/>
            <w:tcBorders>
              <w:top w:val="nil"/>
              <w:left w:val="nil"/>
              <w:bottom w:val="single" w:sz="4" w:space="0" w:color="000000"/>
              <w:right w:val="single" w:sz="4" w:space="0" w:color="000000"/>
            </w:tcBorders>
            <w:shd w:val="clear" w:color="auto" w:fill="auto"/>
          </w:tcPr>
          <w:p w14:paraId="0F0ABD2B"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79,5   </w:t>
            </w:r>
          </w:p>
        </w:tc>
        <w:tc>
          <w:tcPr>
            <w:tcW w:w="1276" w:type="dxa"/>
            <w:tcBorders>
              <w:top w:val="nil"/>
              <w:left w:val="nil"/>
              <w:bottom w:val="single" w:sz="4" w:space="0" w:color="000000"/>
              <w:right w:val="single" w:sz="4" w:space="0" w:color="000000"/>
            </w:tcBorders>
            <w:shd w:val="clear" w:color="auto" w:fill="auto"/>
          </w:tcPr>
          <w:p w14:paraId="2A07D66A"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57,7   </w:t>
            </w:r>
          </w:p>
        </w:tc>
        <w:tc>
          <w:tcPr>
            <w:tcW w:w="1315" w:type="dxa"/>
            <w:tcBorders>
              <w:top w:val="nil"/>
              <w:left w:val="nil"/>
              <w:bottom w:val="single" w:sz="4" w:space="0" w:color="000000"/>
              <w:right w:val="single" w:sz="8" w:space="0" w:color="000000"/>
            </w:tcBorders>
            <w:shd w:val="clear" w:color="auto" w:fill="auto"/>
          </w:tcPr>
          <w:p w14:paraId="09B97867"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84,3   </w:t>
            </w:r>
          </w:p>
        </w:tc>
      </w:tr>
      <w:tr w:rsidR="00A0251B" w:rsidRPr="00CC35F0" w14:paraId="2DDA8FAA" w14:textId="77777777">
        <w:trPr>
          <w:trHeight w:val="255"/>
          <w:jc w:val="center"/>
        </w:trPr>
        <w:tc>
          <w:tcPr>
            <w:tcW w:w="1313" w:type="dxa"/>
            <w:tcBorders>
              <w:top w:val="nil"/>
              <w:left w:val="single" w:sz="4" w:space="0" w:color="000000"/>
              <w:bottom w:val="single" w:sz="4" w:space="0" w:color="000000"/>
              <w:right w:val="single" w:sz="4" w:space="0" w:color="000000"/>
            </w:tcBorders>
            <w:shd w:val="clear" w:color="auto" w:fill="auto"/>
            <w:vAlign w:val="center"/>
          </w:tcPr>
          <w:p w14:paraId="3A099099"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1376" w:type="dxa"/>
            <w:tcBorders>
              <w:top w:val="nil"/>
              <w:left w:val="nil"/>
              <w:bottom w:val="single" w:sz="4" w:space="0" w:color="000000"/>
              <w:right w:val="single" w:sz="4" w:space="0" w:color="000000"/>
            </w:tcBorders>
            <w:shd w:val="clear" w:color="auto" w:fill="auto"/>
          </w:tcPr>
          <w:p w14:paraId="1BFD0212"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79,1   </w:t>
            </w:r>
          </w:p>
        </w:tc>
        <w:tc>
          <w:tcPr>
            <w:tcW w:w="1276" w:type="dxa"/>
            <w:tcBorders>
              <w:top w:val="nil"/>
              <w:left w:val="nil"/>
              <w:bottom w:val="single" w:sz="4" w:space="0" w:color="000000"/>
              <w:right w:val="single" w:sz="4" w:space="0" w:color="000000"/>
            </w:tcBorders>
            <w:shd w:val="clear" w:color="auto" w:fill="auto"/>
          </w:tcPr>
          <w:p w14:paraId="544520C3"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42,9   </w:t>
            </w:r>
          </w:p>
        </w:tc>
        <w:tc>
          <w:tcPr>
            <w:tcW w:w="1276" w:type="dxa"/>
            <w:tcBorders>
              <w:top w:val="nil"/>
              <w:left w:val="nil"/>
              <w:bottom w:val="single" w:sz="4" w:space="0" w:color="000000"/>
              <w:right w:val="single" w:sz="4" w:space="0" w:color="000000"/>
            </w:tcBorders>
            <w:shd w:val="clear" w:color="auto" w:fill="auto"/>
          </w:tcPr>
          <w:p w14:paraId="7B06C9D4"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120,7   </w:t>
            </w:r>
          </w:p>
        </w:tc>
        <w:tc>
          <w:tcPr>
            <w:tcW w:w="1417" w:type="dxa"/>
            <w:tcBorders>
              <w:top w:val="nil"/>
              <w:left w:val="nil"/>
              <w:bottom w:val="single" w:sz="4" w:space="0" w:color="000000"/>
              <w:right w:val="single" w:sz="4" w:space="0" w:color="000000"/>
            </w:tcBorders>
            <w:shd w:val="clear" w:color="auto" w:fill="auto"/>
          </w:tcPr>
          <w:p w14:paraId="4E79C6EC"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66,9   </w:t>
            </w:r>
          </w:p>
        </w:tc>
        <w:tc>
          <w:tcPr>
            <w:tcW w:w="1276" w:type="dxa"/>
            <w:tcBorders>
              <w:top w:val="nil"/>
              <w:left w:val="nil"/>
              <w:bottom w:val="single" w:sz="4" w:space="0" w:color="000000"/>
              <w:right w:val="single" w:sz="4" w:space="0" w:color="000000"/>
            </w:tcBorders>
            <w:shd w:val="clear" w:color="auto" w:fill="auto"/>
          </w:tcPr>
          <w:p w14:paraId="30D11DC8"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50,6   </w:t>
            </w:r>
          </w:p>
        </w:tc>
        <w:tc>
          <w:tcPr>
            <w:tcW w:w="1315" w:type="dxa"/>
            <w:tcBorders>
              <w:top w:val="nil"/>
              <w:left w:val="nil"/>
              <w:bottom w:val="single" w:sz="4" w:space="0" w:color="000000"/>
              <w:right w:val="single" w:sz="8" w:space="0" w:color="000000"/>
            </w:tcBorders>
            <w:shd w:val="clear" w:color="auto" w:fill="auto"/>
          </w:tcPr>
          <w:p w14:paraId="61705786"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78,6   </w:t>
            </w:r>
          </w:p>
        </w:tc>
      </w:tr>
      <w:tr w:rsidR="00A0251B" w:rsidRPr="00CC35F0" w14:paraId="6082147D" w14:textId="77777777">
        <w:trPr>
          <w:trHeight w:val="255"/>
          <w:jc w:val="center"/>
        </w:trPr>
        <w:tc>
          <w:tcPr>
            <w:tcW w:w="1313" w:type="dxa"/>
            <w:tcBorders>
              <w:top w:val="nil"/>
              <w:left w:val="single" w:sz="4" w:space="0" w:color="000000"/>
              <w:bottom w:val="single" w:sz="4" w:space="0" w:color="000000"/>
              <w:right w:val="single" w:sz="4" w:space="0" w:color="000000"/>
            </w:tcBorders>
            <w:shd w:val="clear" w:color="auto" w:fill="auto"/>
            <w:vAlign w:val="center"/>
          </w:tcPr>
          <w:p w14:paraId="34C63A62"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1376" w:type="dxa"/>
            <w:tcBorders>
              <w:top w:val="nil"/>
              <w:left w:val="nil"/>
              <w:bottom w:val="single" w:sz="4" w:space="0" w:color="000000"/>
              <w:right w:val="single" w:sz="4" w:space="0" w:color="000000"/>
            </w:tcBorders>
            <w:shd w:val="clear" w:color="auto" w:fill="auto"/>
          </w:tcPr>
          <w:p w14:paraId="33BAA256"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72,0   </w:t>
            </w:r>
          </w:p>
        </w:tc>
        <w:tc>
          <w:tcPr>
            <w:tcW w:w="1276" w:type="dxa"/>
            <w:tcBorders>
              <w:top w:val="nil"/>
              <w:left w:val="nil"/>
              <w:bottom w:val="single" w:sz="4" w:space="0" w:color="000000"/>
              <w:right w:val="single" w:sz="4" w:space="0" w:color="000000"/>
            </w:tcBorders>
            <w:shd w:val="clear" w:color="auto" w:fill="auto"/>
          </w:tcPr>
          <w:p w14:paraId="19F283D4"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38,4   </w:t>
            </w:r>
          </w:p>
        </w:tc>
        <w:tc>
          <w:tcPr>
            <w:tcW w:w="1276" w:type="dxa"/>
            <w:tcBorders>
              <w:top w:val="nil"/>
              <w:left w:val="nil"/>
              <w:bottom w:val="single" w:sz="4" w:space="0" w:color="000000"/>
              <w:right w:val="single" w:sz="4" w:space="0" w:color="000000"/>
            </w:tcBorders>
            <w:shd w:val="clear" w:color="auto" w:fill="auto"/>
          </w:tcPr>
          <w:p w14:paraId="07B8138B"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116,2   </w:t>
            </w:r>
          </w:p>
        </w:tc>
        <w:tc>
          <w:tcPr>
            <w:tcW w:w="1417" w:type="dxa"/>
            <w:tcBorders>
              <w:top w:val="nil"/>
              <w:left w:val="nil"/>
              <w:bottom w:val="single" w:sz="4" w:space="0" w:color="000000"/>
              <w:right w:val="single" w:sz="4" w:space="0" w:color="000000"/>
            </w:tcBorders>
            <w:shd w:val="clear" w:color="auto" w:fill="auto"/>
          </w:tcPr>
          <w:p w14:paraId="3BD25F76"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64,0   </w:t>
            </w:r>
          </w:p>
        </w:tc>
        <w:tc>
          <w:tcPr>
            <w:tcW w:w="1276" w:type="dxa"/>
            <w:tcBorders>
              <w:top w:val="nil"/>
              <w:left w:val="nil"/>
              <w:bottom w:val="single" w:sz="4" w:space="0" w:color="000000"/>
              <w:right w:val="single" w:sz="4" w:space="0" w:color="000000"/>
            </w:tcBorders>
            <w:shd w:val="clear" w:color="auto" w:fill="auto"/>
          </w:tcPr>
          <w:p w14:paraId="10A512E7"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48,4   </w:t>
            </w:r>
          </w:p>
        </w:tc>
        <w:tc>
          <w:tcPr>
            <w:tcW w:w="1315" w:type="dxa"/>
            <w:tcBorders>
              <w:top w:val="nil"/>
              <w:left w:val="nil"/>
              <w:bottom w:val="single" w:sz="4" w:space="0" w:color="000000"/>
              <w:right w:val="single" w:sz="8" w:space="0" w:color="000000"/>
            </w:tcBorders>
            <w:shd w:val="clear" w:color="auto" w:fill="auto"/>
          </w:tcPr>
          <w:p w14:paraId="27D2E403"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79,4   </w:t>
            </w:r>
          </w:p>
        </w:tc>
      </w:tr>
      <w:tr w:rsidR="00A0251B" w:rsidRPr="00CC35F0" w14:paraId="2C918A93" w14:textId="77777777">
        <w:trPr>
          <w:trHeight w:val="270"/>
          <w:jc w:val="center"/>
        </w:trPr>
        <w:tc>
          <w:tcPr>
            <w:tcW w:w="1313" w:type="dxa"/>
            <w:tcBorders>
              <w:top w:val="nil"/>
              <w:left w:val="single" w:sz="4" w:space="0" w:color="000000"/>
              <w:bottom w:val="single" w:sz="4" w:space="0" w:color="000000"/>
              <w:right w:val="single" w:sz="4" w:space="0" w:color="000000"/>
            </w:tcBorders>
            <w:shd w:val="clear" w:color="auto" w:fill="auto"/>
            <w:vAlign w:val="center"/>
          </w:tcPr>
          <w:p w14:paraId="7958F199"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376" w:type="dxa"/>
            <w:tcBorders>
              <w:top w:val="nil"/>
              <w:left w:val="nil"/>
              <w:bottom w:val="single" w:sz="4" w:space="0" w:color="000000"/>
              <w:right w:val="single" w:sz="4" w:space="0" w:color="000000"/>
            </w:tcBorders>
            <w:shd w:val="clear" w:color="auto" w:fill="auto"/>
          </w:tcPr>
          <w:p w14:paraId="643973E4"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64,4   </w:t>
            </w:r>
          </w:p>
        </w:tc>
        <w:tc>
          <w:tcPr>
            <w:tcW w:w="1276" w:type="dxa"/>
            <w:tcBorders>
              <w:top w:val="nil"/>
              <w:left w:val="nil"/>
              <w:bottom w:val="single" w:sz="4" w:space="0" w:color="000000"/>
              <w:right w:val="single" w:sz="4" w:space="0" w:color="000000"/>
            </w:tcBorders>
            <w:shd w:val="clear" w:color="auto" w:fill="auto"/>
          </w:tcPr>
          <w:p w14:paraId="0B1FCEAB"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29,3   </w:t>
            </w:r>
          </w:p>
        </w:tc>
        <w:tc>
          <w:tcPr>
            <w:tcW w:w="1276" w:type="dxa"/>
            <w:tcBorders>
              <w:top w:val="nil"/>
              <w:left w:val="nil"/>
              <w:bottom w:val="single" w:sz="4" w:space="0" w:color="000000"/>
              <w:right w:val="single" w:sz="4" w:space="0" w:color="000000"/>
            </w:tcBorders>
            <w:shd w:val="clear" w:color="auto" w:fill="auto"/>
          </w:tcPr>
          <w:p w14:paraId="5E482B9E"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108,3   </w:t>
            </w:r>
          </w:p>
        </w:tc>
        <w:tc>
          <w:tcPr>
            <w:tcW w:w="1417" w:type="dxa"/>
            <w:tcBorders>
              <w:top w:val="nil"/>
              <w:left w:val="nil"/>
              <w:bottom w:val="single" w:sz="4" w:space="0" w:color="000000"/>
              <w:right w:val="single" w:sz="4" w:space="0" w:color="000000"/>
            </w:tcBorders>
            <w:shd w:val="clear" w:color="auto" w:fill="auto"/>
          </w:tcPr>
          <w:p w14:paraId="11BE40C4"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62,8   </w:t>
            </w:r>
          </w:p>
        </w:tc>
        <w:tc>
          <w:tcPr>
            <w:tcW w:w="1276" w:type="dxa"/>
            <w:tcBorders>
              <w:top w:val="nil"/>
              <w:left w:val="nil"/>
              <w:bottom w:val="single" w:sz="4" w:space="0" w:color="000000"/>
              <w:right w:val="single" w:sz="4" w:space="0" w:color="000000"/>
            </w:tcBorders>
            <w:shd w:val="clear" w:color="auto" w:fill="auto"/>
          </w:tcPr>
          <w:p w14:paraId="4AC7560D"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47,9   </w:t>
            </w:r>
          </w:p>
        </w:tc>
        <w:tc>
          <w:tcPr>
            <w:tcW w:w="1315" w:type="dxa"/>
            <w:tcBorders>
              <w:top w:val="nil"/>
              <w:left w:val="nil"/>
              <w:bottom w:val="single" w:sz="4" w:space="0" w:color="000000"/>
              <w:right w:val="single" w:sz="8" w:space="0" w:color="000000"/>
            </w:tcBorders>
            <w:shd w:val="clear" w:color="auto" w:fill="auto"/>
          </w:tcPr>
          <w:p w14:paraId="5C3D0910"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76,3   </w:t>
            </w:r>
          </w:p>
        </w:tc>
      </w:tr>
    </w:tbl>
    <w:p w14:paraId="667DE21F" w14:textId="77777777" w:rsidR="00A0251B" w:rsidRPr="00CC35F0" w:rsidRDefault="00A0251B">
      <w:pPr>
        <w:rPr>
          <w:rFonts w:ascii="Times New Roman" w:eastAsia="Times New Roman" w:hAnsi="Times New Roman"/>
          <w:sz w:val="24"/>
          <w:szCs w:val="24"/>
          <w:lang w:val="sr-Cyrl-CS"/>
        </w:rPr>
      </w:pPr>
    </w:p>
    <w:p w14:paraId="0658AC5C" w14:textId="77777777" w:rsidR="00A0251B" w:rsidRPr="00CC35F0" w:rsidRDefault="008D6506" w:rsidP="00BF51D9">
      <w:pPr>
        <w:spacing w:after="200"/>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Спровођење неколико важећих прописа и мера изабраних за сценарио WEM у поређењу са емисијама из 2015, омогућава смањење емисије загађујућих материја у ваздух 2030. године, и то: за 89%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за 50%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за 12% VOC, за 17%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за 13% PM</w:t>
      </w:r>
      <w:r w:rsidRPr="00CC35F0">
        <w:rPr>
          <w:rFonts w:ascii="Times New Roman" w:eastAsia="Times New Roman" w:hAnsi="Times New Roman"/>
          <w:sz w:val="24"/>
          <w:szCs w:val="24"/>
          <w:vertAlign w:val="subscript"/>
          <w:lang w:val="sr-Cyrl-CS"/>
        </w:rPr>
        <w:t xml:space="preserve">2.5 </w:t>
      </w:r>
      <w:r w:rsidRPr="00CC35F0">
        <w:rPr>
          <w:rFonts w:ascii="Times New Roman" w:eastAsia="Times New Roman" w:hAnsi="Times New Roman"/>
          <w:sz w:val="24"/>
          <w:szCs w:val="24"/>
          <w:lang w:val="sr-Cyrl-CS"/>
        </w:rPr>
        <w:t>и за 5%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а 2035. године: за 92%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за 55%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за 18% VOC, за 18%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за 14% PM</w:t>
      </w:r>
      <w:r w:rsidRPr="00CC35F0">
        <w:rPr>
          <w:rFonts w:ascii="Times New Roman" w:eastAsia="Times New Roman" w:hAnsi="Times New Roman"/>
          <w:sz w:val="24"/>
          <w:szCs w:val="24"/>
          <w:vertAlign w:val="subscript"/>
          <w:lang w:val="sr-Cyrl-CS"/>
        </w:rPr>
        <w:t xml:space="preserve">2.5 </w:t>
      </w:r>
      <w:r w:rsidRPr="00CC35F0">
        <w:rPr>
          <w:rFonts w:ascii="Times New Roman" w:eastAsia="Times New Roman" w:hAnsi="Times New Roman"/>
          <w:sz w:val="24"/>
          <w:szCs w:val="24"/>
          <w:lang w:val="sr-Cyrl-CS"/>
        </w:rPr>
        <w:t>и за 9%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w:t>
      </w:r>
    </w:p>
    <w:p w14:paraId="12D90AE2" w14:textId="77777777" w:rsidR="00A0251B" w:rsidRPr="00CC35F0" w:rsidRDefault="008D6506">
      <w:pPr>
        <w:pBdr>
          <w:top w:val="nil"/>
          <w:left w:val="nil"/>
          <w:bottom w:val="nil"/>
          <w:right w:val="nil"/>
          <w:between w:val="nil"/>
        </w:pBdr>
        <w:spacing w:before="120" w:after="60"/>
        <w:rPr>
          <w:rFonts w:ascii="Times New Roman" w:eastAsia="Times New Roman" w:hAnsi="Times New Roman"/>
          <w:b/>
          <w:color w:val="000000"/>
          <w:sz w:val="24"/>
          <w:szCs w:val="24"/>
          <w:lang w:val="sr-Cyrl-CS"/>
        </w:rPr>
      </w:pPr>
      <w:bookmarkStart w:id="31" w:name="_heading=h.23ckvvd" w:colFirst="0" w:colLast="0"/>
      <w:bookmarkEnd w:id="31"/>
      <w:r w:rsidRPr="00CC35F0">
        <w:rPr>
          <w:rFonts w:ascii="Times New Roman" w:eastAsia="Times New Roman" w:hAnsi="Times New Roman"/>
          <w:b/>
          <w:color w:val="000000"/>
          <w:sz w:val="24"/>
          <w:szCs w:val="24"/>
          <w:lang w:val="sr-Cyrl-CS"/>
        </w:rPr>
        <w:t xml:space="preserve">Табела 3-3 Пројектовано смањење емисија загађујућих материја у ваздух према сценарију WEM </w:t>
      </w:r>
    </w:p>
    <w:tbl>
      <w:tblPr>
        <w:tblStyle w:val="a2"/>
        <w:tblW w:w="9358" w:type="dxa"/>
        <w:jc w:val="center"/>
        <w:tblLayout w:type="fixed"/>
        <w:tblLook w:val="0400" w:firstRow="0" w:lastRow="0" w:firstColumn="0" w:lastColumn="0" w:noHBand="0" w:noVBand="1"/>
      </w:tblPr>
      <w:tblGrid>
        <w:gridCol w:w="1989"/>
        <w:gridCol w:w="1276"/>
        <w:gridCol w:w="1238"/>
        <w:gridCol w:w="1166"/>
        <w:gridCol w:w="1276"/>
        <w:gridCol w:w="1275"/>
        <w:gridCol w:w="1138"/>
      </w:tblGrid>
      <w:tr w:rsidR="00A0251B" w:rsidRPr="00CC35F0" w14:paraId="138ECC8E" w14:textId="77777777">
        <w:trPr>
          <w:trHeight w:val="300"/>
          <w:tblHeader/>
          <w:jc w:val="center"/>
        </w:trPr>
        <w:tc>
          <w:tcPr>
            <w:tcW w:w="1989"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B834231"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Кретање емисија у поређењу са 2015. годином (%)</w:t>
            </w:r>
          </w:p>
        </w:tc>
        <w:tc>
          <w:tcPr>
            <w:tcW w:w="1276" w:type="dxa"/>
            <w:tcBorders>
              <w:top w:val="single" w:sz="4" w:space="0" w:color="000000"/>
              <w:left w:val="nil"/>
              <w:bottom w:val="single" w:sz="4" w:space="0" w:color="000000"/>
              <w:right w:val="single" w:sz="4" w:space="0" w:color="000000"/>
            </w:tcBorders>
            <w:shd w:val="clear" w:color="auto" w:fill="D9E2F3"/>
            <w:vAlign w:val="center"/>
          </w:tcPr>
          <w:p w14:paraId="658F0D38"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NO</w:t>
            </w:r>
            <w:r w:rsidRPr="00CC35F0">
              <w:rPr>
                <w:rFonts w:ascii="Times New Roman" w:eastAsia="Times New Roman" w:hAnsi="Times New Roman"/>
                <w:b/>
                <w:color w:val="000000"/>
                <w:sz w:val="24"/>
                <w:szCs w:val="24"/>
                <w:vertAlign w:val="subscript"/>
                <w:lang w:val="sr-Cyrl-CS"/>
              </w:rPr>
              <w:t>x</w:t>
            </w:r>
          </w:p>
        </w:tc>
        <w:tc>
          <w:tcPr>
            <w:tcW w:w="1238" w:type="dxa"/>
            <w:tcBorders>
              <w:top w:val="single" w:sz="4" w:space="0" w:color="000000"/>
              <w:left w:val="nil"/>
              <w:bottom w:val="single" w:sz="4" w:space="0" w:color="000000"/>
              <w:right w:val="single" w:sz="4" w:space="0" w:color="000000"/>
            </w:tcBorders>
            <w:shd w:val="clear" w:color="auto" w:fill="D9E2F3"/>
            <w:vAlign w:val="center"/>
          </w:tcPr>
          <w:p w14:paraId="3BFAF8C2"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SO</w:t>
            </w:r>
            <w:r w:rsidRPr="00CC35F0">
              <w:rPr>
                <w:rFonts w:ascii="Times New Roman" w:eastAsia="Times New Roman" w:hAnsi="Times New Roman"/>
                <w:b/>
                <w:color w:val="000000"/>
                <w:sz w:val="24"/>
                <w:szCs w:val="24"/>
                <w:vertAlign w:val="subscript"/>
                <w:lang w:val="sr-Cyrl-CS"/>
              </w:rPr>
              <w:t>2</w:t>
            </w:r>
          </w:p>
        </w:tc>
        <w:tc>
          <w:tcPr>
            <w:tcW w:w="1166" w:type="dxa"/>
            <w:tcBorders>
              <w:top w:val="single" w:sz="4" w:space="0" w:color="000000"/>
              <w:left w:val="nil"/>
              <w:bottom w:val="single" w:sz="4" w:space="0" w:color="000000"/>
              <w:right w:val="single" w:sz="4" w:space="0" w:color="000000"/>
            </w:tcBorders>
            <w:shd w:val="clear" w:color="auto" w:fill="D9E2F3"/>
            <w:vAlign w:val="center"/>
          </w:tcPr>
          <w:p w14:paraId="2625F508"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VOC</w:t>
            </w:r>
          </w:p>
        </w:tc>
        <w:tc>
          <w:tcPr>
            <w:tcW w:w="1276" w:type="dxa"/>
            <w:tcBorders>
              <w:top w:val="single" w:sz="4" w:space="0" w:color="000000"/>
              <w:left w:val="nil"/>
              <w:bottom w:val="single" w:sz="4" w:space="0" w:color="000000"/>
              <w:right w:val="single" w:sz="4" w:space="0" w:color="000000"/>
            </w:tcBorders>
            <w:shd w:val="clear" w:color="auto" w:fill="D9E2F3"/>
            <w:vAlign w:val="center"/>
          </w:tcPr>
          <w:p w14:paraId="1936037C"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PM</w:t>
            </w:r>
            <w:r w:rsidRPr="00CC35F0">
              <w:rPr>
                <w:rFonts w:ascii="Times New Roman" w:eastAsia="Times New Roman" w:hAnsi="Times New Roman"/>
                <w:b/>
                <w:color w:val="000000"/>
                <w:sz w:val="24"/>
                <w:szCs w:val="24"/>
                <w:vertAlign w:val="subscript"/>
                <w:lang w:val="sr-Cyrl-CS"/>
              </w:rPr>
              <w:t>10</w:t>
            </w:r>
          </w:p>
        </w:tc>
        <w:tc>
          <w:tcPr>
            <w:tcW w:w="1275" w:type="dxa"/>
            <w:tcBorders>
              <w:top w:val="single" w:sz="4" w:space="0" w:color="000000"/>
              <w:left w:val="nil"/>
              <w:bottom w:val="single" w:sz="4" w:space="0" w:color="000000"/>
              <w:right w:val="single" w:sz="4" w:space="0" w:color="000000"/>
            </w:tcBorders>
            <w:shd w:val="clear" w:color="auto" w:fill="D9E2F3"/>
            <w:vAlign w:val="center"/>
          </w:tcPr>
          <w:p w14:paraId="48305BC7"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PM</w:t>
            </w:r>
            <w:r w:rsidRPr="00CC35F0">
              <w:rPr>
                <w:rFonts w:ascii="Times New Roman" w:eastAsia="Times New Roman" w:hAnsi="Times New Roman"/>
                <w:b/>
                <w:color w:val="000000"/>
                <w:sz w:val="24"/>
                <w:szCs w:val="24"/>
                <w:vertAlign w:val="subscript"/>
                <w:lang w:val="sr-Cyrl-CS"/>
              </w:rPr>
              <w:t>2.5</w:t>
            </w:r>
          </w:p>
        </w:tc>
        <w:tc>
          <w:tcPr>
            <w:tcW w:w="1138" w:type="dxa"/>
            <w:tcBorders>
              <w:top w:val="single" w:sz="4" w:space="0" w:color="000000"/>
              <w:left w:val="nil"/>
              <w:bottom w:val="single" w:sz="4" w:space="0" w:color="000000"/>
              <w:right w:val="single" w:sz="4" w:space="0" w:color="000000"/>
            </w:tcBorders>
            <w:shd w:val="clear" w:color="auto" w:fill="D9E2F3"/>
            <w:vAlign w:val="center"/>
          </w:tcPr>
          <w:p w14:paraId="023DAFD2" w14:textId="77777777" w:rsidR="00A0251B" w:rsidRPr="00CC35F0" w:rsidRDefault="008D6506">
            <w:pPr>
              <w:spacing w:after="0" w:line="240" w:lineRule="auto"/>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NH</w:t>
            </w:r>
            <w:r w:rsidRPr="00CC35F0">
              <w:rPr>
                <w:rFonts w:ascii="Times New Roman" w:eastAsia="Times New Roman" w:hAnsi="Times New Roman"/>
                <w:b/>
                <w:color w:val="000000"/>
                <w:sz w:val="24"/>
                <w:szCs w:val="24"/>
                <w:vertAlign w:val="subscript"/>
                <w:lang w:val="sr-Cyrl-CS"/>
              </w:rPr>
              <w:t>3</w:t>
            </w:r>
          </w:p>
        </w:tc>
      </w:tr>
      <w:tr w:rsidR="00A0251B" w:rsidRPr="00CC35F0" w14:paraId="5D328F47" w14:textId="77777777">
        <w:trPr>
          <w:trHeight w:val="255"/>
          <w:jc w:val="center"/>
        </w:trPr>
        <w:tc>
          <w:tcPr>
            <w:tcW w:w="19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A1F14"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1276" w:type="dxa"/>
            <w:tcBorders>
              <w:top w:val="single" w:sz="4" w:space="0" w:color="000000"/>
              <w:left w:val="nil"/>
              <w:bottom w:val="single" w:sz="4" w:space="0" w:color="000000"/>
              <w:right w:val="single" w:sz="4" w:space="0" w:color="000000"/>
            </w:tcBorders>
            <w:shd w:val="clear" w:color="auto" w:fill="auto"/>
          </w:tcPr>
          <w:p w14:paraId="7E973BA5"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p>
        </w:tc>
        <w:tc>
          <w:tcPr>
            <w:tcW w:w="1238" w:type="dxa"/>
            <w:tcBorders>
              <w:top w:val="single" w:sz="4" w:space="0" w:color="000000"/>
              <w:left w:val="nil"/>
              <w:bottom w:val="single" w:sz="4" w:space="0" w:color="000000"/>
              <w:right w:val="single" w:sz="4" w:space="0" w:color="000000"/>
            </w:tcBorders>
            <w:shd w:val="clear" w:color="auto" w:fill="auto"/>
          </w:tcPr>
          <w:p w14:paraId="0AD8330A"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166" w:type="dxa"/>
            <w:tcBorders>
              <w:top w:val="single" w:sz="4" w:space="0" w:color="000000"/>
              <w:left w:val="nil"/>
              <w:bottom w:val="single" w:sz="4" w:space="0" w:color="000000"/>
              <w:right w:val="single" w:sz="4" w:space="0" w:color="000000"/>
            </w:tcBorders>
            <w:shd w:val="clear" w:color="auto" w:fill="auto"/>
          </w:tcPr>
          <w:p w14:paraId="232AB11F"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p>
        </w:tc>
        <w:tc>
          <w:tcPr>
            <w:tcW w:w="1276" w:type="dxa"/>
            <w:tcBorders>
              <w:top w:val="single" w:sz="4" w:space="0" w:color="000000"/>
              <w:left w:val="nil"/>
              <w:bottom w:val="single" w:sz="4" w:space="0" w:color="000000"/>
              <w:right w:val="single" w:sz="4" w:space="0" w:color="000000"/>
            </w:tcBorders>
            <w:shd w:val="clear" w:color="auto" w:fill="auto"/>
          </w:tcPr>
          <w:p w14:paraId="37D9A55D"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p>
        </w:tc>
        <w:tc>
          <w:tcPr>
            <w:tcW w:w="1275" w:type="dxa"/>
            <w:tcBorders>
              <w:top w:val="single" w:sz="4" w:space="0" w:color="000000"/>
              <w:left w:val="nil"/>
              <w:bottom w:val="single" w:sz="4" w:space="0" w:color="000000"/>
              <w:right w:val="single" w:sz="4" w:space="0" w:color="000000"/>
            </w:tcBorders>
            <w:shd w:val="clear" w:color="auto" w:fill="auto"/>
          </w:tcPr>
          <w:p w14:paraId="33A9B5FB"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p>
        </w:tc>
        <w:tc>
          <w:tcPr>
            <w:tcW w:w="1138" w:type="dxa"/>
            <w:tcBorders>
              <w:top w:val="single" w:sz="4" w:space="0" w:color="000000"/>
              <w:left w:val="nil"/>
              <w:bottom w:val="single" w:sz="4" w:space="0" w:color="000000"/>
              <w:right w:val="single" w:sz="8" w:space="0" w:color="000000"/>
            </w:tcBorders>
            <w:shd w:val="clear" w:color="auto" w:fill="auto"/>
          </w:tcPr>
          <w:p w14:paraId="10B725D1"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p>
        </w:tc>
      </w:tr>
      <w:tr w:rsidR="00A0251B" w:rsidRPr="00CC35F0" w14:paraId="225D6B10" w14:textId="77777777">
        <w:trPr>
          <w:trHeight w:val="255"/>
          <w:jc w:val="center"/>
        </w:trPr>
        <w:tc>
          <w:tcPr>
            <w:tcW w:w="1989" w:type="dxa"/>
            <w:tcBorders>
              <w:top w:val="nil"/>
              <w:left w:val="single" w:sz="4" w:space="0" w:color="000000"/>
              <w:bottom w:val="single" w:sz="4" w:space="0" w:color="000000"/>
              <w:right w:val="single" w:sz="4" w:space="0" w:color="000000"/>
            </w:tcBorders>
            <w:shd w:val="clear" w:color="auto" w:fill="auto"/>
            <w:vAlign w:val="center"/>
          </w:tcPr>
          <w:p w14:paraId="77AF7427"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1276" w:type="dxa"/>
            <w:tcBorders>
              <w:top w:val="nil"/>
              <w:left w:val="nil"/>
              <w:bottom w:val="single" w:sz="4" w:space="0" w:color="000000"/>
              <w:right w:val="single" w:sz="4" w:space="0" w:color="000000"/>
            </w:tcBorders>
            <w:shd w:val="clear" w:color="auto" w:fill="auto"/>
          </w:tcPr>
          <w:p w14:paraId="2107E273"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-45%</w:t>
            </w:r>
          </w:p>
        </w:tc>
        <w:tc>
          <w:tcPr>
            <w:tcW w:w="1238" w:type="dxa"/>
            <w:tcBorders>
              <w:top w:val="nil"/>
              <w:left w:val="nil"/>
              <w:bottom w:val="single" w:sz="4" w:space="0" w:color="000000"/>
              <w:right w:val="single" w:sz="4" w:space="0" w:color="000000"/>
            </w:tcBorders>
            <w:shd w:val="clear" w:color="auto" w:fill="auto"/>
          </w:tcPr>
          <w:p w14:paraId="46870701"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-88%</w:t>
            </w:r>
          </w:p>
        </w:tc>
        <w:tc>
          <w:tcPr>
            <w:tcW w:w="1166" w:type="dxa"/>
            <w:tcBorders>
              <w:top w:val="nil"/>
              <w:left w:val="nil"/>
              <w:bottom w:val="single" w:sz="4" w:space="0" w:color="000000"/>
              <w:right w:val="single" w:sz="4" w:space="0" w:color="000000"/>
            </w:tcBorders>
            <w:shd w:val="clear" w:color="auto" w:fill="auto"/>
          </w:tcPr>
          <w:p w14:paraId="4524982A"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w:t>
            </w:r>
          </w:p>
        </w:tc>
        <w:tc>
          <w:tcPr>
            <w:tcW w:w="1276" w:type="dxa"/>
            <w:tcBorders>
              <w:top w:val="nil"/>
              <w:left w:val="nil"/>
              <w:bottom w:val="single" w:sz="4" w:space="0" w:color="000000"/>
              <w:right w:val="single" w:sz="4" w:space="0" w:color="000000"/>
            </w:tcBorders>
            <w:shd w:val="clear" w:color="auto" w:fill="auto"/>
          </w:tcPr>
          <w:p w14:paraId="27EE6531"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w:t>
            </w:r>
          </w:p>
        </w:tc>
        <w:tc>
          <w:tcPr>
            <w:tcW w:w="1275" w:type="dxa"/>
            <w:tcBorders>
              <w:top w:val="nil"/>
              <w:left w:val="nil"/>
              <w:bottom w:val="single" w:sz="4" w:space="0" w:color="000000"/>
              <w:right w:val="single" w:sz="4" w:space="0" w:color="000000"/>
            </w:tcBorders>
            <w:shd w:val="clear" w:color="auto" w:fill="auto"/>
          </w:tcPr>
          <w:p w14:paraId="7FACCBC8"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w:t>
            </w:r>
          </w:p>
        </w:tc>
        <w:tc>
          <w:tcPr>
            <w:tcW w:w="1138" w:type="dxa"/>
            <w:tcBorders>
              <w:top w:val="nil"/>
              <w:left w:val="nil"/>
              <w:bottom w:val="single" w:sz="4" w:space="0" w:color="000000"/>
              <w:right w:val="single" w:sz="8" w:space="0" w:color="000000"/>
            </w:tcBorders>
            <w:shd w:val="clear" w:color="auto" w:fill="auto"/>
          </w:tcPr>
          <w:p w14:paraId="2312C6B2"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w:t>
            </w:r>
          </w:p>
        </w:tc>
      </w:tr>
      <w:tr w:rsidR="00A0251B" w:rsidRPr="00CC35F0" w14:paraId="47D79B65" w14:textId="77777777">
        <w:trPr>
          <w:trHeight w:val="255"/>
          <w:jc w:val="center"/>
        </w:trPr>
        <w:tc>
          <w:tcPr>
            <w:tcW w:w="1989" w:type="dxa"/>
            <w:tcBorders>
              <w:top w:val="nil"/>
              <w:left w:val="single" w:sz="4" w:space="0" w:color="000000"/>
              <w:bottom w:val="single" w:sz="4" w:space="0" w:color="000000"/>
              <w:right w:val="single" w:sz="4" w:space="0" w:color="000000"/>
            </w:tcBorders>
            <w:shd w:val="clear" w:color="auto" w:fill="auto"/>
            <w:vAlign w:val="center"/>
          </w:tcPr>
          <w:p w14:paraId="74E11AD4"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1276" w:type="dxa"/>
            <w:tcBorders>
              <w:top w:val="nil"/>
              <w:left w:val="nil"/>
              <w:bottom w:val="single" w:sz="4" w:space="0" w:color="000000"/>
              <w:right w:val="single" w:sz="4" w:space="0" w:color="000000"/>
            </w:tcBorders>
            <w:shd w:val="clear" w:color="auto" w:fill="auto"/>
          </w:tcPr>
          <w:p w14:paraId="7ACF24EF"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-50%</w:t>
            </w:r>
          </w:p>
        </w:tc>
        <w:tc>
          <w:tcPr>
            <w:tcW w:w="1238" w:type="dxa"/>
            <w:tcBorders>
              <w:top w:val="nil"/>
              <w:left w:val="nil"/>
              <w:bottom w:val="single" w:sz="4" w:space="0" w:color="000000"/>
              <w:right w:val="single" w:sz="4" w:space="0" w:color="000000"/>
            </w:tcBorders>
            <w:shd w:val="clear" w:color="auto" w:fill="auto"/>
          </w:tcPr>
          <w:p w14:paraId="77C8D0A5"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-89%</w:t>
            </w:r>
          </w:p>
        </w:tc>
        <w:tc>
          <w:tcPr>
            <w:tcW w:w="1166" w:type="dxa"/>
            <w:tcBorders>
              <w:top w:val="nil"/>
              <w:left w:val="nil"/>
              <w:bottom w:val="single" w:sz="4" w:space="0" w:color="000000"/>
              <w:right w:val="single" w:sz="4" w:space="0" w:color="000000"/>
            </w:tcBorders>
            <w:shd w:val="clear" w:color="auto" w:fill="auto"/>
          </w:tcPr>
          <w:p w14:paraId="6DF93277"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w:t>
            </w:r>
          </w:p>
        </w:tc>
        <w:tc>
          <w:tcPr>
            <w:tcW w:w="1276" w:type="dxa"/>
            <w:tcBorders>
              <w:top w:val="nil"/>
              <w:left w:val="nil"/>
              <w:bottom w:val="single" w:sz="4" w:space="0" w:color="000000"/>
              <w:right w:val="single" w:sz="4" w:space="0" w:color="000000"/>
            </w:tcBorders>
            <w:shd w:val="clear" w:color="auto" w:fill="auto"/>
          </w:tcPr>
          <w:p w14:paraId="0C11E80F"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w:t>
            </w:r>
          </w:p>
        </w:tc>
        <w:tc>
          <w:tcPr>
            <w:tcW w:w="1275" w:type="dxa"/>
            <w:tcBorders>
              <w:top w:val="nil"/>
              <w:left w:val="nil"/>
              <w:bottom w:val="single" w:sz="4" w:space="0" w:color="000000"/>
              <w:right w:val="single" w:sz="4" w:space="0" w:color="000000"/>
            </w:tcBorders>
            <w:shd w:val="clear" w:color="auto" w:fill="auto"/>
          </w:tcPr>
          <w:p w14:paraId="26003F6C"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w:t>
            </w:r>
          </w:p>
        </w:tc>
        <w:tc>
          <w:tcPr>
            <w:tcW w:w="1138" w:type="dxa"/>
            <w:tcBorders>
              <w:top w:val="nil"/>
              <w:left w:val="nil"/>
              <w:bottom w:val="single" w:sz="4" w:space="0" w:color="000000"/>
              <w:right w:val="single" w:sz="8" w:space="0" w:color="000000"/>
            </w:tcBorders>
            <w:shd w:val="clear" w:color="auto" w:fill="auto"/>
          </w:tcPr>
          <w:p w14:paraId="728DE002"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p>
        </w:tc>
      </w:tr>
      <w:tr w:rsidR="00A0251B" w:rsidRPr="00CC35F0" w14:paraId="0D7AF657" w14:textId="77777777">
        <w:trPr>
          <w:trHeight w:val="270"/>
          <w:jc w:val="center"/>
        </w:trPr>
        <w:tc>
          <w:tcPr>
            <w:tcW w:w="1989" w:type="dxa"/>
            <w:tcBorders>
              <w:top w:val="nil"/>
              <w:left w:val="single" w:sz="4" w:space="0" w:color="000000"/>
              <w:bottom w:val="single" w:sz="4" w:space="0" w:color="000000"/>
              <w:right w:val="single" w:sz="4" w:space="0" w:color="000000"/>
            </w:tcBorders>
            <w:shd w:val="clear" w:color="auto" w:fill="auto"/>
            <w:vAlign w:val="center"/>
          </w:tcPr>
          <w:p w14:paraId="35715679"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76" w:type="dxa"/>
            <w:tcBorders>
              <w:top w:val="nil"/>
              <w:left w:val="nil"/>
              <w:bottom w:val="single" w:sz="4" w:space="0" w:color="000000"/>
              <w:right w:val="single" w:sz="4" w:space="0" w:color="000000"/>
            </w:tcBorders>
            <w:shd w:val="clear" w:color="auto" w:fill="auto"/>
          </w:tcPr>
          <w:p w14:paraId="580F1F32"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-55%</w:t>
            </w:r>
          </w:p>
        </w:tc>
        <w:tc>
          <w:tcPr>
            <w:tcW w:w="1238" w:type="dxa"/>
            <w:tcBorders>
              <w:top w:val="nil"/>
              <w:left w:val="nil"/>
              <w:bottom w:val="single" w:sz="4" w:space="0" w:color="000000"/>
              <w:right w:val="single" w:sz="4" w:space="0" w:color="000000"/>
            </w:tcBorders>
            <w:shd w:val="clear" w:color="auto" w:fill="auto"/>
          </w:tcPr>
          <w:p w14:paraId="572CA6B1"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-92%</w:t>
            </w:r>
          </w:p>
        </w:tc>
        <w:tc>
          <w:tcPr>
            <w:tcW w:w="1166" w:type="dxa"/>
            <w:tcBorders>
              <w:top w:val="nil"/>
              <w:left w:val="nil"/>
              <w:bottom w:val="single" w:sz="4" w:space="0" w:color="000000"/>
              <w:right w:val="single" w:sz="4" w:space="0" w:color="000000"/>
            </w:tcBorders>
            <w:shd w:val="clear" w:color="auto" w:fill="auto"/>
          </w:tcPr>
          <w:p w14:paraId="6703B2DC"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w:t>
            </w:r>
          </w:p>
        </w:tc>
        <w:tc>
          <w:tcPr>
            <w:tcW w:w="1276" w:type="dxa"/>
            <w:tcBorders>
              <w:top w:val="nil"/>
              <w:left w:val="nil"/>
              <w:bottom w:val="single" w:sz="4" w:space="0" w:color="000000"/>
              <w:right w:val="single" w:sz="4" w:space="0" w:color="000000"/>
            </w:tcBorders>
            <w:shd w:val="clear" w:color="auto" w:fill="auto"/>
          </w:tcPr>
          <w:p w14:paraId="13F1849B"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w:t>
            </w:r>
          </w:p>
        </w:tc>
        <w:tc>
          <w:tcPr>
            <w:tcW w:w="1275" w:type="dxa"/>
            <w:tcBorders>
              <w:top w:val="nil"/>
              <w:left w:val="nil"/>
              <w:bottom w:val="single" w:sz="4" w:space="0" w:color="000000"/>
              <w:right w:val="single" w:sz="4" w:space="0" w:color="000000"/>
            </w:tcBorders>
            <w:shd w:val="clear" w:color="auto" w:fill="auto"/>
          </w:tcPr>
          <w:p w14:paraId="3378EA41"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w:t>
            </w:r>
          </w:p>
        </w:tc>
        <w:tc>
          <w:tcPr>
            <w:tcW w:w="1138" w:type="dxa"/>
            <w:tcBorders>
              <w:top w:val="nil"/>
              <w:left w:val="nil"/>
              <w:bottom w:val="single" w:sz="4" w:space="0" w:color="000000"/>
              <w:right w:val="single" w:sz="8" w:space="0" w:color="000000"/>
            </w:tcBorders>
            <w:shd w:val="clear" w:color="auto" w:fill="auto"/>
          </w:tcPr>
          <w:p w14:paraId="40BF7F14"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w:t>
            </w:r>
          </w:p>
        </w:tc>
      </w:tr>
    </w:tbl>
    <w:p w14:paraId="41491370" w14:textId="77777777" w:rsidR="00A0251B" w:rsidRPr="00CC35F0" w:rsidRDefault="00A0251B">
      <w:pPr>
        <w:rPr>
          <w:rFonts w:ascii="Times New Roman" w:eastAsia="Times New Roman" w:hAnsi="Times New Roman"/>
          <w:sz w:val="24"/>
          <w:szCs w:val="24"/>
          <w:lang w:val="sr-Cyrl-CS"/>
        </w:rPr>
      </w:pPr>
    </w:p>
    <w:p w14:paraId="2B7B937E" w14:textId="77777777" w:rsidR="00A0251B" w:rsidRPr="00CC35F0" w:rsidRDefault="008D6506" w:rsidP="00BF51D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Највећа смањења емисија остварена су за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и то за 92%, односно 55% 2035. године у поређењу са емисијама из 2015. Највећа смањења емисија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xml:space="preserve"> секторски се остварују су сектору јавне производње електричне енергије (</w:t>
      </w:r>
      <w:r w:rsidRPr="00CC35F0">
        <w:rPr>
          <w:rFonts w:ascii="Times New Roman" w:eastAsia="Times New Roman" w:hAnsi="Times New Roman"/>
          <w:i/>
          <w:sz w:val="24"/>
          <w:szCs w:val="24"/>
          <w:lang w:val="sr-Cyrl-CS"/>
        </w:rPr>
        <w:t>GNFR A</w:t>
      </w:r>
      <w:r w:rsidRPr="00CC35F0">
        <w:rPr>
          <w:rFonts w:ascii="Times New Roman" w:eastAsia="Times New Roman" w:hAnsi="Times New Roman"/>
          <w:sz w:val="24"/>
          <w:szCs w:val="24"/>
          <w:lang w:val="sr-Cyrl-CS"/>
        </w:rPr>
        <w:t>), нешто мање у сектору индустрије (</w:t>
      </w:r>
      <w:r w:rsidRPr="00CC35F0">
        <w:rPr>
          <w:rFonts w:ascii="Times New Roman" w:eastAsia="Times New Roman" w:hAnsi="Times New Roman"/>
          <w:i/>
          <w:sz w:val="24"/>
          <w:szCs w:val="24"/>
          <w:lang w:val="sr-Cyrl-CS"/>
        </w:rPr>
        <w:t>GNFR B</w:t>
      </w:r>
      <w:r w:rsidRPr="00CC35F0">
        <w:rPr>
          <w:rFonts w:ascii="Times New Roman" w:eastAsia="Times New Roman" w:hAnsi="Times New Roman"/>
          <w:sz w:val="24"/>
          <w:szCs w:val="24"/>
          <w:lang w:val="sr-Cyrl-CS"/>
        </w:rPr>
        <w:t>). Највећи допринос смањењу емисија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xml:space="preserve"> долази из сектора друмског саобраћаја (</w:t>
      </w:r>
      <w:r w:rsidRPr="00CC35F0">
        <w:rPr>
          <w:rFonts w:ascii="Times New Roman" w:eastAsia="Times New Roman" w:hAnsi="Times New Roman"/>
          <w:i/>
          <w:sz w:val="24"/>
          <w:szCs w:val="24"/>
          <w:lang w:val="sr-Cyrl-CS"/>
        </w:rPr>
        <w:t>GNFR F</w:t>
      </w:r>
      <w:r w:rsidRPr="00CC35F0">
        <w:rPr>
          <w:rFonts w:ascii="Times New Roman" w:eastAsia="Times New Roman" w:hAnsi="Times New Roman"/>
          <w:sz w:val="24"/>
          <w:szCs w:val="24"/>
          <w:lang w:val="sr-Cyrl-CS"/>
        </w:rPr>
        <w:t>). Ови изузетни резултати истичу ефикасност постојећих мера разматраних у оквиру сценарија WEM, нарочито благовременог и делотворног спровођења NERP-а, Уредбе о граничним вредностима емисије загађујућих материја у ваздух из по</w:t>
      </w:r>
      <w:r w:rsidR="00624623" w:rsidRPr="00CC35F0">
        <w:rPr>
          <w:rFonts w:ascii="Times New Roman" w:eastAsia="Times New Roman" w:hAnsi="Times New Roman"/>
          <w:sz w:val="24"/>
          <w:szCs w:val="24"/>
          <w:lang w:val="sr-Cyrl-CS"/>
        </w:rPr>
        <w:t>стројења за сагоревање</w:t>
      </w:r>
      <w:r w:rsidRPr="00CC35F0">
        <w:rPr>
          <w:rFonts w:ascii="Times New Roman" w:eastAsia="Times New Roman" w:hAnsi="Times New Roman"/>
          <w:sz w:val="24"/>
          <w:szCs w:val="24"/>
          <w:lang w:val="sr-Cyrl-CS"/>
        </w:rPr>
        <w:t xml:space="preserve"> и Уредбе о граничним вредностима емисија загађујућих материја у ваздух из с</w:t>
      </w:r>
      <w:r w:rsidR="00624623" w:rsidRPr="00CC35F0">
        <w:rPr>
          <w:rFonts w:ascii="Times New Roman" w:eastAsia="Times New Roman" w:hAnsi="Times New Roman"/>
          <w:sz w:val="24"/>
          <w:szCs w:val="24"/>
          <w:lang w:val="sr-Cyrl-CS"/>
        </w:rPr>
        <w:t xml:space="preserve">тационарних извора загађивања, </w:t>
      </w:r>
      <w:r w:rsidRPr="00CC35F0">
        <w:rPr>
          <w:rFonts w:ascii="Times New Roman" w:eastAsia="Times New Roman" w:hAnsi="Times New Roman"/>
          <w:sz w:val="24"/>
          <w:szCs w:val="24"/>
          <w:lang w:val="sr-Cyrl-CS"/>
        </w:rPr>
        <w:t>осим пост</w:t>
      </w:r>
      <w:r w:rsidR="0096534D" w:rsidRPr="00CC35F0">
        <w:rPr>
          <w:rFonts w:ascii="Times New Roman" w:eastAsia="Times New Roman" w:hAnsi="Times New Roman"/>
          <w:sz w:val="24"/>
          <w:szCs w:val="24"/>
          <w:lang w:val="sr-Cyrl-CS"/>
        </w:rPr>
        <w:t>ројења за сагоревање</w:t>
      </w:r>
      <w:r w:rsidRPr="00CC35F0">
        <w:rPr>
          <w:rFonts w:ascii="Times New Roman" w:eastAsia="Times New Roman" w:hAnsi="Times New Roman"/>
          <w:sz w:val="24"/>
          <w:szCs w:val="24"/>
          <w:lang w:val="sr-Cyrl-CS"/>
        </w:rPr>
        <w:t xml:space="preserve">. </w:t>
      </w:r>
    </w:p>
    <w:p w14:paraId="3ED62084"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color w:val="000000"/>
          <w:sz w:val="24"/>
          <w:szCs w:val="24"/>
          <w:lang w:val="sr-Cyrl-CS"/>
        </w:rPr>
      </w:pPr>
      <w:bookmarkStart w:id="32" w:name="_heading=h.ihv636" w:colFirst="0" w:colLast="0"/>
      <w:bookmarkEnd w:id="32"/>
      <w:r w:rsidRPr="00CC35F0">
        <w:rPr>
          <w:rFonts w:ascii="Times New Roman" w:eastAsia="Times New Roman" w:hAnsi="Times New Roman"/>
          <w:b/>
          <w:color w:val="000000"/>
          <w:sz w:val="24"/>
          <w:szCs w:val="24"/>
          <w:lang w:val="sr-Cyrl-CS"/>
        </w:rPr>
        <w:t>Слика 9: Кретање емисија SO</w:t>
      </w:r>
      <w:r w:rsidRPr="00CC35F0">
        <w:rPr>
          <w:rFonts w:ascii="Times New Roman" w:eastAsia="Times New Roman" w:hAnsi="Times New Roman"/>
          <w:b/>
          <w:color w:val="000000"/>
          <w:sz w:val="24"/>
          <w:szCs w:val="24"/>
          <w:vertAlign w:val="subscript"/>
          <w:lang w:val="sr-Cyrl-CS"/>
        </w:rPr>
        <w:t>2</w:t>
      </w:r>
      <w:r w:rsidRPr="00CC35F0">
        <w:rPr>
          <w:rFonts w:ascii="Times New Roman" w:eastAsia="Times New Roman" w:hAnsi="Times New Roman"/>
          <w:b/>
          <w:color w:val="000000"/>
          <w:sz w:val="24"/>
          <w:szCs w:val="24"/>
          <w:lang w:val="sr-Cyrl-CS"/>
        </w:rPr>
        <w:t xml:space="preserve"> и NOx у сценарију WEM</w:t>
      </w:r>
    </w:p>
    <w:p w14:paraId="37AA365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noProof/>
          <w:sz w:val="24"/>
          <w:szCs w:val="24"/>
          <w:lang w:val="sr-Cyrl-RS" w:eastAsia="sr-Cyrl-RS"/>
        </w:rPr>
        <w:drawing>
          <wp:inline distT="0" distB="0" distL="0" distR="0" wp14:anchorId="376321D5" wp14:editId="7115C403">
            <wp:extent cx="2871052" cy="2027743"/>
            <wp:effectExtent l="0" t="0" r="0" b="0"/>
            <wp:docPr id="593"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7"/>
                    <a:srcRect/>
                    <a:stretch>
                      <a:fillRect/>
                    </a:stretch>
                  </pic:blipFill>
                  <pic:spPr>
                    <a:xfrm>
                      <a:off x="0" y="0"/>
                      <a:ext cx="2871052" cy="2027743"/>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6B0DACE9" wp14:editId="06AF505F">
            <wp:extent cx="2835912" cy="2025408"/>
            <wp:effectExtent l="0" t="0" r="0" b="0"/>
            <wp:docPr id="597"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18"/>
                    <a:srcRect/>
                    <a:stretch>
                      <a:fillRect/>
                    </a:stretch>
                  </pic:blipFill>
                  <pic:spPr>
                    <a:xfrm>
                      <a:off x="0" y="0"/>
                      <a:ext cx="2835912" cy="2025408"/>
                    </a:xfrm>
                    <a:prstGeom prst="rect">
                      <a:avLst/>
                    </a:prstGeom>
                    <a:ln/>
                  </pic:spPr>
                </pic:pic>
              </a:graphicData>
            </a:graphic>
          </wp:inline>
        </w:drawing>
      </w:r>
    </w:p>
    <w:p w14:paraId="17F30E35" w14:textId="77777777" w:rsidR="00A0251B" w:rsidRPr="00CC35F0" w:rsidRDefault="00A0251B">
      <w:pPr>
        <w:rPr>
          <w:rFonts w:ascii="Times New Roman" w:eastAsia="Times New Roman" w:hAnsi="Times New Roman"/>
          <w:sz w:val="24"/>
          <w:szCs w:val="24"/>
          <w:lang w:val="sr-Cyrl-CS"/>
        </w:rPr>
      </w:pPr>
    </w:p>
    <w:p w14:paraId="6274CAFD" w14:textId="77777777" w:rsidR="00A0251B" w:rsidRPr="00CC35F0" w:rsidRDefault="008D6506" w:rsidP="00BF51D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Када је реч о емисијама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смањења нису толика као код емисија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xml:space="preserve"> (20%, односно 15% 2035. године). Према сценарију WEM, ни једна од актуелних мера не може се изборити са емисијама суспендованих честица које потичу из индивидуалних ложишта у домаћинствима, која су 2015. године</w:t>
      </w:r>
      <w:r w:rsidRPr="00CC35F0">
        <w:rPr>
          <w:rFonts w:ascii="Times New Roman" w:eastAsia="Times New Roman" w:hAnsi="Times New Roman"/>
          <w:sz w:val="24"/>
          <w:szCs w:val="24"/>
          <w:vertAlign w:val="superscript"/>
          <w:lang w:val="sr-Cyrl-CS"/>
        </w:rPr>
        <w:footnoteReference w:id="20"/>
      </w:r>
      <w:r w:rsidRPr="00CC35F0">
        <w:rPr>
          <w:rFonts w:ascii="Times New Roman" w:eastAsia="Times New Roman" w:hAnsi="Times New Roman"/>
          <w:sz w:val="24"/>
          <w:szCs w:val="24"/>
          <w:lang w:val="sr-Cyrl-CS"/>
        </w:rPr>
        <w:t xml:space="preserve"> преовладавала, а и даље преовладавају када је реч о индивидуалном грејању у домаћинствима у периоду од 2020. до 2035. године. Емисије суспендованих честица се неће знатно смањити без мера које ће бити усмерене на велики број малих емитера. </w:t>
      </w:r>
    </w:p>
    <w:p w14:paraId="359C2D8B"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color w:val="000000"/>
          <w:sz w:val="24"/>
          <w:szCs w:val="24"/>
          <w:lang w:val="sr-Cyrl-CS"/>
        </w:rPr>
      </w:pPr>
      <w:bookmarkStart w:id="33" w:name="_heading=h.32hioqz" w:colFirst="0" w:colLast="0"/>
      <w:bookmarkEnd w:id="33"/>
      <w:r w:rsidRPr="00CC35F0">
        <w:rPr>
          <w:rFonts w:ascii="Times New Roman" w:eastAsia="Times New Roman" w:hAnsi="Times New Roman"/>
          <w:b/>
          <w:color w:val="000000"/>
          <w:sz w:val="24"/>
          <w:szCs w:val="24"/>
          <w:lang w:val="sr-Cyrl-CS"/>
        </w:rPr>
        <w:t>Слика 10: Кретање емисија PM</w:t>
      </w:r>
      <w:r w:rsidRPr="00CC35F0">
        <w:rPr>
          <w:rFonts w:ascii="Times New Roman" w:eastAsia="Times New Roman" w:hAnsi="Times New Roman"/>
          <w:b/>
          <w:color w:val="000000"/>
          <w:sz w:val="24"/>
          <w:szCs w:val="24"/>
          <w:vertAlign w:val="subscript"/>
          <w:lang w:val="sr-Cyrl-CS"/>
        </w:rPr>
        <w:t>10</w:t>
      </w:r>
      <w:r w:rsidRPr="00CC35F0">
        <w:rPr>
          <w:rFonts w:ascii="Times New Roman" w:eastAsia="Times New Roman" w:hAnsi="Times New Roman"/>
          <w:b/>
          <w:color w:val="000000"/>
          <w:sz w:val="24"/>
          <w:szCs w:val="24"/>
          <w:lang w:val="sr-Cyrl-CS"/>
        </w:rPr>
        <w:t xml:space="preserve"> и PM</w:t>
      </w:r>
      <w:r w:rsidRPr="00CC35F0">
        <w:rPr>
          <w:rFonts w:ascii="Times New Roman" w:eastAsia="Times New Roman" w:hAnsi="Times New Roman"/>
          <w:b/>
          <w:color w:val="000000"/>
          <w:sz w:val="24"/>
          <w:szCs w:val="24"/>
          <w:vertAlign w:val="subscript"/>
          <w:lang w:val="sr-Cyrl-CS"/>
        </w:rPr>
        <w:t>2.5</w:t>
      </w:r>
      <w:r w:rsidRPr="00CC35F0">
        <w:rPr>
          <w:rFonts w:ascii="Times New Roman" w:eastAsia="Times New Roman" w:hAnsi="Times New Roman"/>
          <w:b/>
          <w:color w:val="000000"/>
          <w:sz w:val="24"/>
          <w:szCs w:val="24"/>
          <w:lang w:val="sr-Cyrl-CS"/>
        </w:rPr>
        <w:t xml:space="preserve"> у сценарију WEM </w:t>
      </w:r>
    </w:p>
    <w:p w14:paraId="438BFAF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noProof/>
          <w:sz w:val="24"/>
          <w:szCs w:val="24"/>
          <w:lang w:val="sr-Cyrl-RS" w:eastAsia="sr-Cyrl-RS"/>
        </w:rPr>
        <w:drawing>
          <wp:inline distT="0" distB="0" distL="0" distR="0" wp14:anchorId="0EAB0B61" wp14:editId="52E04AEC">
            <wp:extent cx="2907172" cy="2070077"/>
            <wp:effectExtent l="0" t="0" r="0" b="0"/>
            <wp:docPr id="595"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9"/>
                    <a:srcRect/>
                    <a:stretch>
                      <a:fillRect/>
                    </a:stretch>
                  </pic:blipFill>
                  <pic:spPr>
                    <a:xfrm>
                      <a:off x="0" y="0"/>
                      <a:ext cx="2907172" cy="2070077"/>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01A732E7" wp14:editId="0658825E">
            <wp:extent cx="2877503" cy="2043984"/>
            <wp:effectExtent l="0" t="0" r="0" b="0"/>
            <wp:docPr id="596"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20"/>
                    <a:srcRect/>
                    <a:stretch>
                      <a:fillRect/>
                    </a:stretch>
                  </pic:blipFill>
                  <pic:spPr>
                    <a:xfrm>
                      <a:off x="0" y="0"/>
                      <a:ext cx="2877503" cy="2043984"/>
                    </a:xfrm>
                    <a:prstGeom prst="rect">
                      <a:avLst/>
                    </a:prstGeom>
                    <a:ln/>
                  </pic:spPr>
                </pic:pic>
              </a:graphicData>
            </a:graphic>
          </wp:inline>
        </w:drawing>
      </w:r>
    </w:p>
    <w:p w14:paraId="6C27F540" w14:textId="77777777" w:rsidR="00A0251B" w:rsidRPr="00CC35F0" w:rsidRDefault="008D6506" w:rsidP="00BF51D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Емисије VOC бележе благо смањење (18% до 2035. у поређењу са 2015. годином). Смањења емисија ових загађујућих материја биће већа по разматрању мера за смањење увоза половних возила (укључених у </w:t>
      </w:r>
      <w:r w:rsidRPr="00CC35F0">
        <w:rPr>
          <w:rFonts w:ascii="Times New Roman" w:eastAsia="Times New Roman" w:hAnsi="Times New Roman"/>
          <w:i/>
          <w:sz w:val="24"/>
          <w:szCs w:val="24"/>
          <w:lang w:val="sr-Cyrl-CS"/>
        </w:rPr>
        <w:t>GNFR F</w:t>
      </w:r>
      <w:r w:rsidRPr="00CC35F0">
        <w:rPr>
          <w:rFonts w:ascii="Times New Roman" w:eastAsia="Times New Roman" w:hAnsi="Times New Roman"/>
          <w:sz w:val="24"/>
          <w:szCs w:val="24"/>
          <w:lang w:val="sr-Cyrl-CS"/>
        </w:rPr>
        <w:t xml:space="preserve">) и за смањење емисија од употребе растварача </w:t>
      </w:r>
      <w:r w:rsidRPr="00CC35F0">
        <w:rPr>
          <w:rFonts w:ascii="Times New Roman" w:eastAsia="Times New Roman" w:hAnsi="Times New Roman"/>
          <w:sz w:val="24"/>
          <w:szCs w:val="24"/>
          <w:lang w:val="sr-Cyrl-CS"/>
        </w:rPr>
        <w:lastRenderedPageBreak/>
        <w:t xml:space="preserve">у индустрији (укључених у </w:t>
      </w:r>
      <w:r w:rsidRPr="00CC35F0">
        <w:rPr>
          <w:rFonts w:ascii="Times New Roman" w:eastAsia="Times New Roman" w:hAnsi="Times New Roman"/>
          <w:i/>
          <w:sz w:val="24"/>
          <w:szCs w:val="24"/>
          <w:lang w:val="sr-Cyrl-CS"/>
        </w:rPr>
        <w:t>GNFR E</w:t>
      </w:r>
      <w:r w:rsidRPr="00CC35F0">
        <w:rPr>
          <w:rFonts w:ascii="Times New Roman" w:eastAsia="Times New Roman" w:hAnsi="Times New Roman"/>
          <w:sz w:val="24"/>
          <w:szCs w:val="24"/>
          <w:lang w:val="sr-Cyrl-CS"/>
        </w:rPr>
        <w:t>), које нису разматране у оквиру сценарија WEM. Остали сектори, као што су коришћење дрва за огрев у домаћинствима (</w:t>
      </w:r>
      <w:r w:rsidRPr="00CC35F0">
        <w:rPr>
          <w:rFonts w:ascii="Times New Roman" w:eastAsia="Times New Roman" w:hAnsi="Times New Roman"/>
          <w:i/>
          <w:sz w:val="24"/>
          <w:szCs w:val="24"/>
          <w:lang w:val="sr-Cyrl-CS"/>
        </w:rPr>
        <w:t>GNFR C</w:t>
      </w:r>
      <w:r w:rsidRPr="00CC35F0">
        <w:rPr>
          <w:rFonts w:ascii="Times New Roman" w:eastAsia="Times New Roman" w:hAnsi="Times New Roman"/>
          <w:sz w:val="24"/>
          <w:szCs w:val="24"/>
          <w:lang w:val="sr-Cyrl-CS"/>
        </w:rPr>
        <w:t>), употреба растварача у домаћинствима (</w:t>
      </w:r>
      <w:r w:rsidRPr="00CC35F0">
        <w:rPr>
          <w:rFonts w:ascii="Times New Roman" w:eastAsia="Times New Roman" w:hAnsi="Times New Roman"/>
          <w:i/>
          <w:sz w:val="24"/>
          <w:szCs w:val="24"/>
          <w:lang w:val="sr-Cyrl-CS"/>
        </w:rPr>
        <w:t>GNFR E</w:t>
      </w:r>
      <w:r w:rsidRPr="00CC35F0">
        <w:rPr>
          <w:rFonts w:ascii="Times New Roman" w:eastAsia="Times New Roman" w:hAnsi="Times New Roman"/>
          <w:sz w:val="24"/>
          <w:szCs w:val="24"/>
          <w:lang w:val="sr-Cyrl-CS"/>
        </w:rPr>
        <w:t>) или прехрамбена и индустрија производње напитака (</w:t>
      </w:r>
      <w:r w:rsidRPr="00CC35F0">
        <w:rPr>
          <w:rFonts w:ascii="Times New Roman" w:eastAsia="Times New Roman" w:hAnsi="Times New Roman"/>
          <w:i/>
          <w:sz w:val="24"/>
          <w:szCs w:val="24"/>
          <w:lang w:val="sr-Cyrl-CS"/>
        </w:rPr>
        <w:t>GNFR B</w:t>
      </w:r>
      <w:r w:rsidRPr="00CC35F0">
        <w:rPr>
          <w:rFonts w:ascii="Times New Roman" w:eastAsia="Times New Roman" w:hAnsi="Times New Roman"/>
          <w:sz w:val="24"/>
          <w:szCs w:val="24"/>
          <w:lang w:val="sr-Cyrl-CS"/>
        </w:rPr>
        <w:t xml:space="preserve">), такође знатно доприносе националним емисијама VOC, за које емисије зависе од кретања података о активностима. </w:t>
      </w:r>
    </w:p>
    <w:p w14:paraId="53F88D70"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color w:val="000000"/>
          <w:sz w:val="24"/>
          <w:szCs w:val="24"/>
          <w:lang w:val="sr-Cyrl-CS"/>
        </w:rPr>
      </w:pPr>
      <w:bookmarkStart w:id="34" w:name="_heading=h.1hmsyys" w:colFirst="0" w:colLast="0"/>
      <w:bookmarkEnd w:id="34"/>
      <w:r w:rsidRPr="00CC35F0">
        <w:rPr>
          <w:rFonts w:ascii="Times New Roman" w:eastAsia="Times New Roman" w:hAnsi="Times New Roman"/>
          <w:b/>
          <w:color w:val="000000"/>
          <w:sz w:val="24"/>
          <w:szCs w:val="24"/>
          <w:lang w:val="sr-Cyrl-CS"/>
        </w:rPr>
        <w:t>Слика 11: Кретање емисија VOC и NH</w:t>
      </w:r>
      <w:r w:rsidRPr="00CC35F0">
        <w:rPr>
          <w:rFonts w:ascii="Times New Roman" w:eastAsia="Times New Roman" w:hAnsi="Times New Roman"/>
          <w:b/>
          <w:color w:val="000000"/>
          <w:sz w:val="24"/>
          <w:szCs w:val="24"/>
          <w:vertAlign w:val="subscript"/>
          <w:lang w:val="sr-Cyrl-CS"/>
        </w:rPr>
        <w:t>3</w:t>
      </w:r>
      <w:r w:rsidRPr="00CC35F0">
        <w:rPr>
          <w:rFonts w:ascii="Times New Roman" w:eastAsia="Times New Roman" w:hAnsi="Times New Roman"/>
          <w:b/>
          <w:color w:val="000000"/>
          <w:sz w:val="24"/>
          <w:szCs w:val="24"/>
          <w:lang w:val="sr-Cyrl-CS"/>
        </w:rPr>
        <w:t xml:space="preserve"> у сценарију WEM </w:t>
      </w:r>
    </w:p>
    <w:p w14:paraId="0156DED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noProof/>
          <w:sz w:val="24"/>
          <w:szCs w:val="24"/>
          <w:lang w:val="sr-Cyrl-RS" w:eastAsia="sr-Cyrl-RS"/>
        </w:rPr>
        <w:drawing>
          <wp:inline distT="0" distB="0" distL="0" distR="0" wp14:anchorId="0C8DF757" wp14:editId="3D568381">
            <wp:extent cx="2797620" cy="2001359"/>
            <wp:effectExtent l="0" t="0" r="0" b="0"/>
            <wp:docPr id="598"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1"/>
                    <a:srcRect/>
                    <a:stretch>
                      <a:fillRect/>
                    </a:stretch>
                  </pic:blipFill>
                  <pic:spPr>
                    <a:xfrm>
                      <a:off x="0" y="0"/>
                      <a:ext cx="2797620" cy="2001359"/>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3AFFBD98" wp14:editId="00193216">
            <wp:extent cx="2820758" cy="1990561"/>
            <wp:effectExtent l="0" t="0" r="0" b="0"/>
            <wp:docPr id="599"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2"/>
                    <a:srcRect/>
                    <a:stretch>
                      <a:fillRect/>
                    </a:stretch>
                  </pic:blipFill>
                  <pic:spPr>
                    <a:xfrm>
                      <a:off x="0" y="0"/>
                      <a:ext cx="2820758" cy="1990561"/>
                    </a:xfrm>
                    <a:prstGeom prst="rect">
                      <a:avLst/>
                    </a:prstGeom>
                    <a:ln/>
                  </pic:spPr>
                </pic:pic>
              </a:graphicData>
            </a:graphic>
          </wp:inline>
        </w:drawing>
      </w:r>
    </w:p>
    <w:p w14:paraId="7CAF1605" w14:textId="77777777" w:rsidR="00A0251B" w:rsidRPr="00CC35F0" w:rsidRDefault="008D6506" w:rsidP="00F764F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углавном је резултат активности у секторима из којих се емитује, нарочито смањења сточног фонда (</w:t>
      </w:r>
      <w:r w:rsidRPr="00CC35F0">
        <w:rPr>
          <w:rFonts w:ascii="Times New Roman" w:eastAsia="Times New Roman" w:hAnsi="Times New Roman"/>
          <w:i/>
          <w:sz w:val="24"/>
          <w:szCs w:val="24"/>
          <w:lang w:val="sr-Cyrl-CS"/>
        </w:rPr>
        <w:t>GNFR K</w:t>
      </w:r>
      <w:r w:rsidRPr="00CC35F0">
        <w:rPr>
          <w:rFonts w:ascii="Times New Roman" w:eastAsia="Times New Roman" w:hAnsi="Times New Roman"/>
          <w:sz w:val="24"/>
          <w:szCs w:val="24"/>
          <w:lang w:val="sr-Cyrl-CS"/>
        </w:rPr>
        <w:t xml:space="preserve">), као и спровођења прописа којим се регулише производња урее и амонијум-нитрата из 2015. године. </w:t>
      </w:r>
    </w:p>
    <w:p w14:paraId="63ECC80F" w14:textId="77777777" w:rsidR="00A0251B" w:rsidRPr="00CC35F0" w:rsidRDefault="008D6506" w:rsidP="00BF51D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Утицаји сценарија WEM на квалитет ваздуха процењују се применом модела </w:t>
      </w:r>
      <w:r w:rsidRPr="00CC35F0">
        <w:rPr>
          <w:rFonts w:ascii="Times New Roman" w:eastAsia="Times New Roman" w:hAnsi="Times New Roman"/>
          <w:i/>
          <w:sz w:val="24"/>
          <w:szCs w:val="24"/>
          <w:lang w:val="sr-Cyrl-CS"/>
        </w:rPr>
        <w:t>Chimère</w:t>
      </w:r>
      <w:r w:rsidRPr="00CC35F0">
        <w:rPr>
          <w:rFonts w:ascii="Times New Roman" w:eastAsia="Times New Roman" w:hAnsi="Times New Roman"/>
          <w:sz w:val="24"/>
          <w:szCs w:val="24"/>
          <w:lang w:val="sr-Cyrl-CS"/>
        </w:rPr>
        <w:t>, а емисије се разматрају за WEM 2030.</w:t>
      </w:r>
    </w:p>
    <w:p w14:paraId="0DC3D1C7"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color w:val="000000"/>
          <w:sz w:val="24"/>
          <w:szCs w:val="24"/>
          <w:lang w:val="sr-Cyrl-CS"/>
        </w:rPr>
      </w:pPr>
      <w:bookmarkStart w:id="35" w:name="_heading=h.41mghml" w:colFirst="0" w:colLast="0"/>
      <w:bookmarkEnd w:id="35"/>
      <w:r w:rsidRPr="00CC35F0">
        <w:rPr>
          <w:rFonts w:ascii="Times New Roman" w:eastAsia="Times New Roman" w:hAnsi="Times New Roman"/>
          <w:b/>
          <w:color w:val="000000"/>
          <w:sz w:val="24"/>
          <w:szCs w:val="24"/>
          <w:lang w:val="sr-Cyrl-CS"/>
        </w:rPr>
        <w:t xml:space="preserve">Слика 12: Поређење концентрација PM10 између референтне 2015. године и сценарија WEM 2030. </w:t>
      </w:r>
      <w:r w:rsidR="009A020B" w:rsidRPr="00CC35F0">
        <w:rPr>
          <w:rFonts w:ascii="Times New Roman" w:eastAsia="Times New Roman" w:hAnsi="Times New Roman"/>
          <w:b/>
          <w:color w:val="000000"/>
          <w:sz w:val="24"/>
          <w:szCs w:val="24"/>
          <w:lang w:val="sr-Cyrl-CS"/>
        </w:rPr>
        <w:t>године</w:t>
      </w:r>
    </w:p>
    <w:p w14:paraId="2C53691B" w14:textId="77777777" w:rsidR="009A020B" w:rsidRPr="00CC35F0" w:rsidRDefault="009A020B">
      <w:pPr>
        <w:keepNext/>
        <w:pBdr>
          <w:top w:val="nil"/>
          <w:left w:val="nil"/>
          <w:bottom w:val="nil"/>
          <w:right w:val="nil"/>
          <w:between w:val="nil"/>
        </w:pBdr>
        <w:spacing w:before="120" w:after="60"/>
        <w:rPr>
          <w:rFonts w:ascii="Times New Roman" w:eastAsia="Times New Roman" w:hAnsi="Times New Roman"/>
          <w:b/>
          <w:color w:val="000000"/>
          <w:sz w:val="24"/>
          <w:szCs w:val="24"/>
          <w:lang w:val="sr-Cyrl-CS"/>
        </w:rPr>
      </w:pPr>
    </w:p>
    <w:p w14:paraId="16F3F1E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noProof/>
          <w:sz w:val="24"/>
          <w:szCs w:val="24"/>
          <w:lang w:val="sr-Cyrl-RS" w:eastAsia="sr-Cyrl-RS"/>
        </w:rPr>
        <w:drawing>
          <wp:inline distT="0" distB="0" distL="0" distR="0" wp14:anchorId="61A31C81" wp14:editId="498968A4">
            <wp:extent cx="2548619" cy="2731026"/>
            <wp:effectExtent l="0" t="0" r="0" b="0"/>
            <wp:docPr id="60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2548619" cy="2731026"/>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378032A5" wp14:editId="4C23C054">
            <wp:extent cx="2685642" cy="2729680"/>
            <wp:effectExtent l="0" t="0" r="0" b="0"/>
            <wp:docPr id="60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2685642" cy="2729680"/>
                    </a:xfrm>
                    <a:prstGeom prst="rect">
                      <a:avLst/>
                    </a:prstGeom>
                    <a:ln/>
                  </pic:spPr>
                </pic:pic>
              </a:graphicData>
            </a:graphic>
          </wp:inline>
        </w:drawing>
      </w:r>
    </w:p>
    <w:p w14:paraId="2794BEA8" w14:textId="77777777" w:rsidR="00A0251B" w:rsidRPr="00CC35F0" w:rsidRDefault="008D6506" w:rsidP="00BF51D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Упркос смањењу загађења ваздуха из електроенергетског сектора захваљујући спровођењу NERP-а, које се првенствено односи на 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NO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чиме се доприноси побољшању квалитета ваздуха у Републици Србији, нивои честица су и даље високи у градовима и агломерацијама. Поређењем се показује да ће црне тачке за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а такође 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према основном (WEM) сценарију бити присутне и 2030. године. Прекорачења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даље су присутна у Бору упркос знатном смањењу концентрација (79%), док су </w:t>
      </w:r>
      <w:r w:rsidRPr="00CC35F0">
        <w:rPr>
          <w:rFonts w:ascii="Times New Roman" w:eastAsia="Times New Roman" w:hAnsi="Times New Roman"/>
          <w:sz w:val="24"/>
          <w:szCs w:val="24"/>
          <w:lang w:val="sr-Cyrl-CS"/>
        </w:rPr>
        <w:lastRenderedPageBreak/>
        <w:t>прекорачења NO</w:t>
      </w:r>
      <w:r w:rsidRPr="00CC35F0">
        <w:rPr>
          <w:rFonts w:ascii="Times New Roman" w:eastAsia="Times New Roman" w:hAnsi="Times New Roman"/>
          <w:sz w:val="24"/>
          <w:szCs w:val="24"/>
          <w:vertAlign w:val="subscript"/>
          <w:lang w:val="sr-Cyrl-CS"/>
        </w:rPr>
        <w:t xml:space="preserve">2 </w:t>
      </w:r>
      <w:r w:rsidRPr="00CC35F0">
        <w:rPr>
          <w:rFonts w:ascii="Times New Roman" w:eastAsia="Times New Roman" w:hAnsi="Times New Roman"/>
          <w:sz w:val="24"/>
          <w:szCs w:val="24"/>
          <w:lang w:val="sr-Cyrl-CS"/>
        </w:rPr>
        <w:t>избегнута смањењем концентрације NO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(27%) услед спровођења сценарија WEM.  </w:t>
      </w:r>
    </w:p>
    <w:p w14:paraId="1062F74B" w14:textId="77777777" w:rsidR="00A0251B" w:rsidRPr="00CC35F0" w:rsidRDefault="008D6506" w:rsidP="00BF51D9">
      <w:pPr>
        <w:ind w:firstLine="720"/>
        <w:rPr>
          <w:rFonts w:ascii="Times New Roman" w:eastAsia="Times New Roman" w:hAnsi="Times New Roman"/>
          <w:sz w:val="24"/>
          <w:szCs w:val="24"/>
          <w:lang w:val="sr-Cyrl-CS"/>
        </w:rPr>
      </w:pPr>
      <w:bookmarkStart w:id="36" w:name="_heading=h.2grqrue" w:colFirst="0" w:colLast="0"/>
      <w:bookmarkEnd w:id="36"/>
      <w:r w:rsidRPr="00CC35F0">
        <w:rPr>
          <w:rFonts w:ascii="Times New Roman" w:eastAsia="Times New Roman" w:hAnsi="Times New Roman"/>
          <w:sz w:val="24"/>
          <w:szCs w:val="24"/>
          <w:lang w:val="sr-Cyrl-CS"/>
        </w:rPr>
        <w:t>Очекује се да ће просечна годишња концентрација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 xml:space="preserve">10 </w:t>
      </w:r>
      <w:r w:rsidRPr="00CC35F0">
        <w:rPr>
          <w:rFonts w:ascii="Times New Roman" w:eastAsia="Times New Roman" w:hAnsi="Times New Roman"/>
          <w:sz w:val="24"/>
          <w:szCs w:val="24"/>
          <w:lang w:val="sr-Cyrl-CS"/>
        </w:rPr>
        <w:t>опасти применом сценарија WEM за око 20% и 19% 2030. године</w:t>
      </w:r>
      <w:r w:rsidRPr="00CC35F0">
        <w:rPr>
          <w:rFonts w:ascii="Times New Roman" w:eastAsia="Times New Roman" w:hAnsi="Times New Roman"/>
          <w:sz w:val="24"/>
          <w:szCs w:val="24"/>
          <w:vertAlign w:val="superscript"/>
          <w:lang w:val="sr-Cyrl-CS"/>
        </w:rPr>
        <w:footnoteReference w:id="21"/>
      </w:r>
      <w:r w:rsidRPr="00CC35F0">
        <w:rPr>
          <w:rFonts w:ascii="Times New Roman" w:eastAsia="Times New Roman" w:hAnsi="Times New Roman"/>
          <w:sz w:val="24"/>
          <w:szCs w:val="24"/>
          <w:lang w:val="sr-Cyrl-CS"/>
        </w:rPr>
        <w:t>. Ова смањења емисија и концентрација уз сценарио WEM углавном се дешавају захваљујући спровођењу NERP-а, али и даље нису довољна за решавање прекорачења концентрација PM</w:t>
      </w:r>
      <w:r w:rsidRPr="00CC35F0">
        <w:rPr>
          <w:rFonts w:ascii="Times New Roman" w:eastAsia="Times New Roman" w:hAnsi="Times New Roman"/>
          <w:sz w:val="24"/>
          <w:szCs w:val="24"/>
          <w:vertAlign w:val="subscript"/>
          <w:lang w:val="sr-Cyrl-CS"/>
        </w:rPr>
        <w:t xml:space="preserve">10 </w:t>
      </w:r>
      <w:r w:rsidRPr="00CC35F0">
        <w:rPr>
          <w:rFonts w:ascii="Times New Roman" w:eastAsia="Times New Roman" w:hAnsi="Times New Roman"/>
          <w:sz w:val="24"/>
          <w:szCs w:val="24"/>
          <w:lang w:val="sr-Cyrl-CS"/>
        </w:rPr>
        <w:t>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у амбијенталном ваздуху у Републици Србији. Према резултату моделирања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у 22 од 32 мерне тачке квалитета ваздуха, прекорачења дневних граничних вредности ће и даље бити присутна 2030. године уз примену сценарија са постојећим мерама. За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се уз спровођење сценарија WEM прекорачења дешавају на 11 мерних места. </w:t>
      </w:r>
    </w:p>
    <w:p w14:paraId="3FB5BDEE" w14:textId="77777777" w:rsidR="00A0251B" w:rsidRPr="00CC35F0" w:rsidRDefault="008D6506" w:rsidP="00527FC5">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Према томе, уколико се не предузму додатне мере, очекује се да ће 2030. године готово 3,135 милиона становника Републике Србије бити изложено ваздуху лошег квалитета, од чега 94,8% становника живи у зонама и агломерацијама које су изложене концентрацијама загађујућих материја које прелазе стандарде ЕУ чак шест пута више од становништва у ЕУ-28</w:t>
      </w:r>
      <w:r w:rsidRPr="00CC35F0">
        <w:rPr>
          <w:rFonts w:ascii="Times New Roman" w:eastAsia="Times New Roman" w:hAnsi="Times New Roman"/>
          <w:sz w:val="24"/>
          <w:szCs w:val="24"/>
          <w:vertAlign w:val="superscript"/>
          <w:lang w:val="sr-Cyrl-CS"/>
        </w:rPr>
        <w:footnoteReference w:id="22"/>
      </w:r>
      <w:r w:rsidRPr="00CC35F0">
        <w:rPr>
          <w:rFonts w:ascii="Times New Roman" w:eastAsia="Times New Roman" w:hAnsi="Times New Roman"/>
          <w:sz w:val="24"/>
          <w:szCs w:val="24"/>
          <w:lang w:val="sr-Cyrl-CS"/>
        </w:rPr>
        <w:t xml:space="preserve"> (15% градског становништва).</w:t>
      </w:r>
      <w:r w:rsidR="003019A4" w:rsidRPr="00CC35F0">
        <w:rPr>
          <w:rFonts w:ascii="Times New Roman" w:eastAsia="Times New Roman" w:hAnsi="Times New Roman"/>
          <w:sz w:val="24"/>
          <w:szCs w:val="24"/>
          <w:lang w:val="sr-Cyrl-CS"/>
        </w:rPr>
        <w:tab/>
      </w:r>
    </w:p>
    <w:p w14:paraId="3A442A74"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color w:val="000000"/>
          <w:sz w:val="24"/>
          <w:szCs w:val="24"/>
          <w:lang w:val="sr-Cyrl-CS"/>
        </w:rPr>
      </w:pPr>
      <w:bookmarkStart w:id="37" w:name="_heading=h.vx1227" w:colFirst="0" w:colLast="0"/>
      <w:bookmarkEnd w:id="37"/>
      <w:r w:rsidRPr="00CC35F0">
        <w:rPr>
          <w:rFonts w:ascii="Times New Roman" w:eastAsia="Times New Roman" w:hAnsi="Times New Roman"/>
          <w:b/>
          <w:color w:val="000000"/>
          <w:sz w:val="24"/>
          <w:szCs w:val="24"/>
          <w:lang w:val="sr-Cyrl-CS"/>
        </w:rPr>
        <w:t>Слика 13: Станице за мерење квалитета ваздуха са бројем дана у којима је забележено прекорачење дневне граничне вредности од 50 μg/m</w:t>
      </w:r>
      <w:r w:rsidRPr="00CC35F0">
        <w:rPr>
          <w:rFonts w:ascii="Times New Roman" w:eastAsia="Times New Roman" w:hAnsi="Times New Roman"/>
          <w:b/>
          <w:color w:val="000000"/>
          <w:sz w:val="24"/>
          <w:szCs w:val="24"/>
          <w:vertAlign w:val="superscript"/>
          <w:lang w:val="sr-Cyrl-CS"/>
        </w:rPr>
        <w:t>3</w:t>
      </w:r>
      <w:r w:rsidRPr="00CC35F0">
        <w:rPr>
          <w:rFonts w:ascii="Times New Roman" w:eastAsia="Times New Roman" w:hAnsi="Times New Roman"/>
          <w:b/>
          <w:color w:val="000000"/>
          <w:sz w:val="24"/>
          <w:szCs w:val="24"/>
          <w:lang w:val="sr-Cyrl-CS"/>
        </w:rPr>
        <w:t xml:space="preserve"> и годишње граничне вредности PM</w:t>
      </w:r>
      <w:r w:rsidRPr="00CC35F0">
        <w:rPr>
          <w:rFonts w:ascii="Times New Roman" w:eastAsia="Times New Roman" w:hAnsi="Times New Roman"/>
          <w:b/>
          <w:color w:val="000000"/>
          <w:sz w:val="24"/>
          <w:szCs w:val="24"/>
          <w:vertAlign w:val="subscript"/>
          <w:lang w:val="sr-Cyrl-CS"/>
        </w:rPr>
        <w:t>10</w:t>
      </w:r>
      <w:r w:rsidRPr="00CC35F0">
        <w:rPr>
          <w:rFonts w:ascii="Times New Roman" w:eastAsia="Times New Roman" w:hAnsi="Times New Roman"/>
          <w:b/>
          <w:color w:val="000000"/>
          <w:sz w:val="24"/>
          <w:szCs w:val="24"/>
          <w:lang w:val="sr-Cyrl-CS"/>
        </w:rPr>
        <w:t xml:space="preserve"> према сценарију WEM – 2030. године</w:t>
      </w:r>
    </w:p>
    <w:p w14:paraId="641D798F" w14:textId="77777777" w:rsidR="00A0251B" w:rsidRPr="00CC35F0" w:rsidRDefault="008D6506">
      <w:pPr>
        <w:keepNext/>
        <w:pBdr>
          <w:top w:val="nil"/>
          <w:left w:val="nil"/>
          <w:bottom w:val="nil"/>
          <w:right w:val="nil"/>
          <w:between w:val="nil"/>
        </w:pBdr>
        <w:spacing w:before="120" w:after="60"/>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  </w:t>
      </w:r>
      <w:r w:rsidRPr="00CC35F0">
        <w:rPr>
          <w:rFonts w:ascii="Times New Roman" w:eastAsia="Times New Roman" w:hAnsi="Times New Roman"/>
          <w:b/>
          <w:noProof/>
          <w:color w:val="000000"/>
          <w:sz w:val="24"/>
          <w:szCs w:val="24"/>
          <w:lang w:val="sr-Cyrl-RS" w:eastAsia="sr-Cyrl-RS"/>
        </w:rPr>
        <w:drawing>
          <wp:inline distT="0" distB="0" distL="0" distR="0" wp14:anchorId="12962EEF" wp14:editId="26934731">
            <wp:extent cx="5740400" cy="3867150"/>
            <wp:effectExtent l="0" t="0" r="0" b="0"/>
            <wp:docPr id="60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25"/>
                    <a:srcRect/>
                    <a:stretch>
                      <a:fillRect/>
                    </a:stretch>
                  </pic:blipFill>
                  <pic:spPr>
                    <a:xfrm>
                      <a:off x="0" y="0"/>
                      <a:ext cx="5740400" cy="3867150"/>
                    </a:xfrm>
                    <a:prstGeom prst="rect">
                      <a:avLst/>
                    </a:prstGeom>
                    <a:ln/>
                  </pic:spPr>
                </pic:pic>
              </a:graphicData>
            </a:graphic>
          </wp:inline>
        </w:drawing>
      </w:r>
    </w:p>
    <w:p w14:paraId="59CD3F7C" w14:textId="77777777" w:rsidR="00A0251B" w:rsidRPr="00CC35F0" w:rsidRDefault="008D6506" w:rsidP="00BF51D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Одређени напредак у погледу смањења емисија се очекује захваљујући спровођењу постојећих ПиМ, али се сматра да ће број случајева превремене смрти услед излагања концентрацијама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у амбијенталном ваздуху 2030. године износити 7373 случајева годишње, што ипак јесте смањење од 24,6% у поређењу са бројкама за 2015. годину. До </w:t>
      </w:r>
      <w:r w:rsidRPr="00CC35F0">
        <w:rPr>
          <w:rFonts w:ascii="Times New Roman" w:eastAsia="Times New Roman" w:hAnsi="Times New Roman"/>
          <w:sz w:val="24"/>
          <w:szCs w:val="24"/>
          <w:lang w:val="sr-Cyrl-CS"/>
        </w:rPr>
        <w:lastRenderedPageBreak/>
        <w:t>2030. године се очекује смањење броја година скраћеног животног века са више од 92.000 2015. на 60.000 2035. године, што представља смањење од 34,4%.</w:t>
      </w:r>
    </w:p>
    <w:p w14:paraId="32095E66" w14:textId="77777777" w:rsidR="00A0251B" w:rsidRPr="00CC35F0" w:rsidRDefault="008D6506" w:rsidP="00BF51D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поређењу са ЕУ-28, очекује се да ће Република Србија 2030. године и поред примене сценарија WEM имати 39% више случајева превремене смрти</w:t>
      </w:r>
      <w:r w:rsidRPr="00CC35F0">
        <w:rPr>
          <w:rFonts w:ascii="Times New Roman" w:eastAsia="Times New Roman" w:hAnsi="Times New Roman"/>
          <w:sz w:val="24"/>
          <w:szCs w:val="24"/>
          <w:vertAlign w:val="superscript"/>
          <w:lang w:val="sr-Cyrl-CS"/>
        </w:rPr>
        <w:footnoteReference w:id="23"/>
      </w:r>
      <w:r w:rsidRPr="00CC35F0">
        <w:rPr>
          <w:rFonts w:ascii="Times New Roman" w:eastAsia="Times New Roman" w:hAnsi="Times New Roman"/>
          <w:sz w:val="24"/>
          <w:szCs w:val="24"/>
          <w:lang w:val="sr-Cyrl-CS"/>
        </w:rPr>
        <w:t xml:space="preserve"> него што је ЕУ-28 имала 2018. године. </w:t>
      </w:r>
    </w:p>
    <w:p w14:paraId="2C774D8A" w14:textId="77777777" w:rsidR="00A0251B" w:rsidRPr="00CC35F0" w:rsidRDefault="008D6506" w:rsidP="00BF51D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Очекивана неусаглашеност квалитета амбијенталног ваздуха у односу на стандарде ЕУ, висок удео становништва које је и даље изложено ваздуху лошег квалитета, као и утицаји на здравље који су знатно изнад просека, а потичу од излагања становништва Републике Србије ваздуху лошег квалитета, јасно указује на потребу Републике Србије да изради свеобухватни програм, како би осигурала да њено становништво убудуће неће бити изложено таквим штетним ефектима лошег амбијенталног ваздуха. </w:t>
      </w:r>
    </w:p>
    <w:p w14:paraId="77E682D8" w14:textId="77777777" w:rsidR="00A0251B" w:rsidRPr="00CC35F0" w:rsidRDefault="008D6506" w:rsidP="00BF51D9">
      <w:pPr>
        <w:ind w:firstLine="45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Као што је приказано на Слици 10, главни фактори који доприносе лошем квалитету ваздуха у Републици Србији 2030. године припадају групи В_Остала стационарна постројења за сагоревање (где доминантну улогу игра сектор грејања стамбених објеката), а које 2030. године доприносе са 20,9% емисија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15,7% емисија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затим следе индустрија и саобраћај са 12,9%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7,0%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w:t>
      </w:r>
    </w:p>
    <w:p w14:paraId="61367EE5" w14:textId="77777777" w:rsidR="00A0251B" w:rsidRPr="00CC35F0" w:rsidRDefault="008D6506" w:rsidP="00A06C99">
      <w:pPr>
        <w:pStyle w:val="Heading1"/>
        <w:numPr>
          <w:ilvl w:val="0"/>
          <w:numId w:val="23"/>
        </w:numPr>
        <w:rPr>
          <w:rFonts w:ascii="Times New Roman" w:eastAsia="Times New Roman" w:hAnsi="Times New Roman"/>
          <w:sz w:val="24"/>
          <w:szCs w:val="24"/>
          <w:lang w:val="sr-Cyrl-CS"/>
        </w:rPr>
      </w:pPr>
      <w:bookmarkStart w:id="38" w:name="_heading=h.3fwokq0" w:colFirst="0" w:colLast="0"/>
      <w:bookmarkEnd w:id="38"/>
      <w:r w:rsidRPr="00CC35F0">
        <w:rPr>
          <w:rFonts w:ascii="Times New Roman" w:eastAsia="Times New Roman" w:hAnsi="Times New Roman"/>
          <w:sz w:val="24"/>
          <w:szCs w:val="24"/>
          <w:lang w:val="sr-Cyrl-CS"/>
        </w:rPr>
        <w:t>ВИЗИЈА</w:t>
      </w:r>
    </w:p>
    <w:p w14:paraId="02AEFCB9" w14:textId="77777777" w:rsidR="00A0251B" w:rsidRPr="00CC35F0" w:rsidRDefault="008D6506" w:rsidP="00BF51D9">
      <w:pPr>
        <w:spacing w:before="280" w:after="0"/>
        <w:ind w:firstLine="45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Напред описана актуелна ситуација, криза јавног здравља изазвана загађењем ваздуха, подизање свести о негативним утицајима загађења амбијенталног ваздуха, дугорочним захтевима Конвенције о прекограничном загађењу ваздуха на великим удаљеностима и Гетеборшког протокола уз ову конвенцију, као и процес приступања Е</w:t>
      </w:r>
      <w:r w:rsidR="003019A4" w:rsidRPr="00CC35F0">
        <w:rPr>
          <w:rFonts w:ascii="Times New Roman" w:eastAsia="Times New Roman" w:hAnsi="Times New Roman"/>
          <w:sz w:val="24"/>
          <w:szCs w:val="24"/>
          <w:lang w:val="sr-Cyrl-CS"/>
        </w:rPr>
        <w:t>вропској унији</w:t>
      </w:r>
      <w:r w:rsidRPr="00CC35F0">
        <w:rPr>
          <w:rFonts w:ascii="Times New Roman" w:eastAsia="Times New Roman" w:hAnsi="Times New Roman"/>
          <w:sz w:val="24"/>
          <w:szCs w:val="24"/>
          <w:lang w:val="sr-Cyrl-CS"/>
        </w:rPr>
        <w:t>, основа су за дугорочну визију Програма. Визија садржана у овом програму је да:</w:t>
      </w:r>
    </w:p>
    <w:p w14:paraId="0E21FD68" w14:textId="77777777" w:rsidR="00A0251B" w:rsidRPr="00CC35F0" w:rsidRDefault="008D6506" w:rsidP="00BF51D9">
      <w:pPr>
        <w:spacing w:before="280"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Република Србија треба да обезбеди да до 2030. године сви удишу чист амбијентални ваздух</w:t>
      </w:r>
    </w:p>
    <w:p w14:paraId="49033B1A" w14:textId="77777777" w:rsidR="00A0251B" w:rsidRPr="00CC35F0" w:rsidRDefault="008D6506" w:rsidP="00BF51D9">
      <w:pPr>
        <w:spacing w:before="280" w:after="0"/>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визија даје краткорочну/средњорочну перспективу за планирање и спровођење политике, као и дугорочну амбицију која проистиче из природе јавне политике и међународних захтева, односно захтева Конвенције Уједињених нација о прекограничном загађењу ваздуха на великим удаљеностима и предстојећем пакету ЕУ за чист ваздух у Европској унији.</w:t>
      </w:r>
    </w:p>
    <w:p w14:paraId="1BFF2765" w14:textId="77777777" w:rsidR="00A0251B" w:rsidRPr="00CC35F0" w:rsidRDefault="008D6506" w:rsidP="00BF51D9">
      <w:pPr>
        <w:spacing w:before="280" w:after="0"/>
        <w:ind w:firstLine="45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визија значи да ће до 2030. године промене уведене у оквир релевантних политика о квалитету ваздуха у Републици Србији омогућити земљи да изађе на несметан пут ка обезбеђивању чистог ваздуха за све, сводећи трошкове на минимум и повећавајући користи за здравље које проистичу из такве промене у земљи.</w:t>
      </w:r>
    </w:p>
    <w:p w14:paraId="26970417" w14:textId="77777777" w:rsidR="00A0251B" w:rsidRPr="00CC35F0" w:rsidRDefault="00A0251B">
      <w:pPr>
        <w:rPr>
          <w:rFonts w:ascii="Times New Roman" w:eastAsia="Times New Roman" w:hAnsi="Times New Roman"/>
          <w:sz w:val="24"/>
          <w:szCs w:val="24"/>
          <w:lang w:val="sr-Cyrl-CS"/>
        </w:rPr>
      </w:pPr>
    </w:p>
    <w:p w14:paraId="0A84BB41" w14:textId="77777777" w:rsidR="00A0251B" w:rsidRPr="00CC35F0" w:rsidRDefault="00A0251B">
      <w:pPr>
        <w:rPr>
          <w:rFonts w:ascii="Times New Roman" w:eastAsia="Times New Roman" w:hAnsi="Times New Roman"/>
          <w:sz w:val="24"/>
          <w:szCs w:val="24"/>
          <w:lang w:val="sr-Cyrl-CS"/>
        </w:rPr>
      </w:pPr>
    </w:p>
    <w:p w14:paraId="21105860" w14:textId="77777777" w:rsidR="00A0251B" w:rsidRPr="00CC35F0" w:rsidRDefault="008D6506" w:rsidP="00A06C99">
      <w:pPr>
        <w:pStyle w:val="Heading1"/>
        <w:numPr>
          <w:ilvl w:val="0"/>
          <w:numId w:val="23"/>
        </w:numPr>
        <w:rPr>
          <w:rFonts w:ascii="Times New Roman" w:eastAsia="Times New Roman" w:hAnsi="Times New Roman"/>
          <w:sz w:val="24"/>
          <w:szCs w:val="24"/>
          <w:lang w:val="sr-Cyrl-CS"/>
        </w:rPr>
      </w:pPr>
      <w:bookmarkStart w:id="39" w:name="_heading=h.1v1yuxt" w:colFirst="0" w:colLast="0"/>
      <w:bookmarkEnd w:id="39"/>
      <w:r w:rsidRPr="00CC35F0">
        <w:rPr>
          <w:rFonts w:ascii="Times New Roman" w:eastAsia="Times New Roman" w:hAnsi="Times New Roman"/>
          <w:sz w:val="24"/>
          <w:szCs w:val="24"/>
          <w:lang w:val="sr-Cyrl-CS"/>
        </w:rPr>
        <w:lastRenderedPageBreak/>
        <w:t xml:space="preserve">СЦЕНАРИЈИ УБЛАЖАВАЊА У СЕКТОРУ ЗАШТИТЕ ВАЗДУХА </w:t>
      </w:r>
    </w:p>
    <w:p w14:paraId="0B1B115A" w14:textId="77777777" w:rsidR="00A0251B" w:rsidRPr="00CC35F0" w:rsidRDefault="008D6506" w:rsidP="00BF51D9">
      <w:pPr>
        <w:ind w:firstLine="45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 потребе Програма и остварења визије чистог амбијенталног ваздуха, извршена је анализа још три сценарија ублажавања</w:t>
      </w:r>
      <w:r w:rsidRPr="00CC35F0">
        <w:rPr>
          <w:rFonts w:ascii="Times New Roman" w:eastAsia="Times New Roman" w:hAnsi="Times New Roman"/>
          <w:sz w:val="24"/>
          <w:szCs w:val="24"/>
          <w:vertAlign w:val="superscript"/>
          <w:lang w:val="sr-Cyrl-CS"/>
        </w:rPr>
        <w:footnoteReference w:id="24"/>
      </w:r>
      <w:r w:rsidRPr="00CC35F0">
        <w:rPr>
          <w:rFonts w:ascii="Times New Roman" w:eastAsia="Times New Roman" w:hAnsi="Times New Roman"/>
          <w:sz w:val="24"/>
          <w:szCs w:val="24"/>
          <w:lang w:val="sr-Cyrl-CS"/>
        </w:rPr>
        <w:t>: сви сценарији развијени су применом модела</w:t>
      </w:r>
      <w:r w:rsidRPr="00CC35F0">
        <w:rPr>
          <w:rFonts w:ascii="Times New Roman" w:eastAsia="Times New Roman" w:hAnsi="Times New Roman"/>
          <w:sz w:val="24"/>
          <w:szCs w:val="24"/>
          <w:vertAlign w:val="superscript"/>
          <w:lang w:val="sr-Cyrl-CS"/>
        </w:rPr>
        <w:footnoteReference w:id="25"/>
      </w:r>
      <w:r w:rsidRPr="00CC35F0">
        <w:rPr>
          <w:rFonts w:ascii="Times New Roman" w:eastAsia="Times New Roman" w:hAnsi="Times New Roman"/>
          <w:sz w:val="24"/>
          <w:szCs w:val="24"/>
          <w:lang w:val="sr-Cyrl-CS"/>
        </w:rPr>
        <w:t xml:space="preserve"> који се користе за дефинисање циљева ЕУ и праваца до 2020. и 2030. године, као и одговарајућих јавних ПиМ, узимајући у обзир домаће околности. Сви сценарији развијени су применом модела који се користе за дефинисање циљева ЕУ и праваца до 2020, 2030. и 2050. године, као и одговарајућих јавних ПиМ, узимајући у обзир домаће околности. Референтна година узета за потребе исказивања смањења емисија загађујућих материја је 2015. Дакле, напори на постизању смањења емисија загађујућих материја у ваздух приказани су у односу на нивое емисија гасова са ефектом стаклене баште 2015. године. Поред тога, како би се извршило поређење смањења емисија у односу на референту годину, као што је случај и код поређења усаглашености са Директивом о смањењу националних емисија одређених атмосферских загађујућих материја и Гетеборшким протоколом, напори уложени у том правцу приказани су и поређењем са 2005. годином; међутим, остварење циљева ће се пратити и извештавати у поређењу са 2015. годином.</w:t>
      </w:r>
    </w:p>
    <w:p w14:paraId="28755F32" w14:textId="77777777" w:rsidR="00A0251B" w:rsidRPr="00CC35F0" w:rsidRDefault="008D6506" w:rsidP="00256C34">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Сценарији ублажавања у сектору заштите ваздуха су: </w:t>
      </w:r>
    </w:p>
    <w:p w14:paraId="39D1CF2A" w14:textId="77777777" w:rsidR="00A0251B" w:rsidRPr="00CC35F0" w:rsidRDefault="008D6506" w:rsidP="00382EC6">
      <w:pPr>
        <w:numPr>
          <w:ilvl w:val="0"/>
          <w:numId w:val="27"/>
        </w:numPr>
        <w:pBdr>
          <w:top w:val="nil"/>
          <w:left w:val="nil"/>
          <w:bottom w:val="nil"/>
          <w:right w:val="nil"/>
          <w:between w:val="nil"/>
        </w:pBdr>
        <w:tabs>
          <w:tab w:val="left" w:pos="709"/>
        </w:tabs>
        <w:spacing w:before="120" w:line="240"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b/>
          <w:color w:val="000000"/>
          <w:sz w:val="24"/>
          <w:szCs w:val="24"/>
          <w:lang w:val="sr-Cyrl-CS"/>
        </w:rPr>
        <w:t>Сценарио WAM A:</w:t>
      </w:r>
      <w:r w:rsidRPr="00CC35F0">
        <w:rPr>
          <w:rFonts w:ascii="Times New Roman" w:eastAsia="Times New Roman" w:hAnsi="Times New Roman"/>
          <w:color w:val="000000"/>
          <w:sz w:val="24"/>
          <w:szCs w:val="24"/>
          <w:lang w:val="sr-Cyrl-CS"/>
        </w:rPr>
        <w:t xml:space="preserve"> Пуно спровођење свих релевантних директива и уредби ЕУ у вези са квалитетом амбијенталног ваздуха које још нису у потпуности транспоноване и имплементиране</w:t>
      </w:r>
      <w:r w:rsidRPr="00CC35F0">
        <w:rPr>
          <w:rFonts w:ascii="Times New Roman" w:eastAsia="Times New Roman" w:hAnsi="Times New Roman"/>
          <w:color w:val="000000"/>
          <w:sz w:val="24"/>
          <w:szCs w:val="24"/>
          <w:vertAlign w:val="superscript"/>
          <w:lang w:val="sr-Cyrl-CS"/>
        </w:rPr>
        <w:footnoteReference w:id="26"/>
      </w:r>
      <w:r w:rsidR="004804C2" w:rsidRPr="00CC35F0">
        <w:rPr>
          <w:rFonts w:ascii="Times New Roman" w:eastAsia="Times New Roman" w:hAnsi="Times New Roman"/>
          <w:color w:val="000000"/>
          <w:sz w:val="24"/>
          <w:szCs w:val="24"/>
          <w:lang w:val="sr-Cyrl-CS"/>
        </w:rPr>
        <w:t>;</w:t>
      </w:r>
    </w:p>
    <w:p w14:paraId="41055B78" w14:textId="77777777" w:rsidR="00A0251B" w:rsidRPr="00CC35F0" w:rsidRDefault="008D6506" w:rsidP="00382EC6">
      <w:pPr>
        <w:numPr>
          <w:ilvl w:val="0"/>
          <w:numId w:val="27"/>
        </w:numPr>
        <w:pBdr>
          <w:top w:val="nil"/>
          <w:left w:val="nil"/>
          <w:bottom w:val="nil"/>
          <w:right w:val="nil"/>
          <w:between w:val="nil"/>
        </w:pBdr>
        <w:tabs>
          <w:tab w:val="left" w:pos="709"/>
        </w:tabs>
        <w:spacing w:before="120" w:line="240" w:lineRule="auto"/>
        <w:ind w:left="0" w:firstLine="360"/>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Сценарио WAM B: </w:t>
      </w:r>
      <w:r w:rsidRPr="00CC35F0">
        <w:rPr>
          <w:rFonts w:ascii="Times New Roman" w:eastAsia="Times New Roman" w:hAnsi="Times New Roman"/>
          <w:color w:val="000000"/>
          <w:sz w:val="24"/>
          <w:szCs w:val="24"/>
          <w:lang w:val="sr-Cyrl-CS"/>
        </w:rPr>
        <w:t>Ово је сценарио интензивне контроле. Поред граничних вредности из сценарија WAM A, у неким с</w:t>
      </w:r>
      <w:r w:rsidR="00485A15">
        <w:rPr>
          <w:rFonts w:ascii="Times New Roman" w:eastAsia="Times New Roman" w:hAnsi="Times New Roman"/>
          <w:color w:val="000000"/>
          <w:sz w:val="24"/>
          <w:szCs w:val="24"/>
          <w:lang w:val="sr-Cyrl-CS"/>
        </w:rPr>
        <w:t>лучајевима се прописују строже</w:t>
      </w:r>
      <w:r w:rsidRPr="00CC35F0">
        <w:rPr>
          <w:rFonts w:ascii="Times New Roman" w:eastAsia="Times New Roman" w:hAnsi="Times New Roman"/>
          <w:color w:val="000000"/>
          <w:sz w:val="24"/>
          <w:szCs w:val="24"/>
          <w:lang w:val="sr-Cyrl-CS"/>
        </w:rPr>
        <w:t xml:space="preserve"> граничне вредности емисије и уводе се домаће финансијске и фискалне ПиМ за кључне категорије извора емисија (као што су шеме промоције дерегистрације/отпремања у рециклажне центре и замене путничких возила и грејних тела </w:t>
      </w:r>
      <w:r w:rsidR="004804C2" w:rsidRPr="00CC35F0">
        <w:rPr>
          <w:rFonts w:ascii="Times New Roman" w:eastAsia="Times New Roman" w:hAnsi="Times New Roman"/>
          <w:color w:val="000000"/>
          <w:sz w:val="24"/>
          <w:szCs w:val="24"/>
          <w:lang w:val="sr-Cyrl-CS"/>
        </w:rPr>
        <w:t>на дрва и угаљ у домаћинствима);</w:t>
      </w:r>
    </w:p>
    <w:p w14:paraId="0592E2F0" w14:textId="77777777" w:rsidR="00A0251B" w:rsidRPr="00CC35F0" w:rsidRDefault="008D6506" w:rsidP="00382EC6">
      <w:pPr>
        <w:numPr>
          <w:ilvl w:val="0"/>
          <w:numId w:val="27"/>
        </w:numPr>
        <w:pBdr>
          <w:top w:val="nil"/>
          <w:left w:val="nil"/>
          <w:bottom w:val="nil"/>
          <w:right w:val="nil"/>
          <w:between w:val="nil"/>
        </w:pBdr>
        <w:tabs>
          <w:tab w:val="left" w:pos="709"/>
        </w:tabs>
        <w:spacing w:before="120" w:line="240" w:lineRule="auto"/>
        <w:ind w:left="0" w:firstLine="360"/>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Сценарио WAM C: </w:t>
      </w:r>
      <w:r w:rsidRPr="00CC35F0">
        <w:rPr>
          <w:rFonts w:ascii="Times New Roman" w:eastAsia="Times New Roman" w:hAnsi="Times New Roman"/>
          <w:color w:val="000000"/>
          <w:sz w:val="24"/>
          <w:szCs w:val="24"/>
          <w:lang w:val="sr-Cyrl-CS"/>
        </w:rPr>
        <w:t>Сценарио потпуне контроле. Поред свега уведеног кроз сценарио WAM B, уводе се све неопходне мере, укључујући и конкретне локалне мере (као што су подстицаји, забране и ограничења), које имају за циљ усаглашавање са граничним вредностима емисије из Директиве 2008/50/ЕЗ за суспендоване честице (PM</w:t>
      </w:r>
      <w:r w:rsidRPr="00CC35F0">
        <w:rPr>
          <w:rFonts w:ascii="Times New Roman" w:eastAsia="Times New Roman" w:hAnsi="Times New Roman"/>
          <w:color w:val="000000"/>
          <w:sz w:val="24"/>
          <w:szCs w:val="24"/>
          <w:vertAlign w:val="subscript"/>
          <w:lang w:val="sr-Cyrl-CS"/>
        </w:rPr>
        <w:t>2.5</w:t>
      </w:r>
      <w:r w:rsidRPr="00CC35F0">
        <w:rPr>
          <w:rFonts w:ascii="Times New Roman" w:eastAsia="Times New Roman" w:hAnsi="Times New Roman"/>
          <w:color w:val="000000"/>
          <w:sz w:val="24"/>
          <w:szCs w:val="24"/>
          <w:lang w:val="sr-Cyrl-CS"/>
        </w:rPr>
        <w:t xml:space="preserve"> и PM</w:t>
      </w:r>
      <w:r w:rsidRPr="00CC35F0">
        <w:rPr>
          <w:rFonts w:ascii="Times New Roman" w:eastAsia="Times New Roman" w:hAnsi="Times New Roman"/>
          <w:color w:val="000000"/>
          <w:sz w:val="24"/>
          <w:szCs w:val="24"/>
          <w:vertAlign w:val="subscript"/>
          <w:lang w:val="sr-Cyrl-CS"/>
        </w:rPr>
        <w:t>10</w:t>
      </w:r>
      <w:r w:rsidRPr="00CC35F0">
        <w:rPr>
          <w:rFonts w:ascii="Times New Roman" w:eastAsia="Times New Roman" w:hAnsi="Times New Roman"/>
          <w:color w:val="000000"/>
          <w:sz w:val="24"/>
          <w:szCs w:val="24"/>
          <w:lang w:val="sr-Cyrl-CS"/>
        </w:rPr>
        <w:t>), NOx, SO</w:t>
      </w:r>
      <w:r w:rsidRPr="00CC35F0">
        <w:rPr>
          <w:rFonts w:ascii="Times New Roman" w:eastAsia="Times New Roman" w:hAnsi="Times New Roman"/>
          <w:color w:val="000000"/>
          <w:sz w:val="24"/>
          <w:szCs w:val="24"/>
          <w:vertAlign w:val="subscript"/>
          <w:lang w:val="sr-Cyrl-CS"/>
        </w:rPr>
        <w:t>2</w:t>
      </w:r>
      <w:r w:rsidRPr="00CC35F0">
        <w:rPr>
          <w:rFonts w:ascii="Times New Roman" w:eastAsia="Times New Roman" w:hAnsi="Times New Roman"/>
          <w:color w:val="000000"/>
          <w:sz w:val="24"/>
          <w:szCs w:val="24"/>
          <w:lang w:val="sr-Cyrl-CS"/>
        </w:rPr>
        <w:t xml:space="preserve"> и O</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w:t>
      </w:r>
    </w:p>
    <w:p w14:paraId="6F18CA94" w14:textId="77777777" w:rsidR="00A0597E" w:rsidRPr="00CC35F0" w:rsidRDefault="00D765C5" w:rsidP="00D765C5">
      <w:pPr>
        <w:pStyle w:val="NoSpacing"/>
        <w:rPr>
          <w:rFonts w:ascii="Times New Roman" w:hAnsi="Times New Roman"/>
          <w:sz w:val="24"/>
          <w:szCs w:val="24"/>
          <w:lang w:val="sr-Cyrl-CS"/>
        </w:rPr>
      </w:pPr>
      <w:r w:rsidRPr="00CC35F0">
        <w:rPr>
          <w:rFonts w:ascii="Times New Roman" w:hAnsi="Times New Roman"/>
          <w:sz w:val="24"/>
          <w:szCs w:val="24"/>
          <w:lang w:val="sr-Cyrl-CS"/>
        </w:rPr>
        <w:tab/>
      </w:r>
      <w:r w:rsidR="00A0597E" w:rsidRPr="00CC35F0">
        <w:rPr>
          <w:rFonts w:ascii="Times New Roman" w:hAnsi="Times New Roman"/>
          <w:sz w:val="24"/>
          <w:szCs w:val="24"/>
          <w:lang w:val="sr-Cyrl-CS"/>
        </w:rPr>
        <w:t>Детаљни подаци о пројекцијама емисија загађујућих материја у ваздух до 2030. године за сваку загађујућу материју и за сваки сценарио дати су у Прилогу 3</w:t>
      </w:r>
      <w:r w:rsidR="00917F4E" w:rsidRPr="00CC35F0">
        <w:rPr>
          <w:rFonts w:ascii="Times New Roman" w:hAnsi="Times New Roman"/>
          <w:sz w:val="24"/>
          <w:szCs w:val="24"/>
          <w:lang w:val="sr-Cyrl-CS"/>
        </w:rPr>
        <w:t xml:space="preserve"> </w:t>
      </w:r>
      <w:r w:rsidRPr="00CC35F0">
        <w:rPr>
          <w:rFonts w:ascii="Times New Roman" w:hAnsi="Times New Roman"/>
          <w:sz w:val="24"/>
          <w:szCs w:val="24"/>
          <w:lang w:val="sr-Cyrl-CS"/>
        </w:rPr>
        <w:t xml:space="preserve">– Приказ </w:t>
      </w:r>
      <w:r w:rsidR="00A0597E" w:rsidRPr="00CC35F0">
        <w:rPr>
          <w:rFonts w:ascii="Times New Roman" w:hAnsi="Times New Roman"/>
          <w:sz w:val="24"/>
          <w:szCs w:val="24"/>
          <w:lang w:val="sr-Cyrl-CS"/>
        </w:rPr>
        <w:t>сценарија емисија у ваздух по секторима, који је одштамп</w:t>
      </w:r>
      <w:r w:rsidRPr="00CC35F0">
        <w:rPr>
          <w:rFonts w:ascii="Times New Roman" w:hAnsi="Times New Roman"/>
          <w:sz w:val="24"/>
          <w:szCs w:val="24"/>
          <w:lang w:val="sr-Cyrl-CS"/>
        </w:rPr>
        <w:t xml:space="preserve">ан уз овај програм и чини његов </w:t>
      </w:r>
      <w:r w:rsidR="00A0597E" w:rsidRPr="00CC35F0">
        <w:rPr>
          <w:rFonts w:ascii="Times New Roman" w:hAnsi="Times New Roman"/>
          <w:sz w:val="24"/>
          <w:szCs w:val="24"/>
          <w:lang w:val="sr-Cyrl-CS"/>
        </w:rPr>
        <w:t>саставни део.</w:t>
      </w:r>
    </w:p>
    <w:p w14:paraId="25209537" w14:textId="77777777" w:rsidR="00A0251B" w:rsidRPr="00CC35F0" w:rsidRDefault="008D6506" w:rsidP="00E8486B">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 доњим сликама приказани су правци емисија загађујућих материја у ваздух у три WAM сценарија:</w:t>
      </w:r>
    </w:p>
    <w:p w14:paraId="6E0925C9" w14:textId="77777777" w:rsidR="00A0251B" w:rsidRPr="00CC35F0" w:rsidRDefault="008D6506">
      <w:pPr>
        <w:keepNext/>
        <w:pBdr>
          <w:top w:val="nil"/>
          <w:left w:val="nil"/>
          <w:bottom w:val="nil"/>
          <w:right w:val="nil"/>
          <w:between w:val="nil"/>
        </w:pBdr>
        <w:spacing w:after="0"/>
        <w:rPr>
          <w:rFonts w:ascii="Times New Roman" w:eastAsia="Times New Roman" w:hAnsi="Times New Roman"/>
          <w:b/>
          <w:color w:val="000000"/>
          <w:sz w:val="24"/>
          <w:szCs w:val="24"/>
          <w:lang w:val="sr-Cyrl-CS"/>
        </w:rPr>
      </w:pPr>
      <w:bookmarkStart w:id="40" w:name="_heading=h.4f1mdlm" w:colFirst="0" w:colLast="0"/>
      <w:bookmarkEnd w:id="40"/>
      <w:r w:rsidRPr="00CC35F0">
        <w:rPr>
          <w:rFonts w:ascii="Times New Roman" w:eastAsia="Times New Roman" w:hAnsi="Times New Roman"/>
          <w:b/>
          <w:color w:val="000000"/>
          <w:sz w:val="24"/>
          <w:szCs w:val="24"/>
          <w:lang w:val="sr-Cyrl-CS"/>
        </w:rPr>
        <w:lastRenderedPageBreak/>
        <w:t xml:space="preserve">Слика 14: Кретање емисија PM2.5 и PM10 до 2030. године и даље </w:t>
      </w:r>
    </w:p>
    <w:tbl>
      <w:tblPr>
        <w:tblStyle w:val="a4"/>
        <w:tblW w:w="10632" w:type="dxa"/>
        <w:tblInd w:w="-572" w:type="dxa"/>
        <w:tblBorders>
          <w:top w:val="nil"/>
          <w:left w:val="nil"/>
          <w:bottom w:val="nil"/>
          <w:right w:val="nil"/>
          <w:insideH w:val="nil"/>
          <w:insideV w:val="nil"/>
        </w:tblBorders>
        <w:tblLayout w:type="fixed"/>
        <w:tblLook w:val="0400" w:firstRow="0" w:lastRow="0" w:firstColumn="0" w:lastColumn="0" w:noHBand="0" w:noVBand="1"/>
      </w:tblPr>
      <w:tblGrid>
        <w:gridCol w:w="10632"/>
      </w:tblGrid>
      <w:tr w:rsidR="00A0251B" w:rsidRPr="00CC35F0" w14:paraId="181DD447" w14:textId="77777777">
        <w:tc>
          <w:tcPr>
            <w:tcW w:w="10632" w:type="dxa"/>
          </w:tcPr>
          <w:p w14:paraId="6FFB82CF" w14:textId="77777777" w:rsidR="00A0251B" w:rsidRPr="00CC35F0" w:rsidRDefault="008D6506">
            <w:pPr>
              <w:ind w:right="-109"/>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7B1ED766" wp14:editId="693A5186">
                  <wp:extent cx="2789712" cy="1817535"/>
                  <wp:effectExtent l="0" t="0" r="0" b="0"/>
                  <wp:docPr id="603"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26"/>
                          <a:srcRect/>
                          <a:stretch>
                            <a:fillRect/>
                          </a:stretch>
                        </pic:blipFill>
                        <pic:spPr>
                          <a:xfrm>
                            <a:off x="0" y="0"/>
                            <a:ext cx="2789712" cy="1817535"/>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7D566A0D" wp14:editId="772F75E5">
                  <wp:extent cx="2910135" cy="1798252"/>
                  <wp:effectExtent l="0" t="0" r="0" b="0"/>
                  <wp:docPr id="604"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27"/>
                          <a:srcRect/>
                          <a:stretch>
                            <a:fillRect/>
                          </a:stretch>
                        </pic:blipFill>
                        <pic:spPr>
                          <a:xfrm>
                            <a:off x="0" y="0"/>
                            <a:ext cx="2910135" cy="1798252"/>
                          </a:xfrm>
                          <a:prstGeom prst="rect">
                            <a:avLst/>
                          </a:prstGeom>
                          <a:ln/>
                        </pic:spPr>
                      </pic:pic>
                    </a:graphicData>
                  </a:graphic>
                </wp:inline>
              </w:drawing>
            </w:r>
          </w:p>
          <w:p w14:paraId="1ED62388" w14:textId="77777777" w:rsidR="00A0251B" w:rsidRPr="00CC35F0" w:rsidRDefault="00A0251B">
            <w:pPr>
              <w:ind w:right="-109"/>
              <w:rPr>
                <w:rFonts w:ascii="Times New Roman" w:eastAsia="Times New Roman" w:hAnsi="Times New Roman"/>
                <w:sz w:val="24"/>
                <w:szCs w:val="24"/>
                <w:lang w:val="sr-Cyrl-CS"/>
              </w:rPr>
            </w:pPr>
          </w:p>
        </w:tc>
      </w:tr>
      <w:tr w:rsidR="00A0251B" w:rsidRPr="00CC35F0" w14:paraId="514DE988" w14:textId="77777777">
        <w:tc>
          <w:tcPr>
            <w:tcW w:w="10632" w:type="dxa"/>
          </w:tcPr>
          <w:p w14:paraId="4B65604A" w14:textId="77777777" w:rsidR="00A0251B" w:rsidRPr="00CC35F0" w:rsidRDefault="008D6506">
            <w:pPr>
              <w:ind w:right="-109"/>
              <w:rPr>
                <w:rFonts w:ascii="Times New Roman" w:eastAsia="Times New Roman" w:hAnsi="Times New Roman"/>
                <w:b/>
                <w:sz w:val="24"/>
                <w:szCs w:val="24"/>
                <w:lang w:val="sr-Cyrl-CS"/>
              </w:rPr>
            </w:pPr>
            <w:bookmarkStart w:id="41" w:name="_heading=h.2u6wntf" w:colFirst="0" w:colLast="0"/>
            <w:bookmarkEnd w:id="41"/>
            <w:r w:rsidRPr="00CC35F0">
              <w:rPr>
                <w:rFonts w:ascii="Times New Roman" w:eastAsia="Times New Roman" w:hAnsi="Times New Roman"/>
                <w:b/>
                <w:sz w:val="24"/>
                <w:szCs w:val="24"/>
                <w:lang w:val="sr-Cyrl-CS"/>
              </w:rPr>
              <w:t xml:space="preserve">          Слика 15: Кретање емисија NOx и SO2 до 2030. године и даље</w:t>
            </w:r>
          </w:p>
          <w:p w14:paraId="0B2BCF14" w14:textId="77777777" w:rsidR="00A0251B" w:rsidRPr="00CC35F0" w:rsidRDefault="00A0251B">
            <w:pPr>
              <w:ind w:right="-109"/>
              <w:rPr>
                <w:rFonts w:ascii="Times New Roman" w:eastAsia="Times New Roman" w:hAnsi="Times New Roman"/>
                <w:b/>
                <w:sz w:val="24"/>
                <w:szCs w:val="24"/>
                <w:lang w:val="sr-Cyrl-CS"/>
              </w:rPr>
            </w:pPr>
          </w:p>
          <w:p w14:paraId="2AB3DDBA" w14:textId="77777777" w:rsidR="00A0251B" w:rsidRPr="00CC35F0" w:rsidRDefault="008D6506">
            <w:pPr>
              <w:ind w:right="-109"/>
              <w:rPr>
                <w:rFonts w:ascii="Times New Roman" w:eastAsia="Times New Roman" w:hAnsi="Times New Roman"/>
                <w:b/>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72CAD816" wp14:editId="6AD0B49B">
                  <wp:extent cx="2804392" cy="1669317"/>
                  <wp:effectExtent l="0" t="0" r="0" b="0"/>
                  <wp:docPr id="605"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28"/>
                          <a:srcRect/>
                          <a:stretch>
                            <a:fillRect/>
                          </a:stretch>
                        </pic:blipFill>
                        <pic:spPr>
                          <a:xfrm>
                            <a:off x="0" y="0"/>
                            <a:ext cx="2804392" cy="1669317"/>
                          </a:xfrm>
                          <a:prstGeom prst="rect">
                            <a:avLst/>
                          </a:prstGeom>
                          <a:ln/>
                        </pic:spPr>
                      </pic:pic>
                    </a:graphicData>
                  </a:graphic>
                </wp:inline>
              </w:drawing>
            </w:r>
            <w:r w:rsidRPr="00CC35F0">
              <w:rPr>
                <w:rFonts w:ascii="Times New Roman" w:eastAsia="Times New Roman" w:hAnsi="Times New Roman"/>
                <w:b/>
                <w:noProof/>
                <w:sz w:val="24"/>
                <w:szCs w:val="24"/>
                <w:lang w:val="sr-Cyrl-RS" w:eastAsia="sr-Cyrl-RS"/>
              </w:rPr>
              <w:drawing>
                <wp:inline distT="0" distB="0" distL="0" distR="0" wp14:anchorId="63AD9ECF" wp14:editId="16B258D2">
                  <wp:extent cx="2647607" cy="1685021"/>
                  <wp:effectExtent l="0" t="0" r="0" b="0"/>
                  <wp:docPr id="57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9"/>
                          <a:srcRect/>
                          <a:stretch>
                            <a:fillRect/>
                          </a:stretch>
                        </pic:blipFill>
                        <pic:spPr>
                          <a:xfrm>
                            <a:off x="0" y="0"/>
                            <a:ext cx="2647607" cy="1685021"/>
                          </a:xfrm>
                          <a:prstGeom prst="rect">
                            <a:avLst/>
                          </a:prstGeom>
                          <a:ln/>
                        </pic:spPr>
                      </pic:pic>
                    </a:graphicData>
                  </a:graphic>
                </wp:inline>
              </w:drawing>
            </w:r>
          </w:p>
        </w:tc>
      </w:tr>
      <w:tr w:rsidR="00A0251B" w:rsidRPr="00CC35F0" w14:paraId="19E1A29E" w14:textId="77777777">
        <w:tc>
          <w:tcPr>
            <w:tcW w:w="10632" w:type="dxa"/>
          </w:tcPr>
          <w:p w14:paraId="3504F2C1" w14:textId="77777777" w:rsidR="00A0251B" w:rsidRPr="00CC35F0" w:rsidRDefault="00A0251B">
            <w:pPr>
              <w:ind w:right="-109"/>
              <w:rPr>
                <w:rFonts w:ascii="Times New Roman" w:eastAsia="Times New Roman" w:hAnsi="Times New Roman"/>
                <w:b/>
                <w:sz w:val="24"/>
                <w:szCs w:val="24"/>
                <w:lang w:val="sr-Cyrl-CS"/>
              </w:rPr>
            </w:pPr>
          </w:p>
        </w:tc>
      </w:tr>
      <w:tr w:rsidR="00A0251B" w:rsidRPr="00CC35F0" w14:paraId="250536EA" w14:textId="77777777">
        <w:tc>
          <w:tcPr>
            <w:tcW w:w="10632" w:type="dxa"/>
          </w:tcPr>
          <w:p w14:paraId="00284C56" w14:textId="77777777" w:rsidR="00A0251B" w:rsidRPr="00CC35F0" w:rsidRDefault="00A0251B">
            <w:pPr>
              <w:rPr>
                <w:rFonts w:ascii="Times New Roman" w:eastAsia="Times New Roman" w:hAnsi="Times New Roman"/>
                <w:sz w:val="24"/>
                <w:szCs w:val="24"/>
                <w:lang w:val="sr-Cyrl-CS"/>
              </w:rPr>
            </w:pPr>
          </w:p>
        </w:tc>
      </w:tr>
    </w:tbl>
    <w:p w14:paraId="54188746" w14:textId="77777777" w:rsidR="00A0251B" w:rsidRPr="00CC35F0" w:rsidRDefault="008D6506">
      <w:pPr>
        <w:keepNext/>
        <w:pBdr>
          <w:top w:val="nil"/>
          <w:left w:val="nil"/>
          <w:bottom w:val="nil"/>
          <w:right w:val="nil"/>
          <w:between w:val="nil"/>
        </w:pBdr>
        <w:spacing w:after="60"/>
        <w:rPr>
          <w:rFonts w:ascii="Times New Roman" w:eastAsia="Times New Roman" w:hAnsi="Times New Roman"/>
          <w:b/>
          <w:color w:val="000000"/>
          <w:sz w:val="24"/>
          <w:szCs w:val="24"/>
          <w:lang w:val="sr-Cyrl-CS"/>
        </w:rPr>
      </w:pPr>
      <w:bookmarkStart w:id="42" w:name="_heading=h.19c6y18" w:colFirst="0" w:colLast="0"/>
      <w:bookmarkEnd w:id="42"/>
      <w:r w:rsidRPr="00CC35F0">
        <w:rPr>
          <w:rFonts w:ascii="Times New Roman" w:eastAsia="Times New Roman" w:hAnsi="Times New Roman"/>
          <w:b/>
          <w:color w:val="000000"/>
          <w:sz w:val="24"/>
          <w:szCs w:val="24"/>
          <w:lang w:val="sr-Cyrl-CS"/>
        </w:rPr>
        <w:t>Слика 16: Кретање емисија VOC и NH</w:t>
      </w:r>
      <w:r w:rsidRPr="00CC35F0">
        <w:rPr>
          <w:rFonts w:ascii="Times New Roman" w:eastAsia="Times New Roman" w:hAnsi="Times New Roman"/>
          <w:b/>
          <w:color w:val="000000"/>
          <w:sz w:val="24"/>
          <w:szCs w:val="24"/>
          <w:vertAlign w:val="subscript"/>
          <w:lang w:val="sr-Cyrl-CS"/>
        </w:rPr>
        <w:t>3</w:t>
      </w:r>
      <w:r w:rsidRPr="00CC35F0">
        <w:rPr>
          <w:rFonts w:ascii="Times New Roman" w:eastAsia="Times New Roman" w:hAnsi="Times New Roman"/>
          <w:b/>
          <w:color w:val="000000"/>
          <w:sz w:val="24"/>
          <w:szCs w:val="24"/>
          <w:lang w:val="sr-Cyrl-CS"/>
        </w:rPr>
        <w:t xml:space="preserve"> до 2030. године и даље</w:t>
      </w:r>
    </w:p>
    <w:p w14:paraId="4C0A6F9B" w14:textId="77777777" w:rsidR="00A0251B" w:rsidRPr="00CC35F0" w:rsidRDefault="00A0251B">
      <w:pPr>
        <w:keepNext/>
        <w:pBdr>
          <w:top w:val="nil"/>
          <w:left w:val="nil"/>
          <w:bottom w:val="nil"/>
          <w:right w:val="nil"/>
          <w:between w:val="nil"/>
        </w:pBdr>
        <w:spacing w:after="60"/>
        <w:rPr>
          <w:rFonts w:ascii="Times New Roman" w:eastAsia="Times New Roman" w:hAnsi="Times New Roman"/>
          <w:b/>
          <w:color w:val="000000"/>
          <w:sz w:val="24"/>
          <w:szCs w:val="24"/>
          <w:lang w:val="sr-Cyrl-CS"/>
        </w:rPr>
      </w:pPr>
    </w:p>
    <w:p w14:paraId="47686BB8" w14:textId="77777777" w:rsidR="00A0251B" w:rsidRPr="00CC35F0" w:rsidRDefault="008D6506">
      <w:pPr>
        <w:ind w:left="-450"/>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53064029" wp14:editId="31D856DD">
            <wp:extent cx="2781041" cy="1772323"/>
            <wp:effectExtent l="0" t="0" r="0" b="0"/>
            <wp:docPr id="577"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0"/>
                    <a:srcRect/>
                    <a:stretch>
                      <a:fillRect/>
                    </a:stretch>
                  </pic:blipFill>
                  <pic:spPr>
                    <a:xfrm>
                      <a:off x="0" y="0"/>
                      <a:ext cx="2781041" cy="1772323"/>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53891A53" wp14:editId="4DC3CB47">
            <wp:extent cx="2626656" cy="1753371"/>
            <wp:effectExtent l="0" t="0" r="0" b="0"/>
            <wp:docPr id="578"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31"/>
                    <a:srcRect/>
                    <a:stretch>
                      <a:fillRect/>
                    </a:stretch>
                  </pic:blipFill>
                  <pic:spPr>
                    <a:xfrm>
                      <a:off x="0" y="0"/>
                      <a:ext cx="2626656" cy="1753371"/>
                    </a:xfrm>
                    <a:prstGeom prst="rect">
                      <a:avLst/>
                    </a:prstGeom>
                    <a:ln/>
                  </pic:spPr>
                </pic:pic>
              </a:graphicData>
            </a:graphic>
          </wp:inline>
        </w:drawing>
      </w:r>
    </w:p>
    <w:p w14:paraId="0BF94697" w14:textId="77777777" w:rsidR="00A0251B" w:rsidRPr="00CC35F0" w:rsidRDefault="008D6506" w:rsidP="00E8486B">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Главни фокус сценарија и напора на смањењу емисија је обезбеђивање усаглашености са регулаторним оквиром ЕУ у области заштите ваздуха, ПиМ, затим са добром праксом у сектору пољопривреде, истовремено радећи на примени мера за смањење емисија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где се проценом актуелне ситуације испостави да Република Србија мора да оствари знатна побољшања у спровођењу својих политика.</w:t>
      </w:r>
    </w:p>
    <w:p w14:paraId="7515D30A" w14:textId="77777777" w:rsidR="00A0251B" w:rsidRPr="00CC35F0" w:rsidRDefault="008D6506" w:rsidP="00CB2986">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Сценарио WAM A </w:t>
      </w:r>
    </w:p>
    <w:p w14:paraId="614E0BB6" w14:textId="77777777" w:rsidR="00A0251B" w:rsidRPr="00CC35F0" w:rsidRDefault="008D6506" w:rsidP="00D22F0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Према сценарију WAM A, сматра да се све релевантне директиве или прописи Е</w:t>
      </w:r>
      <w:r w:rsidR="0032085C" w:rsidRPr="00CC35F0">
        <w:rPr>
          <w:rFonts w:ascii="Times New Roman" w:eastAsia="Times New Roman" w:hAnsi="Times New Roman"/>
          <w:sz w:val="24"/>
          <w:szCs w:val="24"/>
          <w:lang w:val="sr-Cyrl-CS"/>
        </w:rPr>
        <w:t xml:space="preserve">У примењују од датог датума у </w:t>
      </w:r>
      <w:r w:rsidRPr="00CC35F0">
        <w:rPr>
          <w:rFonts w:ascii="Times New Roman" w:eastAsia="Times New Roman" w:hAnsi="Times New Roman"/>
          <w:sz w:val="24"/>
          <w:szCs w:val="24"/>
          <w:lang w:val="sr-Cyrl-CS"/>
        </w:rPr>
        <w:t>зависности од активности. Када се, у неким случајевима, важећим прописима утврде строж</w:t>
      </w:r>
      <w:r w:rsidR="000A7701" w:rsidRPr="00CC35F0">
        <w:rPr>
          <w:rFonts w:ascii="Times New Roman" w:eastAsia="Times New Roman" w:hAnsi="Times New Roman"/>
          <w:sz w:val="24"/>
          <w:szCs w:val="24"/>
          <w:lang w:val="sr-Cyrl-CS"/>
        </w:rPr>
        <w:t>е</w:t>
      </w:r>
      <w:r w:rsidRPr="00CC35F0">
        <w:rPr>
          <w:rFonts w:ascii="Times New Roman" w:eastAsia="Times New Roman" w:hAnsi="Times New Roman"/>
          <w:sz w:val="24"/>
          <w:szCs w:val="24"/>
          <w:lang w:val="sr-Cyrl-CS"/>
        </w:rPr>
        <w:t xml:space="preserve"> граничне вредности емисије него што је случај са директивама или уредбама ЕУ, разматрају се строж</w:t>
      </w:r>
      <w:r w:rsidR="000A7701" w:rsidRPr="00CC35F0">
        <w:rPr>
          <w:rFonts w:ascii="Times New Roman" w:eastAsia="Times New Roman" w:hAnsi="Times New Roman"/>
          <w:sz w:val="24"/>
          <w:szCs w:val="24"/>
          <w:lang w:val="sr-Cyrl-CS"/>
        </w:rPr>
        <w:t>е</w:t>
      </w:r>
      <w:r w:rsidRPr="00CC35F0">
        <w:rPr>
          <w:rFonts w:ascii="Times New Roman" w:eastAsia="Times New Roman" w:hAnsi="Times New Roman"/>
          <w:sz w:val="24"/>
          <w:szCs w:val="24"/>
          <w:lang w:val="sr-Cyrl-CS"/>
        </w:rPr>
        <w:t xml:space="preserve"> обавезе, на пример обавезе прописане Уредбом о граничним вредностима емисија загађујућих материја у ваздух из постројења за </w:t>
      </w:r>
      <w:r w:rsidRPr="00CC35F0">
        <w:rPr>
          <w:rFonts w:ascii="Times New Roman" w:eastAsia="Times New Roman" w:hAnsi="Times New Roman"/>
          <w:sz w:val="24"/>
          <w:szCs w:val="24"/>
          <w:lang w:val="sr-Cyrl-CS"/>
        </w:rPr>
        <w:lastRenderedPageBreak/>
        <w:t>сагоревање, којом су дефинисане строж</w:t>
      </w:r>
      <w:r w:rsidR="000A7701" w:rsidRPr="00CC35F0">
        <w:rPr>
          <w:rFonts w:ascii="Times New Roman" w:eastAsia="Times New Roman" w:hAnsi="Times New Roman"/>
          <w:sz w:val="24"/>
          <w:szCs w:val="24"/>
          <w:lang w:val="sr-Cyrl-CS"/>
        </w:rPr>
        <w:t>е</w:t>
      </w:r>
      <w:r w:rsidRPr="00CC35F0">
        <w:rPr>
          <w:rFonts w:ascii="Times New Roman" w:eastAsia="Times New Roman" w:hAnsi="Times New Roman"/>
          <w:sz w:val="24"/>
          <w:szCs w:val="24"/>
          <w:lang w:val="sr-Cyrl-CS"/>
        </w:rPr>
        <w:t xml:space="preserve"> граничне вредности емисије за средња и мала постројења него што је то урађено Директивом о средњим постројењима за сагоревање за неке енергенте или за одређену величину постројења. Сценарио WAM A предвиђа усклађеност са Директивом о средњим постројењима за сагоревање до 2025. године за постојећа постројења номиналне снаге веће од 5 MW, односно до 2030. за постројења номиналне снаге веће од 1MW. За мала кућна грејна тела на чврсто гориво, спровођење Директиве о еко-дизајну, Уредбе 2015/1189 и Уредбе 2015/1185 примењује се од 2025. године, уз претпоставку да ће се углавном природном заменом до 2030. године заменити 30% уређаја, односно 55% до 2035. године. Када је реч о течним горивима, сценарио WAM A претпоставља да ће сирова нафта са мање од 1% сумпора у саставу бити доступна од 2021. </w:t>
      </w:r>
      <w:r w:rsidR="00917F4E" w:rsidRPr="00CC35F0">
        <w:rPr>
          <w:rFonts w:ascii="Times New Roman" w:eastAsia="Times New Roman" w:hAnsi="Times New Roman"/>
          <w:sz w:val="24"/>
          <w:szCs w:val="24"/>
          <w:lang w:val="sr-Cyrl-CS"/>
        </w:rPr>
        <w:t>г</w:t>
      </w:r>
      <w:r w:rsidRPr="00CC35F0">
        <w:rPr>
          <w:rFonts w:ascii="Times New Roman" w:eastAsia="Times New Roman" w:hAnsi="Times New Roman"/>
          <w:sz w:val="24"/>
          <w:szCs w:val="24"/>
          <w:lang w:val="sr-Cyrl-CS"/>
        </w:rPr>
        <w:t>одине. Што се тиче индустријских процеса, могућа је примена само мање строгих горњих нивоа емисије у вези са најбољим доступним техникама (у даљем тексту: BAT AELs), и предвиђено је пуно поштовање одредби Поглавља 2 Директиве о индустријским емисијама до 2025. године, осим за постројења за која се траже продужени периоди за спровођење. Активности у којима се користе растварачи из Поглавља 5 и Анекса 7 Директиве о индустријским емисијама су у сценарију WAM A усклађени са Уредбом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w:t>
      </w:r>
      <w:r w:rsidR="0032085C" w:rsidRPr="00CC35F0">
        <w:rPr>
          <w:rFonts w:ascii="Times New Roman" w:eastAsia="Times New Roman" w:hAnsi="Times New Roman"/>
          <w:sz w:val="24"/>
          <w:szCs w:val="24"/>
          <w:lang w:val="sr-Cyrl-CS"/>
        </w:rPr>
        <w:t>ањење емисија</w:t>
      </w:r>
      <w:r w:rsidRPr="00CC35F0">
        <w:rPr>
          <w:rFonts w:ascii="Times New Roman" w:eastAsia="Times New Roman" w:hAnsi="Times New Roman"/>
          <w:sz w:val="24"/>
          <w:szCs w:val="24"/>
          <w:lang w:val="sr-Cyrl-CS"/>
        </w:rPr>
        <w:t xml:space="preserve">, при чему се пуна усаглашеност очекује до 2025. године. Усаглашеност бензинских терминала и станица са Директивом 1994/63/EЗ о контроли емисија VOC из складиштења и дистрибуције бензина од терминала до бензинских станица и Директивом 2009/126/EЗ о другој фази сакупљања бензинских испарења у поступку допуњавања моторних возила на бензинским станицама предвиђа се тек 2030. године. Сценарио WAM A у друмском саобраћају предвиђа увођење EURO стандарда на увезена половна возила. Према сценарију WAM A, обавеза поштовања најмање EURO 4 стандарда за увезена половна путничка возила ступа на снагу 2023. године, EURO 5 2025, и EURO 6 2030. године. Исти рокови су предвиђени за EURO IV, EURO V и EURO VI теретна возила. Очекује се да ће примена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ТМ почети да се примењује само на нову механизацију од 2025. године и даље. </w:t>
      </w:r>
    </w:p>
    <w:p w14:paraId="0A24204F" w14:textId="77777777" w:rsidR="00A0251B" w:rsidRPr="00CC35F0" w:rsidRDefault="008D6506" w:rsidP="00D22F0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из пољопривреде у Републици Србији могу се знатно смањити доследном применом добре праксе управљања азотом у свим фазама процеса, почев од узгоја до растурања стајњака, кроз исхрану стоке, смештајне објекте, складиштење и растурање стајњака. Идеално би било да се мере за смањење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примењују у свим фазама узгоја. Уколико не, азот задржан у једној фази (на пример, у фази складиштења у покривеном складишту) може се ослободити у наредним фазама као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(на пример, приликом растурања, ако се не примењује техника смањења). ПиМ које се примењују у оквиру сценарија WAM A у пољопривреди усмерене су на увођење добре праксе приликом растурања, односно убризгавања када је реч о течном стајњаку и инкорпорација у земљ</w:t>
      </w:r>
      <w:r w:rsidR="00576773" w:rsidRPr="00CC35F0">
        <w:rPr>
          <w:rFonts w:ascii="Times New Roman" w:eastAsia="Times New Roman" w:hAnsi="Times New Roman"/>
          <w:sz w:val="24"/>
          <w:szCs w:val="24"/>
          <w:lang w:val="sr-Cyrl-CS"/>
        </w:rPr>
        <w:t>иште у року од четири</w:t>
      </w:r>
      <w:r w:rsidRPr="00CC35F0">
        <w:rPr>
          <w:rFonts w:ascii="Times New Roman" w:eastAsia="Times New Roman" w:hAnsi="Times New Roman"/>
          <w:sz w:val="24"/>
          <w:szCs w:val="24"/>
          <w:lang w:val="sr-Cyrl-CS"/>
        </w:rPr>
        <w:t>, односно 12 сати (стајњак са фарми свиња и говеда), односно инкорпорације урее у земљиште уз остварење повећања стопе инкорпорације на 25% 2035. године.</w:t>
      </w:r>
    </w:p>
    <w:p w14:paraId="26F82C5A" w14:textId="77777777" w:rsidR="00A0251B" w:rsidRPr="00CC35F0" w:rsidRDefault="008D6506" w:rsidP="00D22F0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Спровођењем ПиМ из сценарија WAM A на начин описан у претходном тексту, емисије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ће опасти за 29,7% до 2030. у поређењу са 2015. годином (додатних 16,4% у поређењу са WEM), 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ће према очекивањима опасти за 29,4% у истом периоду (додатних 12,6% у поређењу Спровођењем ПиМ из сценарија WAM A на начин описан у </w:t>
      </w:r>
      <w:r w:rsidRPr="00CC35F0">
        <w:rPr>
          <w:rFonts w:ascii="Times New Roman" w:eastAsia="Times New Roman" w:hAnsi="Times New Roman"/>
          <w:sz w:val="24"/>
          <w:szCs w:val="24"/>
          <w:lang w:val="sr-Cyrl-CS"/>
        </w:rPr>
        <w:lastRenderedPageBreak/>
        <w:t>претходном тексту, емисије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ће опасти за 29,7% до 2030. у поређењу са 2015. годином (додатних 16,4% у поређењу са WEM), 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ће према очекивањима опасти за 29,4% у истом периоду (додатних 12,6% у поређењу са WEM). Та смањења емисија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у сценарију WAM A обезбедила би усаглашеност секторских мера са оквиром ЕУ у области заштите животне средине, али та смањења нису довољна да обезбеде усклађеност са захтевима који проистичу из Директиве о квалитету амбијенталног ваздуха 2008/50/EЗ. Дисперзионо моделирање је показало да Република Србија спровођењем сценарија WAM може и даље очекивати прекорачење дозвољеног броја дана у којима концентрације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прелазе 50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у свим већим агломерацијама и градовима као што су Београд, Нови Сад, Суботица, Смедерево, Панчево, Сремска Митровица, Крагујевац, Ниш, Ужице и Ваљево, у којима се прекорачења концентрација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могу очекивати чак 131 дан у години. Поред дневних прекорачења, очекује се да ће доћи до прекорачења прописаних средњих годишњих концентрација PM</w:t>
      </w:r>
      <w:r w:rsidRPr="00CC35F0">
        <w:rPr>
          <w:rFonts w:ascii="Times New Roman" w:eastAsia="Times New Roman" w:hAnsi="Times New Roman"/>
          <w:sz w:val="24"/>
          <w:szCs w:val="24"/>
          <w:vertAlign w:val="subscript"/>
          <w:lang w:val="sr-Cyrl-CS"/>
        </w:rPr>
        <w:t xml:space="preserve">10 </w:t>
      </w:r>
      <w:r w:rsidRPr="00CC35F0">
        <w:rPr>
          <w:rFonts w:ascii="Times New Roman" w:eastAsia="Times New Roman" w:hAnsi="Times New Roman"/>
          <w:sz w:val="24"/>
          <w:szCs w:val="24"/>
          <w:lang w:val="sr-Cyrl-CS"/>
        </w:rPr>
        <w:t>од 40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у Ужицу, Ваљеву, Нишу и Крагујевцу (на граници), као и годишњих граничних вредности концетрације PM</w:t>
      </w:r>
      <w:r w:rsidRPr="00CC35F0">
        <w:rPr>
          <w:rFonts w:ascii="Times New Roman" w:eastAsia="Times New Roman" w:hAnsi="Times New Roman"/>
          <w:sz w:val="24"/>
          <w:szCs w:val="24"/>
          <w:vertAlign w:val="subscript"/>
          <w:lang w:val="sr-Cyrl-CS"/>
        </w:rPr>
        <w:t xml:space="preserve">2.5 </w:t>
      </w:r>
      <w:r w:rsidRPr="00CC35F0">
        <w:rPr>
          <w:rFonts w:ascii="Times New Roman" w:eastAsia="Times New Roman" w:hAnsi="Times New Roman"/>
          <w:sz w:val="24"/>
          <w:szCs w:val="24"/>
          <w:lang w:val="sr-Cyrl-CS"/>
        </w:rPr>
        <w:t>(20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у Ужицу, Ваљеву, Нишу и Београду. Поред проблема у вези са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загађење емисијама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у оквиру сценарија WAM A у Бору и даље ће бити изнад граничних вредности за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у односу на средње дневне концентрације (дозвољено је максимум три прекорачења од прописаних 120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Када је реч о концентрацијама NO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симулације показују даље смањење концентрација у поређењу са сценариом WEM за 5%, што је доследно релативно малом смањењу емисија NOx. Као што је већ поменуто у претходном пасусу, сценарио WEM је довољан за избегавање прекорачења граничних вредности NO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w:t>
      </w:r>
    </w:p>
    <w:p w14:paraId="19CA2E46" w14:textId="77777777" w:rsidR="00A0251B" w:rsidRPr="00CC35F0" w:rsidRDefault="008D6506" w:rsidP="00576773">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Поред смањења других загађујућих материја, мере из сценарија WAM A такође доприносе смањењу емисија NOx и VOC као прекурсора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и смањењу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Емисије NOx ће се смањити за 54,6% до 2030. у односу на 2015. годину (додатних 4,6% у односу на WEM), док ће се емисије VOC у истом периоду смањити за 18,4% (додатних 6,7% у односу на WEM). Због примене мера „без кајања” у сектору пољопривреде из сценарија WAM A, очекује се и смањење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за 9,7% до 2030. у односу на 2015. годину (додатних 4,5% у односу на WEM).   </w:t>
      </w:r>
    </w:p>
    <w:p w14:paraId="7C5DE208" w14:textId="77777777" w:rsidR="00A0251B" w:rsidRPr="00CC35F0" w:rsidRDefault="008D6506" w:rsidP="00D22F02">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Сценарио WAM B </w:t>
      </w:r>
    </w:p>
    <w:p w14:paraId="38B54C5C" w14:textId="77777777" w:rsidR="00A0251B" w:rsidRPr="00CC35F0" w:rsidRDefault="008D6506" w:rsidP="00D22F0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 B представља пуну контролу, која се надовезује на сценарио WAM </w:t>
      </w:r>
      <w:r w:rsidR="00B51CFC">
        <w:rPr>
          <w:rFonts w:ascii="Times New Roman" w:eastAsia="Times New Roman" w:hAnsi="Times New Roman"/>
          <w:sz w:val="24"/>
          <w:szCs w:val="24"/>
          <w:lang w:val="sr-Cyrl-CS"/>
        </w:rPr>
        <w:t>A. Поред свега уведеног сценари</w:t>
      </w:r>
      <w:r w:rsidRPr="00CC35F0">
        <w:rPr>
          <w:rFonts w:ascii="Times New Roman" w:eastAsia="Times New Roman" w:hAnsi="Times New Roman"/>
          <w:sz w:val="24"/>
          <w:szCs w:val="24"/>
          <w:lang w:val="sr-Cyrl-CS"/>
        </w:rPr>
        <w:t>ом WAM A, овде се у неким случајевима уводе и строж</w:t>
      </w:r>
      <w:r w:rsidR="00C62E78" w:rsidRPr="00CC35F0">
        <w:rPr>
          <w:rFonts w:ascii="Times New Roman" w:eastAsia="Times New Roman" w:hAnsi="Times New Roman"/>
          <w:sz w:val="24"/>
          <w:szCs w:val="24"/>
          <w:lang w:val="sr-Cyrl-CS"/>
        </w:rPr>
        <w:t>е</w:t>
      </w:r>
      <w:r w:rsidRPr="00CC35F0">
        <w:rPr>
          <w:rFonts w:ascii="Times New Roman" w:eastAsia="Times New Roman" w:hAnsi="Times New Roman"/>
          <w:sz w:val="24"/>
          <w:szCs w:val="24"/>
          <w:lang w:val="sr-Cyrl-CS"/>
        </w:rPr>
        <w:t xml:space="preserve"> граничне вредности емисије и националне финансијске и фискалне ПиМ за главне категорије извора емисије (као што су промотивне шеме и дерегистрација/отпремање у рециклажне центре путничких возила и кућних грејних тел</w:t>
      </w:r>
      <w:r w:rsidR="00313B6B">
        <w:rPr>
          <w:rFonts w:ascii="Times New Roman" w:eastAsia="Times New Roman" w:hAnsi="Times New Roman"/>
          <w:sz w:val="24"/>
          <w:szCs w:val="24"/>
          <w:lang w:val="sr-Cyrl-CS"/>
        </w:rPr>
        <w:t>а на дрва и угаљ). Овим сценари</w:t>
      </w:r>
      <w:r w:rsidRPr="00CC35F0">
        <w:rPr>
          <w:rFonts w:ascii="Times New Roman" w:eastAsia="Times New Roman" w:hAnsi="Times New Roman"/>
          <w:sz w:val="24"/>
          <w:szCs w:val="24"/>
          <w:lang w:val="sr-Cyrl-CS"/>
        </w:rPr>
        <w:t>ом интензивира се избацивање старих технологија из употребе и увођење нових, чистијих технологија, јер природна замена</w:t>
      </w:r>
      <w:r w:rsidR="003D68A9">
        <w:rPr>
          <w:rFonts w:ascii="Times New Roman" w:eastAsia="Times New Roman" w:hAnsi="Times New Roman"/>
          <w:sz w:val="24"/>
          <w:szCs w:val="24"/>
          <w:lang w:val="sr-Cyrl-CS"/>
        </w:rPr>
        <w:t xml:space="preserve"> технологије предвиђена сценари</w:t>
      </w:r>
      <w:r w:rsidRPr="00CC35F0">
        <w:rPr>
          <w:rFonts w:ascii="Times New Roman" w:eastAsia="Times New Roman" w:hAnsi="Times New Roman"/>
          <w:sz w:val="24"/>
          <w:szCs w:val="24"/>
          <w:lang w:val="sr-Cyrl-CS"/>
        </w:rPr>
        <w:t>ом WAM A није довољна да до 2030. године обезбеди чист ваздух за све у Републици Србији. Главни фокус сценарија WAM B су</w:t>
      </w:r>
      <w:r w:rsidR="00C62E78"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дакле</w:t>
      </w:r>
      <w:r w:rsidR="00C62E78"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емисије средњег нивоа BAT AELs за велика постројења за сагоревање и индустријске процесе, и убрзање замене малих кућних грејних тела на чврста горива кроз финансијске подстицаје у циљу остварења замене 55% таквих уређаја до краја 2030. и 80% до 2035. године. Како друмски саобраћај знатно доприноси емисијама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предвиђа се забрана увоза свих половних возила без филтера за PM (нпр. EURO 4 и старијих) почев од 2023. године и одржавање ове амбиције у односу на забрану половних EURO 5 од 2025. године и даље, што ће опет омогућити увоз половних возила </w:t>
      </w:r>
      <w:r w:rsidR="00A06C99" w:rsidRPr="00CC35F0">
        <w:rPr>
          <w:rFonts w:ascii="Times New Roman" w:eastAsia="Times New Roman" w:hAnsi="Times New Roman"/>
          <w:sz w:val="24"/>
          <w:szCs w:val="24"/>
          <w:lang w:val="sr-Cyrl-CS"/>
        </w:rPr>
        <w:t>старих до десет</w:t>
      </w:r>
      <w:r w:rsidRPr="00CC35F0">
        <w:rPr>
          <w:rFonts w:ascii="Times New Roman" w:eastAsia="Times New Roman" w:hAnsi="Times New Roman"/>
          <w:sz w:val="24"/>
          <w:szCs w:val="24"/>
          <w:lang w:val="sr-Cyrl-CS"/>
        </w:rPr>
        <w:t xml:space="preserve"> година у Републику Србију, што у сценарију WAM B представља баланс између повећања захтева становништва за мобилношћу и заштите животне средине. Исти концепт се примењује и на теретна возила и</w:t>
      </w:r>
      <w:r w:rsidR="0026270C">
        <w:rPr>
          <w:rFonts w:ascii="Times New Roman" w:eastAsia="Times New Roman" w:hAnsi="Times New Roman"/>
          <w:sz w:val="24"/>
          <w:szCs w:val="24"/>
          <w:lang w:val="sr-Cyrl-CS"/>
        </w:rPr>
        <w:t xml:space="preserve"> аутобусе. Паралелно са сценари</w:t>
      </w:r>
      <w:r w:rsidRPr="00CC35F0">
        <w:rPr>
          <w:rFonts w:ascii="Times New Roman" w:eastAsia="Times New Roman" w:hAnsi="Times New Roman"/>
          <w:sz w:val="24"/>
          <w:szCs w:val="24"/>
          <w:lang w:val="sr-Cyrl-CS"/>
        </w:rPr>
        <w:t xml:space="preserve">ом WAM B, у периоду </w:t>
      </w:r>
      <w:r w:rsidRPr="00CC35F0">
        <w:rPr>
          <w:rFonts w:ascii="Times New Roman" w:eastAsia="Times New Roman" w:hAnsi="Times New Roman"/>
          <w:sz w:val="24"/>
          <w:szCs w:val="24"/>
          <w:lang w:val="sr-Cyrl-CS"/>
        </w:rPr>
        <w:lastRenderedPageBreak/>
        <w:t>од 2024. до 2026. године предвиђа се програм дерегистрације/отпремања у рециклажне центре до 140.000 најстаријих дизел путничких и теретних возила</w:t>
      </w:r>
      <w:r w:rsidR="007D0C0C"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 xml:space="preserve">(изузев N3) од пре стандарда Еuro до Euro 3 и дизел аутобуса (од пре стандарда Еuro до Euro III), који су можда још увек у промету. Сценарио WAM B у пољопривредном сектору предвиђа од 2024. године интензивније увођење технологије убризгавања течног стајњака у земљиште, што је важна мера заштите изворишта подземних вода, које у многим деловима Републике Србије представљају главни извор воде за пиће, затим делимичну замену ђубрива на бази урее ђубривом на бази амонијум-нитрата, покривање складишта течног стајњака и смањење сувишног протеинског уноса (сточна храна) ради смањивања излучивања азота. Поред тога, предвиђена је забрана спаљивања остатака из пољопривреде на отвореном до 2035. године. </w:t>
      </w:r>
    </w:p>
    <w:p w14:paraId="1E3F3E37" w14:textId="77777777" w:rsidR="00A0251B" w:rsidRPr="00CC35F0" w:rsidRDefault="008D6506" w:rsidP="00D22F0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Спровођење мера из сценарија WAM B даље ће довести до значајног смањења емисија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за 45.8% до 2030. у поређењу са 2015. годином (додатних 16.4% у поређењу са WAM A), док ће емисије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у истом периоду опасти за 51.5%, што је додат</w:t>
      </w:r>
      <w:r w:rsidR="00D06C66">
        <w:rPr>
          <w:rFonts w:ascii="Times New Roman" w:eastAsia="Times New Roman" w:hAnsi="Times New Roman"/>
          <w:sz w:val="24"/>
          <w:szCs w:val="24"/>
          <w:lang w:val="sr-Cyrl-CS"/>
        </w:rPr>
        <w:t>них 21.8% у поређењу са сценари</w:t>
      </w:r>
      <w:r w:rsidRPr="00CC35F0">
        <w:rPr>
          <w:rFonts w:ascii="Times New Roman" w:eastAsia="Times New Roman" w:hAnsi="Times New Roman"/>
          <w:sz w:val="24"/>
          <w:szCs w:val="24"/>
          <w:lang w:val="sr-Cyrl-CS"/>
        </w:rPr>
        <w:t>ом WAM A. Спровођење мера умногоме ће допринети квалитету амбијенталног ваздуха у Републици Србији и омогућиће да градске зоне и агломерације, као што су Војводина, Суботица, Смедерево, Сремска Митровица, Нови Сад и Панчево остваре усаглашеност са захтевима о квалитету амбијенталног ваздуха. Међутим, неколико црних тачака, као што су Београд и Крагујевац, и даље ће се суочавати са лошим квалитетом ваздуха у смислу постизања граничних вредности за концентрације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док ће Ниш, Ваљево и Ужице додатно имати проблема, јер ће осим прекорачења граничних вредности концентрација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бележити прекорачења граничних вредности за средње годишње концентрације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које су прописане на 25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Постизање средњих BAT AELs знатно ће поправити квалитет ваздуха у Бору, али се очекује да ће граничне вредности дневних средњих концентрација и даље бележити више од троструког прекорачења.</w:t>
      </w:r>
    </w:p>
    <w:p w14:paraId="7B4280D2" w14:textId="77777777" w:rsidR="00A0251B" w:rsidRPr="00CC35F0" w:rsidRDefault="008D6506" w:rsidP="003B758B">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Емисије NOx 2030. у односу на 2015. годину ће се и даље смањити у сценарију WAM B у поређењу за сценариом WAM A за додатних 5,3%, док ће се емисије VOC смањити за додатних 7,4% у поређењу са WAM A. Додатним мерама предвиђеним сценариом WAM B за сектор пољопривреде ће се остварити готово дупла смањења 2030. у поређењу са 2015. годином у односу на сценарио WAM A (18,9% из сценарија WAM B у поређењу са 9,7% из WAM A).    </w:t>
      </w:r>
    </w:p>
    <w:p w14:paraId="4154E503" w14:textId="77777777" w:rsidR="00A0251B" w:rsidRPr="00CC35F0" w:rsidRDefault="008D6506" w:rsidP="00D22F02">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Сценарио WAM C </w:t>
      </w:r>
    </w:p>
    <w:p w14:paraId="70E26D24" w14:textId="77777777" w:rsidR="00A0251B" w:rsidRPr="00CC35F0" w:rsidRDefault="008D6506" w:rsidP="00D22F0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Сценарио WAM C је сценарио пуне контроле. Он се надовезује на сценарио WAM B и додаје све неопходне ПиМ с циљем решавања преосталих локација проблематичних са аспекта квалитета ваздуха, затим интензивира спровођење кључних тачака за спровођење мера на локалном нивоу, којима се обезбеђује пуна усклађеност са Директивом 2008/50/EЗ у погледу суспендованих честица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NOx,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O</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Сценарио WAM C процењује да је за даље смањење емисија PM у пет градова потребно увести коришћење пећи и котлова на пелет и топлотних пумпи. Сценарио WAM C на основу вишеструке примене модела преноса хемикалија </w:t>
      </w:r>
      <w:r w:rsidRPr="00CC35F0">
        <w:rPr>
          <w:rFonts w:ascii="Times New Roman" w:eastAsia="Times New Roman" w:hAnsi="Times New Roman"/>
          <w:i/>
          <w:sz w:val="24"/>
          <w:szCs w:val="24"/>
          <w:lang w:val="sr-Cyrl-CS"/>
        </w:rPr>
        <w:t>CHIMERE</w:t>
      </w:r>
      <w:r w:rsidRPr="00CC35F0">
        <w:rPr>
          <w:rFonts w:ascii="Times New Roman" w:eastAsia="Times New Roman" w:hAnsi="Times New Roman"/>
          <w:sz w:val="24"/>
          <w:szCs w:val="24"/>
          <w:lang w:val="sr-Cyrl-CS"/>
        </w:rPr>
        <w:t xml:space="preserve"> предвиђа до 2030. године замену старих кућних грејних тела на чврста горива новим који су у складу са прописима о еко-дизајну по следећој динамици:</w:t>
      </w:r>
    </w:p>
    <w:p w14:paraId="3982021A" w14:textId="77777777" w:rsidR="00A0251B" w:rsidRPr="00CC35F0" w:rsidRDefault="008D6506" w:rsidP="00382EC6">
      <w:pPr>
        <w:numPr>
          <w:ilvl w:val="0"/>
          <w:numId w:val="28"/>
        </w:numPr>
        <w:pBdr>
          <w:top w:val="nil"/>
          <w:left w:val="nil"/>
          <w:bottom w:val="nil"/>
          <w:right w:val="nil"/>
          <w:between w:val="nil"/>
        </w:pBdr>
        <w:tabs>
          <w:tab w:val="left" w:pos="851"/>
        </w:tabs>
        <w:spacing w:after="0" w:line="276"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Крагујевац (захтев за додатним смањењем емисија PM од 15% у поређењу са WAM B 2030. године): 2030. године замењено 58% кућних грејних тела еко-дизајнираним грејним телима уз велики уде</w:t>
      </w:r>
      <w:r w:rsidR="003F7A0D" w:rsidRPr="00CC35F0">
        <w:rPr>
          <w:rFonts w:ascii="Times New Roman" w:eastAsia="Times New Roman" w:hAnsi="Times New Roman"/>
          <w:color w:val="000000"/>
          <w:sz w:val="24"/>
          <w:szCs w:val="24"/>
          <w:lang w:val="sr-Cyrl-CS"/>
        </w:rPr>
        <w:t>о уређаја на дрвни пелет од 25%;</w:t>
      </w:r>
    </w:p>
    <w:p w14:paraId="4B977B62" w14:textId="77777777" w:rsidR="00A0251B" w:rsidRPr="00CC35F0" w:rsidRDefault="008D6506" w:rsidP="00382EC6">
      <w:pPr>
        <w:numPr>
          <w:ilvl w:val="0"/>
          <w:numId w:val="28"/>
        </w:numPr>
        <w:pBdr>
          <w:top w:val="nil"/>
          <w:left w:val="nil"/>
          <w:bottom w:val="nil"/>
          <w:right w:val="nil"/>
          <w:between w:val="nil"/>
        </w:pBdr>
        <w:spacing w:after="0" w:line="276"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Београд (захтев за додатних 20% смањења емисија PM у поређењу са WAM B 2030. године): 2030. године замењено 58% кућних грејних тела искључиво еко-дизајнираним</w:t>
      </w:r>
      <w:r w:rsidR="00ED409D" w:rsidRPr="00CC35F0">
        <w:rPr>
          <w:rFonts w:ascii="Times New Roman" w:eastAsia="Times New Roman" w:hAnsi="Times New Roman"/>
          <w:color w:val="000000"/>
          <w:sz w:val="24"/>
          <w:szCs w:val="24"/>
          <w:lang w:val="sr-Cyrl-CS"/>
        </w:rPr>
        <w:t xml:space="preserve"> пећима или котловима на пелет;</w:t>
      </w:r>
    </w:p>
    <w:p w14:paraId="0D653393" w14:textId="77777777" w:rsidR="00A0251B" w:rsidRPr="00CC35F0" w:rsidRDefault="008D6506" w:rsidP="00382EC6">
      <w:pPr>
        <w:numPr>
          <w:ilvl w:val="0"/>
          <w:numId w:val="28"/>
        </w:numPr>
        <w:pBdr>
          <w:top w:val="nil"/>
          <w:left w:val="nil"/>
          <w:bottom w:val="nil"/>
          <w:right w:val="nil"/>
          <w:between w:val="nil"/>
        </w:pBdr>
        <w:tabs>
          <w:tab w:val="left" w:pos="709"/>
        </w:tabs>
        <w:spacing w:after="0" w:line="276"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Ваљево и Ниш (захтев за додатних 50% смањења емисија PM у поређењу са WAM B 2030. године): 2030. године замењено 74% кућних грејних тела са 50% еко-дизајнираних пећи или котлова</w:t>
      </w:r>
      <w:r w:rsidR="00ED409D" w:rsidRPr="00CC35F0">
        <w:rPr>
          <w:rFonts w:ascii="Times New Roman" w:eastAsia="Times New Roman" w:hAnsi="Times New Roman"/>
          <w:color w:val="000000"/>
          <w:sz w:val="24"/>
          <w:szCs w:val="24"/>
          <w:lang w:val="sr-Cyrl-CS"/>
        </w:rPr>
        <w:t xml:space="preserve"> на пелет и 50% топлотних пумпи;</w:t>
      </w:r>
    </w:p>
    <w:p w14:paraId="7E784120" w14:textId="77777777" w:rsidR="00A0251B" w:rsidRPr="00CC35F0" w:rsidRDefault="008D6506" w:rsidP="00382EC6">
      <w:pPr>
        <w:numPr>
          <w:ilvl w:val="0"/>
          <w:numId w:val="28"/>
        </w:numPr>
        <w:pBdr>
          <w:top w:val="nil"/>
          <w:left w:val="nil"/>
          <w:bottom w:val="nil"/>
          <w:right w:val="nil"/>
          <w:between w:val="nil"/>
        </w:pBdr>
        <w:tabs>
          <w:tab w:val="left" w:pos="709"/>
        </w:tabs>
        <w:spacing w:line="276"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Ужице (захтев за додатних 65% смањења емисија PM у поређењу са WAM B 2030. године): 2030. године замењено 80% кућних грејних тела са 15% еко-дизајнираних пећи или котлова на пелет и 85% топлотних пумпи.</w:t>
      </w:r>
    </w:p>
    <w:p w14:paraId="666767B4" w14:textId="77777777" w:rsidR="00A0251B" w:rsidRPr="00CC35F0" w:rsidRDefault="008D6506" w:rsidP="00D22F0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Поред тога, очекује се потпуно укидање спаљивања остатака из пољопривреде на отвореном 2030. уместо 2035. године, како је било пројектовано у сценарију WAM B. И даље присутан проблем концентрација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у Бору се решава у оквиру сценарија WAM C спровођењем нижих BAT AELs.</w:t>
      </w:r>
    </w:p>
    <w:p w14:paraId="280240A1" w14:textId="77777777" w:rsidR="00A0251B" w:rsidRPr="00CC35F0" w:rsidRDefault="008D6506" w:rsidP="00D22F0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Спровођење мера из сценарија WAM C даље ће довести до смањења емисија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на националном нивоу. Како сценарио WAM C циља специфичне проблематичне локације на локалном нивоу, додатна смањења емисија на националном нивоу су ограничена. Очекује се да ће емисије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опасти за 50,9% до 2030. у поређењу са 2015. годином, што представља додатних 5,1% у односу на WAM B, док ће емисије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према пројекцијама опасти за 58,3% у истом периоду, што је 6,8% више у односу на WAM B.</w:t>
      </w:r>
    </w:p>
    <w:p w14:paraId="79762AF7" w14:textId="77777777" w:rsidR="00A0251B" w:rsidRPr="00CC35F0" w:rsidRDefault="008D6506" w:rsidP="00D22F0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Мерама из сценарија WAM C ће се на националном нивоу смањити 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за додатних свега 0,1% до 2030. у односу на 2015. годину у поређењу са сценариом WAM B, али ће ово смањење остварити знатан локални утицај на емисије и концентрације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у амбијенталном ваздуху у Бору, чиме се обезбеђује да граничне вредности неће бити прекорачене. Поред тога, емисије NOx и VOC ће се у истом периоду додатно смањити у поређењу са сценариом WAM B за 0,7% и 2,5% респективно. Додатна смањења применом сценарија WAM C такође се очекују за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због примене додатних мера у сектору пољопривреде, захваљујући којима се очекује даље смањење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од 1,6% у поређењу са сценариом WAM B. </w:t>
      </w:r>
    </w:p>
    <w:p w14:paraId="455B34B3" w14:textId="77777777" w:rsidR="00A0251B" w:rsidRPr="00CC35F0" w:rsidRDefault="008D6506" w:rsidP="00D22F0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Спровођењем сценарија WAM C, очекује се да ће квалитет ваздуха у Републици Србији бити у складу са правним оквиром Европске уније. </w:t>
      </w:r>
    </w:p>
    <w:p w14:paraId="57019151" w14:textId="77777777" w:rsidR="00A0251B" w:rsidRPr="00CC35F0" w:rsidRDefault="008D6506" w:rsidP="00D22F0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Резултати модела </w:t>
      </w:r>
      <w:r w:rsidRPr="00CC35F0">
        <w:rPr>
          <w:rFonts w:ascii="Times New Roman" w:eastAsia="Times New Roman" w:hAnsi="Times New Roman"/>
          <w:i/>
          <w:sz w:val="24"/>
          <w:szCs w:val="24"/>
          <w:lang w:val="sr-Cyrl-CS"/>
        </w:rPr>
        <w:t>CHIMERE</w:t>
      </w:r>
      <w:r w:rsidRPr="00CC35F0">
        <w:rPr>
          <w:rFonts w:ascii="Times New Roman" w:eastAsia="Times New Roman" w:hAnsi="Times New Roman"/>
          <w:sz w:val="24"/>
          <w:szCs w:val="24"/>
          <w:lang w:val="sr-Cyrl-CS"/>
        </w:rPr>
        <w:t xml:space="preserve"> са ефектима сценарија ублажавања WAM A, WAM B и WAM C за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2.5</w:t>
      </w:r>
      <w:r w:rsidR="003958AB" w:rsidRPr="00CC35F0">
        <w:rPr>
          <w:rFonts w:ascii="Times New Roman" w:eastAsia="Times New Roman" w:hAnsi="Times New Roman"/>
          <w:sz w:val="24"/>
          <w:szCs w:val="24"/>
          <w:lang w:val="sr-Cyrl-CS"/>
        </w:rPr>
        <w:t xml:space="preserve"> приказани су на </w:t>
      </w:r>
      <w:r w:rsidR="00C62E78" w:rsidRPr="00CC35F0">
        <w:rPr>
          <w:rFonts w:ascii="Times New Roman" w:eastAsia="Times New Roman" w:hAnsi="Times New Roman"/>
          <w:sz w:val="24"/>
          <w:szCs w:val="24"/>
          <w:lang w:val="sr-Cyrl-CS"/>
        </w:rPr>
        <w:t xml:space="preserve">следећим </w:t>
      </w:r>
      <w:r w:rsidR="003958AB" w:rsidRPr="00CC35F0">
        <w:rPr>
          <w:rFonts w:ascii="Times New Roman" w:eastAsia="Times New Roman" w:hAnsi="Times New Roman"/>
          <w:sz w:val="24"/>
          <w:szCs w:val="24"/>
          <w:lang w:val="sr-Cyrl-CS"/>
        </w:rPr>
        <w:t>с</w:t>
      </w:r>
      <w:r w:rsidRPr="00CC35F0">
        <w:rPr>
          <w:rFonts w:ascii="Times New Roman" w:eastAsia="Times New Roman" w:hAnsi="Times New Roman"/>
          <w:sz w:val="24"/>
          <w:szCs w:val="24"/>
          <w:lang w:val="sr-Cyrl-CS"/>
        </w:rPr>
        <w:t>ликама</w:t>
      </w:r>
      <w:r w:rsidR="00C62E78"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w:t>
      </w:r>
    </w:p>
    <w:tbl>
      <w:tblPr>
        <w:tblStyle w:val="a5"/>
        <w:tblW w:w="10980"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10980"/>
      </w:tblGrid>
      <w:tr w:rsidR="00A0251B" w:rsidRPr="00CC35F0" w14:paraId="4F4BAC86" w14:textId="77777777" w:rsidTr="00C36406">
        <w:trPr>
          <w:trHeight w:val="3734"/>
        </w:trPr>
        <w:tc>
          <w:tcPr>
            <w:tcW w:w="10980" w:type="dxa"/>
          </w:tcPr>
          <w:p w14:paraId="7230A58B" w14:textId="77777777" w:rsidR="00A0251B" w:rsidRPr="00CC35F0" w:rsidRDefault="008D6506">
            <w:pPr>
              <w:ind w:left="-11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noProof/>
                <w:sz w:val="24"/>
                <w:szCs w:val="24"/>
                <w:lang w:val="sr-Cyrl-RS" w:eastAsia="sr-Cyrl-RS"/>
              </w:rPr>
              <w:drawing>
                <wp:inline distT="0" distB="0" distL="0" distR="0" wp14:anchorId="6B5A368F" wp14:editId="7EEC0EFF">
                  <wp:extent cx="6845300" cy="2270760"/>
                  <wp:effectExtent l="0" t="0" r="0" b="0"/>
                  <wp:docPr id="579" name="image34.png"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4.png" descr="Map&#10;&#10;Description automatically generated"/>
                          <pic:cNvPicPr preferRelativeResize="0"/>
                        </pic:nvPicPr>
                        <pic:blipFill>
                          <a:blip r:embed="rId32"/>
                          <a:srcRect/>
                          <a:stretch>
                            <a:fillRect/>
                          </a:stretch>
                        </pic:blipFill>
                        <pic:spPr>
                          <a:xfrm>
                            <a:off x="0" y="0"/>
                            <a:ext cx="6845300" cy="2270760"/>
                          </a:xfrm>
                          <a:prstGeom prst="rect">
                            <a:avLst/>
                          </a:prstGeom>
                          <a:ln/>
                        </pic:spPr>
                      </pic:pic>
                    </a:graphicData>
                  </a:graphic>
                </wp:inline>
              </w:drawing>
            </w:r>
          </w:p>
        </w:tc>
      </w:tr>
    </w:tbl>
    <w:p w14:paraId="2526613B" w14:textId="77777777" w:rsidR="00A0251B" w:rsidRPr="00CC35F0" w:rsidRDefault="00A0251B">
      <w:pPr>
        <w:rPr>
          <w:rFonts w:ascii="Times New Roman" w:eastAsia="Times New Roman" w:hAnsi="Times New Roman"/>
          <w:b/>
          <w:sz w:val="24"/>
          <w:szCs w:val="24"/>
          <w:lang w:val="sr-Cyrl-CS"/>
        </w:rPr>
      </w:pPr>
    </w:p>
    <w:p w14:paraId="4C6CD206" w14:textId="77777777" w:rsidR="00AE62A9" w:rsidRPr="00CC35F0" w:rsidRDefault="008D6506" w:rsidP="00AE62A9">
      <w:pPr>
        <w:ind w:firstLine="360"/>
        <w:rPr>
          <w:rFonts w:ascii="Times New Roman" w:eastAsia="Times New Roman" w:hAnsi="Times New Roman"/>
          <w:sz w:val="24"/>
          <w:szCs w:val="24"/>
          <w:lang w:val="sr-Cyrl-CS"/>
        </w:rPr>
      </w:pPr>
      <w:r w:rsidRPr="00CC35F0">
        <w:rPr>
          <w:rFonts w:ascii="Times New Roman" w:eastAsia="Times New Roman" w:hAnsi="Times New Roman"/>
          <w:b/>
          <w:sz w:val="24"/>
          <w:szCs w:val="24"/>
          <w:lang w:val="sr-Cyrl-CS"/>
        </w:rPr>
        <w:t>Слика 17</w:t>
      </w:r>
      <w:r w:rsidR="003958AB" w:rsidRPr="00CC35F0">
        <w:rPr>
          <w:rFonts w:ascii="Times New Roman" w:eastAsia="Times New Roman" w:hAnsi="Times New Roman"/>
          <w:b/>
          <w:sz w:val="24"/>
          <w:szCs w:val="24"/>
          <w:lang w:val="sr-Cyrl-CS"/>
        </w:rPr>
        <w:t>.</w:t>
      </w:r>
      <w:r w:rsidRPr="00CC35F0">
        <w:rPr>
          <w:rFonts w:ascii="Times New Roman" w:eastAsia="Times New Roman" w:hAnsi="Times New Roman"/>
          <w:sz w:val="24"/>
          <w:szCs w:val="24"/>
          <w:lang w:val="sr-Cyrl-CS"/>
        </w:rPr>
        <w:t xml:space="preserve"> и Слика</w:t>
      </w:r>
      <w:r w:rsidRPr="00CC35F0">
        <w:rPr>
          <w:rFonts w:ascii="Times New Roman" w:eastAsia="Times New Roman" w:hAnsi="Times New Roman"/>
          <w:b/>
          <w:sz w:val="24"/>
          <w:szCs w:val="24"/>
          <w:lang w:val="sr-Cyrl-CS"/>
        </w:rPr>
        <w:t xml:space="preserve"> 18</w:t>
      </w:r>
      <w:r w:rsidR="003958AB" w:rsidRPr="00CC35F0">
        <w:rPr>
          <w:rFonts w:ascii="Times New Roman" w:eastAsia="Times New Roman" w:hAnsi="Times New Roman"/>
          <w:b/>
          <w:sz w:val="24"/>
          <w:szCs w:val="24"/>
          <w:lang w:val="sr-Cyrl-CS"/>
        </w:rPr>
        <w:t>.</w:t>
      </w:r>
      <w:r w:rsidRPr="00CC35F0">
        <w:rPr>
          <w:rFonts w:ascii="Times New Roman" w:eastAsia="Times New Roman" w:hAnsi="Times New Roman"/>
          <w:sz w:val="24"/>
          <w:szCs w:val="24"/>
          <w:vertAlign w:val="superscript"/>
          <w:lang w:val="sr-Cyrl-CS"/>
        </w:rPr>
        <w:footnoteReference w:id="27"/>
      </w:r>
      <w:r w:rsidRPr="00CC35F0">
        <w:rPr>
          <w:rFonts w:ascii="Times New Roman" w:eastAsia="Times New Roman" w:hAnsi="Times New Roman"/>
          <w:sz w:val="24"/>
          <w:szCs w:val="24"/>
          <w:lang w:val="sr-Cyrl-CS"/>
        </w:rPr>
        <w:t>.</w:t>
      </w:r>
      <w:r w:rsidR="00AE62A9" w:rsidRPr="00CC35F0">
        <w:rPr>
          <w:rFonts w:ascii="Times New Roman" w:eastAsia="Times New Roman" w:hAnsi="Times New Roman"/>
          <w:sz w:val="24"/>
          <w:szCs w:val="24"/>
          <w:highlight w:val="yellow"/>
          <w:lang w:val="sr-Cyrl-CS"/>
        </w:rPr>
        <w:t xml:space="preserve"> </w:t>
      </w:r>
    </w:p>
    <w:p w14:paraId="05C215DC" w14:textId="77777777" w:rsidR="00A0251B" w:rsidRPr="00CC35F0" w:rsidRDefault="00A0251B">
      <w:pPr>
        <w:rPr>
          <w:rFonts w:ascii="Times New Roman" w:eastAsia="Times New Roman" w:hAnsi="Times New Roman"/>
          <w:sz w:val="24"/>
          <w:szCs w:val="24"/>
          <w:lang w:val="sr-Cyrl-CS"/>
        </w:rPr>
      </w:pPr>
    </w:p>
    <w:tbl>
      <w:tblPr>
        <w:tblStyle w:val="a6"/>
        <w:tblW w:w="10980"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10980"/>
      </w:tblGrid>
      <w:tr w:rsidR="00A0251B" w:rsidRPr="00CC35F0" w14:paraId="3EC47686" w14:textId="77777777" w:rsidTr="00C36406">
        <w:trPr>
          <w:trHeight w:val="3734"/>
        </w:trPr>
        <w:tc>
          <w:tcPr>
            <w:tcW w:w="10980" w:type="dxa"/>
          </w:tcPr>
          <w:p w14:paraId="01CD5F0F" w14:textId="77777777" w:rsidR="00A0251B" w:rsidRPr="00CC35F0" w:rsidRDefault="008D6506">
            <w:pPr>
              <w:ind w:left="-110"/>
              <w:rPr>
                <w:rFonts w:ascii="Times New Roman" w:eastAsia="Times New Roman" w:hAnsi="Times New Roman"/>
                <w:sz w:val="24"/>
                <w:szCs w:val="24"/>
                <w:lang w:val="sr-Cyrl-CS"/>
              </w:rPr>
            </w:pPr>
            <w:bookmarkStart w:id="43" w:name="_heading=h.3tbugp1" w:colFirst="0" w:colLast="0"/>
            <w:bookmarkEnd w:id="43"/>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noProof/>
                <w:sz w:val="24"/>
                <w:szCs w:val="24"/>
                <w:lang w:val="sr-Cyrl-RS" w:eastAsia="sr-Cyrl-RS"/>
              </w:rPr>
              <w:drawing>
                <wp:inline distT="0" distB="0" distL="0" distR="0" wp14:anchorId="41084100" wp14:editId="74B27A48">
                  <wp:extent cx="6845300" cy="2270760"/>
                  <wp:effectExtent l="0" t="0" r="0" b="0"/>
                  <wp:docPr id="580" name="image34.png"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4.png" descr="Map&#10;&#10;Description automatically generated"/>
                          <pic:cNvPicPr preferRelativeResize="0"/>
                        </pic:nvPicPr>
                        <pic:blipFill>
                          <a:blip r:embed="rId32"/>
                          <a:srcRect/>
                          <a:stretch>
                            <a:fillRect/>
                          </a:stretch>
                        </pic:blipFill>
                        <pic:spPr>
                          <a:xfrm>
                            <a:off x="0" y="0"/>
                            <a:ext cx="6845300" cy="2270760"/>
                          </a:xfrm>
                          <a:prstGeom prst="rect">
                            <a:avLst/>
                          </a:prstGeom>
                          <a:ln/>
                        </pic:spPr>
                      </pic:pic>
                    </a:graphicData>
                  </a:graphic>
                </wp:inline>
              </w:drawing>
            </w:r>
          </w:p>
        </w:tc>
      </w:tr>
    </w:tbl>
    <w:p w14:paraId="1203D5BE" w14:textId="77777777" w:rsidR="00A0251B" w:rsidRPr="00CC35F0" w:rsidRDefault="00A0251B">
      <w:pPr>
        <w:rPr>
          <w:rFonts w:ascii="Times New Roman" w:eastAsia="Times New Roman" w:hAnsi="Times New Roman"/>
          <w:b/>
          <w:sz w:val="24"/>
          <w:szCs w:val="24"/>
          <w:lang w:val="sr-Cyrl-CS"/>
        </w:rPr>
      </w:pPr>
    </w:p>
    <w:p w14:paraId="382B8316" w14:textId="77777777" w:rsidR="00A0251B" w:rsidRPr="00CC35F0" w:rsidRDefault="008D6506">
      <w:pPr>
        <w:rPr>
          <w:rFonts w:ascii="Times New Roman" w:eastAsia="Times New Roman" w:hAnsi="Times New Roman"/>
          <w:b/>
          <w:sz w:val="24"/>
          <w:szCs w:val="24"/>
          <w:lang w:val="sr-Cyrl-CS"/>
        </w:rPr>
      </w:pPr>
      <w:bookmarkStart w:id="44" w:name="_heading=h.28h4qwu" w:colFirst="0" w:colLast="0"/>
      <w:bookmarkEnd w:id="44"/>
      <w:r w:rsidRPr="00CC35F0">
        <w:rPr>
          <w:rFonts w:ascii="Times New Roman" w:eastAsia="Times New Roman" w:hAnsi="Times New Roman"/>
          <w:b/>
          <w:sz w:val="24"/>
          <w:szCs w:val="24"/>
          <w:lang w:val="sr-Cyrl-CS"/>
        </w:rPr>
        <w:t xml:space="preserve">Слика 17: Резултати истраживање по моделу преноса хемикалија </w:t>
      </w:r>
      <w:r w:rsidRPr="00CC35F0">
        <w:rPr>
          <w:rFonts w:ascii="Times New Roman" w:eastAsia="Times New Roman" w:hAnsi="Times New Roman"/>
          <w:b/>
          <w:i/>
          <w:sz w:val="24"/>
          <w:szCs w:val="24"/>
          <w:lang w:val="sr-Cyrl-CS"/>
        </w:rPr>
        <w:t>CHIMERE</w:t>
      </w:r>
      <w:r w:rsidRPr="00CC35F0">
        <w:rPr>
          <w:rFonts w:ascii="Times New Roman" w:eastAsia="Times New Roman" w:hAnsi="Times New Roman"/>
          <w:b/>
          <w:sz w:val="24"/>
          <w:szCs w:val="24"/>
          <w:lang w:val="sr-Cyrl-CS"/>
        </w:rPr>
        <w:t xml:space="preserve"> за PM10 у сценаријима WAM A, WAM B и WAM C </w:t>
      </w:r>
    </w:p>
    <w:tbl>
      <w:tblPr>
        <w:tblStyle w:val="a7"/>
        <w:tblW w:w="10796" w:type="dxa"/>
        <w:tblInd w:w="-540" w:type="dxa"/>
        <w:tblBorders>
          <w:top w:val="nil"/>
          <w:left w:val="nil"/>
          <w:bottom w:val="nil"/>
          <w:right w:val="nil"/>
          <w:insideH w:val="nil"/>
          <w:insideV w:val="nil"/>
        </w:tblBorders>
        <w:tblLayout w:type="fixed"/>
        <w:tblLook w:val="0400" w:firstRow="0" w:lastRow="0" w:firstColumn="0" w:lastColumn="0" w:noHBand="0" w:noVBand="1"/>
      </w:tblPr>
      <w:tblGrid>
        <w:gridCol w:w="10796"/>
      </w:tblGrid>
      <w:tr w:rsidR="00A0251B" w:rsidRPr="00CC35F0" w14:paraId="49C2A792" w14:textId="77777777" w:rsidTr="00706AF5">
        <w:tc>
          <w:tcPr>
            <w:tcW w:w="10796" w:type="dxa"/>
          </w:tcPr>
          <w:p w14:paraId="7850AB25" w14:textId="77777777" w:rsidR="00A0251B" w:rsidRPr="00CC35F0" w:rsidRDefault="008D6506">
            <w:pPr>
              <w:ind w:left="-20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noProof/>
                <w:sz w:val="24"/>
                <w:szCs w:val="24"/>
                <w:lang w:val="sr-Cyrl-RS" w:eastAsia="sr-Cyrl-RS"/>
              </w:rPr>
              <w:drawing>
                <wp:inline distT="0" distB="0" distL="0" distR="0" wp14:anchorId="7E0A21D3" wp14:editId="65C09DA7">
                  <wp:extent cx="6845300" cy="2133600"/>
                  <wp:effectExtent l="0" t="0" r="0" b="0"/>
                  <wp:docPr id="581" name="image38.png"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8.png" descr="Map&#10;&#10;Description automatically generated"/>
                          <pic:cNvPicPr preferRelativeResize="0"/>
                        </pic:nvPicPr>
                        <pic:blipFill>
                          <a:blip r:embed="rId33"/>
                          <a:srcRect/>
                          <a:stretch>
                            <a:fillRect/>
                          </a:stretch>
                        </pic:blipFill>
                        <pic:spPr>
                          <a:xfrm>
                            <a:off x="0" y="0"/>
                            <a:ext cx="6845300" cy="2133600"/>
                          </a:xfrm>
                          <a:prstGeom prst="rect">
                            <a:avLst/>
                          </a:prstGeom>
                          <a:ln/>
                        </pic:spPr>
                      </pic:pic>
                    </a:graphicData>
                  </a:graphic>
                </wp:inline>
              </w:drawing>
            </w:r>
          </w:p>
        </w:tc>
      </w:tr>
    </w:tbl>
    <w:p w14:paraId="4BA37311" w14:textId="77777777" w:rsidR="00A0251B" w:rsidRPr="00CC35F0" w:rsidRDefault="00A0251B">
      <w:pPr>
        <w:rPr>
          <w:rFonts w:ascii="Times New Roman" w:eastAsia="Times New Roman" w:hAnsi="Times New Roman"/>
          <w:b/>
          <w:sz w:val="24"/>
          <w:szCs w:val="24"/>
          <w:lang w:val="sr-Cyrl-CS"/>
        </w:rPr>
      </w:pPr>
    </w:p>
    <w:p w14:paraId="588223A6" w14:textId="77777777" w:rsidR="00A0251B" w:rsidRPr="00CC35F0" w:rsidRDefault="008D6506">
      <w:pPr>
        <w:rPr>
          <w:rFonts w:ascii="Times New Roman" w:eastAsia="Times New Roman" w:hAnsi="Times New Roman"/>
          <w:b/>
          <w:sz w:val="24"/>
          <w:szCs w:val="24"/>
          <w:lang w:val="sr-Cyrl-CS"/>
        </w:rPr>
      </w:pPr>
      <w:bookmarkStart w:id="45" w:name="_heading=h.nmf14n" w:colFirst="0" w:colLast="0"/>
      <w:bookmarkEnd w:id="45"/>
      <w:r w:rsidRPr="00CC35F0">
        <w:rPr>
          <w:rFonts w:ascii="Times New Roman" w:eastAsia="Times New Roman" w:hAnsi="Times New Roman"/>
          <w:b/>
          <w:sz w:val="24"/>
          <w:szCs w:val="24"/>
          <w:lang w:val="sr-Cyrl-CS"/>
        </w:rPr>
        <w:t xml:space="preserve">Слика 18: Резултати истраживање по моделу преноса хемикалија </w:t>
      </w:r>
      <w:r w:rsidRPr="00CC35F0">
        <w:rPr>
          <w:rFonts w:ascii="Times New Roman" w:eastAsia="Times New Roman" w:hAnsi="Times New Roman"/>
          <w:b/>
          <w:i/>
          <w:sz w:val="24"/>
          <w:szCs w:val="24"/>
          <w:lang w:val="sr-Cyrl-CS"/>
        </w:rPr>
        <w:t>CHIMERE</w:t>
      </w:r>
      <w:r w:rsidRPr="00CC35F0">
        <w:rPr>
          <w:rFonts w:ascii="Times New Roman" w:eastAsia="Times New Roman" w:hAnsi="Times New Roman"/>
          <w:b/>
          <w:sz w:val="24"/>
          <w:szCs w:val="24"/>
          <w:lang w:val="sr-Cyrl-CS"/>
        </w:rPr>
        <w:t xml:space="preserve"> за PM2.5 у сценаријима WAM A, WAM B и WAM C </w:t>
      </w:r>
    </w:p>
    <w:p w14:paraId="139E744B" w14:textId="77777777" w:rsidR="00A0251B" w:rsidRPr="00CC35F0" w:rsidRDefault="008D6506" w:rsidP="00D22F02">
      <w:pPr>
        <w:spacing w:after="0"/>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Преглед смањења емисија свих загађујућих материја према свим сценаријима приказан је у </w:t>
      </w:r>
      <w:r w:rsidR="00706AF5" w:rsidRPr="00CC35F0">
        <w:rPr>
          <w:rFonts w:ascii="Times New Roman" w:eastAsia="Times New Roman" w:hAnsi="Times New Roman"/>
          <w:bCs/>
          <w:sz w:val="24"/>
          <w:szCs w:val="24"/>
          <w:lang w:val="sr-Cyrl-CS"/>
        </w:rPr>
        <w:t>Табели 5-1</w:t>
      </w:r>
      <w:r w:rsidR="00706AF5"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w:t>
      </w:r>
    </w:p>
    <w:p w14:paraId="40E024AF" w14:textId="77777777" w:rsidR="00A0251B" w:rsidRPr="00CC35F0" w:rsidRDefault="00A0251B">
      <w:pPr>
        <w:spacing w:after="0"/>
        <w:rPr>
          <w:rFonts w:ascii="Times New Roman" w:eastAsia="Times New Roman" w:hAnsi="Times New Roman"/>
          <w:b/>
          <w:sz w:val="24"/>
          <w:szCs w:val="24"/>
          <w:lang w:val="sr-Cyrl-CS"/>
        </w:rPr>
      </w:pPr>
    </w:p>
    <w:p w14:paraId="71EC1354" w14:textId="77777777" w:rsidR="002459DB" w:rsidRPr="00CC35F0" w:rsidRDefault="002459DB">
      <w:pPr>
        <w:spacing w:after="0"/>
        <w:rPr>
          <w:rFonts w:ascii="Times New Roman" w:eastAsia="Times New Roman" w:hAnsi="Times New Roman"/>
          <w:b/>
          <w:sz w:val="24"/>
          <w:szCs w:val="24"/>
          <w:lang w:val="sr-Cyrl-CS"/>
        </w:rPr>
      </w:pPr>
    </w:p>
    <w:p w14:paraId="08AE81D8" w14:textId="77777777" w:rsidR="002459DB" w:rsidRPr="00CC35F0" w:rsidRDefault="002459DB">
      <w:pPr>
        <w:spacing w:after="0"/>
        <w:rPr>
          <w:rFonts w:ascii="Times New Roman" w:eastAsia="Times New Roman" w:hAnsi="Times New Roman"/>
          <w:b/>
          <w:sz w:val="24"/>
          <w:szCs w:val="24"/>
          <w:lang w:val="sr-Cyrl-CS"/>
        </w:rPr>
      </w:pPr>
    </w:p>
    <w:p w14:paraId="29B7E68E" w14:textId="77777777" w:rsidR="00A0251B" w:rsidRPr="00CC35F0" w:rsidRDefault="008D6506">
      <w:pPr>
        <w:spacing w:after="0"/>
        <w:rPr>
          <w:rFonts w:ascii="Times New Roman" w:eastAsia="Times New Roman" w:hAnsi="Times New Roman"/>
          <w:color w:val="FFFFFF" w:themeColor="background1"/>
          <w:sz w:val="24"/>
          <w:szCs w:val="24"/>
          <w:lang w:val="sr-Cyrl-CS"/>
        </w:rPr>
      </w:pPr>
      <w:bookmarkStart w:id="46" w:name="_heading=h.37m2jsg" w:colFirst="0" w:colLast="0"/>
      <w:bookmarkEnd w:id="46"/>
      <w:r w:rsidRPr="00CC35F0">
        <w:rPr>
          <w:rFonts w:ascii="Times New Roman" w:eastAsia="Times New Roman" w:hAnsi="Times New Roman"/>
          <w:b/>
          <w:color w:val="FFFFFF" w:themeColor="background1"/>
          <w:sz w:val="24"/>
          <w:szCs w:val="24"/>
          <w:lang w:val="sr-Cyrl-CS"/>
        </w:rPr>
        <w:t>Табела 5 - 1</w:t>
      </w:r>
      <w:r w:rsidRPr="00CC35F0">
        <w:rPr>
          <w:rFonts w:ascii="Times New Roman" w:eastAsia="Times New Roman" w:hAnsi="Times New Roman"/>
          <w:color w:val="FFFFFF" w:themeColor="background1"/>
          <w:sz w:val="24"/>
          <w:szCs w:val="24"/>
          <w:lang w:val="sr-Cyrl-CS"/>
        </w:rPr>
        <w:t xml:space="preserve">. </w:t>
      </w:r>
    </w:p>
    <w:p w14:paraId="0F149A13" w14:textId="77777777" w:rsidR="00A0251B" w:rsidRPr="00CC35F0" w:rsidRDefault="00A0251B">
      <w:pPr>
        <w:keepNext/>
        <w:spacing w:after="0"/>
        <w:rPr>
          <w:rFonts w:ascii="Times New Roman" w:eastAsia="Times New Roman" w:hAnsi="Times New Roman"/>
          <w:b/>
          <w:sz w:val="24"/>
          <w:szCs w:val="24"/>
          <w:lang w:val="sr-Cyrl-CS"/>
        </w:rPr>
      </w:pPr>
    </w:p>
    <w:p w14:paraId="24677F21" w14:textId="77777777" w:rsidR="00A0251B" w:rsidRPr="00CC35F0" w:rsidRDefault="008D6506">
      <w:pPr>
        <w:keepNext/>
        <w:spacing w:after="0"/>
        <w:rPr>
          <w:rFonts w:ascii="Times New Roman" w:eastAsia="Times New Roman" w:hAnsi="Times New Roman"/>
          <w:b/>
          <w:sz w:val="24"/>
          <w:szCs w:val="24"/>
          <w:lang w:val="sr-Cyrl-CS"/>
        </w:rPr>
      </w:pPr>
      <w:bookmarkStart w:id="47" w:name="_heading=h.1mrcu09" w:colFirst="0" w:colLast="0"/>
      <w:bookmarkEnd w:id="47"/>
      <w:r w:rsidRPr="00CC35F0">
        <w:rPr>
          <w:rFonts w:ascii="Times New Roman" w:eastAsia="Times New Roman" w:hAnsi="Times New Roman"/>
          <w:b/>
          <w:sz w:val="24"/>
          <w:szCs w:val="24"/>
          <w:lang w:val="sr-Cyrl-CS"/>
        </w:rPr>
        <w:t xml:space="preserve">Табела 5-1 Пројектована смањења емисија загађујућих материја у ваздух према сценаријима WAM </w:t>
      </w:r>
    </w:p>
    <w:tbl>
      <w:tblPr>
        <w:tblStyle w:val="a8"/>
        <w:tblW w:w="9609" w:type="dxa"/>
        <w:tblInd w:w="-185" w:type="dxa"/>
        <w:tblLayout w:type="fixed"/>
        <w:tblLook w:val="0400" w:firstRow="0" w:lastRow="0" w:firstColumn="0" w:lastColumn="0" w:noHBand="0" w:noVBand="1"/>
      </w:tblPr>
      <w:tblGrid>
        <w:gridCol w:w="1173"/>
        <w:gridCol w:w="1365"/>
        <w:gridCol w:w="1134"/>
        <w:gridCol w:w="1188"/>
        <w:gridCol w:w="1187"/>
        <w:gridCol w:w="1187"/>
        <w:gridCol w:w="1187"/>
        <w:gridCol w:w="1188"/>
      </w:tblGrid>
      <w:tr w:rsidR="00A0251B" w:rsidRPr="00CC35F0" w14:paraId="072676DD" w14:textId="77777777">
        <w:trPr>
          <w:trHeight w:val="1000"/>
          <w:tblHeader/>
        </w:trPr>
        <w:tc>
          <w:tcPr>
            <w:tcW w:w="1173"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184DF9E"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Сценарио </w:t>
            </w:r>
          </w:p>
        </w:tc>
        <w:tc>
          <w:tcPr>
            <w:tcW w:w="1365" w:type="dxa"/>
            <w:tcBorders>
              <w:top w:val="single" w:sz="4" w:space="0" w:color="000000"/>
              <w:left w:val="nil"/>
              <w:bottom w:val="single" w:sz="4" w:space="0" w:color="000000"/>
              <w:right w:val="single" w:sz="4" w:space="0" w:color="000000"/>
            </w:tcBorders>
            <w:shd w:val="clear" w:color="auto" w:fill="D9E2F3"/>
            <w:vAlign w:val="center"/>
          </w:tcPr>
          <w:p w14:paraId="518386F1"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Циљана година/ година за поређење</w:t>
            </w:r>
          </w:p>
        </w:tc>
        <w:tc>
          <w:tcPr>
            <w:tcW w:w="1134" w:type="dxa"/>
            <w:tcBorders>
              <w:top w:val="single" w:sz="4" w:space="0" w:color="000000"/>
              <w:left w:val="nil"/>
              <w:bottom w:val="single" w:sz="4" w:space="0" w:color="000000"/>
              <w:right w:val="single" w:sz="4" w:space="0" w:color="000000"/>
            </w:tcBorders>
            <w:shd w:val="clear" w:color="auto" w:fill="D9E2F3"/>
            <w:vAlign w:val="center"/>
          </w:tcPr>
          <w:p w14:paraId="3DDC9D86"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Смањење емисије SO</w:t>
            </w:r>
            <w:r w:rsidRPr="00CC35F0">
              <w:rPr>
                <w:rFonts w:ascii="Times New Roman" w:eastAsia="Times New Roman" w:hAnsi="Times New Roman"/>
                <w:b/>
                <w:sz w:val="24"/>
                <w:szCs w:val="24"/>
                <w:vertAlign w:val="subscript"/>
                <w:lang w:val="sr-Cyrl-CS"/>
              </w:rPr>
              <w:t>2</w:t>
            </w:r>
            <w:r w:rsidRPr="00CC35F0">
              <w:rPr>
                <w:rFonts w:ascii="Times New Roman" w:eastAsia="Times New Roman" w:hAnsi="Times New Roman"/>
                <w:b/>
                <w:sz w:val="24"/>
                <w:szCs w:val="24"/>
                <w:lang w:val="sr-Cyrl-CS"/>
              </w:rPr>
              <w:t xml:space="preserve"> </w:t>
            </w:r>
          </w:p>
          <w:p w14:paraId="5393EC94"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t>
            </w:r>
          </w:p>
        </w:tc>
        <w:tc>
          <w:tcPr>
            <w:tcW w:w="1188" w:type="dxa"/>
            <w:tcBorders>
              <w:top w:val="single" w:sz="4" w:space="0" w:color="000000"/>
              <w:left w:val="nil"/>
              <w:bottom w:val="single" w:sz="4" w:space="0" w:color="000000"/>
              <w:right w:val="single" w:sz="4" w:space="0" w:color="000000"/>
            </w:tcBorders>
            <w:shd w:val="clear" w:color="auto" w:fill="D9E2F3"/>
            <w:vAlign w:val="center"/>
          </w:tcPr>
          <w:p w14:paraId="6CE7CDDE"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Смањење емисије NO</w:t>
            </w:r>
            <w:r w:rsidRPr="00CC35F0">
              <w:rPr>
                <w:rFonts w:ascii="Times New Roman" w:eastAsia="Times New Roman" w:hAnsi="Times New Roman"/>
                <w:b/>
                <w:sz w:val="24"/>
                <w:szCs w:val="24"/>
                <w:vertAlign w:val="subscript"/>
                <w:lang w:val="sr-Cyrl-CS"/>
              </w:rPr>
              <w:t>x</w:t>
            </w:r>
            <w:r w:rsidRPr="00CC35F0">
              <w:rPr>
                <w:rFonts w:ascii="Times New Roman" w:eastAsia="Times New Roman" w:hAnsi="Times New Roman"/>
                <w:b/>
                <w:sz w:val="24"/>
                <w:szCs w:val="24"/>
                <w:lang w:val="sr-Cyrl-CS"/>
              </w:rPr>
              <w:t xml:space="preserve"> </w:t>
            </w:r>
          </w:p>
          <w:p w14:paraId="13D1B144"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t>
            </w:r>
          </w:p>
        </w:tc>
        <w:tc>
          <w:tcPr>
            <w:tcW w:w="1187" w:type="dxa"/>
            <w:tcBorders>
              <w:top w:val="single" w:sz="4" w:space="0" w:color="000000"/>
              <w:left w:val="nil"/>
              <w:bottom w:val="single" w:sz="4" w:space="0" w:color="000000"/>
              <w:right w:val="single" w:sz="4" w:space="0" w:color="000000"/>
            </w:tcBorders>
            <w:shd w:val="clear" w:color="auto" w:fill="D9E2F3"/>
            <w:vAlign w:val="center"/>
          </w:tcPr>
          <w:p w14:paraId="6E8A3BAB"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Смањење емисије PM</w:t>
            </w:r>
            <w:r w:rsidRPr="00CC35F0">
              <w:rPr>
                <w:rFonts w:ascii="Times New Roman" w:eastAsia="Times New Roman" w:hAnsi="Times New Roman"/>
                <w:b/>
                <w:sz w:val="24"/>
                <w:szCs w:val="24"/>
                <w:vertAlign w:val="subscript"/>
                <w:lang w:val="sr-Cyrl-CS"/>
              </w:rPr>
              <w:t>10</w:t>
            </w:r>
            <w:r w:rsidRPr="00CC35F0">
              <w:rPr>
                <w:rFonts w:ascii="Times New Roman" w:eastAsia="Times New Roman" w:hAnsi="Times New Roman"/>
                <w:b/>
                <w:sz w:val="24"/>
                <w:szCs w:val="24"/>
                <w:lang w:val="sr-Cyrl-CS"/>
              </w:rPr>
              <w:t xml:space="preserve"> </w:t>
            </w:r>
          </w:p>
          <w:p w14:paraId="481FF147"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t>
            </w:r>
          </w:p>
        </w:tc>
        <w:tc>
          <w:tcPr>
            <w:tcW w:w="1187" w:type="dxa"/>
            <w:tcBorders>
              <w:top w:val="single" w:sz="4" w:space="0" w:color="000000"/>
              <w:left w:val="nil"/>
              <w:bottom w:val="single" w:sz="4" w:space="0" w:color="000000"/>
              <w:right w:val="single" w:sz="4" w:space="0" w:color="000000"/>
            </w:tcBorders>
            <w:shd w:val="clear" w:color="auto" w:fill="D9E2F3"/>
            <w:vAlign w:val="center"/>
          </w:tcPr>
          <w:p w14:paraId="0C7808D6"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Смањење емисије PM</w:t>
            </w:r>
            <w:r w:rsidRPr="00CC35F0">
              <w:rPr>
                <w:rFonts w:ascii="Times New Roman" w:eastAsia="Times New Roman" w:hAnsi="Times New Roman"/>
                <w:b/>
                <w:sz w:val="24"/>
                <w:szCs w:val="24"/>
                <w:vertAlign w:val="subscript"/>
                <w:lang w:val="sr-Cyrl-CS"/>
              </w:rPr>
              <w:t>2.5</w:t>
            </w:r>
            <w:r w:rsidRPr="00CC35F0">
              <w:rPr>
                <w:rFonts w:ascii="Times New Roman" w:eastAsia="Times New Roman" w:hAnsi="Times New Roman"/>
                <w:b/>
                <w:sz w:val="24"/>
                <w:szCs w:val="24"/>
                <w:lang w:val="sr-Cyrl-CS"/>
              </w:rPr>
              <w:t xml:space="preserve"> </w:t>
            </w:r>
          </w:p>
          <w:p w14:paraId="73F7BDA0"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t>
            </w:r>
          </w:p>
        </w:tc>
        <w:tc>
          <w:tcPr>
            <w:tcW w:w="1187" w:type="dxa"/>
            <w:tcBorders>
              <w:top w:val="single" w:sz="4" w:space="0" w:color="000000"/>
              <w:left w:val="nil"/>
              <w:bottom w:val="single" w:sz="4" w:space="0" w:color="000000"/>
              <w:right w:val="single" w:sz="4" w:space="0" w:color="000000"/>
            </w:tcBorders>
            <w:shd w:val="clear" w:color="auto" w:fill="D9E2F3"/>
            <w:vAlign w:val="center"/>
          </w:tcPr>
          <w:p w14:paraId="023292B3"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Смањење емисије VOC </w:t>
            </w:r>
          </w:p>
          <w:p w14:paraId="69327BF8"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t>
            </w:r>
          </w:p>
        </w:tc>
        <w:tc>
          <w:tcPr>
            <w:tcW w:w="1188" w:type="dxa"/>
            <w:tcBorders>
              <w:top w:val="single" w:sz="4" w:space="0" w:color="000000"/>
              <w:left w:val="nil"/>
              <w:bottom w:val="single" w:sz="4" w:space="0" w:color="000000"/>
              <w:right w:val="single" w:sz="4" w:space="0" w:color="000000"/>
            </w:tcBorders>
            <w:shd w:val="clear" w:color="auto" w:fill="D9E2F3"/>
            <w:vAlign w:val="center"/>
          </w:tcPr>
          <w:p w14:paraId="50CAD9F9"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Смањење емисије NH</w:t>
            </w:r>
            <w:r w:rsidRPr="00CC35F0">
              <w:rPr>
                <w:rFonts w:ascii="Times New Roman" w:eastAsia="Times New Roman" w:hAnsi="Times New Roman"/>
                <w:b/>
                <w:sz w:val="24"/>
                <w:szCs w:val="24"/>
                <w:vertAlign w:val="subscript"/>
                <w:lang w:val="sr-Cyrl-CS"/>
              </w:rPr>
              <w:t>3</w:t>
            </w:r>
            <w:r w:rsidRPr="00CC35F0">
              <w:rPr>
                <w:rFonts w:ascii="Times New Roman" w:eastAsia="Times New Roman" w:hAnsi="Times New Roman"/>
                <w:b/>
                <w:sz w:val="24"/>
                <w:szCs w:val="24"/>
                <w:lang w:val="sr-Cyrl-CS"/>
              </w:rPr>
              <w:t xml:space="preserve"> </w:t>
            </w:r>
          </w:p>
          <w:p w14:paraId="11190020" w14:textId="77777777" w:rsidR="00A0251B" w:rsidRPr="00CC35F0" w:rsidRDefault="008D6506">
            <w:pPr>
              <w:spacing w:after="0" w:line="240" w:lineRule="auto"/>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t>
            </w:r>
          </w:p>
        </w:tc>
      </w:tr>
      <w:tr w:rsidR="00A0251B" w:rsidRPr="00CC35F0" w14:paraId="328DF814" w14:textId="77777777">
        <w:trPr>
          <w:trHeight w:val="280"/>
        </w:trPr>
        <w:tc>
          <w:tcPr>
            <w:tcW w:w="1173" w:type="dxa"/>
            <w:vMerge w:val="restart"/>
            <w:tcBorders>
              <w:top w:val="nil"/>
              <w:left w:val="single" w:sz="4" w:space="0" w:color="000000"/>
              <w:bottom w:val="single" w:sz="4" w:space="0" w:color="000000"/>
              <w:right w:val="single" w:sz="4" w:space="0" w:color="000000"/>
            </w:tcBorders>
            <w:shd w:val="clear" w:color="auto" w:fill="auto"/>
            <w:vAlign w:val="center"/>
          </w:tcPr>
          <w:p w14:paraId="69AAA857"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WAM A</w:t>
            </w:r>
          </w:p>
        </w:tc>
        <w:tc>
          <w:tcPr>
            <w:tcW w:w="1365" w:type="dxa"/>
            <w:tcBorders>
              <w:top w:val="nil"/>
              <w:left w:val="nil"/>
              <w:bottom w:val="single" w:sz="4" w:space="0" w:color="000000"/>
              <w:right w:val="single" w:sz="4" w:space="0" w:color="000000"/>
            </w:tcBorders>
            <w:shd w:val="clear" w:color="auto" w:fill="auto"/>
            <w:vAlign w:val="center"/>
          </w:tcPr>
          <w:p w14:paraId="53090A5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134" w:type="dxa"/>
            <w:tcBorders>
              <w:top w:val="nil"/>
              <w:left w:val="nil"/>
              <w:bottom w:val="single" w:sz="4" w:space="0" w:color="000000"/>
              <w:right w:val="single" w:sz="4" w:space="0" w:color="000000"/>
            </w:tcBorders>
            <w:shd w:val="clear" w:color="auto" w:fill="auto"/>
            <w:vAlign w:val="center"/>
          </w:tcPr>
          <w:p w14:paraId="1CDD90C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-91,4%</w:t>
            </w:r>
          </w:p>
        </w:tc>
        <w:tc>
          <w:tcPr>
            <w:tcW w:w="1188" w:type="dxa"/>
            <w:tcBorders>
              <w:top w:val="nil"/>
              <w:left w:val="nil"/>
              <w:bottom w:val="single" w:sz="4" w:space="0" w:color="000000"/>
              <w:right w:val="single" w:sz="4" w:space="0" w:color="000000"/>
            </w:tcBorders>
            <w:shd w:val="clear" w:color="auto" w:fill="auto"/>
            <w:vAlign w:val="center"/>
          </w:tcPr>
          <w:p w14:paraId="7B08FE5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-54,6%</w:t>
            </w:r>
          </w:p>
        </w:tc>
        <w:tc>
          <w:tcPr>
            <w:tcW w:w="1187" w:type="dxa"/>
            <w:tcBorders>
              <w:top w:val="nil"/>
              <w:left w:val="nil"/>
              <w:bottom w:val="single" w:sz="4" w:space="0" w:color="000000"/>
              <w:right w:val="single" w:sz="4" w:space="0" w:color="000000"/>
            </w:tcBorders>
            <w:shd w:val="clear" w:color="auto" w:fill="auto"/>
            <w:vAlign w:val="center"/>
          </w:tcPr>
          <w:p w14:paraId="2311F85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-29,4%</w:t>
            </w:r>
          </w:p>
        </w:tc>
        <w:tc>
          <w:tcPr>
            <w:tcW w:w="1187" w:type="dxa"/>
            <w:tcBorders>
              <w:top w:val="nil"/>
              <w:left w:val="nil"/>
              <w:bottom w:val="single" w:sz="4" w:space="0" w:color="000000"/>
              <w:right w:val="single" w:sz="4" w:space="0" w:color="000000"/>
            </w:tcBorders>
            <w:shd w:val="clear" w:color="auto" w:fill="auto"/>
            <w:vAlign w:val="center"/>
          </w:tcPr>
          <w:p w14:paraId="037200C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-29,7%</w:t>
            </w:r>
          </w:p>
        </w:tc>
        <w:tc>
          <w:tcPr>
            <w:tcW w:w="1187" w:type="dxa"/>
            <w:tcBorders>
              <w:top w:val="nil"/>
              <w:left w:val="nil"/>
              <w:bottom w:val="single" w:sz="4" w:space="0" w:color="000000"/>
              <w:right w:val="single" w:sz="4" w:space="0" w:color="000000"/>
            </w:tcBorders>
            <w:shd w:val="clear" w:color="auto" w:fill="auto"/>
            <w:vAlign w:val="center"/>
          </w:tcPr>
          <w:p w14:paraId="479552F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-18,4%</w:t>
            </w:r>
          </w:p>
        </w:tc>
        <w:tc>
          <w:tcPr>
            <w:tcW w:w="1188" w:type="dxa"/>
            <w:tcBorders>
              <w:top w:val="nil"/>
              <w:left w:val="nil"/>
              <w:bottom w:val="single" w:sz="4" w:space="0" w:color="000000"/>
              <w:right w:val="single" w:sz="4" w:space="0" w:color="000000"/>
            </w:tcBorders>
            <w:shd w:val="clear" w:color="auto" w:fill="auto"/>
            <w:vAlign w:val="center"/>
          </w:tcPr>
          <w:p w14:paraId="469DE60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w:t>
            </w:r>
          </w:p>
        </w:tc>
      </w:tr>
      <w:tr w:rsidR="00A0251B" w:rsidRPr="00CC35F0" w14:paraId="2D173FD3" w14:textId="77777777">
        <w:trPr>
          <w:trHeight w:val="280"/>
        </w:trPr>
        <w:tc>
          <w:tcPr>
            <w:tcW w:w="1173" w:type="dxa"/>
            <w:vMerge/>
            <w:tcBorders>
              <w:top w:val="nil"/>
              <w:left w:val="single" w:sz="4" w:space="0" w:color="000000"/>
              <w:bottom w:val="single" w:sz="4" w:space="0" w:color="000000"/>
              <w:right w:val="single" w:sz="4" w:space="0" w:color="000000"/>
            </w:tcBorders>
            <w:shd w:val="clear" w:color="auto" w:fill="auto"/>
            <w:vAlign w:val="center"/>
          </w:tcPr>
          <w:p w14:paraId="0B72DBD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365" w:type="dxa"/>
            <w:tcBorders>
              <w:top w:val="nil"/>
              <w:left w:val="nil"/>
              <w:bottom w:val="single" w:sz="4" w:space="0" w:color="000000"/>
              <w:right w:val="single" w:sz="4" w:space="0" w:color="000000"/>
            </w:tcBorders>
            <w:shd w:val="clear" w:color="auto" w:fill="auto"/>
            <w:vAlign w:val="center"/>
          </w:tcPr>
          <w:p w14:paraId="50680F3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c>
          <w:tcPr>
            <w:tcW w:w="1134" w:type="dxa"/>
            <w:tcBorders>
              <w:top w:val="nil"/>
              <w:left w:val="nil"/>
              <w:bottom w:val="single" w:sz="4" w:space="0" w:color="000000"/>
              <w:right w:val="single" w:sz="4" w:space="0" w:color="000000"/>
            </w:tcBorders>
            <w:shd w:val="clear" w:color="auto" w:fill="auto"/>
            <w:vAlign w:val="center"/>
          </w:tcPr>
          <w:p w14:paraId="431C512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-92,9%</w:t>
            </w:r>
          </w:p>
        </w:tc>
        <w:tc>
          <w:tcPr>
            <w:tcW w:w="1188" w:type="dxa"/>
            <w:tcBorders>
              <w:top w:val="nil"/>
              <w:left w:val="nil"/>
              <w:bottom w:val="single" w:sz="4" w:space="0" w:color="000000"/>
              <w:right w:val="single" w:sz="4" w:space="0" w:color="000000"/>
            </w:tcBorders>
            <w:shd w:val="clear" w:color="auto" w:fill="auto"/>
            <w:vAlign w:val="center"/>
          </w:tcPr>
          <w:p w14:paraId="30610F8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-60,7%</w:t>
            </w:r>
          </w:p>
        </w:tc>
        <w:tc>
          <w:tcPr>
            <w:tcW w:w="1187" w:type="dxa"/>
            <w:tcBorders>
              <w:top w:val="nil"/>
              <w:left w:val="nil"/>
              <w:bottom w:val="single" w:sz="4" w:space="0" w:color="000000"/>
              <w:right w:val="single" w:sz="4" w:space="0" w:color="000000"/>
            </w:tcBorders>
            <w:shd w:val="clear" w:color="auto" w:fill="auto"/>
            <w:vAlign w:val="center"/>
          </w:tcPr>
          <w:p w14:paraId="169E15F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-3,1%</w:t>
            </w:r>
          </w:p>
        </w:tc>
        <w:tc>
          <w:tcPr>
            <w:tcW w:w="1187" w:type="dxa"/>
            <w:tcBorders>
              <w:top w:val="nil"/>
              <w:left w:val="nil"/>
              <w:bottom w:val="single" w:sz="4" w:space="0" w:color="000000"/>
              <w:right w:val="single" w:sz="4" w:space="0" w:color="000000"/>
            </w:tcBorders>
            <w:shd w:val="clear" w:color="auto" w:fill="auto"/>
            <w:vAlign w:val="center"/>
          </w:tcPr>
          <w:p w14:paraId="49BCC59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-5,0%</w:t>
            </w:r>
          </w:p>
        </w:tc>
        <w:tc>
          <w:tcPr>
            <w:tcW w:w="1187" w:type="dxa"/>
            <w:tcBorders>
              <w:top w:val="nil"/>
              <w:left w:val="nil"/>
              <w:bottom w:val="single" w:sz="4" w:space="0" w:color="000000"/>
              <w:right w:val="single" w:sz="4" w:space="0" w:color="000000"/>
            </w:tcBorders>
            <w:shd w:val="clear" w:color="auto" w:fill="auto"/>
            <w:vAlign w:val="center"/>
          </w:tcPr>
          <w:p w14:paraId="69F4580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-27,7%</w:t>
            </w:r>
          </w:p>
        </w:tc>
        <w:tc>
          <w:tcPr>
            <w:tcW w:w="1188" w:type="dxa"/>
            <w:tcBorders>
              <w:top w:val="nil"/>
              <w:left w:val="nil"/>
              <w:bottom w:val="single" w:sz="4" w:space="0" w:color="000000"/>
              <w:right w:val="single" w:sz="4" w:space="0" w:color="000000"/>
            </w:tcBorders>
            <w:shd w:val="clear" w:color="auto" w:fill="auto"/>
            <w:vAlign w:val="center"/>
          </w:tcPr>
          <w:p w14:paraId="5DE1737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-29,7%</w:t>
            </w:r>
          </w:p>
        </w:tc>
      </w:tr>
      <w:tr w:rsidR="00A0251B" w:rsidRPr="00CC35F0" w14:paraId="546A236C" w14:textId="77777777">
        <w:trPr>
          <w:trHeight w:val="280"/>
        </w:trPr>
        <w:tc>
          <w:tcPr>
            <w:tcW w:w="1173" w:type="dxa"/>
            <w:vMerge w:val="restart"/>
            <w:tcBorders>
              <w:top w:val="nil"/>
              <w:left w:val="single" w:sz="4" w:space="0" w:color="000000"/>
              <w:bottom w:val="single" w:sz="4" w:space="0" w:color="000000"/>
              <w:right w:val="single" w:sz="4" w:space="0" w:color="000000"/>
            </w:tcBorders>
            <w:shd w:val="clear" w:color="auto" w:fill="auto"/>
            <w:vAlign w:val="center"/>
          </w:tcPr>
          <w:p w14:paraId="6FF83FD7"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WAM B</w:t>
            </w:r>
          </w:p>
        </w:tc>
        <w:tc>
          <w:tcPr>
            <w:tcW w:w="1365" w:type="dxa"/>
            <w:tcBorders>
              <w:top w:val="nil"/>
              <w:left w:val="nil"/>
              <w:bottom w:val="single" w:sz="4" w:space="0" w:color="000000"/>
              <w:right w:val="single" w:sz="4" w:space="0" w:color="000000"/>
            </w:tcBorders>
            <w:shd w:val="clear" w:color="auto" w:fill="auto"/>
            <w:vAlign w:val="center"/>
          </w:tcPr>
          <w:p w14:paraId="21B6122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134" w:type="dxa"/>
            <w:tcBorders>
              <w:top w:val="nil"/>
              <w:left w:val="nil"/>
              <w:bottom w:val="single" w:sz="4" w:space="0" w:color="000000"/>
              <w:right w:val="single" w:sz="4" w:space="0" w:color="000000"/>
            </w:tcBorders>
            <w:shd w:val="clear" w:color="auto" w:fill="auto"/>
            <w:vAlign w:val="center"/>
          </w:tcPr>
          <w:p w14:paraId="60E3C73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-91,9%</w:t>
            </w:r>
          </w:p>
        </w:tc>
        <w:tc>
          <w:tcPr>
            <w:tcW w:w="1188" w:type="dxa"/>
            <w:tcBorders>
              <w:top w:val="nil"/>
              <w:left w:val="nil"/>
              <w:bottom w:val="single" w:sz="4" w:space="0" w:color="000000"/>
              <w:right w:val="single" w:sz="4" w:space="0" w:color="000000"/>
            </w:tcBorders>
            <w:shd w:val="clear" w:color="auto" w:fill="auto"/>
            <w:vAlign w:val="center"/>
          </w:tcPr>
          <w:p w14:paraId="1D5EBA1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-59,9%</w:t>
            </w:r>
          </w:p>
        </w:tc>
        <w:tc>
          <w:tcPr>
            <w:tcW w:w="1187" w:type="dxa"/>
            <w:tcBorders>
              <w:top w:val="nil"/>
              <w:left w:val="nil"/>
              <w:bottom w:val="single" w:sz="4" w:space="0" w:color="000000"/>
              <w:right w:val="single" w:sz="4" w:space="0" w:color="000000"/>
            </w:tcBorders>
            <w:shd w:val="clear" w:color="auto" w:fill="auto"/>
            <w:vAlign w:val="center"/>
          </w:tcPr>
          <w:p w14:paraId="5616AD4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-45,8%</w:t>
            </w:r>
          </w:p>
        </w:tc>
        <w:tc>
          <w:tcPr>
            <w:tcW w:w="1187" w:type="dxa"/>
            <w:tcBorders>
              <w:top w:val="nil"/>
              <w:left w:val="nil"/>
              <w:bottom w:val="single" w:sz="4" w:space="0" w:color="000000"/>
              <w:right w:val="single" w:sz="4" w:space="0" w:color="000000"/>
            </w:tcBorders>
            <w:shd w:val="clear" w:color="auto" w:fill="auto"/>
            <w:vAlign w:val="center"/>
          </w:tcPr>
          <w:p w14:paraId="3F03106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-51,5%</w:t>
            </w:r>
          </w:p>
        </w:tc>
        <w:tc>
          <w:tcPr>
            <w:tcW w:w="1187" w:type="dxa"/>
            <w:tcBorders>
              <w:top w:val="nil"/>
              <w:left w:val="nil"/>
              <w:bottom w:val="single" w:sz="4" w:space="0" w:color="000000"/>
              <w:right w:val="single" w:sz="4" w:space="0" w:color="000000"/>
            </w:tcBorders>
            <w:shd w:val="clear" w:color="auto" w:fill="auto"/>
            <w:vAlign w:val="center"/>
          </w:tcPr>
          <w:p w14:paraId="739835E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-25,8%</w:t>
            </w:r>
          </w:p>
        </w:tc>
        <w:tc>
          <w:tcPr>
            <w:tcW w:w="1188" w:type="dxa"/>
            <w:tcBorders>
              <w:top w:val="nil"/>
              <w:left w:val="nil"/>
              <w:bottom w:val="single" w:sz="4" w:space="0" w:color="000000"/>
              <w:right w:val="single" w:sz="4" w:space="0" w:color="000000"/>
            </w:tcBorders>
            <w:shd w:val="clear" w:color="auto" w:fill="auto"/>
            <w:vAlign w:val="center"/>
          </w:tcPr>
          <w:p w14:paraId="3159930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-18,9%</w:t>
            </w:r>
          </w:p>
        </w:tc>
      </w:tr>
      <w:tr w:rsidR="00A0251B" w:rsidRPr="00CC35F0" w14:paraId="41DF034C" w14:textId="77777777">
        <w:trPr>
          <w:trHeight w:val="280"/>
        </w:trPr>
        <w:tc>
          <w:tcPr>
            <w:tcW w:w="1173" w:type="dxa"/>
            <w:vMerge/>
            <w:tcBorders>
              <w:top w:val="nil"/>
              <w:left w:val="single" w:sz="4" w:space="0" w:color="000000"/>
              <w:bottom w:val="single" w:sz="4" w:space="0" w:color="000000"/>
              <w:right w:val="single" w:sz="4" w:space="0" w:color="000000"/>
            </w:tcBorders>
            <w:shd w:val="clear" w:color="auto" w:fill="auto"/>
            <w:vAlign w:val="center"/>
          </w:tcPr>
          <w:p w14:paraId="06DDC2B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365" w:type="dxa"/>
            <w:tcBorders>
              <w:top w:val="nil"/>
              <w:left w:val="nil"/>
              <w:bottom w:val="single" w:sz="4" w:space="0" w:color="000000"/>
              <w:right w:val="single" w:sz="4" w:space="0" w:color="000000"/>
            </w:tcBorders>
            <w:shd w:val="clear" w:color="auto" w:fill="auto"/>
            <w:vAlign w:val="center"/>
          </w:tcPr>
          <w:p w14:paraId="0483060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c>
          <w:tcPr>
            <w:tcW w:w="1134" w:type="dxa"/>
            <w:tcBorders>
              <w:top w:val="nil"/>
              <w:left w:val="nil"/>
              <w:bottom w:val="single" w:sz="4" w:space="0" w:color="000000"/>
              <w:right w:val="single" w:sz="4" w:space="0" w:color="000000"/>
            </w:tcBorders>
            <w:shd w:val="clear" w:color="auto" w:fill="auto"/>
            <w:vAlign w:val="center"/>
          </w:tcPr>
          <w:p w14:paraId="318BDCF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-93,3%</w:t>
            </w:r>
          </w:p>
        </w:tc>
        <w:tc>
          <w:tcPr>
            <w:tcW w:w="1188" w:type="dxa"/>
            <w:tcBorders>
              <w:top w:val="nil"/>
              <w:left w:val="nil"/>
              <w:bottom w:val="single" w:sz="4" w:space="0" w:color="000000"/>
              <w:right w:val="single" w:sz="4" w:space="0" w:color="000000"/>
            </w:tcBorders>
            <w:shd w:val="clear" w:color="auto" w:fill="auto"/>
            <w:vAlign w:val="center"/>
          </w:tcPr>
          <w:p w14:paraId="5DA8CB1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-65,3%</w:t>
            </w:r>
          </w:p>
        </w:tc>
        <w:tc>
          <w:tcPr>
            <w:tcW w:w="1187" w:type="dxa"/>
            <w:tcBorders>
              <w:top w:val="nil"/>
              <w:left w:val="nil"/>
              <w:bottom w:val="single" w:sz="4" w:space="0" w:color="000000"/>
              <w:right w:val="single" w:sz="4" w:space="0" w:color="000000"/>
            </w:tcBorders>
            <w:shd w:val="clear" w:color="auto" w:fill="auto"/>
            <w:vAlign w:val="center"/>
          </w:tcPr>
          <w:p w14:paraId="2F83352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-25,6%</w:t>
            </w:r>
          </w:p>
        </w:tc>
        <w:tc>
          <w:tcPr>
            <w:tcW w:w="1187" w:type="dxa"/>
            <w:tcBorders>
              <w:top w:val="nil"/>
              <w:left w:val="nil"/>
              <w:bottom w:val="single" w:sz="4" w:space="0" w:color="000000"/>
              <w:right w:val="single" w:sz="4" w:space="0" w:color="000000"/>
            </w:tcBorders>
            <w:shd w:val="clear" w:color="auto" w:fill="auto"/>
            <w:vAlign w:val="center"/>
          </w:tcPr>
          <w:p w14:paraId="5799E05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-34,4%</w:t>
            </w:r>
          </w:p>
        </w:tc>
        <w:tc>
          <w:tcPr>
            <w:tcW w:w="1187" w:type="dxa"/>
            <w:tcBorders>
              <w:top w:val="nil"/>
              <w:left w:val="nil"/>
              <w:bottom w:val="single" w:sz="4" w:space="0" w:color="000000"/>
              <w:right w:val="single" w:sz="4" w:space="0" w:color="000000"/>
            </w:tcBorders>
            <w:shd w:val="clear" w:color="auto" w:fill="auto"/>
            <w:vAlign w:val="center"/>
          </w:tcPr>
          <w:p w14:paraId="453F7F8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-34,4%</w:t>
            </w:r>
          </w:p>
        </w:tc>
        <w:tc>
          <w:tcPr>
            <w:tcW w:w="1188" w:type="dxa"/>
            <w:tcBorders>
              <w:top w:val="nil"/>
              <w:left w:val="nil"/>
              <w:bottom w:val="single" w:sz="4" w:space="0" w:color="000000"/>
              <w:right w:val="single" w:sz="4" w:space="0" w:color="000000"/>
            </w:tcBorders>
            <w:shd w:val="clear" w:color="auto" w:fill="auto"/>
            <w:vAlign w:val="center"/>
          </w:tcPr>
          <w:p w14:paraId="300B704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-36,8%</w:t>
            </w:r>
          </w:p>
        </w:tc>
      </w:tr>
      <w:tr w:rsidR="00A0251B" w:rsidRPr="00CC35F0" w14:paraId="788B842B" w14:textId="77777777">
        <w:trPr>
          <w:trHeight w:val="224"/>
        </w:trPr>
        <w:tc>
          <w:tcPr>
            <w:tcW w:w="1173" w:type="dxa"/>
            <w:vMerge w:val="restart"/>
            <w:tcBorders>
              <w:top w:val="nil"/>
              <w:left w:val="single" w:sz="4" w:space="0" w:color="000000"/>
              <w:bottom w:val="single" w:sz="4" w:space="0" w:color="000000"/>
              <w:right w:val="single" w:sz="4" w:space="0" w:color="000000"/>
            </w:tcBorders>
            <w:shd w:val="clear" w:color="auto" w:fill="auto"/>
            <w:vAlign w:val="center"/>
          </w:tcPr>
          <w:p w14:paraId="238E5A98"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WAM C</w:t>
            </w:r>
          </w:p>
        </w:tc>
        <w:tc>
          <w:tcPr>
            <w:tcW w:w="1365" w:type="dxa"/>
            <w:tcBorders>
              <w:top w:val="nil"/>
              <w:left w:val="nil"/>
              <w:bottom w:val="single" w:sz="4" w:space="0" w:color="000000"/>
              <w:right w:val="single" w:sz="4" w:space="0" w:color="000000"/>
            </w:tcBorders>
            <w:shd w:val="clear" w:color="auto" w:fill="auto"/>
            <w:vAlign w:val="center"/>
          </w:tcPr>
          <w:p w14:paraId="273646D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134" w:type="dxa"/>
            <w:tcBorders>
              <w:top w:val="nil"/>
              <w:left w:val="nil"/>
              <w:bottom w:val="single" w:sz="4" w:space="0" w:color="000000"/>
              <w:right w:val="single" w:sz="4" w:space="0" w:color="000000"/>
            </w:tcBorders>
            <w:shd w:val="clear" w:color="auto" w:fill="auto"/>
            <w:vAlign w:val="center"/>
          </w:tcPr>
          <w:p w14:paraId="6848AD3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-92,0%</w:t>
            </w:r>
          </w:p>
        </w:tc>
        <w:tc>
          <w:tcPr>
            <w:tcW w:w="1188" w:type="dxa"/>
            <w:tcBorders>
              <w:top w:val="nil"/>
              <w:left w:val="nil"/>
              <w:bottom w:val="single" w:sz="4" w:space="0" w:color="000000"/>
              <w:right w:val="single" w:sz="4" w:space="0" w:color="000000"/>
            </w:tcBorders>
            <w:shd w:val="clear" w:color="auto" w:fill="auto"/>
            <w:vAlign w:val="center"/>
          </w:tcPr>
          <w:p w14:paraId="47296A7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-60,6%</w:t>
            </w:r>
          </w:p>
        </w:tc>
        <w:tc>
          <w:tcPr>
            <w:tcW w:w="1187" w:type="dxa"/>
            <w:tcBorders>
              <w:top w:val="nil"/>
              <w:left w:val="nil"/>
              <w:bottom w:val="single" w:sz="4" w:space="0" w:color="000000"/>
              <w:right w:val="single" w:sz="4" w:space="0" w:color="000000"/>
            </w:tcBorders>
            <w:shd w:val="clear" w:color="auto" w:fill="auto"/>
            <w:vAlign w:val="center"/>
          </w:tcPr>
          <w:p w14:paraId="1AE681D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-50,9%</w:t>
            </w:r>
          </w:p>
        </w:tc>
        <w:tc>
          <w:tcPr>
            <w:tcW w:w="1187" w:type="dxa"/>
            <w:tcBorders>
              <w:top w:val="nil"/>
              <w:left w:val="nil"/>
              <w:bottom w:val="single" w:sz="4" w:space="0" w:color="000000"/>
              <w:right w:val="single" w:sz="4" w:space="0" w:color="000000"/>
            </w:tcBorders>
            <w:shd w:val="clear" w:color="auto" w:fill="auto"/>
            <w:vAlign w:val="center"/>
          </w:tcPr>
          <w:p w14:paraId="181005C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-58,3%</w:t>
            </w:r>
          </w:p>
        </w:tc>
        <w:tc>
          <w:tcPr>
            <w:tcW w:w="1187" w:type="dxa"/>
            <w:tcBorders>
              <w:top w:val="nil"/>
              <w:left w:val="nil"/>
              <w:bottom w:val="single" w:sz="4" w:space="0" w:color="000000"/>
              <w:right w:val="single" w:sz="4" w:space="0" w:color="000000"/>
            </w:tcBorders>
            <w:shd w:val="clear" w:color="auto" w:fill="auto"/>
            <w:vAlign w:val="center"/>
          </w:tcPr>
          <w:p w14:paraId="39BB442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-28,3%</w:t>
            </w:r>
          </w:p>
        </w:tc>
        <w:tc>
          <w:tcPr>
            <w:tcW w:w="1188" w:type="dxa"/>
            <w:tcBorders>
              <w:top w:val="nil"/>
              <w:left w:val="nil"/>
              <w:bottom w:val="single" w:sz="4" w:space="0" w:color="000000"/>
              <w:right w:val="single" w:sz="4" w:space="0" w:color="000000"/>
            </w:tcBorders>
            <w:shd w:val="clear" w:color="auto" w:fill="auto"/>
            <w:vAlign w:val="center"/>
          </w:tcPr>
          <w:p w14:paraId="6031FB8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-20,5%</w:t>
            </w:r>
          </w:p>
        </w:tc>
      </w:tr>
      <w:tr w:rsidR="00A0251B" w:rsidRPr="00CC35F0" w14:paraId="201A7FD2" w14:textId="77777777">
        <w:trPr>
          <w:trHeight w:val="280"/>
        </w:trPr>
        <w:tc>
          <w:tcPr>
            <w:tcW w:w="1173" w:type="dxa"/>
            <w:vMerge/>
            <w:tcBorders>
              <w:top w:val="nil"/>
              <w:left w:val="single" w:sz="4" w:space="0" w:color="000000"/>
              <w:bottom w:val="single" w:sz="4" w:space="0" w:color="000000"/>
              <w:right w:val="single" w:sz="4" w:space="0" w:color="000000"/>
            </w:tcBorders>
            <w:shd w:val="clear" w:color="auto" w:fill="auto"/>
            <w:vAlign w:val="center"/>
          </w:tcPr>
          <w:p w14:paraId="1B5A57D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365" w:type="dxa"/>
            <w:tcBorders>
              <w:top w:val="nil"/>
              <w:left w:val="nil"/>
              <w:bottom w:val="single" w:sz="4" w:space="0" w:color="000000"/>
              <w:right w:val="single" w:sz="4" w:space="0" w:color="000000"/>
            </w:tcBorders>
            <w:shd w:val="clear" w:color="auto" w:fill="auto"/>
            <w:vAlign w:val="center"/>
          </w:tcPr>
          <w:p w14:paraId="73E7998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c>
          <w:tcPr>
            <w:tcW w:w="1134" w:type="dxa"/>
            <w:tcBorders>
              <w:top w:val="nil"/>
              <w:left w:val="nil"/>
              <w:bottom w:val="single" w:sz="4" w:space="0" w:color="000000"/>
              <w:right w:val="single" w:sz="4" w:space="0" w:color="000000"/>
            </w:tcBorders>
            <w:shd w:val="clear" w:color="auto" w:fill="auto"/>
            <w:vAlign w:val="center"/>
          </w:tcPr>
          <w:p w14:paraId="16F8ECF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-93,4%</w:t>
            </w:r>
          </w:p>
        </w:tc>
        <w:tc>
          <w:tcPr>
            <w:tcW w:w="1188" w:type="dxa"/>
            <w:tcBorders>
              <w:top w:val="nil"/>
              <w:left w:val="nil"/>
              <w:bottom w:val="single" w:sz="4" w:space="0" w:color="000000"/>
              <w:right w:val="single" w:sz="4" w:space="0" w:color="000000"/>
            </w:tcBorders>
            <w:shd w:val="clear" w:color="auto" w:fill="auto"/>
            <w:vAlign w:val="center"/>
          </w:tcPr>
          <w:p w14:paraId="66A87AF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-65,9%</w:t>
            </w:r>
          </w:p>
        </w:tc>
        <w:tc>
          <w:tcPr>
            <w:tcW w:w="1187" w:type="dxa"/>
            <w:tcBorders>
              <w:top w:val="nil"/>
              <w:left w:val="nil"/>
              <w:bottom w:val="single" w:sz="4" w:space="0" w:color="000000"/>
              <w:right w:val="single" w:sz="4" w:space="0" w:color="000000"/>
            </w:tcBorders>
            <w:shd w:val="clear" w:color="auto" w:fill="auto"/>
            <w:vAlign w:val="center"/>
          </w:tcPr>
          <w:p w14:paraId="6881C2B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-32,6%</w:t>
            </w:r>
          </w:p>
        </w:tc>
        <w:tc>
          <w:tcPr>
            <w:tcW w:w="1187" w:type="dxa"/>
            <w:tcBorders>
              <w:top w:val="nil"/>
              <w:left w:val="nil"/>
              <w:bottom w:val="single" w:sz="4" w:space="0" w:color="000000"/>
              <w:right w:val="single" w:sz="4" w:space="0" w:color="000000"/>
            </w:tcBorders>
            <w:shd w:val="clear" w:color="auto" w:fill="auto"/>
            <w:vAlign w:val="center"/>
          </w:tcPr>
          <w:p w14:paraId="5517219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-43,6%</w:t>
            </w:r>
          </w:p>
        </w:tc>
        <w:tc>
          <w:tcPr>
            <w:tcW w:w="1187" w:type="dxa"/>
            <w:tcBorders>
              <w:top w:val="nil"/>
              <w:left w:val="nil"/>
              <w:bottom w:val="single" w:sz="4" w:space="0" w:color="000000"/>
              <w:right w:val="single" w:sz="4" w:space="0" w:color="000000"/>
            </w:tcBorders>
            <w:shd w:val="clear" w:color="auto" w:fill="auto"/>
            <w:vAlign w:val="center"/>
          </w:tcPr>
          <w:p w14:paraId="7371AD5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-36,6%</w:t>
            </w:r>
          </w:p>
        </w:tc>
        <w:tc>
          <w:tcPr>
            <w:tcW w:w="1188" w:type="dxa"/>
            <w:tcBorders>
              <w:top w:val="nil"/>
              <w:left w:val="nil"/>
              <w:bottom w:val="single" w:sz="4" w:space="0" w:color="000000"/>
              <w:right w:val="single" w:sz="4" w:space="0" w:color="000000"/>
            </w:tcBorders>
            <w:shd w:val="clear" w:color="auto" w:fill="auto"/>
            <w:vAlign w:val="center"/>
          </w:tcPr>
          <w:p w14:paraId="6B1502D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-38,1%</w:t>
            </w:r>
          </w:p>
        </w:tc>
      </w:tr>
    </w:tbl>
    <w:p w14:paraId="33A6580F" w14:textId="77777777" w:rsidR="00A0251B" w:rsidRPr="00CC35F0" w:rsidRDefault="00A0251B">
      <w:pPr>
        <w:rPr>
          <w:rFonts w:ascii="Times New Roman" w:eastAsia="Times New Roman" w:hAnsi="Times New Roman"/>
          <w:sz w:val="24"/>
          <w:szCs w:val="24"/>
          <w:lang w:val="sr-Cyrl-CS"/>
        </w:rPr>
      </w:pPr>
    </w:p>
    <w:p w14:paraId="0F8CF6D8" w14:textId="77777777" w:rsidR="00A0251B" w:rsidRPr="00CC35F0" w:rsidRDefault="008D6506" w:rsidP="00A06C99">
      <w:pPr>
        <w:pStyle w:val="Heading1"/>
        <w:numPr>
          <w:ilvl w:val="1"/>
          <w:numId w:val="23"/>
        </w:numPr>
        <w:jc w:val="center"/>
        <w:rPr>
          <w:rFonts w:ascii="Times New Roman" w:eastAsia="Times New Roman" w:hAnsi="Times New Roman"/>
          <w:sz w:val="24"/>
          <w:szCs w:val="24"/>
          <w:lang w:val="sr-Cyrl-CS"/>
        </w:rPr>
      </w:pPr>
      <w:bookmarkStart w:id="48" w:name="_heading=h.46r0co2" w:colFirst="0" w:colLast="0"/>
      <w:bookmarkEnd w:id="48"/>
      <w:r w:rsidRPr="00CC35F0">
        <w:rPr>
          <w:rFonts w:ascii="Times New Roman" w:eastAsia="Times New Roman" w:hAnsi="Times New Roman"/>
          <w:sz w:val="24"/>
          <w:szCs w:val="24"/>
          <w:lang w:val="sr-Cyrl-CS"/>
        </w:rPr>
        <w:t>Трошкови и сценарији ублажавања утицаја на здравље и животну средину</w:t>
      </w:r>
    </w:p>
    <w:p w14:paraId="2DE66335" w14:textId="77777777" w:rsidR="00A0251B" w:rsidRPr="00CC35F0" w:rsidRDefault="008D6506" w:rsidP="00D22F02">
      <w:pPr>
        <w:ind w:firstLine="576"/>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Трошкови </w:t>
      </w:r>
    </w:p>
    <w:p w14:paraId="7A78BE91" w14:textId="77777777" w:rsidR="00A0251B" w:rsidRPr="00CC35F0" w:rsidRDefault="003125BD" w:rsidP="00D22F02">
      <w:pPr>
        <w:ind w:firstLine="576"/>
        <w:rPr>
          <w:rFonts w:ascii="Times New Roman" w:eastAsia="Times New Roman" w:hAnsi="Times New Roman"/>
          <w:sz w:val="24"/>
          <w:szCs w:val="24"/>
          <w:lang w:val="sr-Cyrl-CS"/>
        </w:rPr>
      </w:pPr>
      <w:bookmarkStart w:id="49" w:name="_heading=h.2lwamvv" w:colFirst="0" w:colLast="0"/>
      <w:bookmarkEnd w:id="49"/>
      <w:r w:rsidRPr="00CC35F0">
        <w:rPr>
          <w:rFonts w:ascii="Times New Roman" w:eastAsia="Times New Roman" w:hAnsi="Times New Roman"/>
          <w:sz w:val="24"/>
          <w:szCs w:val="24"/>
          <w:lang w:val="sr-Cyrl-CS"/>
        </w:rPr>
        <w:t xml:space="preserve">Сви правци </w:t>
      </w:r>
      <w:r w:rsidR="008D6506" w:rsidRPr="00CC35F0">
        <w:rPr>
          <w:rFonts w:ascii="Times New Roman" w:eastAsia="Times New Roman" w:hAnsi="Times New Roman"/>
          <w:sz w:val="24"/>
          <w:szCs w:val="24"/>
          <w:lang w:val="sr-Cyrl-CS"/>
        </w:rPr>
        <w:t>који се односе на смањење загађења ваздуха, а који су настали као резултат различитих сценарија, повезани су са неким трошковима. У овом програму разматрани су додатни трошкови у односу на сценарио WEM, јер су трошкови за спровођење тог сценарија већ покривени финансијским механизмима уз постојеће ПиМ. За потребе процене инвестиционих трошкова, исти су подељени према томе ко реализује инвестиције, без обзира на капацитет преноса инвестиционих трошкова кроз ланац вредности до потрошача, и без обзира на јавне субвенције или подстицаје које инвеститор може добити. Према томе, идентификоване су три групе инвеститора, а прва укључује представнике јавних или приватних компанија и пољопривредне произвођаче. Ови инвеститори треба да улажу у индустријска постројења, постројења за сагоревање, ТМ, пољопривредни сектор, дистрибуцију бензина и бензинске станице. Друга група су потрошачи. Они се баве мерама које имају за циљ замену старих кућних грејних тела, куповину новијих половних возила, замену старих возила. У трећу групу спада држава са локалним самоуправама. Ни једна од разматраних мера не изискује велика инвестициона улагања из државног буџета, осим улагања у припрему регулаторног оквира и инфраструктуре за спровођење политике, која је потребна за спровођење појединих мера углавном повезаних са финансијским подстицајима. Међутим, када се ради о финансирању инвестиционих трошкова, предвиђена је значајна подршка државног буџета.</w:t>
      </w:r>
    </w:p>
    <w:p w14:paraId="0533CA79" w14:textId="77777777" w:rsidR="00A0251B" w:rsidRPr="00CC35F0" w:rsidRDefault="008D6506" w:rsidP="00D22F0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Извршена је процена инвестиционих трошкова за сваки појединачни скуп мера: </w:t>
      </w:r>
    </w:p>
    <w:p w14:paraId="2EEB38EF" w14:textId="77777777" w:rsidR="00A0251B" w:rsidRPr="00CC35F0" w:rsidRDefault="00691C5C" w:rsidP="00382EC6">
      <w:pPr>
        <w:numPr>
          <w:ilvl w:val="0"/>
          <w:numId w:val="29"/>
        </w:numPr>
        <w:pBdr>
          <w:top w:val="nil"/>
          <w:left w:val="nil"/>
          <w:bottom w:val="nil"/>
          <w:right w:val="nil"/>
          <w:between w:val="nil"/>
        </w:pBdr>
        <w:tabs>
          <w:tab w:val="left" w:pos="851"/>
        </w:tabs>
        <w:spacing w:after="0" w:line="276"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w:t>
      </w:r>
      <w:r w:rsidR="008D6506" w:rsidRPr="00CC35F0">
        <w:rPr>
          <w:rFonts w:ascii="Times New Roman" w:eastAsia="Times New Roman" w:hAnsi="Times New Roman"/>
          <w:color w:val="000000"/>
          <w:sz w:val="24"/>
          <w:szCs w:val="24"/>
          <w:lang w:val="sr-Cyrl-CS"/>
        </w:rPr>
        <w:t>а индустријска постројења, постројења за сагоревање, за бензинске станице</w:t>
      </w:r>
      <w:r w:rsidR="006B2958" w:rsidRPr="00CC35F0">
        <w:rPr>
          <w:rFonts w:ascii="Times New Roman" w:eastAsia="Times New Roman" w:hAnsi="Times New Roman"/>
          <w:color w:val="000000"/>
          <w:sz w:val="24"/>
          <w:szCs w:val="24"/>
          <w:lang w:val="sr-Cyrl-CS"/>
        </w:rPr>
        <w:t>, итд.</w:t>
      </w:r>
      <w:r w:rsidR="008D6506" w:rsidRPr="00CC35F0">
        <w:rPr>
          <w:rFonts w:ascii="Times New Roman" w:eastAsia="Times New Roman" w:hAnsi="Times New Roman"/>
          <w:color w:val="000000"/>
          <w:sz w:val="24"/>
          <w:szCs w:val="24"/>
          <w:lang w:val="sr-Cyrl-CS"/>
        </w:rPr>
        <w:t xml:space="preserve"> извршена је процена инвестиција у технике смањења. Технике смањења најчешће се односе на конкретну загађујућу материју, као што су скрубери за </w:t>
      </w:r>
      <w:r w:rsidR="008D6506" w:rsidRPr="00CC35F0">
        <w:rPr>
          <w:rFonts w:ascii="Times New Roman" w:eastAsia="Times New Roman" w:hAnsi="Times New Roman"/>
          <w:sz w:val="24"/>
          <w:szCs w:val="24"/>
          <w:lang w:val="sr-Cyrl-CS"/>
        </w:rPr>
        <w:t>смањење</w:t>
      </w:r>
      <w:r w:rsidR="008D6506" w:rsidRPr="00CC35F0">
        <w:rPr>
          <w:rFonts w:ascii="Times New Roman" w:eastAsia="Times New Roman" w:hAnsi="Times New Roman"/>
          <w:color w:val="000000"/>
          <w:sz w:val="24"/>
          <w:szCs w:val="24"/>
          <w:lang w:val="sr-Cyrl-CS"/>
        </w:rPr>
        <w:t xml:space="preserve"> емисија SO</w:t>
      </w:r>
      <w:r w:rsidR="008D6506" w:rsidRPr="00CC35F0">
        <w:rPr>
          <w:rFonts w:ascii="Times New Roman" w:eastAsia="Times New Roman" w:hAnsi="Times New Roman"/>
          <w:color w:val="000000"/>
          <w:sz w:val="24"/>
          <w:szCs w:val="24"/>
          <w:vertAlign w:val="subscript"/>
          <w:lang w:val="sr-Cyrl-CS"/>
        </w:rPr>
        <w:t>2</w:t>
      </w:r>
      <w:r w:rsidR="008D6506" w:rsidRPr="00CC35F0">
        <w:rPr>
          <w:rFonts w:ascii="Times New Roman" w:eastAsia="Times New Roman" w:hAnsi="Times New Roman"/>
          <w:color w:val="000000"/>
          <w:sz w:val="24"/>
          <w:szCs w:val="24"/>
          <w:lang w:val="sr-Cyrl-CS"/>
        </w:rPr>
        <w:t xml:space="preserve">, електростатички филтери за </w:t>
      </w:r>
      <w:r w:rsidR="008D6506" w:rsidRPr="00CC35F0">
        <w:rPr>
          <w:rFonts w:ascii="Times New Roman" w:eastAsia="Times New Roman" w:hAnsi="Times New Roman"/>
          <w:sz w:val="24"/>
          <w:szCs w:val="24"/>
          <w:lang w:val="sr-Cyrl-CS"/>
        </w:rPr>
        <w:t>смањење</w:t>
      </w:r>
      <w:r w:rsidR="008D6506" w:rsidRPr="00CC35F0">
        <w:rPr>
          <w:rFonts w:ascii="Times New Roman" w:eastAsia="Times New Roman" w:hAnsi="Times New Roman"/>
          <w:color w:val="000000"/>
          <w:sz w:val="24"/>
          <w:szCs w:val="24"/>
          <w:lang w:val="sr-Cyrl-CS"/>
        </w:rPr>
        <w:t xml:space="preserve"> емисија PM, ложишта са нижим NO</w:t>
      </w:r>
      <w:r w:rsidR="008D6506" w:rsidRPr="00CC35F0">
        <w:rPr>
          <w:rFonts w:ascii="Times New Roman" w:eastAsia="Times New Roman" w:hAnsi="Times New Roman"/>
          <w:color w:val="000000"/>
          <w:sz w:val="24"/>
          <w:szCs w:val="24"/>
          <w:vertAlign w:val="subscript"/>
          <w:lang w:val="sr-Cyrl-CS"/>
        </w:rPr>
        <w:t>x</w:t>
      </w:r>
      <w:r w:rsidR="008D6506" w:rsidRPr="00CC35F0">
        <w:rPr>
          <w:rFonts w:ascii="Times New Roman" w:eastAsia="Times New Roman" w:hAnsi="Times New Roman"/>
          <w:color w:val="000000"/>
          <w:sz w:val="24"/>
          <w:szCs w:val="24"/>
          <w:lang w:val="sr-Cyrl-CS"/>
        </w:rPr>
        <w:t xml:space="preserve"> за смањење емисија NO</w:t>
      </w:r>
      <w:r w:rsidR="008D6506" w:rsidRPr="00CC35F0">
        <w:rPr>
          <w:rFonts w:ascii="Times New Roman" w:eastAsia="Times New Roman" w:hAnsi="Times New Roman"/>
          <w:color w:val="000000"/>
          <w:sz w:val="24"/>
          <w:szCs w:val="24"/>
          <w:vertAlign w:val="subscript"/>
          <w:lang w:val="sr-Cyrl-CS"/>
        </w:rPr>
        <w:t>x</w:t>
      </w:r>
      <w:r w:rsidR="00707459" w:rsidRPr="00CC35F0">
        <w:rPr>
          <w:rFonts w:ascii="Times New Roman" w:eastAsia="Times New Roman" w:hAnsi="Times New Roman"/>
          <w:color w:val="000000"/>
          <w:sz w:val="24"/>
          <w:szCs w:val="24"/>
          <w:lang w:val="sr-Cyrl-CS"/>
        </w:rPr>
        <w:t>;</w:t>
      </w:r>
    </w:p>
    <w:p w14:paraId="10F3EC6A" w14:textId="77777777" w:rsidR="00A0251B" w:rsidRPr="00CC35F0" w:rsidRDefault="00691C5C" w:rsidP="00382EC6">
      <w:pPr>
        <w:numPr>
          <w:ilvl w:val="0"/>
          <w:numId w:val="29"/>
        </w:numPr>
        <w:pBdr>
          <w:top w:val="nil"/>
          <w:left w:val="nil"/>
          <w:bottom w:val="nil"/>
          <w:right w:val="nil"/>
          <w:between w:val="nil"/>
        </w:pBdr>
        <w:spacing w:after="0" w:line="276"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w:t>
      </w:r>
      <w:r w:rsidR="008D6506" w:rsidRPr="00CC35F0">
        <w:rPr>
          <w:rFonts w:ascii="Times New Roman" w:eastAsia="Times New Roman" w:hAnsi="Times New Roman"/>
          <w:color w:val="000000"/>
          <w:sz w:val="24"/>
          <w:szCs w:val="24"/>
          <w:lang w:val="sr-Cyrl-CS"/>
        </w:rPr>
        <w:t xml:space="preserve">од покретних извора, као што су возила у друмском саобраћају и ТМ, смањење емисија постиже се набавком нових возила која су у складу са стандардима ЕУ (Euro 6 је пример за возила у друмском саобраћају, фаза V за ТМ). Спровођењем на пример Euro </w:t>
      </w:r>
      <w:r w:rsidR="008D6506" w:rsidRPr="00CC35F0">
        <w:rPr>
          <w:rFonts w:ascii="Times New Roman" w:eastAsia="Times New Roman" w:hAnsi="Times New Roman"/>
          <w:color w:val="000000"/>
          <w:sz w:val="24"/>
          <w:szCs w:val="24"/>
          <w:lang w:val="sr-Cyrl-CS"/>
        </w:rPr>
        <w:lastRenderedPageBreak/>
        <w:t>стандарда може се истовремено смањити емисија неколико загађујућих материја, као што су PM, VOC, NO</w:t>
      </w:r>
      <w:r w:rsidR="008D6506" w:rsidRPr="00CC35F0">
        <w:rPr>
          <w:rFonts w:ascii="Times New Roman" w:eastAsia="Times New Roman" w:hAnsi="Times New Roman"/>
          <w:color w:val="000000"/>
          <w:sz w:val="24"/>
          <w:szCs w:val="24"/>
          <w:vertAlign w:val="subscript"/>
          <w:lang w:val="sr-Cyrl-CS"/>
        </w:rPr>
        <w:t>x</w:t>
      </w:r>
      <w:r w:rsidR="006B2958" w:rsidRPr="00CC35F0">
        <w:rPr>
          <w:rFonts w:ascii="Times New Roman" w:eastAsia="Times New Roman" w:hAnsi="Times New Roman"/>
          <w:color w:val="000000"/>
          <w:sz w:val="24"/>
          <w:szCs w:val="24"/>
          <w:lang w:val="sr-Cyrl-CS"/>
        </w:rPr>
        <w:t>, итд;</w:t>
      </w:r>
      <w:r w:rsidR="008D6506" w:rsidRPr="00CC35F0">
        <w:rPr>
          <w:rFonts w:ascii="Times New Roman" w:eastAsia="Times New Roman" w:hAnsi="Times New Roman"/>
          <w:color w:val="000000"/>
          <w:sz w:val="24"/>
          <w:szCs w:val="24"/>
          <w:lang w:val="sr-Cyrl-CS"/>
        </w:rPr>
        <w:t xml:space="preserve"> </w:t>
      </w:r>
    </w:p>
    <w:p w14:paraId="78C14BD6" w14:textId="77777777" w:rsidR="00A0251B" w:rsidRPr="00CC35F0" w:rsidRDefault="00691C5C" w:rsidP="00382EC6">
      <w:pPr>
        <w:numPr>
          <w:ilvl w:val="0"/>
          <w:numId w:val="29"/>
        </w:numPr>
        <w:pBdr>
          <w:top w:val="nil"/>
          <w:left w:val="nil"/>
          <w:bottom w:val="nil"/>
          <w:right w:val="nil"/>
          <w:between w:val="nil"/>
        </w:pBdr>
        <w:tabs>
          <w:tab w:val="left" w:pos="426"/>
        </w:tabs>
        <w:spacing w:after="0" w:line="276" w:lineRule="auto"/>
        <w:ind w:left="0" w:firstLine="360"/>
        <w:rPr>
          <w:rFonts w:ascii="Times New Roman" w:eastAsia="Times New Roman" w:hAnsi="Times New Roman"/>
          <w:color w:val="000000"/>
          <w:sz w:val="24"/>
          <w:szCs w:val="24"/>
          <w:lang w:val="sr-Cyrl-CS"/>
        </w:rPr>
      </w:pPr>
      <w:bookmarkStart w:id="50" w:name="_heading=h.111kx3o" w:colFirst="0" w:colLast="0"/>
      <w:bookmarkEnd w:id="50"/>
      <w:r w:rsidRPr="00CC35F0">
        <w:rPr>
          <w:rFonts w:ascii="Times New Roman" w:eastAsia="Times New Roman" w:hAnsi="Times New Roman"/>
          <w:color w:val="000000"/>
          <w:sz w:val="24"/>
          <w:szCs w:val="24"/>
          <w:lang w:val="sr-Cyrl-CS"/>
        </w:rPr>
        <w:t>к</w:t>
      </w:r>
      <w:r w:rsidR="008D6506" w:rsidRPr="00CC35F0">
        <w:rPr>
          <w:rFonts w:ascii="Times New Roman" w:eastAsia="Times New Roman" w:hAnsi="Times New Roman"/>
          <w:color w:val="000000"/>
          <w:sz w:val="24"/>
          <w:szCs w:val="24"/>
          <w:lang w:val="sr-Cyrl-CS"/>
        </w:rPr>
        <w:t>ада је реч о кућним грејним телима на чврсто гориво, које се доводе у везу са смањењем емисија PM, не постоје доступне технике које се примењују на крају процеса. Набављају се и користе нови, енергетски ефикаснији уређаји, који емитују мање емисија ако су у складу са стандардима ЕУ који проистичу из Директиве ЕУ о еко-дизајну и њених пратећих аката. Овим уређајима смањује се емисија PM и VOC, али се може десити да се њиховом применом повећају емисије NO</w:t>
      </w:r>
      <w:r w:rsidR="008D6506" w:rsidRPr="00CC35F0">
        <w:rPr>
          <w:rFonts w:ascii="Times New Roman" w:eastAsia="Times New Roman" w:hAnsi="Times New Roman"/>
          <w:color w:val="000000"/>
          <w:sz w:val="24"/>
          <w:szCs w:val="24"/>
          <w:vertAlign w:val="subscript"/>
          <w:lang w:val="sr-Cyrl-CS"/>
        </w:rPr>
        <w:t>x</w:t>
      </w:r>
      <w:r w:rsidR="008D6506" w:rsidRPr="00CC35F0">
        <w:rPr>
          <w:rFonts w:ascii="Times New Roman" w:eastAsia="Times New Roman" w:hAnsi="Times New Roman"/>
          <w:color w:val="000000"/>
          <w:sz w:val="24"/>
          <w:szCs w:val="24"/>
          <w:lang w:val="sr-Cyrl-CS"/>
        </w:rPr>
        <w:t xml:space="preserve"> због повећања температуре, веће количине горива</w:t>
      </w:r>
      <w:r w:rsidR="006B2958" w:rsidRPr="00CC35F0">
        <w:rPr>
          <w:rFonts w:ascii="Times New Roman" w:eastAsia="Times New Roman" w:hAnsi="Times New Roman"/>
          <w:color w:val="000000"/>
          <w:sz w:val="24"/>
          <w:szCs w:val="24"/>
          <w:lang w:val="sr-Cyrl-CS"/>
        </w:rPr>
        <w:t>, итд;</w:t>
      </w:r>
    </w:p>
    <w:p w14:paraId="2A874CD3" w14:textId="77777777" w:rsidR="00A0251B" w:rsidRPr="00CC35F0" w:rsidRDefault="00691C5C" w:rsidP="00382EC6">
      <w:pPr>
        <w:numPr>
          <w:ilvl w:val="0"/>
          <w:numId w:val="29"/>
        </w:numPr>
        <w:pBdr>
          <w:top w:val="nil"/>
          <w:left w:val="nil"/>
          <w:bottom w:val="nil"/>
          <w:right w:val="nil"/>
          <w:between w:val="nil"/>
        </w:pBdr>
        <w:spacing w:line="276" w:lineRule="auto"/>
        <w:ind w:left="0" w:firstLine="360"/>
        <w:rPr>
          <w:rFonts w:ascii="Times New Roman" w:eastAsia="Times New Roman" w:hAnsi="Times New Roman"/>
          <w:color w:val="000000"/>
          <w:sz w:val="24"/>
          <w:szCs w:val="24"/>
          <w:lang w:val="sr-Cyrl-CS"/>
        </w:rPr>
      </w:pPr>
      <w:bookmarkStart w:id="51" w:name="_heading=h.3l18frh" w:colFirst="0" w:colLast="0"/>
      <w:bookmarkEnd w:id="51"/>
      <w:r w:rsidRPr="00CC35F0">
        <w:rPr>
          <w:rFonts w:ascii="Times New Roman" w:eastAsia="Times New Roman" w:hAnsi="Times New Roman"/>
          <w:color w:val="000000"/>
          <w:sz w:val="24"/>
          <w:szCs w:val="24"/>
          <w:lang w:val="sr-Cyrl-CS"/>
        </w:rPr>
        <w:t>у</w:t>
      </w:r>
      <w:r w:rsidR="008D6506" w:rsidRPr="00CC35F0">
        <w:rPr>
          <w:rFonts w:ascii="Times New Roman" w:eastAsia="Times New Roman" w:hAnsi="Times New Roman"/>
          <w:color w:val="000000"/>
          <w:sz w:val="24"/>
          <w:szCs w:val="24"/>
          <w:lang w:val="sr-Cyrl-CS"/>
        </w:rPr>
        <w:t xml:space="preserve"> сектору пољопривреде, развој и примена најбоље праксе захтевају инвестиције у одређене ефикасније и ресурсно искористивије технике.</w:t>
      </w:r>
    </w:p>
    <w:p w14:paraId="239B0CB3" w14:textId="77777777" w:rsidR="00A0251B" w:rsidRPr="00CC35F0" w:rsidRDefault="008D6506" w:rsidP="00D22F0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Трошкови спровођења специфичних ПиМ представљени су као укупни годишњи трошкови, који су збир капиталних трошкова приказаних по годинама и оперативних трошкова. Инвестиције у опрему спремну за рад, приказане по годинама, узимају у обзир улагање (у еврима), период од неколико година који одговара годинама животног циклуса опреме, примењује се годишња стопа од 4%, која одговара стопи из модела </w:t>
      </w:r>
      <w:r w:rsidRPr="00CC35F0">
        <w:rPr>
          <w:rFonts w:ascii="Times New Roman" w:eastAsia="Times New Roman" w:hAnsi="Times New Roman"/>
          <w:i/>
          <w:sz w:val="24"/>
          <w:szCs w:val="24"/>
          <w:lang w:val="sr-Cyrl-CS"/>
        </w:rPr>
        <w:t>GAINS</w:t>
      </w:r>
      <w:r w:rsidRPr="00CC35F0">
        <w:rPr>
          <w:rFonts w:ascii="Times New Roman" w:eastAsia="Times New Roman" w:hAnsi="Times New Roman"/>
          <w:sz w:val="24"/>
          <w:szCs w:val="24"/>
          <w:vertAlign w:val="superscript"/>
          <w:lang w:val="sr-Cyrl-CS"/>
        </w:rPr>
        <w:footnoteReference w:id="28"/>
      </w:r>
      <w:r w:rsidRPr="00CC35F0">
        <w:rPr>
          <w:rFonts w:ascii="Times New Roman" w:eastAsia="Times New Roman" w:hAnsi="Times New Roman"/>
          <w:sz w:val="24"/>
          <w:szCs w:val="24"/>
          <w:lang w:val="sr-Cyrl-CS"/>
        </w:rPr>
        <w:t>. Годишње оперативне трошкове чине фиксни оперативни трошкови (одржавање, осигурање</w:t>
      </w:r>
      <w:r w:rsidR="00AA3727" w:rsidRPr="00CC35F0">
        <w:rPr>
          <w:rFonts w:ascii="Times New Roman" w:eastAsia="Times New Roman" w:hAnsi="Times New Roman"/>
          <w:color w:val="000000"/>
          <w:sz w:val="24"/>
          <w:szCs w:val="24"/>
          <w:lang w:val="sr-Cyrl-CS"/>
        </w:rPr>
        <w:t xml:space="preserve"> итд.</w:t>
      </w:r>
      <w:r w:rsidRPr="00CC35F0">
        <w:rPr>
          <w:rFonts w:ascii="Times New Roman" w:eastAsia="Times New Roman" w:hAnsi="Times New Roman"/>
          <w:sz w:val="24"/>
          <w:szCs w:val="24"/>
          <w:lang w:val="sr-Cyrl-CS"/>
        </w:rPr>
        <w:t>) и варијабилни оперативни трошкови (реагенси, електрична енергија, одлагање отпада</w:t>
      </w:r>
      <w:r w:rsidR="00AA3727" w:rsidRPr="00CC35F0">
        <w:rPr>
          <w:rFonts w:ascii="Times New Roman" w:eastAsia="Times New Roman" w:hAnsi="Times New Roman"/>
          <w:color w:val="000000"/>
          <w:sz w:val="24"/>
          <w:szCs w:val="24"/>
          <w:lang w:val="sr-Cyrl-CS"/>
        </w:rPr>
        <w:t>, итд.</w:t>
      </w:r>
      <w:r w:rsidRPr="00CC35F0">
        <w:rPr>
          <w:rFonts w:ascii="Times New Roman" w:eastAsia="Times New Roman" w:hAnsi="Times New Roman"/>
          <w:sz w:val="24"/>
          <w:szCs w:val="24"/>
          <w:lang w:val="sr-Cyrl-CS"/>
        </w:rPr>
        <w:t>).</w:t>
      </w:r>
      <w:r w:rsidR="00AA3727" w:rsidRPr="00CC35F0">
        <w:rPr>
          <w:rFonts w:ascii="Times New Roman" w:eastAsia="Times New Roman" w:hAnsi="Times New Roman"/>
          <w:color w:val="000000"/>
          <w:sz w:val="24"/>
          <w:szCs w:val="24"/>
          <w:lang w:val="sr-Cyrl-CS"/>
        </w:rPr>
        <w:t xml:space="preserve"> </w:t>
      </w:r>
    </w:p>
    <w:p w14:paraId="0E4304E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296CEF34" wp14:editId="53216812">
            <wp:extent cx="4740275" cy="2940685"/>
            <wp:effectExtent l="0" t="0" r="0" b="0"/>
            <wp:docPr id="582"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34"/>
                    <a:srcRect/>
                    <a:stretch>
                      <a:fillRect/>
                    </a:stretch>
                  </pic:blipFill>
                  <pic:spPr>
                    <a:xfrm>
                      <a:off x="0" y="0"/>
                      <a:ext cx="4740275" cy="2940685"/>
                    </a:xfrm>
                    <a:prstGeom prst="rect">
                      <a:avLst/>
                    </a:prstGeom>
                    <a:ln/>
                  </pic:spPr>
                </pic:pic>
              </a:graphicData>
            </a:graphic>
          </wp:inline>
        </w:drawing>
      </w:r>
    </w:p>
    <w:p w14:paraId="3C1FA52D" w14:textId="77777777" w:rsidR="00A0251B" w:rsidRPr="00CC35F0" w:rsidRDefault="008D6506">
      <w:pPr>
        <w:rPr>
          <w:rFonts w:ascii="Times New Roman" w:eastAsia="Times New Roman" w:hAnsi="Times New Roman"/>
          <w:b/>
          <w:sz w:val="24"/>
          <w:szCs w:val="24"/>
          <w:lang w:val="sr-Cyrl-CS"/>
        </w:rPr>
      </w:pPr>
      <w:bookmarkStart w:id="52" w:name="_heading=h.206ipza" w:colFirst="0" w:colLast="0"/>
      <w:bookmarkEnd w:id="52"/>
      <w:r w:rsidRPr="00CC35F0">
        <w:rPr>
          <w:rFonts w:ascii="Times New Roman" w:eastAsia="Times New Roman" w:hAnsi="Times New Roman"/>
          <w:b/>
          <w:sz w:val="24"/>
          <w:szCs w:val="24"/>
          <w:lang w:val="sr-Cyrl-CS"/>
        </w:rPr>
        <w:t>Слика 19: Додатни кумулативни инвестициони трошкови за сценарије WAM A, WAM B и WAM C</w:t>
      </w:r>
    </w:p>
    <w:p w14:paraId="25107CFA" w14:textId="77777777" w:rsidR="00A0251B" w:rsidRPr="00CC35F0" w:rsidRDefault="008D6506" w:rsidP="00D22F0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Процена кумулативних инвестиционих трошкова (</w:t>
      </w:r>
      <w:r w:rsidRPr="00CC35F0">
        <w:rPr>
          <w:rFonts w:ascii="Times New Roman" w:eastAsia="Times New Roman" w:hAnsi="Times New Roman"/>
          <w:b/>
          <w:sz w:val="24"/>
          <w:szCs w:val="24"/>
          <w:lang w:val="sr-Cyrl-CS"/>
        </w:rPr>
        <w:t>Слика 19</w:t>
      </w:r>
      <w:r w:rsidRPr="00CC35F0">
        <w:rPr>
          <w:rFonts w:ascii="Times New Roman" w:eastAsia="Times New Roman" w:hAnsi="Times New Roman"/>
          <w:sz w:val="24"/>
          <w:szCs w:val="24"/>
          <w:lang w:val="sr-Cyrl-CS"/>
        </w:rPr>
        <w:t xml:space="preserve">) је показала да сценарио WAM C захтева три пута више улагања од сценарија WAM A, а само 4,8% више од сценарија WAM B, и ови трошкови износе 2594,6 милиона евра за период 2022-2030. године. </w:t>
      </w:r>
    </w:p>
    <w:p w14:paraId="04973D32" w14:textId="77777777" w:rsidR="00A0251B" w:rsidRPr="00CC35F0" w:rsidRDefault="008D6506" w:rsidP="00D22F0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Поређење сценарија ублажавања, након поделе инвестиција по годинама и по додавању оперативних трошкова, указује на повећање разлике између сценарија. Разлика у </w:t>
      </w:r>
      <w:r w:rsidRPr="00CC35F0">
        <w:rPr>
          <w:rFonts w:ascii="Times New Roman" w:eastAsia="Times New Roman" w:hAnsi="Times New Roman"/>
          <w:sz w:val="24"/>
          <w:szCs w:val="24"/>
          <w:lang w:val="sr-Cyrl-CS"/>
        </w:rPr>
        <w:lastRenderedPageBreak/>
        <w:t>односу на укупне инвестиционе трошкове по годинама за сценарио WAM A износи 50,9 милиона евра, док су укупни трошкови по годинама за сценарио WAM B већи за 117,8 милиона евра и износе 168,7 милиона евра годишње. Највећи процењени укупни годишњи инвестициони трошкови односе се на спровођење сценарија WAM C, чији трошкови износе 189,2 милиона евра годишње, односно 20,6 милион евра годишње више него за сценарио WAM B. Ово поређење приказано је на Слици 20 у наставку. Дет</w:t>
      </w:r>
      <w:r w:rsidR="008E3221" w:rsidRPr="00CC35F0">
        <w:rPr>
          <w:rFonts w:ascii="Times New Roman" w:eastAsia="Times New Roman" w:hAnsi="Times New Roman"/>
          <w:sz w:val="24"/>
          <w:szCs w:val="24"/>
          <w:lang w:val="sr-Cyrl-CS"/>
        </w:rPr>
        <w:t>аљан преглед трошкова дат је у п</w:t>
      </w:r>
      <w:r w:rsidRPr="00CC35F0">
        <w:rPr>
          <w:rFonts w:ascii="Times New Roman" w:eastAsia="Times New Roman" w:hAnsi="Times New Roman"/>
          <w:sz w:val="24"/>
          <w:szCs w:val="24"/>
          <w:lang w:val="sr-Cyrl-CS"/>
        </w:rPr>
        <w:t>о</w:t>
      </w:r>
      <w:r w:rsidR="008E3221" w:rsidRPr="00CC35F0">
        <w:rPr>
          <w:rFonts w:ascii="Times New Roman" w:eastAsia="Times New Roman" w:hAnsi="Times New Roman"/>
          <w:sz w:val="24"/>
          <w:szCs w:val="24"/>
          <w:lang w:val="sr-Cyrl-CS"/>
        </w:rPr>
        <w:t>додељку</w:t>
      </w:r>
      <w:r w:rsidRPr="00CC35F0">
        <w:rPr>
          <w:rFonts w:ascii="Times New Roman" w:eastAsia="Times New Roman" w:hAnsi="Times New Roman"/>
          <w:sz w:val="24"/>
          <w:szCs w:val="24"/>
          <w:lang w:val="sr-Cyrl-CS"/>
        </w:rPr>
        <w:t xml:space="preserve"> 7.2.1 Трошкови спровођења.</w:t>
      </w:r>
    </w:p>
    <w:p w14:paraId="39134762"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43A24DA2" wp14:editId="44892A8D">
            <wp:extent cx="4725670" cy="2940685"/>
            <wp:effectExtent l="0" t="0" r="0" b="0"/>
            <wp:docPr id="58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5"/>
                    <a:srcRect/>
                    <a:stretch>
                      <a:fillRect/>
                    </a:stretch>
                  </pic:blipFill>
                  <pic:spPr>
                    <a:xfrm>
                      <a:off x="0" y="0"/>
                      <a:ext cx="4725670" cy="2940685"/>
                    </a:xfrm>
                    <a:prstGeom prst="rect">
                      <a:avLst/>
                    </a:prstGeom>
                    <a:ln/>
                  </pic:spPr>
                </pic:pic>
              </a:graphicData>
            </a:graphic>
          </wp:inline>
        </w:drawing>
      </w:r>
    </w:p>
    <w:p w14:paraId="33A6587D" w14:textId="77777777" w:rsidR="00A0251B" w:rsidRPr="00CC35F0" w:rsidRDefault="008D6506">
      <w:pPr>
        <w:rPr>
          <w:rFonts w:ascii="Times New Roman" w:eastAsia="Times New Roman" w:hAnsi="Times New Roman"/>
          <w:b/>
          <w:sz w:val="24"/>
          <w:szCs w:val="24"/>
          <w:lang w:val="sr-Cyrl-CS"/>
        </w:rPr>
      </w:pPr>
      <w:bookmarkStart w:id="53" w:name="_heading=h.4k668n3" w:colFirst="0" w:colLast="0"/>
      <w:bookmarkEnd w:id="53"/>
      <w:r w:rsidRPr="00CC35F0">
        <w:rPr>
          <w:rFonts w:ascii="Times New Roman" w:eastAsia="Times New Roman" w:hAnsi="Times New Roman"/>
          <w:b/>
          <w:sz w:val="24"/>
          <w:szCs w:val="24"/>
          <w:lang w:val="sr-Cyrl-CS"/>
        </w:rPr>
        <w:t>Слика 20: Укупни трошкови сценарија WAM A, WAM B и WAM C приказани у годинама</w:t>
      </w:r>
    </w:p>
    <w:p w14:paraId="0F9D7DBE" w14:textId="77777777" w:rsidR="00A0251B" w:rsidRPr="00CC35F0" w:rsidRDefault="00A0251B">
      <w:pPr>
        <w:rPr>
          <w:rFonts w:ascii="Times New Roman" w:eastAsia="Times New Roman" w:hAnsi="Times New Roman"/>
          <w:b/>
          <w:sz w:val="24"/>
          <w:szCs w:val="24"/>
          <w:u w:val="single"/>
          <w:lang w:val="sr-Cyrl-CS"/>
        </w:rPr>
      </w:pPr>
    </w:p>
    <w:p w14:paraId="27ED9CB2" w14:textId="77777777" w:rsidR="00A0251B" w:rsidRPr="00CC35F0" w:rsidRDefault="008D6506" w:rsidP="00D22F02">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Утицаји на здравље</w:t>
      </w:r>
    </w:p>
    <w:p w14:paraId="61A114C1" w14:textId="77777777" w:rsidR="00A0251B" w:rsidRPr="00CC35F0" w:rsidRDefault="008D6506" w:rsidP="00D22F0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За процену утицаја на здравље насталих услед излагања амбијенталном ваздуху лошег квалитета, примењена су два приступа квантификације и новчаног вредновања утицаја загађења ваздуха на морталитет. Показатељи укључују случајеве превремене смрти и разлику година од превремене смрти до просечног животног века. Што се тиче хроничног морталитета, показатељ разлике година (изгубљених година живота) новчано је исказан вредношћу VOLY (енгл. </w:t>
      </w:r>
      <w:r w:rsidRPr="00CC35F0">
        <w:rPr>
          <w:rFonts w:ascii="Times New Roman" w:eastAsia="Times New Roman" w:hAnsi="Times New Roman"/>
          <w:i/>
          <w:sz w:val="24"/>
          <w:szCs w:val="24"/>
          <w:lang w:val="sr-Cyrl-CS"/>
        </w:rPr>
        <w:t>Value of Life Year</w:t>
      </w:r>
      <w:r w:rsidRPr="00CC35F0">
        <w:rPr>
          <w:rFonts w:ascii="Times New Roman" w:eastAsia="Times New Roman" w:hAnsi="Times New Roman"/>
          <w:sz w:val="24"/>
          <w:szCs w:val="24"/>
          <w:lang w:val="sr-Cyrl-CS"/>
        </w:rPr>
        <w:t>, вредност једне године живота), показатељ превремене смрти новчано је приказан кроз вредност</w:t>
      </w:r>
      <w:r w:rsidRPr="00CC35F0">
        <w:rPr>
          <w:rFonts w:ascii="Times New Roman" w:eastAsia="Times New Roman" w:hAnsi="Times New Roman"/>
          <w:i/>
          <w:sz w:val="24"/>
          <w:szCs w:val="24"/>
          <w:lang w:val="sr-Cyrl-CS"/>
        </w:rPr>
        <w:t xml:space="preserve"> VSL</w:t>
      </w:r>
      <w:r w:rsidRPr="00CC35F0">
        <w:rPr>
          <w:rFonts w:ascii="Times New Roman" w:eastAsia="Times New Roman" w:hAnsi="Times New Roman"/>
          <w:sz w:val="24"/>
          <w:szCs w:val="24"/>
          <w:lang w:val="sr-Cyrl-CS"/>
        </w:rPr>
        <w:t xml:space="preserve"> (енгл. </w:t>
      </w:r>
      <w:r w:rsidRPr="00CC35F0">
        <w:rPr>
          <w:rFonts w:ascii="Times New Roman" w:eastAsia="Times New Roman" w:hAnsi="Times New Roman"/>
          <w:i/>
          <w:sz w:val="24"/>
          <w:szCs w:val="24"/>
          <w:lang w:val="sr-Cyrl-CS"/>
        </w:rPr>
        <w:t>Value of Statistical Life</w:t>
      </w:r>
      <w:r w:rsidRPr="00CC35F0">
        <w:rPr>
          <w:rFonts w:ascii="Times New Roman" w:eastAsia="Times New Roman" w:hAnsi="Times New Roman"/>
          <w:sz w:val="24"/>
          <w:szCs w:val="24"/>
          <w:lang w:val="sr-Cyrl-CS"/>
        </w:rPr>
        <w:t>, статистичка вредност живота). Ове вредности добијене су истраживањима спремности за плаћање</w:t>
      </w:r>
      <w:r w:rsidRPr="00CC35F0">
        <w:rPr>
          <w:rFonts w:ascii="Times New Roman" w:eastAsia="Times New Roman" w:hAnsi="Times New Roman"/>
          <w:sz w:val="24"/>
          <w:szCs w:val="24"/>
          <w:vertAlign w:val="superscript"/>
          <w:lang w:val="sr-Cyrl-CS"/>
        </w:rPr>
        <w:footnoteReference w:id="29"/>
      </w:r>
      <w:r w:rsidRPr="00CC35F0">
        <w:rPr>
          <w:rFonts w:ascii="Times New Roman" w:eastAsia="Times New Roman" w:hAnsi="Times New Roman"/>
          <w:sz w:val="24"/>
          <w:szCs w:val="24"/>
          <w:lang w:val="sr-Cyrl-CS"/>
        </w:rPr>
        <w:t xml:space="preserve">. VSL представља процену штете засновану на броју људи који су спремни да плате за смањење ризика од умирања услед здравствених проблема. VOLY представља процену штете засновану на скраћењу животног века (исказаног у потенцијално изгубљеним годинама живота). Ова мера узима у обзир старосно доба у којем смрт наступа. </w:t>
      </w:r>
    </w:p>
    <w:p w14:paraId="7BA623E0" w14:textId="77777777" w:rsidR="00A0251B" w:rsidRPr="00CC35F0" w:rsidRDefault="008D6506" w:rsidP="00D22F0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Моделирање утицаја на здравље применом модела </w:t>
      </w:r>
      <w:r w:rsidRPr="00CC35F0">
        <w:rPr>
          <w:rFonts w:ascii="Times New Roman" w:eastAsia="Times New Roman" w:hAnsi="Times New Roman"/>
          <w:i/>
          <w:sz w:val="24"/>
          <w:szCs w:val="24"/>
          <w:lang w:val="sr-Cyrl-CS"/>
        </w:rPr>
        <w:t>Alpha-RiskPoll</w:t>
      </w:r>
      <w:r w:rsidRPr="00CC35F0">
        <w:rPr>
          <w:rFonts w:ascii="Times New Roman" w:eastAsia="Times New Roman" w:hAnsi="Times New Roman"/>
          <w:sz w:val="24"/>
          <w:szCs w:val="24"/>
          <w:lang w:val="sr-Cyrl-CS"/>
        </w:rPr>
        <w:t xml:space="preserve"> показује да би за Републику Србију најскупљи сценарио био игнорисање трошкова здравствених проблема насталих због лошег квалитета ваздуха и непредузимања никаквих радњи.</w:t>
      </w:r>
    </w:p>
    <w:p w14:paraId="2FBB3A91" w14:textId="77777777" w:rsidR="00A0251B" w:rsidRPr="00CC35F0" w:rsidRDefault="008D6506">
      <w:pPr>
        <w:keepNext/>
        <w:spacing w:after="0"/>
        <w:rPr>
          <w:rFonts w:ascii="Times New Roman" w:eastAsia="Times New Roman" w:hAnsi="Times New Roman"/>
          <w:b/>
          <w:sz w:val="24"/>
          <w:szCs w:val="24"/>
          <w:lang w:val="sr-Cyrl-CS"/>
        </w:rPr>
      </w:pPr>
      <w:bookmarkStart w:id="54" w:name="_heading=h.2zbgiuw" w:colFirst="0" w:colLast="0"/>
      <w:bookmarkEnd w:id="54"/>
      <w:r w:rsidRPr="00CC35F0">
        <w:rPr>
          <w:rFonts w:ascii="Times New Roman" w:eastAsia="Times New Roman" w:hAnsi="Times New Roman"/>
          <w:b/>
          <w:sz w:val="24"/>
          <w:szCs w:val="24"/>
          <w:lang w:val="sr-Cyrl-CS"/>
        </w:rPr>
        <w:t>Табела 5-2 Годишњи утицаји на здравље по сценаријима, по одговарајућим јединицама и години</w:t>
      </w:r>
    </w:p>
    <w:tbl>
      <w:tblPr>
        <w:tblStyle w:val="a9"/>
        <w:tblW w:w="9329" w:type="dxa"/>
        <w:tblLayout w:type="fixed"/>
        <w:tblLook w:val="0400" w:firstRow="0" w:lastRow="0" w:firstColumn="0" w:lastColumn="0" w:noHBand="0" w:noVBand="1"/>
      </w:tblPr>
      <w:tblGrid>
        <w:gridCol w:w="1797"/>
        <w:gridCol w:w="1180"/>
        <w:gridCol w:w="1171"/>
        <w:gridCol w:w="1261"/>
        <w:gridCol w:w="980"/>
        <w:gridCol w:w="980"/>
        <w:gridCol w:w="980"/>
        <w:gridCol w:w="980"/>
      </w:tblGrid>
      <w:tr w:rsidR="00A0251B" w:rsidRPr="00CC35F0" w14:paraId="7F764809" w14:textId="77777777">
        <w:trPr>
          <w:trHeight w:val="264"/>
          <w:tblHeader/>
        </w:trPr>
        <w:tc>
          <w:tcPr>
            <w:tcW w:w="1797" w:type="dxa"/>
            <w:vMerge w:val="restart"/>
            <w:tcBorders>
              <w:top w:val="single" w:sz="8" w:space="0" w:color="000000"/>
              <w:left w:val="single" w:sz="8" w:space="0" w:color="000000"/>
              <w:bottom w:val="single" w:sz="8" w:space="0" w:color="000000"/>
              <w:right w:val="single" w:sz="4" w:space="0" w:color="000000"/>
            </w:tcBorders>
            <w:shd w:val="clear" w:color="auto" w:fill="D9E2F3"/>
            <w:vAlign w:val="center"/>
          </w:tcPr>
          <w:p w14:paraId="3CC29F9F" w14:textId="77777777" w:rsidR="00A0251B" w:rsidRPr="00CC35F0" w:rsidRDefault="008D6506">
            <w:pPr>
              <w:keepNext/>
              <w:spacing w:after="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Утицаји на здравље у Републици Србији</w:t>
            </w:r>
          </w:p>
        </w:tc>
        <w:tc>
          <w:tcPr>
            <w:tcW w:w="1180" w:type="dxa"/>
            <w:vMerge w:val="restart"/>
            <w:tcBorders>
              <w:top w:val="single" w:sz="8" w:space="0" w:color="000000"/>
              <w:left w:val="single" w:sz="4" w:space="0" w:color="000000"/>
              <w:right w:val="single" w:sz="4" w:space="0" w:color="000000"/>
            </w:tcBorders>
            <w:shd w:val="clear" w:color="auto" w:fill="D9E2F3"/>
            <w:vAlign w:val="center"/>
          </w:tcPr>
          <w:p w14:paraId="11727387" w14:textId="77777777" w:rsidR="00A0251B" w:rsidRPr="00CC35F0" w:rsidRDefault="008D6506">
            <w:pPr>
              <w:keepNext/>
              <w:spacing w:after="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Јединица</w:t>
            </w:r>
          </w:p>
        </w:tc>
        <w:tc>
          <w:tcPr>
            <w:tcW w:w="1171" w:type="dxa"/>
            <w:vMerge w:val="restart"/>
            <w:tcBorders>
              <w:top w:val="single" w:sz="8" w:space="0" w:color="000000"/>
              <w:left w:val="single" w:sz="4" w:space="0" w:color="000000"/>
              <w:bottom w:val="single" w:sz="8" w:space="0" w:color="000000"/>
              <w:right w:val="single" w:sz="4" w:space="0" w:color="000000"/>
            </w:tcBorders>
            <w:shd w:val="clear" w:color="auto" w:fill="D9E2F3"/>
            <w:vAlign w:val="center"/>
          </w:tcPr>
          <w:p w14:paraId="6EC6B092"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0"/>
                <w:szCs w:val="20"/>
                <w:lang w:val="sr-Cyrl-CS"/>
              </w:rPr>
              <w:t>Загађујућа</w:t>
            </w:r>
            <w:r w:rsidRPr="00CC35F0">
              <w:rPr>
                <w:rFonts w:ascii="Times New Roman" w:eastAsia="Times New Roman" w:hAnsi="Times New Roman"/>
                <w:b/>
                <w:sz w:val="24"/>
                <w:szCs w:val="24"/>
                <w:lang w:val="sr-Cyrl-CS"/>
              </w:rPr>
              <w:t xml:space="preserve"> материја </w:t>
            </w:r>
          </w:p>
        </w:tc>
        <w:tc>
          <w:tcPr>
            <w:tcW w:w="1261" w:type="dxa"/>
            <w:tcBorders>
              <w:top w:val="single" w:sz="8" w:space="0" w:color="000000"/>
              <w:left w:val="nil"/>
              <w:bottom w:val="single" w:sz="4" w:space="0" w:color="000000"/>
              <w:right w:val="single" w:sz="4" w:space="0" w:color="000000"/>
            </w:tcBorders>
            <w:shd w:val="clear" w:color="auto" w:fill="D9E2F3"/>
            <w:vAlign w:val="center"/>
          </w:tcPr>
          <w:p w14:paraId="5770C986"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Референтна година</w:t>
            </w:r>
          </w:p>
        </w:tc>
        <w:tc>
          <w:tcPr>
            <w:tcW w:w="980" w:type="dxa"/>
            <w:tcBorders>
              <w:top w:val="single" w:sz="8" w:space="0" w:color="000000"/>
              <w:left w:val="nil"/>
              <w:bottom w:val="single" w:sz="4" w:space="0" w:color="000000"/>
              <w:right w:val="single" w:sz="4" w:space="0" w:color="000000"/>
            </w:tcBorders>
            <w:shd w:val="clear" w:color="auto" w:fill="D9E2F3"/>
            <w:vAlign w:val="center"/>
          </w:tcPr>
          <w:p w14:paraId="1CEFF685"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WEM</w:t>
            </w:r>
          </w:p>
        </w:tc>
        <w:tc>
          <w:tcPr>
            <w:tcW w:w="980" w:type="dxa"/>
            <w:tcBorders>
              <w:top w:val="single" w:sz="8" w:space="0" w:color="000000"/>
              <w:left w:val="nil"/>
              <w:bottom w:val="single" w:sz="4" w:space="0" w:color="000000"/>
              <w:right w:val="single" w:sz="4" w:space="0" w:color="000000"/>
            </w:tcBorders>
            <w:shd w:val="clear" w:color="auto" w:fill="D9E2F3"/>
            <w:vAlign w:val="center"/>
          </w:tcPr>
          <w:p w14:paraId="3CD101D1"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WAM A</w:t>
            </w:r>
          </w:p>
        </w:tc>
        <w:tc>
          <w:tcPr>
            <w:tcW w:w="980" w:type="dxa"/>
            <w:tcBorders>
              <w:top w:val="single" w:sz="8" w:space="0" w:color="000000"/>
              <w:left w:val="nil"/>
              <w:bottom w:val="single" w:sz="4" w:space="0" w:color="000000"/>
              <w:right w:val="single" w:sz="4" w:space="0" w:color="000000"/>
            </w:tcBorders>
            <w:shd w:val="clear" w:color="auto" w:fill="D9E2F3"/>
            <w:vAlign w:val="center"/>
          </w:tcPr>
          <w:p w14:paraId="393F7CED"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WAM B</w:t>
            </w:r>
          </w:p>
        </w:tc>
        <w:tc>
          <w:tcPr>
            <w:tcW w:w="980" w:type="dxa"/>
            <w:tcBorders>
              <w:top w:val="single" w:sz="8" w:space="0" w:color="000000"/>
              <w:left w:val="nil"/>
              <w:bottom w:val="single" w:sz="4" w:space="0" w:color="000000"/>
              <w:right w:val="single" w:sz="8" w:space="0" w:color="000000"/>
            </w:tcBorders>
            <w:shd w:val="clear" w:color="auto" w:fill="D9E2F3"/>
            <w:vAlign w:val="center"/>
          </w:tcPr>
          <w:p w14:paraId="53A86D4F"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WAM C</w:t>
            </w:r>
          </w:p>
        </w:tc>
      </w:tr>
      <w:tr w:rsidR="00A0251B" w:rsidRPr="00CC35F0" w14:paraId="75004D8C" w14:textId="77777777">
        <w:trPr>
          <w:trHeight w:val="276"/>
          <w:tblHeader/>
        </w:trPr>
        <w:tc>
          <w:tcPr>
            <w:tcW w:w="1797" w:type="dxa"/>
            <w:vMerge/>
            <w:tcBorders>
              <w:top w:val="single" w:sz="8" w:space="0" w:color="000000"/>
              <w:left w:val="single" w:sz="8" w:space="0" w:color="000000"/>
              <w:bottom w:val="single" w:sz="8" w:space="0" w:color="000000"/>
              <w:right w:val="single" w:sz="4" w:space="0" w:color="000000"/>
            </w:tcBorders>
            <w:shd w:val="clear" w:color="auto" w:fill="D9E2F3"/>
            <w:vAlign w:val="center"/>
          </w:tcPr>
          <w:p w14:paraId="77B6876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180" w:type="dxa"/>
            <w:vMerge/>
            <w:tcBorders>
              <w:top w:val="single" w:sz="8" w:space="0" w:color="000000"/>
              <w:left w:val="single" w:sz="4" w:space="0" w:color="000000"/>
              <w:right w:val="single" w:sz="4" w:space="0" w:color="000000"/>
            </w:tcBorders>
            <w:shd w:val="clear" w:color="auto" w:fill="D9E2F3"/>
            <w:vAlign w:val="center"/>
          </w:tcPr>
          <w:p w14:paraId="3074E69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171" w:type="dxa"/>
            <w:vMerge/>
            <w:tcBorders>
              <w:top w:val="single" w:sz="8" w:space="0" w:color="000000"/>
              <w:left w:val="single" w:sz="4" w:space="0" w:color="000000"/>
              <w:bottom w:val="single" w:sz="8" w:space="0" w:color="000000"/>
              <w:right w:val="single" w:sz="4" w:space="0" w:color="000000"/>
            </w:tcBorders>
            <w:shd w:val="clear" w:color="auto" w:fill="D9E2F3"/>
            <w:vAlign w:val="center"/>
          </w:tcPr>
          <w:p w14:paraId="0FBDF70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261" w:type="dxa"/>
            <w:tcBorders>
              <w:top w:val="nil"/>
              <w:left w:val="nil"/>
              <w:bottom w:val="single" w:sz="8" w:space="0" w:color="000000"/>
              <w:right w:val="single" w:sz="4" w:space="0" w:color="000000"/>
            </w:tcBorders>
            <w:shd w:val="clear" w:color="auto" w:fill="D9E2F3"/>
            <w:vAlign w:val="center"/>
          </w:tcPr>
          <w:p w14:paraId="05BBBEA3"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2015.</w:t>
            </w:r>
          </w:p>
        </w:tc>
        <w:tc>
          <w:tcPr>
            <w:tcW w:w="980" w:type="dxa"/>
            <w:tcBorders>
              <w:top w:val="nil"/>
              <w:left w:val="nil"/>
              <w:bottom w:val="single" w:sz="8" w:space="0" w:color="000000"/>
              <w:right w:val="single" w:sz="4" w:space="0" w:color="000000"/>
            </w:tcBorders>
            <w:shd w:val="clear" w:color="auto" w:fill="D9E2F3"/>
            <w:vAlign w:val="center"/>
          </w:tcPr>
          <w:p w14:paraId="0E8D31EF"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2030.</w:t>
            </w:r>
          </w:p>
        </w:tc>
        <w:tc>
          <w:tcPr>
            <w:tcW w:w="980" w:type="dxa"/>
            <w:tcBorders>
              <w:top w:val="nil"/>
              <w:left w:val="nil"/>
              <w:bottom w:val="single" w:sz="8" w:space="0" w:color="000000"/>
              <w:right w:val="single" w:sz="4" w:space="0" w:color="000000"/>
            </w:tcBorders>
            <w:shd w:val="clear" w:color="auto" w:fill="D9E2F3"/>
            <w:vAlign w:val="center"/>
          </w:tcPr>
          <w:p w14:paraId="59C15293"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2030.</w:t>
            </w:r>
          </w:p>
        </w:tc>
        <w:tc>
          <w:tcPr>
            <w:tcW w:w="980" w:type="dxa"/>
            <w:tcBorders>
              <w:top w:val="nil"/>
              <w:left w:val="nil"/>
              <w:bottom w:val="single" w:sz="8" w:space="0" w:color="000000"/>
              <w:right w:val="single" w:sz="4" w:space="0" w:color="000000"/>
            </w:tcBorders>
            <w:shd w:val="clear" w:color="auto" w:fill="D9E2F3"/>
            <w:vAlign w:val="center"/>
          </w:tcPr>
          <w:p w14:paraId="6889A672"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2030.</w:t>
            </w:r>
          </w:p>
        </w:tc>
        <w:tc>
          <w:tcPr>
            <w:tcW w:w="980" w:type="dxa"/>
            <w:tcBorders>
              <w:top w:val="nil"/>
              <w:left w:val="nil"/>
              <w:bottom w:val="single" w:sz="8" w:space="0" w:color="000000"/>
              <w:right w:val="single" w:sz="8" w:space="0" w:color="000000"/>
            </w:tcBorders>
            <w:shd w:val="clear" w:color="auto" w:fill="D9E2F3"/>
            <w:vAlign w:val="center"/>
          </w:tcPr>
          <w:p w14:paraId="03C3437A" w14:textId="77777777" w:rsidR="00A0251B" w:rsidRPr="00CC35F0" w:rsidRDefault="008D6506">
            <w:pPr>
              <w:keepNext/>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2030.</w:t>
            </w:r>
          </w:p>
        </w:tc>
      </w:tr>
      <w:tr w:rsidR="00A0251B" w:rsidRPr="00CC35F0" w14:paraId="4619F902"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27ABF6D6"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Акутни морталитет (све старосне групе)</w:t>
            </w:r>
          </w:p>
        </w:tc>
        <w:tc>
          <w:tcPr>
            <w:tcW w:w="1180" w:type="dxa"/>
            <w:tcBorders>
              <w:top w:val="nil"/>
              <w:left w:val="nil"/>
              <w:bottom w:val="single" w:sz="4" w:space="0" w:color="000000"/>
              <w:right w:val="nil"/>
            </w:tcBorders>
            <w:vAlign w:val="center"/>
          </w:tcPr>
          <w:p w14:paraId="0B2936B4"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lang w:val="sr-Cyrl-CS"/>
              </w:rPr>
              <w:t xml:space="preserve">Случајеви </w:t>
            </w:r>
            <w:r w:rsidRPr="00CC35F0">
              <w:rPr>
                <w:rFonts w:ascii="Times New Roman" w:eastAsia="Times New Roman" w:hAnsi="Times New Roman"/>
                <w:sz w:val="24"/>
                <w:szCs w:val="24"/>
                <w:lang w:val="sr-Cyrl-CS"/>
              </w:rPr>
              <w:t>превремене смрти</w:t>
            </w:r>
          </w:p>
        </w:tc>
        <w:tc>
          <w:tcPr>
            <w:tcW w:w="1171" w:type="dxa"/>
            <w:vMerge w:val="restart"/>
            <w:tcBorders>
              <w:top w:val="nil"/>
              <w:left w:val="single" w:sz="4" w:space="0" w:color="000000"/>
              <w:bottom w:val="single" w:sz="8" w:space="0" w:color="000000"/>
              <w:right w:val="single" w:sz="4" w:space="0" w:color="000000"/>
            </w:tcBorders>
            <w:shd w:val="clear" w:color="auto" w:fill="auto"/>
            <w:vAlign w:val="center"/>
          </w:tcPr>
          <w:p w14:paraId="47244B64"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O</w:t>
            </w:r>
            <w:r w:rsidRPr="00CC35F0">
              <w:rPr>
                <w:rFonts w:ascii="Times New Roman" w:eastAsia="Times New Roman" w:hAnsi="Times New Roman"/>
                <w:sz w:val="24"/>
                <w:szCs w:val="24"/>
                <w:vertAlign w:val="subscript"/>
                <w:lang w:val="sr-Cyrl-CS"/>
              </w:rPr>
              <w:t>3</w:t>
            </w:r>
          </w:p>
        </w:tc>
        <w:tc>
          <w:tcPr>
            <w:tcW w:w="1261" w:type="dxa"/>
            <w:tcBorders>
              <w:top w:val="nil"/>
              <w:left w:val="nil"/>
              <w:bottom w:val="single" w:sz="4" w:space="0" w:color="000000"/>
              <w:right w:val="single" w:sz="4" w:space="0" w:color="000000"/>
            </w:tcBorders>
            <w:shd w:val="clear" w:color="auto" w:fill="auto"/>
            <w:vAlign w:val="center"/>
          </w:tcPr>
          <w:p w14:paraId="566D176A"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461</w:t>
            </w:r>
          </w:p>
        </w:tc>
        <w:tc>
          <w:tcPr>
            <w:tcW w:w="980" w:type="dxa"/>
            <w:tcBorders>
              <w:top w:val="nil"/>
              <w:left w:val="nil"/>
              <w:bottom w:val="single" w:sz="4" w:space="0" w:color="000000"/>
              <w:right w:val="single" w:sz="4" w:space="0" w:color="000000"/>
            </w:tcBorders>
            <w:shd w:val="clear" w:color="auto" w:fill="auto"/>
            <w:vAlign w:val="center"/>
          </w:tcPr>
          <w:p w14:paraId="3228206A"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365</w:t>
            </w:r>
          </w:p>
        </w:tc>
        <w:tc>
          <w:tcPr>
            <w:tcW w:w="980" w:type="dxa"/>
            <w:tcBorders>
              <w:top w:val="nil"/>
              <w:left w:val="nil"/>
              <w:bottom w:val="single" w:sz="4" w:space="0" w:color="000000"/>
              <w:right w:val="single" w:sz="4" w:space="0" w:color="000000"/>
            </w:tcBorders>
            <w:shd w:val="clear" w:color="auto" w:fill="auto"/>
            <w:vAlign w:val="center"/>
          </w:tcPr>
          <w:p w14:paraId="4870535B"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358</w:t>
            </w:r>
          </w:p>
        </w:tc>
        <w:tc>
          <w:tcPr>
            <w:tcW w:w="980" w:type="dxa"/>
            <w:tcBorders>
              <w:top w:val="nil"/>
              <w:left w:val="nil"/>
              <w:bottom w:val="single" w:sz="4" w:space="0" w:color="000000"/>
              <w:right w:val="single" w:sz="4" w:space="0" w:color="000000"/>
            </w:tcBorders>
            <w:shd w:val="clear" w:color="auto" w:fill="auto"/>
            <w:vAlign w:val="center"/>
          </w:tcPr>
          <w:p w14:paraId="183AA387"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352</w:t>
            </w:r>
          </w:p>
        </w:tc>
        <w:tc>
          <w:tcPr>
            <w:tcW w:w="980" w:type="dxa"/>
            <w:tcBorders>
              <w:top w:val="nil"/>
              <w:left w:val="nil"/>
              <w:bottom w:val="single" w:sz="4" w:space="0" w:color="000000"/>
              <w:right w:val="single" w:sz="8" w:space="0" w:color="000000"/>
            </w:tcBorders>
            <w:shd w:val="clear" w:color="auto" w:fill="auto"/>
            <w:vAlign w:val="center"/>
          </w:tcPr>
          <w:p w14:paraId="1CA020E0"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352</w:t>
            </w:r>
          </w:p>
        </w:tc>
      </w:tr>
      <w:tr w:rsidR="00A0251B" w:rsidRPr="00CC35F0" w14:paraId="6FA1DF50"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6D728E13"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Пријем у болницу због респираторних тегоба (&gt;64)</w:t>
            </w:r>
          </w:p>
        </w:tc>
        <w:tc>
          <w:tcPr>
            <w:tcW w:w="1180" w:type="dxa"/>
            <w:tcBorders>
              <w:top w:val="nil"/>
              <w:left w:val="nil"/>
              <w:bottom w:val="single" w:sz="4" w:space="0" w:color="000000"/>
              <w:right w:val="nil"/>
            </w:tcBorders>
            <w:vAlign w:val="center"/>
          </w:tcPr>
          <w:p w14:paraId="5EC172A0" w14:textId="77777777" w:rsidR="00A0251B" w:rsidRPr="00CC35F0" w:rsidRDefault="008D6506">
            <w:pPr>
              <w:keepNext/>
              <w:spacing w:after="0"/>
              <w:jc w:val="left"/>
              <w:rPr>
                <w:rFonts w:ascii="Times New Roman" w:eastAsia="Times New Roman" w:hAnsi="Times New Roman"/>
                <w:lang w:val="sr-Cyrl-CS"/>
              </w:rPr>
            </w:pPr>
            <w:r w:rsidRPr="00CC35F0">
              <w:rPr>
                <w:rFonts w:ascii="Times New Roman" w:eastAsia="Times New Roman" w:hAnsi="Times New Roman"/>
                <w:lang w:val="sr-Cyrl-CS"/>
              </w:rPr>
              <w:t>Случајеви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3E574A8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35D3E8AD"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242</w:t>
            </w:r>
          </w:p>
        </w:tc>
        <w:tc>
          <w:tcPr>
            <w:tcW w:w="980" w:type="dxa"/>
            <w:tcBorders>
              <w:top w:val="nil"/>
              <w:left w:val="nil"/>
              <w:bottom w:val="single" w:sz="4" w:space="0" w:color="000000"/>
              <w:right w:val="single" w:sz="4" w:space="0" w:color="000000"/>
            </w:tcBorders>
            <w:shd w:val="clear" w:color="auto" w:fill="auto"/>
            <w:vAlign w:val="center"/>
          </w:tcPr>
          <w:p w14:paraId="1D920C71"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225</w:t>
            </w:r>
          </w:p>
        </w:tc>
        <w:tc>
          <w:tcPr>
            <w:tcW w:w="980" w:type="dxa"/>
            <w:tcBorders>
              <w:top w:val="nil"/>
              <w:left w:val="nil"/>
              <w:bottom w:val="single" w:sz="4" w:space="0" w:color="000000"/>
              <w:right w:val="single" w:sz="4" w:space="0" w:color="000000"/>
            </w:tcBorders>
            <w:shd w:val="clear" w:color="auto" w:fill="auto"/>
            <w:vAlign w:val="center"/>
          </w:tcPr>
          <w:p w14:paraId="06F40B7E"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221</w:t>
            </w:r>
          </w:p>
        </w:tc>
        <w:tc>
          <w:tcPr>
            <w:tcW w:w="980" w:type="dxa"/>
            <w:tcBorders>
              <w:top w:val="nil"/>
              <w:left w:val="nil"/>
              <w:bottom w:val="single" w:sz="4" w:space="0" w:color="000000"/>
              <w:right w:val="single" w:sz="4" w:space="0" w:color="000000"/>
            </w:tcBorders>
            <w:shd w:val="clear" w:color="auto" w:fill="auto"/>
            <w:vAlign w:val="center"/>
          </w:tcPr>
          <w:p w14:paraId="5B699C57"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218</w:t>
            </w:r>
          </w:p>
        </w:tc>
        <w:tc>
          <w:tcPr>
            <w:tcW w:w="980" w:type="dxa"/>
            <w:tcBorders>
              <w:top w:val="nil"/>
              <w:left w:val="nil"/>
              <w:bottom w:val="single" w:sz="4" w:space="0" w:color="000000"/>
              <w:right w:val="single" w:sz="8" w:space="0" w:color="000000"/>
            </w:tcBorders>
            <w:shd w:val="clear" w:color="auto" w:fill="auto"/>
            <w:vAlign w:val="center"/>
          </w:tcPr>
          <w:p w14:paraId="7D9F9EF4"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217</w:t>
            </w:r>
          </w:p>
        </w:tc>
      </w:tr>
      <w:tr w:rsidR="00A0251B" w:rsidRPr="00CC35F0" w14:paraId="1B5259E3"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3000F6D3"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Пријем у болницу због кардио-васкуларних тегоба (&gt;64)</w:t>
            </w:r>
          </w:p>
        </w:tc>
        <w:tc>
          <w:tcPr>
            <w:tcW w:w="1180" w:type="dxa"/>
            <w:tcBorders>
              <w:top w:val="nil"/>
              <w:left w:val="nil"/>
              <w:bottom w:val="single" w:sz="4" w:space="0" w:color="000000"/>
              <w:right w:val="nil"/>
            </w:tcBorders>
            <w:vAlign w:val="center"/>
          </w:tcPr>
          <w:p w14:paraId="3009D2BF" w14:textId="77777777" w:rsidR="00A0251B" w:rsidRPr="00CC35F0" w:rsidRDefault="008D6506">
            <w:pPr>
              <w:keepNext/>
              <w:spacing w:after="0"/>
              <w:jc w:val="left"/>
              <w:rPr>
                <w:rFonts w:ascii="Times New Roman" w:eastAsia="Times New Roman" w:hAnsi="Times New Roman"/>
                <w:lang w:val="sr-Cyrl-CS"/>
              </w:rPr>
            </w:pPr>
            <w:r w:rsidRPr="00CC35F0">
              <w:rPr>
                <w:rFonts w:ascii="Times New Roman" w:eastAsia="Times New Roman" w:hAnsi="Times New Roman"/>
                <w:lang w:val="sr-Cyrl-CS"/>
              </w:rPr>
              <w:t>Случајеви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03E6B7E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452A4D45"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B53E2C">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061</w:t>
            </w:r>
          </w:p>
        </w:tc>
        <w:tc>
          <w:tcPr>
            <w:tcW w:w="980" w:type="dxa"/>
            <w:tcBorders>
              <w:top w:val="nil"/>
              <w:left w:val="nil"/>
              <w:bottom w:val="single" w:sz="4" w:space="0" w:color="000000"/>
              <w:right w:val="single" w:sz="4" w:space="0" w:color="000000"/>
            </w:tcBorders>
            <w:shd w:val="clear" w:color="auto" w:fill="auto"/>
            <w:vAlign w:val="center"/>
          </w:tcPr>
          <w:p w14:paraId="02E331ED"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53E2C">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922</w:t>
            </w:r>
          </w:p>
        </w:tc>
        <w:tc>
          <w:tcPr>
            <w:tcW w:w="980" w:type="dxa"/>
            <w:tcBorders>
              <w:top w:val="nil"/>
              <w:left w:val="nil"/>
              <w:bottom w:val="single" w:sz="4" w:space="0" w:color="000000"/>
              <w:right w:val="single" w:sz="4" w:space="0" w:color="000000"/>
            </w:tcBorders>
            <w:shd w:val="clear" w:color="auto" w:fill="auto"/>
            <w:vAlign w:val="center"/>
          </w:tcPr>
          <w:p w14:paraId="60FF0D1D"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53E2C">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887</w:t>
            </w:r>
          </w:p>
        </w:tc>
        <w:tc>
          <w:tcPr>
            <w:tcW w:w="980" w:type="dxa"/>
            <w:tcBorders>
              <w:top w:val="nil"/>
              <w:left w:val="nil"/>
              <w:bottom w:val="single" w:sz="4" w:space="0" w:color="000000"/>
              <w:right w:val="single" w:sz="4" w:space="0" w:color="000000"/>
            </w:tcBorders>
            <w:shd w:val="clear" w:color="auto" w:fill="auto"/>
            <w:vAlign w:val="center"/>
          </w:tcPr>
          <w:p w14:paraId="33A6FE56"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53E2C">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854</w:t>
            </w:r>
          </w:p>
        </w:tc>
        <w:tc>
          <w:tcPr>
            <w:tcW w:w="980" w:type="dxa"/>
            <w:tcBorders>
              <w:top w:val="nil"/>
              <w:left w:val="nil"/>
              <w:bottom w:val="single" w:sz="4" w:space="0" w:color="000000"/>
              <w:right w:val="single" w:sz="8" w:space="0" w:color="000000"/>
            </w:tcBorders>
            <w:shd w:val="clear" w:color="auto" w:fill="auto"/>
            <w:vAlign w:val="center"/>
          </w:tcPr>
          <w:p w14:paraId="2877E9D5"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53E2C">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852</w:t>
            </w:r>
          </w:p>
        </w:tc>
      </w:tr>
      <w:tr w:rsidR="00A0251B" w:rsidRPr="00CC35F0" w14:paraId="0BEFBC46" w14:textId="77777777" w:rsidTr="00EB190C">
        <w:trPr>
          <w:trHeight w:val="276"/>
        </w:trPr>
        <w:tc>
          <w:tcPr>
            <w:tcW w:w="1797" w:type="dxa"/>
            <w:tcBorders>
              <w:top w:val="nil"/>
              <w:left w:val="single" w:sz="8" w:space="0" w:color="000000"/>
              <w:bottom w:val="single" w:sz="8" w:space="0" w:color="000000"/>
              <w:right w:val="single" w:sz="4" w:space="0" w:color="000000"/>
            </w:tcBorders>
            <w:shd w:val="clear" w:color="auto" w:fill="auto"/>
            <w:vAlign w:val="center"/>
          </w:tcPr>
          <w:p w14:paraId="414F1435"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 ограничених радних активности услед лакших тегоба (све старосне групе)</w:t>
            </w:r>
          </w:p>
        </w:tc>
        <w:tc>
          <w:tcPr>
            <w:tcW w:w="1180" w:type="dxa"/>
            <w:tcBorders>
              <w:top w:val="nil"/>
              <w:left w:val="nil"/>
              <w:bottom w:val="single" w:sz="4" w:space="0" w:color="auto"/>
              <w:right w:val="nil"/>
            </w:tcBorders>
            <w:vAlign w:val="center"/>
          </w:tcPr>
          <w:p w14:paraId="11C71EAE"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1EF0C27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8" w:space="0" w:color="000000"/>
              <w:right w:val="single" w:sz="4" w:space="0" w:color="000000"/>
            </w:tcBorders>
            <w:shd w:val="clear" w:color="auto" w:fill="auto"/>
            <w:vAlign w:val="center"/>
          </w:tcPr>
          <w:p w14:paraId="156227FA" w14:textId="77777777" w:rsidR="00A0251B" w:rsidRPr="00B53E2C" w:rsidRDefault="008D6506">
            <w:pPr>
              <w:spacing w:after="0"/>
              <w:jc w:val="center"/>
              <w:rPr>
                <w:rFonts w:ascii="Times New Roman" w:eastAsia="Times New Roman" w:hAnsi="Times New Roman"/>
                <w:sz w:val="20"/>
                <w:szCs w:val="20"/>
                <w:lang w:val="sr-Cyrl-CS"/>
              </w:rPr>
            </w:pPr>
            <w:r w:rsidRPr="00B53E2C">
              <w:rPr>
                <w:rFonts w:ascii="Times New Roman" w:eastAsia="Times New Roman" w:hAnsi="Times New Roman"/>
                <w:sz w:val="20"/>
                <w:szCs w:val="20"/>
                <w:lang w:val="sr-Cyrl-CS"/>
              </w:rPr>
              <w:t>1.415.555</w:t>
            </w:r>
          </w:p>
        </w:tc>
        <w:tc>
          <w:tcPr>
            <w:tcW w:w="980" w:type="dxa"/>
            <w:tcBorders>
              <w:top w:val="nil"/>
              <w:left w:val="nil"/>
              <w:bottom w:val="single" w:sz="8" w:space="0" w:color="000000"/>
              <w:right w:val="single" w:sz="4" w:space="0" w:color="000000"/>
            </w:tcBorders>
            <w:shd w:val="clear" w:color="auto" w:fill="auto"/>
            <w:vAlign w:val="center"/>
          </w:tcPr>
          <w:p w14:paraId="71A4713E" w14:textId="77777777" w:rsidR="00A0251B" w:rsidRPr="00B53E2C" w:rsidRDefault="008D6506">
            <w:pPr>
              <w:spacing w:after="0"/>
              <w:jc w:val="center"/>
              <w:rPr>
                <w:rFonts w:ascii="Times New Roman" w:eastAsia="Times New Roman" w:hAnsi="Times New Roman"/>
                <w:sz w:val="20"/>
                <w:szCs w:val="20"/>
                <w:lang w:val="sr-Cyrl-CS"/>
              </w:rPr>
            </w:pPr>
            <w:r w:rsidRPr="00B53E2C">
              <w:rPr>
                <w:rFonts w:ascii="Times New Roman" w:eastAsia="Times New Roman" w:hAnsi="Times New Roman"/>
                <w:sz w:val="20"/>
                <w:szCs w:val="20"/>
                <w:lang w:val="sr-Cyrl-CS"/>
              </w:rPr>
              <w:t>1.082.884</w:t>
            </w:r>
          </w:p>
        </w:tc>
        <w:tc>
          <w:tcPr>
            <w:tcW w:w="980" w:type="dxa"/>
            <w:tcBorders>
              <w:top w:val="nil"/>
              <w:left w:val="nil"/>
              <w:bottom w:val="single" w:sz="8" w:space="0" w:color="000000"/>
              <w:right w:val="single" w:sz="4" w:space="0" w:color="000000"/>
            </w:tcBorders>
            <w:shd w:val="clear" w:color="auto" w:fill="auto"/>
            <w:vAlign w:val="center"/>
          </w:tcPr>
          <w:p w14:paraId="4C99460B" w14:textId="77777777" w:rsidR="00A0251B" w:rsidRPr="00B53E2C" w:rsidRDefault="008D6506">
            <w:pPr>
              <w:spacing w:after="0"/>
              <w:jc w:val="center"/>
              <w:rPr>
                <w:rFonts w:ascii="Times New Roman" w:eastAsia="Times New Roman" w:hAnsi="Times New Roman"/>
                <w:sz w:val="20"/>
                <w:szCs w:val="20"/>
                <w:lang w:val="sr-Cyrl-CS"/>
              </w:rPr>
            </w:pPr>
            <w:r w:rsidRPr="00B53E2C">
              <w:rPr>
                <w:rFonts w:ascii="Times New Roman" w:eastAsia="Times New Roman" w:hAnsi="Times New Roman"/>
                <w:sz w:val="20"/>
                <w:szCs w:val="20"/>
                <w:lang w:val="sr-Cyrl-CS"/>
              </w:rPr>
              <w:t>1.063.011</w:t>
            </w:r>
          </w:p>
        </w:tc>
        <w:tc>
          <w:tcPr>
            <w:tcW w:w="980" w:type="dxa"/>
            <w:tcBorders>
              <w:top w:val="nil"/>
              <w:left w:val="nil"/>
              <w:bottom w:val="single" w:sz="8" w:space="0" w:color="000000"/>
              <w:right w:val="single" w:sz="4" w:space="0" w:color="000000"/>
            </w:tcBorders>
            <w:shd w:val="clear" w:color="auto" w:fill="auto"/>
            <w:vAlign w:val="center"/>
          </w:tcPr>
          <w:p w14:paraId="2F20EAD7" w14:textId="77777777" w:rsidR="00A0251B" w:rsidRPr="00B53E2C" w:rsidRDefault="008D6506">
            <w:pPr>
              <w:spacing w:after="0"/>
              <w:jc w:val="center"/>
              <w:rPr>
                <w:rFonts w:ascii="Times New Roman" w:eastAsia="Times New Roman" w:hAnsi="Times New Roman"/>
                <w:sz w:val="20"/>
                <w:szCs w:val="20"/>
                <w:lang w:val="sr-Cyrl-CS"/>
              </w:rPr>
            </w:pPr>
            <w:r w:rsidRPr="00B53E2C">
              <w:rPr>
                <w:rFonts w:ascii="Times New Roman" w:eastAsia="Times New Roman" w:hAnsi="Times New Roman"/>
                <w:sz w:val="20"/>
                <w:szCs w:val="20"/>
                <w:lang w:val="sr-Cyrl-CS"/>
              </w:rPr>
              <w:t>1.044.761</w:t>
            </w:r>
          </w:p>
        </w:tc>
        <w:tc>
          <w:tcPr>
            <w:tcW w:w="980" w:type="dxa"/>
            <w:tcBorders>
              <w:top w:val="nil"/>
              <w:left w:val="nil"/>
              <w:bottom w:val="single" w:sz="8" w:space="0" w:color="000000"/>
              <w:right w:val="single" w:sz="8" w:space="0" w:color="000000"/>
            </w:tcBorders>
            <w:shd w:val="clear" w:color="auto" w:fill="auto"/>
            <w:vAlign w:val="center"/>
          </w:tcPr>
          <w:p w14:paraId="1CDE0197" w14:textId="77777777" w:rsidR="00A0251B" w:rsidRPr="00B53E2C" w:rsidRDefault="008D6506">
            <w:pPr>
              <w:spacing w:after="0"/>
              <w:jc w:val="center"/>
              <w:rPr>
                <w:rFonts w:ascii="Times New Roman" w:eastAsia="Times New Roman" w:hAnsi="Times New Roman"/>
                <w:sz w:val="20"/>
                <w:szCs w:val="20"/>
                <w:lang w:val="sr-Cyrl-CS"/>
              </w:rPr>
            </w:pPr>
            <w:r w:rsidRPr="00B53E2C">
              <w:rPr>
                <w:rFonts w:ascii="Times New Roman" w:eastAsia="Times New Roman" w:hAnsi="Times New Roman"/>
                <w:sz w:val="20"/>
                <w:szCs w:val="20"/>
                <w:lang w:val="sr-Cyrl-CS"/>
              </w:rPr>
              <w:t>1.043.670</w:t>
            </w:r>
          </w:p>
        </w:tc>
      </w:tr>
      <w:tr w:rsidR="00A0251B" w:rsidRPr="00CC35F0" w14:paraId="52340097" w14:textId="77777777" w:rsidTr="00EB190C">
        <w:trPr>
          <w:trHeight w:val="264"/>
        </w:trPr>
        <w:tc>
          <w:tcPr>
            <w:tcW w:w="1797" w:type="dxa"/>
            <w:tcBorders>
              <w:top w:val="nil"/>
              <w:left w:val="single" w:sz="8" w:space="0" w:color="000000"/>
              <w:bottom w:val="single" w:sz="4" w:space="0" w:color="000000"/>
              <w:right w:val="single" w:sz="4" w:space="0" w:color="auto"/>
            </w:tcBorders>
            <w:shd w:val="clear" w:color="auto" w:fill="auto"/>
            <w:vAlign w:val="center"/>
          </w:tcPr>
          <w:p w14:paraId="071688AC"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Хронични морталитет (све старосне групе) </w:t>
            </w:r>
          </w:p>
        </w:tc>
        <w:tc>
          <w:tcPr>
            <w:tcW w:w="1180" w:type="dxa"/>
            <w:tcBorders>
              <w:top w:val="single" w:sz="4" w:space="0" w:color="auto"/>
              <w:left w:val="single" w:sz="4" w:space="0" w:color="auto"/>
              <w:bottom w:val="single" w:sz="4" w:space="0" w:color="auto"/>
              <w:right w:val="single" w:sz="4" w:space="0" w:color="auto"/>
            </w:tcBorders>
            <w:vAlign w:val="center"/>
          </w:tcPr>
          <w:p w14:paraId="0685EDA7"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Године од смрти до </w:t>
            </w:r>
            <w:r w:rsidRPr="00CC35F0">
              <w:rPr>
                <w:rFonts w:ascii="Times New Roman" w:eastAsia="Times New Roman" w:hAnsi="Times New Roman"/>
                <w:lang w:val="sr-Cyrl-CS"/>
              </w:rPr>
              <w:t xml:space="preserve">просечног </w:t>
            </w:r>
            <w:r w:rsidRPr="00CC35F0">
              <w:rPr>
                <w:rFonts w:ascii="Times New Roman" w:eastAsia="Times New Roman" w:hAnsi="Times New Roman"/>
                <w:sz w:val="24"/>
                <w:szCs w:val="24"/>
                <w:lang w:val="sr-Cyrl-CS"/>
              </w:rPr>
              <w:t>животног века</w:t>
            </w:r>
          </w:p>
        </w:tc>
        <w:tc>
          <w:tcPr>
            <w:tcW w:w="1171" w:type="dxa"/>
            <w:vMerge w:val="restart"/>
            <w:tcBorders>
              <w:top w:val="nil"/>
              <w:left w:val="single" w:sz="4" w:space="0" w:color="auto"/>
              <w:bottom w:val="single" w:sz="8" w:space="0" w:color="000000"/>
              <w:right w:val="single" w:sz="4" w:space="0" w:color="000000"/>
            </w:tcBorders>
            <w:shd w:val="clear" w:color="auto" w:fill="auto"/>
            <w:vAlign w:val="center"/>
          </w:tcPr>
          <w:p w14:paraId="5AFAD7DD"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2.5</w:t>
            </w:r>
          </w:p>
        </w:tc>
        <w:tc>
          <w:tcPr>
            <w:tcW w:w="1261" w:type="dxa"/>
            <w:tcBorders>
              <w:top w:val="nil"/>
              <w:left w:val="nil"/>
              <w:bottom w:val="single" w:sz="4" w:space="0" w:color="000000"/>
              <w:right w:val="single" w:sz="4" w:space="0" w:color="000000"/>
            </w:tcBorders>
            <w:shd w:val="clear" w:color="auto" w:fill="auto"/>
            <w:vAlign w:val="center"/>
          </w:tcPr>
          <w:p w14:paraId="64381BF7"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92.013</w:t>
            </w:r>
          </w:p>
        </w:tc>
        <w:tc>
          <w:tcPr>
            <w:tcW w:w="980" w:type="dxa"/>
            <w:tcBorders>
              <w:top w:val="nil"/>
              <w:left w:val="nil"/>
              <w:bottom w:val="single" w:sz="4" w:space="0" w:color="000000"/>
              <w:right w:val="single" w:sz="4" w:space="0" w:color="000000"/>
            </w:tcBorders>
            <w:shd w:val="clear" w:color="auto" w:fill="auto"/>
            <w:vAlign w:val="center"/>
          </w:tcPr>
          <w:p w14:paraId="5795B509"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60.363</w:t>
            </w:r>
          </w:p>
        </w:tc>
        <w:tc>
          <w:tcPr>
            <w:tcW w:w="980" w:type="dxa"/>
            <w:tcBorders>
              <w:top w:val="nil"/>
              <w:left w:val="nil"/>
              <w:bottom w:val="single" w:sz="4" w:space="0" w:color="000000"/>
              <w:right w:val="single" w:sz="4" w:space="0" w:color="000000"/>
            </w:tcBorders>
            <w:shd w:val="clear" w:color="auto" w:fill="auto"/>
            <w:vAlign w:val="center"/>
          </w:tcPr>
          <w:p w14:paraId="254F0019"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54.075</w:t>
            </w:r>
          </w:p>
        </w:tc>
        <w:tc>
          <w:tcPr>
            <w:tcW w:w="980" w:type="dxa"/>
            <w:tcBorders>
              <w:top w:val="nil"/>
              <w:left w:val="nil"/>
              <w:bottom w:val="single" w:sz="4" w:space="0" w:color="000000"/>
              <w:right w:val="single" w:sz="4" w:space="0" w:color="000000"/>
            </w:tcBorders>
            <w:shd w:val="clear" w:color="auto" w:fill="auto"/>
            <w:vAlign w:val="center"/>
          </w:tcPr>
          <w:p w14:paraId="62C39326"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46.918</w:t>
            </w:r>
          </w:p>
        </w:tc>
        <w:tc>
          <w:tcPr>
            <w:tcW w:w="980" w:type="dxa"/>
            <w:tcBorders>
              <w:top w:val="nil"/>
              <w:left w:val="nil"/>
              <w:bottom w:val="single" w:sz="4" w:space="0" w:color="000000"/>
              <w:right w:val="single" w:sz="8" w:space="0" w:color="000000"/>
            </w:tcBorders>
            <w:shd w:val="clear" w:color="auto" w:fill="auto"/>
            <w:vAlign w:val="center"/>
          </w:tcPr>
          <w:p w14:paraId="03F1115E"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44.221</w:t>
            </w:r>
          </w:p>
        </w:tc>
      </w:tr>
      <w:tr w:rsidR="00A0251B" w:rsidRPr="00CC35F0" w14:paraId="5A8DAFAE" w14:textId="77777777" w:rsidTr="00EB190C">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30077899"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Хронични морталитет (30+) </w:t>
            </w:r>
          </w:p>
        </w:tc>
        <w:tc>
          <w:tcPr>
            <w:tcW w:w="1180" w:type="dxa"/>
            <w:tcBorders>
              <w:top w:val="single" w:sz="4" w:space="0" w:color="auto"/>
              <w:left w:val="nil"/>
              <w:bottom w:val="single" w:sz="4" w:space="0" w:color="000000"/>
              <w:right w:val="nil"/>
            </w:tcBorders>
            <w:vAlign w:val="center"/>
          </w:tcPr>
          <w:p w14:paraId="29AA53F5"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w:t>
            </w:r>
            <w:r w:rsidRPr="00CC35F0">
              <w:rPr>
                <w:rFonts w:ascii="Times New Roman" w:eastAsia="Times New Roman" w:hAnsi="Times New Roman"/>
                <w:lang w:val="sr-Cyrl-CS"/>
              </w:rPr>
              <w:t xml:space="preserve">лучајеви </w:t>
            </w:r>
            <w:r w:rsidRPr="00CC35F0">
              <w:rPr>
                <w:rFonts w:ascii="Times New Roman" w:eastAsia="Times New Roman" w:hAnsi="Times New Roman"/>
                <w:sz w:val="24"/>
                <w:szCs w:val="24"/>
                <w:lang w:val="sr-Cyrl-CS"/>
              </w:rPr>
              <w:t>превремене смрти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0663B7B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3A8AEB66"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773</w:t>
            </w:r>
          </w:p>
        </w:tc>
        <w:tc>
          <w:tcPr>
            <w:tcW w:w="980" w:type="dxa"/>
            <w:tcBorders>
              <w:top w:val="nil"/>
              <w:left w:val="nil"/>
              <w:bottom w:val="single" w:sz="4" w:space="0" w:color="000000"/>
              <w:right w:val="single" w:sz="4" w:space="0" w:color="000000"/>
            </w:tcBorders>
            <w:shd w:val="clear" w:color="auto" w:fill="auto"/>
            <w:vAlign w:val="center"/>
          </w:tcPr>
          <w:p w14:paraId="7E7589AF"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373</w:t>
            </w:r>
          </w:p>
        </w:tc>
        <w:tc>
          <w:tcPr>
            <w:tcW w:w="980" w:type="dxa"/>
            <w:tcBorders>
              <w:top w:val="nil"/>
              <w:left w:val="nil"/>
              <w:bottom w:val="single" w:sz="4" w:space="0" w:color="000000"/>
              <w:right w:val="single" w:sz="4" w:space="0" w:color="000000"/>
            </w:tcBorders>
            <w:shd w:val="clear" w:color="auto" w:fill="auto"/>
            <w:vAlign w:val="center"/>
          </w:tcPr>
          <w:p w14:paraId="7E2FF269"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605</w:t>
            </w:r>
          </w:p>
        </w:tc>
        <w:tc>
          <w:tcPr>
            <w:tcW w:w="980" w:type="dxa"/>
            <w:tcBorders>
              <w:top w:val="nil"/>
              <w:left w:val="nil"/>
              <w:bottom w:val="single" w:sz="4" w:space="0" w:color="000000"/>
              <w:right w:val="single" w:sz="4" w:space="0" w:color="000000"/>
            </w:tcBorders>
            <w:shd w:val="clear" w:color="auto" w:fill="auto"/>
            <w:vAlign w:val="center"/>
          </w:tcPr>
          <w:p w14:paraId="10739F75"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731</w:t>
            </w:r>
          </w:p>
        </w:tc>
        <w:tc>
          <w:tcPr>
            <w:tcW w:w="980" w:type="dxa"/>
            <w:tcBorders>
              <w:top w:val="nil"/>
              <w:left w:val="nil"/>
              <w:bottom w:val="single" w:sz="4" w:space="0" w:color="000000"/>
              <w:right w:val="single" w:sz="8" w:space="0" w:color="000000"/>
            </w:tcBorders>
            <w:shd w:val="clear" w:color="auto" w:fill="auto"/>
            <w:vAlign w:val="center"/>
          </w:tcPr>
          <w:p w14:paraId="3EB901FA"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401</w:t>
            </w:r>
          </w:p>
        </w:tc>
      </w:tr>
      <w:tr w:rsidR="00A0251B" w:rsidRPr="00CC35F0" w14:paraId="229A147F"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08999A94"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Морталитет новорођенчади (0-1) </w:t>
            </w:r>
          </w:p>
        </w:tc>
        <w:tc>
          <w:tcPr>
            <w:tcW w:w="1180" w:type="dxa"/>
            <w:tcBorders>
              <w:top w:val="nil"/>
              <w:left w:val="nil"/>
              <w:bottom w:val="single" w:sz="4" w:space="0" w:color="000000"/>
              <w:right w:val="nil"/>
            </w:tcBorders>
            <w:vAlign w:val="center"/>
          </w:tcPr>
          <w:p w14:paraId="07CBD69E"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lang w:val="sr-Cyrl-CS"/>
              </w:rPr>
              <w:t xml:space="preserve">Случајеви </w:t>
            </w:r>
            <w:r w:rsidRPr="00CC35F0">
              <w:rPr>
                <w:rFonts w:ascii="Times New Roman" w:eastAsia="Times New Roman" w:hAnsi="Times New Roman"/>
                <w:sz w:val="24"/>
                <w:szCs w:val="24"/>
                <w:lang w:val="sr-Cyrl-CS"/>
              </w:rPr>
              <w:t>превремене смрти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31F51D6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2374CBA3"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w:t>
            </w:r>
          </w:p>
        </w:tc>
        <w:tc>
          <w:tcPr>
            <w:tcW w:w="980" w:type="dxa"/>
            <w:tcBorders>
              <w:top w:val="nil"/>
              <w:left w:val="nil"/>
              <w:bottom w:val="single" w:sz="4" w:space="0" w:color="000000"/>
              <w:right w:val="single" w:sz="4" w:space="0" w:color="000000"/>
            </w:tcBorders>
            <w:shd w:val="clear" w:color="auto" w:fill="auto"/>
            <w:vAlign w:val="center"/>
          </w:tcPr>
          <w:p w14:paraId="52B4E4EF"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w:t>
            </w:r>
          </w:p>
        </w:tc>
        <w:tc>
          <w:tcPr>
            <w:tcW w:w="980" w:type="dxa"/>
            <w:tcBorders>
              <w:top w:val="nil"/>
              <w:left w:val="nil"/>
              <w:bottom w:val="single" w:sz="4" w:space="0" w:color="000000"/>
              <w:right w:val="single" w:sz="4" w:space="0" w:color="000000"/>
            </w:tcBorders>
            <w:shd w:val="clear" w:color="auto" w:fill="auto"/>
            <w:vAlign w:val="center"/>
          </w:tcPr>
          <w:p w14:paraId="00BF91ED"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p>
        </w:tc>
        <w:tc>
          <w:tcPr>
            <w:tcW w:w="980" w:type="dxa"/>
            <w:tcBorders>
              <w:top w:val="nil"/>
              <w:left w:val="nil"/>
              <w:bottom w:val="single" w:sz="4" w:space="0" w:color="000000"/>
              <w:right w:val="single" w:sz="4" w:space="0" w:color="000000"/>
            </w:tcBorders>
            <w:shd w:val="clear" w:color="auto" w:fill="auto"/>
            <w:vAlign w:val="center"/>
          </w:tcPr>
          <w:p w14:paraId="504DD031"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p>
        </w:tc>
        <w:tc>
          <w:tcPr>
            <w:tcW w:w="980" w:type="dxa"/>
            <w:tcBorders>
              <w:top w:val="nil"/>
              <w:left w:val="nil"/>
              <w:bottom w:val="single" w:sz="4" w:space="0" w:color="000000"/>
              <w:right w:val="single" w:sz="8" w:space="0" w:color="000000"/>
            </w:tcBorders>
            <w:shd w:val="clear" w:color="auto" w:fill="auto"/>
            <w:vAlign w:val="center"/>
          </w:tcPr>
          <w:p w14:paraId="5438D040"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p>
        </w:tc>
      </w:tr>
      <w:tr w:rsidR="00A0251B" w:rsidRPr="00CC35F0" w14:paraId="4793640A"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0C111F89"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Хронични бронхитис (27+)</w:t>
            </w:r>
          </w:p>
        </w:tc>
        <w:tc>
          <w:tcPr>
            <w:tcW w:w="1180" w:type="dxa"/>
            <w:tcBorders>
              <w:top w:val="nil"/>
              <w:left w:val="nil"/>
              <w:bottom w:val="single" w:sz="4" w:space="0" w:color="000000"/>
              <w:right w:val="nil"/>
            </w:tcBorders>
            <w:vAlign w:val="center"/>
          </w:tcPr>
          <w:p w14:paraId="07F3849E" w14:textId="77777777" w:rsidR="00A0251B" w:rsidRPr="00CC35F0" w:rsidRDefault="008D6506">
            <w:pPr>
              <w:keepNext/>
              <w:spacing w:after="0"/>
              <w:jc w:val="left"/>
              <w:rPr>
                <w:rFonts w:ascii="Times New Roman" w:eastAsia="Times New Roman" w:hAnsi="Times New Roman"/>
                <w:lang w:val="sr-Cyrl-CS"/>
              </w:rPr>
            </w:pPr>
            <w:r w:rsidRPr="00CC35F0">
              <w:rPr>
                <w:rFonts w:ascii="Times New Roman" w:eastAsia="Times New Roman" w:hAnsi="Times New Roman"/>
                <w:lang w:val="sr-Cyrl-CS"/>
              </w:rPr>
              <w:t>Случајеви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24335D9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6199580B"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934</w:t>
            </w:r>
          </w:p>
        </w:tc>
        <w:tc>
          <w:tcPr>
            <w:tcW w:w="980" w:type="dxa"/>
            <w:tcBorders>
              <w:top w:val="nil"/>
              <w:left w:val="nil"/>
              <w:bottom w:val="single" w:sz="4" w:space="0" w:color="000000"/>
              <w:right w:val="single" w:sz="4" w:space="0" w:color="000000"/>
            </w:tcBorders>
            <w:shd w:val="clear" w:color="auto" w:fill="auto"/>
            <w:vAlign w:val="center"/>
          </w:tcPr>
          <w:p w14:paraId="52D38C11"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564</w:t>
            </w:r>
          </w:p>
        </w:tc>
        <w:tc>
          <w:tcPr>
            <w:tcW w:w="980" w:type="dxa"/>
            <w:tcBorders>
              <w:top w:val="nil"/>
              <w:left w:val="nil"/>
              <w:bottom w:val="single" w:sz="4" w:space="0" w:color="000000"/>
              <w:right w:val="single" w:sz="4" w:space="0" w:color="000000"/>
            </w:tcBorders>
            <w:shd w:val="clear" w:color="auto" w:fill="auto"/>
            <w:vAlign w:val="center"/>
          </w:tcPr>
          <w:p w14:paraId="18B13B80"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089</w:t>
            </w:r>
          </w:p>
        </w:tc>
        <w:tc>
          <w:tcPr>
            <w:tcW w:w="980" w:type="dxa"/>
            <w:tcBorders>
              <w:top w:val="nil"/>
              <w:left w:val="nil"/>
              <w:bottom w:val="single" w:sz="4" w:space="0" w:color="000000"/>
              <w:right w:val="single" w:sz="4" w:space="0" w:color="000000"/>
            </w:tcBorders>
            <w:shd w:val="clear" w:color="auto" w:fill="auto"/>
            <w:vAlign w:val="center"/>
          </w:tcPr>
          <w:p w14:paraId="62445060"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548</w:t>
            </w:r>
          </w:p>
        </w:tc>
        <w:tc>
          <w:tcPr>
            <w:tcW w:w="980" w:type="dxa"/>
            <w:tcBorders>
              <w:top w:val="nil"/>
              <w:left w:val="nil"/>
              <w:bottom w:val="single" w:sz="4" w:space="0" w:color="000000"/>
              <w:right w:val="single" w:sz="8" w:space="0" w:color="000000"/>
            </w:tcBorders>
            <w:shd w:val="clear" w:color="auto" w:fill="auto"/>
            <w:vAlign w:val="center"/>
          </w:tcPr>
          <w:p w14:paraId="71CC5986"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344</w:t>
            </w:r>
          </w:p>
        </w:tc>
      </w:tr>
      <w:tr w:rsidR="00A0251B" w:rsidRPr="00CC35F0" w14:paraId="1B91D0E5"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7C719EEF" w14:textId="77777777" w:rsidR="00A0251B" w:rsidRPr="00CC35F0" w:rsidRDefault="008D6506" w:rsidP="005A423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Бронхитис код деце старости од </w:t>
            </w:r>
            <w:r w:rsidR="005A4236" w:rsidRPr="00CC35F0">
              <w:rPr>
                <w:rFonts w:ascii="Times New Roman" w:eastAsia="Times New Roman" w:hAnsi="Times New Roman"/>
                <w:sz w:val="24"/>
                <w:szCs w:val="24"/>
                <w:lang w:val="sr-Cyrl-CS"/>
              </w:rPr>
              <w:t>шест</w:t>
            </w:r>
            <w:r w:rsidRPr="00CC35F0">
              <w:rPr>
                <w:rFonts w:ascii="Times New Roman" w:eastAsia="Times New Roman" w:hAnsi="Times New Roman"/>
                <w:sz w:val="24"/>
                <w:szCs w:val="24"/>
                <w:lang w:val="sr-Cyrl-CS"/>
              </w:rPr>
              <w:t xml:space="preserve"> до 12 година</w:t>
            </w:r>
          </w:p>
        </w:tc>
        <w:tc>
          <w:tcPr>
            <w:tcW w:w="1180" w:type="dxa"/>
            <w:tcBorders>
              <w:top w:val="nil"/>
              <w:left w:val="nil"/>
              <w:bottom w:val="single" w:sz="4" w:space="0" w:color="000000"/>
              <w:right w:val="nil"/>
            </w:tcBorders>
            <w:vAlign w:val="center"/>
          </w:tcPr>
          <w:p w14:paraId="2DEB25B8"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Додатни случајеви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3112D71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3AD25FA1"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22.762</w:t>
            </w:r>
          </w:p>
        </w:tc>
        <w:tc>
          <w:tcPr>
            <w:tcW w:w="980" w:type="dxa"/>
            <w:tcBorders>
              <w:top w:val="nil"/>
              <w:left w:val="nil"/>
              <w:bottom w:val="single" w:sz="4" w:space="0" w:color="000000"/>
              <w:right w:val="single" w:sz="4" w:space="0" w:color="000000"/>
            </w:tcBorders>
            <w:shd w:val="clear" w:color="auto" w:fill="auto"/>
            <w:vAlign w:val="center"/>
          </w:tcPr>
          <w:p w14:paraId="33AB67E6"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14.431</w:t>
            </w:r>
          </w:p>
        </w:tc>
        <w:tc>
          <w:tcPr>
            <w:tcW w:w="980" w:type="dxa"/>
            <w:tcBorders>
              <w:top w:val="nil"/>
              <w:left w:val="nil"/>
              <w:bottom w:val="single" w:sz="4" w:space="0" w:color="000000"/>
              <w:right w:val="single" w:sz="4" w:space="0" w:color="000000"/>
            </w:tcBorders>
            <w:shd w:val="clear" w:color="auto" w:fill="auto"/>
            <w:vAlign w:val="center"/>
          </w:tcPr>
          <w:p w14:paraId="51BDB62D"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12.928</w:t>
            </w:r>
          </w:p>
        </w:tc>
        <w:tc>
          <w:tcPr>
            <w:tcW w:w="980" w:type="dxa"/>
            <w:tcBorders>
              <w:top w:val="nil"/>
              <w:left w:val="nil"/>
              <w:bottom w:val="single" w:sz="4" w:space="0" w:color="000000"/>
              <w:right w:val="single" w:sz="4" w:space="0" w:color="000000"/>
            </w:tcBorders>
            <w:shd w:val="clear" w:color="auto" w:fill="auto"/>
            <w:vAlign w:val="center"/>
          </w:tcPr>
          <w:p w14:paraId="7602AB18"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11.217</w:t>
            </w:r>
          </w:p>
        </w:tc>
        <w:tc>
          <w:tcPr>
            <w:tcW w:w="980" w:type="dxa"/>
            <w:tcBorders>
              <w:top w:val="nil"/>
              <w:left w:val="nil"/>
              <w:bottom w:val="single" w:sz="4" w:space="0" w:color="000000"/>
              <w:right w:val="single" w:sz="8" w:space="0" w:color="000000"/>
            </w:tcBorders>
            <w:shd w:val="clear" w:color="auto" w:fill="auto"/>
            <w:vAlign w:val="center"/>
          </w:tcPr>
          <w:p w14:paraId="5F6AB43F"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10.572</w:t>
            </w:r>
          </w:p>
        </w:tc>
      </w:tr>
      <w:tr w:rsidR="00A0251B" w:rsidRPr="00CC35F0" w14:paraId="7B014E5B"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4407AC45"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Пријем у болницу због респираторних тегоба (све старосне групе)</w:t>
            </w:r>
          </w:p>
        </w:tc>
        <w:tc>
          <w:tcPr>
            <w:tcW w:w="1180" w:type="dxa"/>
            <w:tcBorders>
              <w:top w:val="nil"/>
              <w:left w:val="nil"/>
              <w:bottom w:val="single" w:sz="4" w:space="0" w:color="000000"/>
              <w:right w:val="nil"/>
            </w:tcBorders>
            <w:vAlign w:val="center"/>
          </w:tcPr>
          <w:p w14:paraId="7568AD0D" w14:textId="77777777" w:rsidR="00A0251B" w:rsidRPr="00CC35F0" w:rsidRDefault="008D6506">
            <w:pPr>
              <w:keepNext/>
              <w:spacing w:after="0"/>
              <w:jc w:val="left"/>
              <w:rPr>
                <w:rFonts w:ascii="Times New Roman" w:eastAsia="Times New Roman" w:hAnsi="Times New Roman"/>
                <w:lang w:val="sr-Cyrl-CS"/>
              </w:rPr>
            </w:pPr>
            <w:r w:rsidRPr="00CC35F0">
              <w:rPr>
                <w:rFonts w:ascii="Times New Roman" w:eastAsia="Times New Roman" w:hAnsi="Times New Roman"/>
                <w:lang w:val="sr-Cyrl-CS"/>
              </w:rPr>
              <w:t>Случајеви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4BC3D1B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32506AD0"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261</w:t>
            </w:r>
          </w:p>
        </w:tc>
        <w:tc>
          <w:tcPr>
            <w:tcW w:w="980" w:type="dxa"/>
            <w:tcBorders>
              <w:top w:val="nil"/>
              <w:left w:val="nil"/>
              <w:bottom w:val="single" w:sz="4" w:space="0" w:color="000000"/>
              <w:right w:val="single" w:sz="4" w:space="0" w:color="000000"/>
            </w:tcBorders>
            <w:shd w:val="clear" w:color="auto" w:fill="auto"/>
            <w:vAlign w:val="center"/>
          </w:tcPr>
          <w:p w14:paraId="521E7C89"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103</w:t>
            </w:r>
          </w:p>
        </w:tc>
        <w:tc>
          <w:tcPr>
            <w:tcW w:w="980" w:type="dxa"/>
            <w:tcBorders>
              <w:top w:val="nil"/>
              <w:left w:val="nil"/>
              <w:bottom w:val="single" w:sz="4" w:space="0" w:color="000000"/>
              <w:right w:val="single" w:sz="4" w:space="0" w:color="000000"/>
            </w:tcBorders>
            <w:shd w:val="clear" w:color="auto" w:fill="auto"/>
            <w:vAlign w:val="center"/>
          </w:tcPr>
          <w:p w14:paraId="769C7ED7"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780</w:t>
            </w:r>
          </w:p>
        </w:tc>
        <w:tc>
          <w:tcPr>
            <w:tcW w:w="980" w:type="dxa"/>
            <w:tcBorders>
              <w:top w:val="nil"/>
              <w:left w:val="nil"/>
              <w:bottom w:val="single" w:sz="4" w:space="0" w:color="000000"/>
              <w:right w:val="single" w:sz="4" w:space="0" w:color="000000"/>
            </w:tcBorders>
            <w:shd w:val="clear" w:color="auto" w:fill="auto"/>
            <w:vAlign w:val="center"/>
          </w:tcPr>
          <w:p w14:paraId="6CBAED99"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412</w:t>
            </w:r>
          </w:p>
        </w:tc>
        <w:tc>
          <w:tcPr>
            <w:tcW w:w="980" w:type="dxa"/>
            <w:tcBorders>
              <w:top w:val="nil"/>
              <w:left w:val="nil"/>
              <w:bottom w:val="single" w:sz="4" w:space="0" w:color="000000"/>
              <w:right w:val="single" w:sz="8" w:space="0" w:color="000000"/>
            </w:tcBorders>
            <w:shd w:val="clear" w:color="auto" w:fill="auto"/>
            <w:vAlign w:val="center"/>
          </w:tcPr>
          <w:p w14:paraId="5A39EB36"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273</w:t>
            </w:r>
          </w:p>
        </w:tc>
      </w:tr>
      <w:tr w:rsidR="00A0251B" w:rsidRPr="00CC35F0" w14:paraId="07C522B3"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7C27EDCB"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Пријем у болницу због кардио-васкуларних тегоба (све старосне групе)</w:t>
            </w:r>
          </w:p>
        </w:tc>
        <w:tc>
          <w:tcPr>
            <w:tcW w:w="1180" w:type="dxa"/>
            <w:tcBorders>
              <w:top w:val="nil"/>
              <w:left w:val="nil"/>
              <w:bottom w:val="single" w:sz="4" w:space="0" w:color="000000"/>
              <w:right w:val="nil"/>
            </w:tcBorders>
            <w:vAlign w:val="center"/>
          </w:tcPr>
          <w:p w14:paraId="22DA84F3" w14:textId="77777777" w:rsidR="00A0251B" w:rsidRPr="00CC35F0" w:rsidRDefault="008D6506">
            <w:pPr>
              <w:keepNext/>
              <w:spacing w:after="0"/>
              <w:jc w:val="left"/>
              <w:rPr>
                <w:rFonts w:ascii="Times New Roman" w:eastAsia="Times New Roman" w:hAnsi="Times New Roman"/>
                <w:lang w:val="sr-Cyrl-CS"/>
              </w:rPr>
            </w:pPr>
            <w:r w:rsidRPr="00CC35F0">
              <w:rPr>
                <w:rFonts w:ascii="Times New Roman" w:eastAsia="Times New Roman" w:hAnsi="Times New Roman"/>
                <w:lang w:val="sr-Cyrl-CS"/>
              </w:rPr>
              <w:t>Случајеви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342B300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77DE3689"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144</w:t>
            </w:r>
          </w:p>
        </w:tc>
        <w:tc>
          <w:tcPr>
            <w:tcW w:w="980" w:type="dxa"/>
            <w:tcBorders>
              <w:top w:val="nil"/>
              <w:left w:val="nil"/>
              <w:bottom w:val="single" w:sz="4" w:space="0" w:color="000000"/>
              <w:right w:val="single" w:sz="4" w:space="0" w:color="000000"/>
            </w:tcBorders>
            <w:shd w:val="clear" w:color="auto" w:fill="auto"/>
            <w:vAlign w:val="center"/>
          </w:tcPr>
          <w:p w14:paraId="22DF163D"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746</w:t>
            </w:r>
          </w:p>
        </w:tc>
        <w:tc>
          <w:tcPr>
            <w:tcW w:w="980" w:type="dxa"/>
            <w:tcBorders>
              <w:top w:val="nil"/>
              <w:left w:val="nil"/>
              <w:bottom w:val="single" w:sz="4" w:space="0" w:color="000000"/>
              <w:right w:val="single" w:sz="4" w:space="0" w:color="000000"/>
            </w:tcBorders>
            <w:shd w:val="clear" w:color="auto" w:fill="auto"/>
            <w:vAlign w:val="center"/>
          </w:tcPr>
          <w:p w14:paraId="6364EE5C"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356</w:t>
            </w:r>
          </w:p>
        </w:tc>
        <w:tc>
          <w:tcPr>
            <w:tcW w:w="980" w:type="dxa"/>
            <w:tcBorders>
              <w:top w:val="nil"/>
              <w:left w:val="nil"/>
              <w:bottom w:val="single" w:sz="4" w:space="0" w:color="000000"/>
              <w:right w:val="single" w:sz="4" w:space="0" w:color="000000"/>
            </w:tcBorders>
            <w:shd w:val="clear" w:color="auto" w:fill="auto"/>
            <w:vAlign w:val="center"/>
          </w:tcPr>
          <w:p w14:paraId="32193536"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912</w:t>
            </w:r>
          </w:p>
        </w:tc>
        <w:tc>
          <w:tcPr>
            <w:tcW w:w="980" w:type="dxa"/>
            <w:tcBorders>
              <w:top w:val="nil"/>
              <w:left w:val="nil"/>
              <w:bottom w:val="single" w:sz="4" w:space="0" w:color="000000"/>
              <w:right w:val="single" w:sz="8" w:space="0" w:color="000000"/>
            </w:tcBorders>
            <w:shd w:val="clear" w:color="auto" w:fill="auto"/>
            <w:vAlign w:val="center"/>
          </w:tcPr>
          <w:p w14:paraId="0C1B20C7"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744</w:t>
            </w:r>
          </w:p>
        </w:tc>
      </w:tr>
      <w:tr w:rsidR="00A0251B" w:rsidRPr="00CC35F0" w14:paraId="19D21562"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30D0ED8B"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 ограничених радних активности (све старосне групе)</w:t>
            </w:r>
          </w:p>
        </w:tc>
        <w:tc>
          <w:tcPr>
            <w:tcW w:w="1180" w:type="dxa"/>
            <w:tcBorders>
              <w:top w:val="nil"/>
              <w:left w:val="nil"/>
              <w:bottom w:val="single" w:sz="4" w:space="0" w:color="000000"/>
              <w:right w:val="nil"/>
            </w:tcBorders>
            <w:vAlign w:val="center"/>
          </w:tcPr>
          <w:p w14:paraId="5A35B008"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58AF082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4DD7E967"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8.656.749</w:t>
            </w:r>
          </w:p>
        </w:tc>
        <w:tc>
          <w:tcPr>
            <w:tcW w:w="980" w:type="dxa"/>
            <w:tcBorders>
              <w:top w:val="nil"/>
              <w:left w:val="nil"/>
              <w:bottom w:val="single" w:sz="4" w:space="0" w:color="000000"/>
              <w:right w:val="single" w:sz="4" w:space="0" w:color="000000"/>
            </w:tcBorders>
            <w:shd w:val="clear" w:color="auto" w:fill="auto"/>
            <w:vAlign w:val="center"/>
          </w:tcPr>
          <w:p w14:paraId="6F21E138"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6.371.784</w:t>
            </w:r>
          </w:p>
        </w:tc>
        <w:tc>
          <w:tcPr>
            <w:tcW w:w="980" w:type="dxa"/>
            <w:tcBorders>
              <w:top w:val="nil"/>
              <w:left w:val="nil"/>
              <w:bottom w:val="single" w:sz="4" w:space="0" w:color="000000"/>
              <w:right w:val="single" w:sz="4" w:space="0" w:color="000000"/>
            </w:tcBorders>
            <w:shd w:val="clear" w:color="auto" w:fill="auto"/>
            <w:vAlign w:val="center"/>
          </w:tcPr>
          <w:p w14:paraId="01CA0228"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5.707.963</w:t>
            </w:r>
          </w:p>
        </w:tc>
        <w:tc>
          <w:tcPr>
            <w:tcW w:w="980" w:type="dxa"/>
            <w:tcBorders>
              <w:top w:val="nil"/>
              <w:left w:val="nil"/>
              <w:bottom w:val="single" w:sz="4" w:space="0" w:color="000000"/>
              <w:right w:val="single" w:sz="4" w:space="0" w:color="000000"/>
            </w:tcBorders>
            <w:shd w:val="clear" w:color="auto" w:fill="auto"/>
            <w:vAlign w:val="center"/>
          </w:tcPr>
          <w:p w14:paraId="3DC15FB8"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4.952.499</w:t>
            </w:r>
          </w:p>
        </w:tc>
        <w:tc>
          <w:tcPr>
            <w:tcW w:w="980" w:type="dxa"/>
            <w:tcBorders>
              <w:top w:val="nil"/>
              <w:left w:val="nil"/>
              <w:bottom w:val="single" w:sz="4" w:space="0" w:color="000000"/>
              <w:right w:val="single" w:sz="8" w:space="0" w:color="000000"/>
            </w:tcBorders>
            <w:shd w:val="clear" w:color="auto" w:fill="auto"/>
            <w:vAlign w:val="center"/>
          </w:tcPr>
          <w:p w14:paraId="3E81EF9C"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4.667.841</w:t>
            </w:r>
          </w:p>
        </w:tc>
      </w:tr>
      <w:tr w:rsidR="00A0251B" w:rsidRPr="00CC35F0" w14:paraId="18BC9390" w14:textId="77777777" w:rsidTr="00EB190C">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2B8AFEAF" w14:textId="77777777" w:rsidR="00A0251B" w:rsidRPr="00CC35F0" w:rsidRDefault="008D6506" w:rsidP="005A423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Дани у којима се јављају симптоми астме (деца од </w:t>
            </w:r>
            <w:r w:rsidR="005A4236" w:rsidRPr="00CC35F0">
              <w:rPr>
                <w:rFonts w:ascii="Times New Roman" w:eastAsia="Times New Roman" w:hAnsi="Times New Roman"/>
                <w:sz w:val="24"/>
                <w:szCs w:val="24"/>
                <w:lang w:val="sr-Cyrl-CS"/>
              </w:rPr>
              <w:t>пет</w:t>
            </w:r>
            <w:r w:rsidRPr="00CC35F0">
              <w:rPr>
                <w:rFonts w:ascii="Times New Roman" w:eastAsia="Times New Roman" w:hAnsi="Times New Roman"/>
                <w:sz w:val="24"/>
                <w:szCs w:val="24"/>
                <w:lang w:val="sr-Cyrl-CS"/>
              </w:rPr>
              <w:t xml:space="preserve"> до 19 година)</w:t>
            </w:r>
          </w:p>
        </w:tc>
        <w:tc>
          <w:tcPr>
            <w:tcW w:w="1180" w:type="dxa"/>
            <w:tcBorders>
              <w:top w:val="nil"/>
              <w:left w:val="nil"/>
              <w:bottom w:val="single" w:sz="4" w:space="0" w:color="auto"/>
              <w:right w:val="nil"/>
            </w:tcBorders>
            <w:vAlign w:val="center"/>
          </w:tcPr>
          <w:p w14:paraId="0E594E41"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w:t>
            </w:r>
          </w:p>
        </w:tc>
        <w:tc>
          <w:tcPr>
            <w:tcW w:w="1171" w:type="dxa"/>
            <w:vMerge/>
            <w:tcBorders>
              <w:top w:val="nil"/>
              <w:left w:val="single" w:sz="4" w:space="0" w:color="000000"/>
              <w:bottom w:val="single" w:sz="4" w:space="0" w:color="auto"/>
              <w:right w:val="single" w:sz="4" w:space="0" w:color="000000"/>
            </w:tcBorders>
            <w:shd w:val="clear" w:color="auto" w:fill="auto"/>
            <w:vAlign w:val="center"/>
          </w:tcPr>
          <w:p w14:paraId="131BBC7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auto"/>
              <w:right w:val="single" w:sz="4" w:space="0" w:color="000000"/>
            </w:tcBorders>
            <w:shd w:val="clear" w:color="auto" w:fill="auto"/>
            <w:vAlign w:val="center"/>
          </w:tcPr>
          <w:p w14:paraId="2A196165"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186.041</w:t>
            </w:r>
          </w:p>
        </w:tc>
        <w:tc>
          <w:tcPr>
            <w:tcW w:w="980" w:type="dxa"/>
            <w:tcBorders>
              <w:top w:val="nil"/>
              <w:left w:val="nil"/>
              <w:bottom w:val="single" w:sz="4" w:space="0" w:color="000000"/>
              <w:right w:val="single" w:sz="4" w:space="0" w:color="000000"/>
            </w:tcBorders>
            <w:shd w:val="clear" w:color="auto" w:fill="auto"/>
            <w:vAlign w:val="center"/>
          </w:tcPr>
          <w:p w14:paraId="2ABA1C76"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117.950</w:t>
            </w:r>
          </w:p>
        </w:tc>
        <w:tc>
          <w:tcPr>
            <w:tcW w:w="980" w:type="dxa"/>
            <w:tcBorders>
              <w:top w:val="nil"/>
              <w:left w:val="nil"/>
              <w:bottom w:val="single" w:sz="4" w:space="0" w:color="000000"/>
              <w:right w:val="single" w:sz="4" w:space="0" w:color="000000"/>
            </w:tcBorders>
            <w:shd w:val="clear" w:color="auto" w:fill="auto"/>
            <w:vAlign w:val="center"/>
          </w:tcPr>
          <w:p w14:paraId="40E29A42"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105.662</w:t>
            </w:r>
          </w:p>
        </w:tc>
        <w:tc>
          <w:tcPr>
            <w:tcW w:w="980" w:type="dxa"/>
            <w:tcBorders>
              <w:top w:val="nil"/>
              <w:left w:val="nil"/>
              <w:bottom w:val="single" w:sz="4" w:space="0" w:color="000000"/>
              <w:right w:val="single" w:sz="4" w:space="0" w:color="000000"/>
            </w:tcBorders>
            <w:shd w:val="clear" w:color="auto" w:fill="auto"/>
            <w:vAlign w:val="center"/>
          </w:tcPr>
          <w:p w14:paraId="5044A314"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91.677</w:t>
            </w:r>
          </w:p>
        </w:tc>
        <w:tc>
          <w:tcPr>
            <w:tcW w:w="980" w:type="dxa"/>
            <w:tcBorders>
              <w:top w:val="nil"/>
              <w:left w:val="nil"/>
              <w:bottom w:val="single" w:sz="4" w:space="0" w:color="000000"/>
              <w:right w:val="single" w:sz="8" w:space="0" w:color="000000"/>
            </w:tcBorders>
            <w:shd w:val="clear" w:color="auto" w:fill="auto"/>
            <w:vAlign w:val="center"/>
          </w:tcPr>
          <w:p w14:paraId="74310C95"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86.408</w:t>
            </w:r>
          </w:p>
        </w:tc>
      </w:tr>
      <w:tr w:rsidR="00A0251B" w:rsidRPr="00CC35F0" w14:paraId="5D50659F" w14:textId="77777777" w:rsidTr="00EB190C">
        <w:trPr>
          <w:trHeight w:val="276"/>
        </w:trPr>
        <w:tc>
          <w:tcPr>
            <w:tcW w:w="1797" w:type="dxa"/>
            <w:tcBorders>
              <w:top w:val="nil"/>
              <w:left w:val="single" w:sz="8" w:space="0" w:color="000000"/>
              <w:bottom w:val="single" w:sz="8" w:space="0" w:color="000000"/>
              <w:right w:val="single" w:sz="4" w:space="0" w:color="auto"/>
            </w:tcBorders>
            <w:shd w:val="clear" w:color="auto" w:fill="auto"/>
            <w:vAlign w:val="center"/>
          </w:tcPr>
          <w:p w14:paraId="1575B04A"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 спречености за рад (15-64 године)</w:t>
            </w:r>
          </w:p>
        </w:tc>
        <w:tc>
          <w:tcPr>
            <w:tcW w:w="1180" w:type="dxa"/>
            <w:tcBorders>
              <w:top w:val="single" w:sz="4" w:space="0" w:color="auto"/>
              <w:left w:val="single" w:sz="4" w:space="0" w:color="auto"/>
              <w:bottom w:val="single" w:sz="4" w:space="0" w:color="auto"/>
              <w:right w:val="single" w:sz="4" w:space="0" w:color="auto"/>
            </w:tcBorders>
            <w:vAlign w:val="center"/>
          </w:tcPr>
          <w:p w14:paraId="5EF8CA77" w14:textId="77777777" w:rsidR="00A0251B" w:rsidRPr="00CC35F0" w:rsidRDefault="008D6506">
            <w:pPr>
              <w:keepNext/>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Дани</w:t>
            </w:r>
          </w:p>
        </w:tc>
        <w:tc>
          <w:tcPr>
            <w:tcW w:w="117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97C314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14:paraId="7C7BB999" w14:textId="77777777" w:rsidR="00A0251B" w:rsidRPr="00B24DDA" w:rsidRDefault="008D6506">
            <w:pPr>
              <w:keepNext/>
              <w:spacing w:after="0"/>
              <w:jc w:val="center"/>
              <w:rPr>
                <w:rFonts w:ascii="Times New Roman" w:eastAsia="Times New Roman" w:hAnsi="Times New Roman"/>
                <w:sz w:val="20"/>
                <w:szCs w:val="20"/>
                <w:lang w:val="sr-Cyrl-CS"/>
              </w:rPr>
            </w:pPr>
            <w:r w:rsidRPr="00B24DDA">
              <w:rPr>
                <w:rFonts w:ascii="Times New Roman" w:eastAsia="Times New Roman" w:hAnsi="Times New Roman"/>
                <w:sz w:val="20"/>
                <w:szCs w:val="20"/>
                <w:lang w:val="sr-Cyrl-CS"/>
              </w:rPr>
              <w:t>2.132.518</w:t>
            </w:r>
          </w:p>
        </w:tc>
        <w:tc>
          <w:tcPr>
            <w:tcW w:w="980" w:type="dxa"/>
            <w:tcBorders>
              <w:top w:val="nil"/>
              <w:left w:val="single" w:sz="4" w:space="0" w:color="auto"/>
              <w:bottom w:val="single" w:sz="8" w:space="0" w:color="000000"/>
              <w:right w:val="single" w:sz="4" w:space="0" w:color="000000"/>
            </w:tcBorders>
            <w:shd w:val="clear" w:color="auto" w:fill="auto"/>
            <w:vAlign w:val="center"/>
          </w:tcPr>
          <w:p w14:paraId="318C1AFE" w14:textId="77777777" w:rsidR="00A0251B" w:rsidRPr="00B24DDA" w:rsidRDefault="008D6506">
            <w:pPr>
              <w:keepNext/>
              <w:spacing w:after="0"/>
              <w:jc w:val="center"/>
              <w:rPr>
                <w:rFonts w:ascii="Times New Roman" w:eastAsia="Times New Roman" w:hAnsi="Times New Roman"/>
                <w:sz w:val="20"/>
                <w:szCs w:val="20"/>
                <w:lang w:val="sr-Cyrl-CS"/>
              </w:rPr>
            </w:pPr>
            <w:r w:rsidRPr="00B24DDA">
              <w:rPr>
                <w:rFonts w:ascii="Times New Roman" w:eastAsia="Times New Roman" w:hAnsi="Times New Roman"/>
                <w:sz w:val="20"/>
                <w:szCs w:val="20"/>
                <w:lang w:val="sr-Cyrl-CS"/>
              </w:rPr>
              <w:t>1.503.675</w:t>
            </w:r>
          </w:p>
        </w:tc>
        <w:tc>
          <w:tcPr>
            <w:tcW w:w="980" w:type="dxa"/>
            <w:tcBorders>
              <w:top w:val="nil"/>
              <w:left w:val="nil"/>
              <w:bottom w:val="single" w:sz="8" w:space="0" w:color="000000"/>
              <w:right w:val="single" w:sz="4" w:space="0" w:color="000000"/>
            </w:tcBorders>
            <w:shd w:val="clear" w:color="auto" w:fill="auto"/>
            <w:vAlign w:val="center"/>
          </w:tcPr>
          <w:p w14:paraId="66F45837" w14:textId="77777777" w:rsidR="00A0251B" w:rsidRPr="00B24DDA" w:rsidRDefault="008D6506">
            <w:pPr>
              <w:keepNext/>
              <w:spacing w:after="0"/>
              <w:jc w:val="center"/>
              <w:rPr>
                <w:rFonts w:ascii="Times New Roman" w:eastAsia="Times New Roman" w:hAnsi="Times New Roman"/>
                <w:sz w:val="20"/>
                <w:szCs w:val="20"/>
                <w:lang w:val="sr-Cyrl-CS"/>
              </w:rPr>
            </w:pPr>
            <w:r w:rsidRPr="00B24DDA">
              <w:rPr>
                <w:rFonts w:ascii="Times New Roman" w:eastAsia="Times New Roman" w:hAnsi="Times New Roman"/>
                <w:sz w:val="20"/>
                <w:szCs w:val="20"/>
                <w:lang w:val="sr-Cyrl-CS"/>
              </w:rPr>
              <w:t>1.347.020</w:t>
            </w:r>
          </w:p>
        </w:tc>
        <w:tc>
          <w:tcPr>
            <w:tcW w:w="980" w:type="dxa"/>
            <w:tcBorders>
              <w:top w:val="nil"/>
              <w:left w:val="nil"/>
              <w:bottom w:val="single" w:sz="8" w:space="0" w:color="000000"/>
              <w:right w:val="single" w:sz="4" w:space="0" w:color="000000"/>
            </w:tcBorders>
            <w:shd w:val="clear" w:color="auto" w:fill="auto"/>
            <w:vAlign w:val="center"/>
          </w:tcPr>
          <w:p w14:paraId="46E91CEF" w14:textId="77777777" w:rsidR="00A0251B" w:rsidRPr="00B24DDA" w:rsidRDefault="008D6506">
            <w:pPr>
              <w:keepNext/>
              <w:spacing w:after="0"/>
              <w:jc w:val="center"/>
              <w:rPr>
                <w:rFonts w:ascii="Times New Roman" w:eastAsia="Times New Roman" w:hAnsi="Times New Roman"/>
                <w:sz w:val="20"/>
                <w:szCs w:val="20"/>
                <w:lang w:val="sr-Cyrl-CS"/>
              </w:rPr>
            </w:pPr>
            <w:r w:rsidRPr="00B24DDA">
              <w:rPr>
                <w:rFonts w:ascii="Times New Roman" w:eastAsia="Times New Roman" w:hAnsi="Times New Roman"/>
                <w:sz w:val="20"/>
                <w:szCs w:val="20"/>
                <w:lang w:val="sr-Cyrl-CS"/>
              </w:rPr>
              <w:t>1.168.739</w:t>
            </w:r>
          </w:p>
        </w:tc>
        <w:tc>
          <w:tcPr>
            <w:tcW w:w="980" w:type="dxa"/>
            <w:tcBorders>
              <w:top w:val="nil"/>
              <w:left w:val="nil"/>
              <w:bottom w:val="single" w:sz="8" w:space="0" w:color="000000"/>
              <w:right w:val="single" w:sz="8" w:space="0" w:color="000000"/>
            </w:tcBorders>
            <w:shd w:val="clear" w:color="auto" w:fill="auto"/>
            <w:vAlign w:val="center"/>
          </w:tcPr>
          <w:p w14:paraId="7807C653" w14:textId="77777777" w:rsidR="00A0251B" w:rsidRPr="00B24DDA" w:rsidRDefault="008D6506">
            <w:pPr>
              <w:keepNext/>
              <w:spacing w:after="0"/>
              <w:jc w:val="center"/>
              <w:rPr>
                <w:rFonts w:ascii="Times New Roman" w:eastAsia="Times New Roman" w:hAnsi="Times New Roman"/>
                <w:sz w:val="20"/>
                <w:szCs w:val="20"/>
                <w:lang w:val="sr-Cyrl-CS"/>
              </w:rPr>
            </w:pPr>
            <w:r w:rsidRPr="00B24DDA">
              <w:rPr>
                <w:rFonts w:ascii="Times New Roman" w:eastAsia="Times New Roman" w:hAnsi="Times New Roman"/>
                <w:sz w:val="20"/>
                <w:szCs w:val="20"/>
                <w:lang w:val="sr-Cyrl-CS"/>
              </w:rPr>
              <w:t>1.101.563</w:t>
            </w:r>
          </w:p>
        </w:tc>
      </w:tr>
      <w:tr w:rsidR="00A0251B" w:rsidRPr="00CC35F0" w14:paraId="17FD6989" w14:textId="77777777" w:rsidTr="00EB190C">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70576E2F" w14:textId="77777777" w:rsidR="00A0251B" w:rsidRPr="00CC35F0" w:rsidRDefault="005A423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Бронхитис код деце узраста од пет</w:t>
            </w:r>
            <w:r w:rsidR="008D6506" w:rsidRPr="00CC35F0">
              <w:rPr>
                <w:rFonts w:ascii="Times New Roman" w:eastAsia="Times New Roman" w:hAnsi="Times New Roman"/>
                <w:sz w:val="24"/>
                <w:szCs w:val="24"/>
                <w:lang w:val="sr-Cyrl-CS"/>
              </w:rPr>
              <w:t xml:space="preserve"> до 14 година</w:t>
            </w:r>
          </w:p>
        </w:tc>
        <w:tc>
          <w:tcPr>
            <w:tcW w:w="1180" w:type="dxa"/>
            <w:tcBorders>
              <w:top w:val="single" w:sz="4" w:space="0" w:color="auto"/>
              <w:left w:val="nil"/>
              <w:bottom w:val="single" w:sz="4" w:space="0" w:color="000000"/>
              <w:right w:val="nil"/>
            </w:tcBorders>
            <w:vAlign w:val="center"/>
          </w:tcPr>
          <w:p w14:paraId="652AF0B7"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Додатни случајеви</w:t>
            </w:r>
          </w:p>
        </w:tc>
        <w:tc>
          <w:tcPr>
            <w:tcW w:w="1171" w:type="dxa"/>
            <w:vMerge w:val="restart"/>
            <w:tcBorders>
              <w:top w:val="single" w:sz="4" w:space="0" w:color="auto"/>
              <w:left w:val="single" w:sz="4" w:space="0" w:color="000000"/>
              <w:bottom w:val="single" w:sz="8" w:space="0" w:color="000000"/>
              <w:right w:val="single" w:sz="4" w:space="0" w:color="000000"/>
            </w:tcBorders>
            <w:shd w:val="clear" w:color="auto" w:fill="auto"/>
            <w:vAlign w:val="center"/>
          </w:tcPr>
          <w:p w14:paraId="3B618F32"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NO</w:t>
            </w:r>
            <w:r w:rsidRPr="00CC35F0">
              <w:rPr>
                <w:rFonts w:ascii="Times New Roman" w:eastAsia="Times New Roman" w:hAnsi="Times New Roman"/>
                <w:sz w:val="24"/>
                <w:szCs w:val="24"/>
                <w:vertAlign w:val="subscript"/>
                <w:lang w:val="sr-Cyrl-CS"/>
              </w:rPr>
              <w:t>2</w:t>
            </w:r>
          </w:p>
        </w:tc>
        <w:tc>
          <w:tcPr>
            <w:tcW w:w="1261" w:type="dxa"/>
            <w:tcBorders>
              <w:top w:val="single" w:sz="4" w:space="0" w:color="auto"/>
              <w:left w:val="nil"/>
              <w:bottom w:val="single" w:sz="4" w:space="0" w:color="000000"/>
              <w:right w:val="single" w:sz="4" w:space="0" w:color="000000"/>
            </w:tcBorders>
            <w:shd w:val="clear" w:color="auto" w:fill="auto"/>
            <w:vAlign w:val="center"/>
          </w:tcPr>
          <w:p w14:paraId="28BF4E87"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395</w:t>
            </w:r>
          </w:p>
        </w:tc>
        <w:tc>
          <w:tcPr>
            <w:tcW w:w="980" w:type="dxa"/>
            <w:tcBorders>
              <w:top w:val="nil"/>
              <w:left w:val="nil"/>
              <w:bottom w:val="single" w:sz="4" w:space="0" w:color="000000"/>
              <w:right w:val="single" w:sz="4" w:space="0" w:color="000000"/>
            </w:tcBorders>
            <w:shd w:val="clear" w:color="auto" w:fill="auto"/>
            <w:vAlign w:val="center"/>
          </w:tcPr>
          <w:p w14:paraId="4E3450F5"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348</w:t>
            </w:r>
          </w:p>
        </w:tc>
        <w:tc>
          <w:tcPr>
            <w:tcW w:w="980" w:type="dxa"/>
            <w:tcBorders>
              <w:top w:val="nil"/>
              <w:left w:val="nil"/>
              <w:bottom w:val="single" w:sz="4" w:space="0" w:color="000000"/>
              <w:right w:val="single" w:sz="4" w:space="0" w:color="000000"/>
            </w:tcBorders>
            <w:shd w:val="clear" w:color="auto" w:fill="auto"/>
            <w:vAlign w:val="center"/>
          </w:tcPr>
          <w:p w14:paraId="48129E85"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226</w:t>
            </w:r>
          </w:p>
        </w:tc>
        <w:tc>
          <w:tcPr>
            <w:tcW w:w="980" w:type="dxa"/>
            <w:tcBorders>
              <w:top w:val="nil"/>
              <w:left w:val="nil"/>
              <w:bottom w:val="single" w:sz="4" w:space="0" w:color="000000"/>
              <w:right w:val="single" w:sz="4" w:space="0" w:color="000000"/>
            </w:tcBorders>
            <w:shd w:val="clear" w:color="auto" w:fill="auto"/>
            <w:vAlign w:val="center"/>
          </w:tcPr>
          <w:p w14:paraId="0D583427"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094</w:t>
            </w:r>
          </w:p>
        </w:tc>
        <w:tc>
          <w:tcPr>
            <w:tcW w:w="980" w:type="dxa"/>
            <w:tcBorders>
              <w:top w:val="nil"/>
              <w:left w:val="nil"/>
              <w:bottom w:val="single" w:sz="4" w:space="0" w:color="000000"/>
              <w:right w:val="single" w:sz="8" w:space="0" w:color="000000"/>
            </w:tcBorders>
            <w:shd w:val="clear" w:color="auto" w:fill="auto"/>
            <w:vAlign w:val="center"/>
          </w:tcPr>
          <w:p w14:paraId="0BD57BDC"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075</w:t>
            </w:r>
          </w:p>
        </w:tc>
      </w:tr>
      <w:tr w:rsidR="00A0251B" w:rsidRPr="00CC35F0" w14:paraId="013270E0"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6FC6729A"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Пријем у болницу због респираторних тегоба (све старосне групе)</w:t>
            </w:r>
          </w:p>
        </w:tc>
        <w:tc>
          <w:tcPr>
            <w:tcW w:w="1180" w:type="dxa"/>
            <w:tcBorders>
              <w:top w:val="nil"/>
              <w:left w:val="nil"/>
              <w:bottom w:val="single" w:sz="4" w:space="0" w:color="000000"/>
              <w:right w:val="nil"/>
            </w:tcBorders>
            <w:vAlign w:val="center"/>
          </w:tcPr>
          <w:p w14:paraId="2B2762E0"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w:t>
            </w:r>
            <w:r w:rsidRPr="00CC35F0">
              <w:rPr>
                <w:rFonts w:ascii="Times New Roman" w:eastAsia="Times New Roman" w:hAnsi="Times New Roman"/>
                <w:lang w:val="sr-Cyrl-CS"/>
              </w:rPr>
              <w:t>лучајеви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2108F8A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7036F660"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113</w:t>
            </w:r>
          </w:p>
        </w:tc>
        <w:tc>
          <w:tcPr>
            <w:tcW w:w="980" w:type="dxa"/>
            <w:tcBorders>
              <w:top w:val="nil"/>
              <w:left w:val="nil"/>
              <w:bottom w:val="single" w:sz="4" w:space="0" w:color="000000"/>
              <w:right w:val="single" w:sz="4" w:space="0" w:color="000000"/>
            </w:tcBorders>
            <w:shd w:val="clear" w:color="auto" w:fill="auto"/>
            <w:vAlign w:val="center"/>
          </w:tcPr>
          <w:p w14:paraId="0796C26E"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380</w:t>
            </w:r>
          </w:p>
        </w:tc>
        <w:tc>
          <w:tcPr>
            <w:tcW w:w="980" w:type="dxa"/>
            <w:tcBorders>
              <w:top w:val="nil"/>
              <w:left w:val="nil"/>
              <w:bottom w:val="single" w:sz="4" w:space="0" w:color="000000"/>
              <w:right w:val="single" w:sz="4" w:space="0" w:color="000000"/>
            </w:tcBorders>
            <w:shd w:val="clear" w:color="auto" w:fill="auto"/>
            <w:vAlign w:val="center"/>
          </w:tcPr>
          <w:p w14:paraId="3DADABAF"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255</w:t>
            </w:r>
          </w:p>
        </w:tc>
        <w:tc>
          <w:tcPr>
            <w:tcW w:w="980" w:type="dxa"/>
            <w:tcBorders>
              <w:top w:val="nil"/>
              <w:left w:val="nil"/>
              <w:bottom w:val="single" w:sz="4" w:space="0" w:color="000000"/>
              <w:right w:val="single" w:sz="4" w:space="0" w:color="000000"/>
            </w:tcBorders>
            <w:shd w:val="clear" w:color="auto" w:fill="auto"/>
            <w:vAlign w:val="center"/>
          </w:tcPr>
          <w:p w14:paraId="4AA03B7B"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120</w:t>
            </w:r>
          </w:p>
        </w:tc>
        <w:tc>
          <w:tcPr>
            <w:tcW w:w="980" w:type="dxa"/>
            <w:tcBorders>
              <w:top w:val="nil"/>
              <w:left w:val="nil"/>
              <w:bottom w:val="single" w:sz="4" w:space="0" w:color="000000"/>
              <w:right w:val="single" w:sz="8" w:space="0" w:color="000000"/>
            </w:tcBorders>
            <w:shd w:val="clear" w:color="auto" w:fill="auto"/>
            <w:vAlign w:val="center"/>
          </w:tcPr>
          <w:p w14:paraId="0016AE89"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100</w:t>
            </w:r>
          </w:p>
        </w:tc>
      </w:tr>
      <w:tr w:rsidR="00A0251B" w:rsidRPr="00CC35F0" w14:paraId="65A06AC1" w14:textId="77777777">
        <w:trPr>
          <w:trHeight w:val="264"/>
        </w:trPr>
        <w:tc>
          <w:tcPr>
            <w:tcW w:w="1797" w:type="dxa"/>
            <w:tcBorders>
              <w:top w:val="nil"/>
              <w:left w:val="single" w:sz="8" w:space="0" w:color="000000"/>
              <w:bottom w:val="single" w:sz="4" w:space="0" w:color="000000"/>
              <w:right w:val="single" w:sz="4" w:space="0" w:color="000000"/>
            </w:tcBorders>
            <w:shd w:val="clear" w:color="auto" w:fill="auto"/>
            <w:vAlign w:val="center"/>
          </w:tcPr>
          <w:p w14:paraId="0720F036"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Хронични морталитет (све старосне групе) </w:t>
            </w:r>
          </w:p>
        </w:tc>
        <w:tc>
          <w:tcPr>
            <w:tcW w:w="1180" w:type="dxa"/>
            <w:tcBorders>
              <w:top w:val="nil"/>
              <w:left w:val="nil"/>
              <w:bottom w:val="single" w:sz="4" w:space="0" w:color="000000"/>
              <w:right w:val="nil"/>
            </w:tcBorders>
            <w:vAlign w:val="center"/>
          </w:tcPr>
          <w:p w14:paraId="15ABF68B"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Године од смрти до </w:t>
            </w:r>
            <w:r w:rsidRPr="00CC35F0">
              <w:rPr>
                <w:rFonts w:ascii="Times New Roman" w:eastAsia="Times New Roman" w:hAnsi="Times New Roman"/>
                <w:lang w:val="sr-Cyrl-CS"/>
              </w:rPr>
              <w:t xml:space="preserve">просечног </w:t>
            </w:r>
            <w:r w:rsidRPr="00CC35F0">
              <w:rPr>
                <w:rFonts w:ascii="Times New Roman" w:eastAsia="Times New Roman" w:hAnsi="Times New Roman"/>
                <w:sz w:val="24"/>
                <w:szCs w:val="24"/>
                <w:lang w:val="sr-Cyrl-CS"/>
              </w:rPr>
              <w:t>животног века</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011DEDC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4" w:space="0" w:color="000000"/>
              <w:right w:val="single" w:sz="4" w:space="0" w:color="000000"/>
            </w:tcBorders>
            <w:shd w:val="clear" w:color="auto" w:fill="auto"/>
            <w:vAlign w:val="center"/>
          </w:tcPr>
          <w:p w14:paraId="74368DB5"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530</w:t>
            </w:r>
          </w:p>
        </w:tc>
        <w:tc>
          <w:tcPr>
            <w:tcW w:w="980" w:type="dxa"/>
            <w:tcBorders>
              <w:top w:val="nil"/>
              <w:left w:val="nil"/>
              <w:bottom w:val="single" w:sz="4" w:space="0" w:color="000000"/>
              <w:right w:val="single" w:sz="4" w:space="0" w:color="000000"/>
            </w:tcBorders>
            <w:shd w:val="clear" w:color="auto" w:fill="auto"/>
            <w:vAlign w:val="center"/>
          </w:tcPr>
          <w:p w14:paraId="6BE75C88"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843</w:t>
            </w:r>
          </w:p>
        </w:tc>
        <w:tc>
          <w:tcPr>
            <w:tcW w:w="980" w:type="dxa"/>
            <w:tcBorders>
              <w:top w:val="nil"/>
              <w:left w:val="nil"/>
              <w:bottom w:val="single" w:sz="4" w:space="0" w:color="000000"/>
              <w:right w:val="single" w:sz="4" w:space="0" w:color="000000"/>
            </w:tcBorders>
            <w:shd w:val="clear" w:color="auto" w:fill="auto"/>
            <w:vAlign w:val="center"/>
          </w:tcPr>
          <w:p w14:paraId="25D5CE0F"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495</w:t>
            </w:r>
          </w:p>
        </w:tc>
        <w:tc>
          <w:tcPr>
            <w:tcW w:w="980" w:type="dxa"/>
            <w:tcBorders>
              <w:top w:val="nil"/>
              <w:left w:val="nil"/>
              <w:bottom w:val="single" w:sz="4" w:space="0" w:color="000000"/>
              <w:right w:val="single" w:sz="4" w:space="0" w:color="000000"/>
            </w:tcBorders>
            <w:shd w:val="clear" w:color="auto" w:fill="auto"/>
            <w:vAlign w:val="center"/>
          </w:tcPr>
          <w:p w14:paraId="164EEAA5"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118</w:t>
            </w:r>
          </w:p>
        </w:tc>
        <w:tc>
          <w:tcPr>
            <w:tcW w:w="980" w:type="dxa"/>
            <w:tcBorders>
              <w:top w:val="nil"/>
              <w:left w:val="nil"/>
              <w:bottom w:val="single" w:sz="4" w:space="0" w:color="000000"/>
              <w:right w:val="single" w:sz="8" w:space="0" w:color="000000"/>
            </w:tcBorders>
            <w:shd w:val="clear" w:color="auto" w:fill="auto"/>
            <w:vAlign w:val="center"/>
          </w:tcPr>
          <w:p w14:paraId="6C8C8392"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w:t>
            </w:r>
            <w:r w:rsidR="00B24DDA">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063</w:t>
            </w:r>
          </w:p>
        </w:tc>
      </w:tr>
      <w:tr w:rsidR="00A0251B" w:rsidRPr="00CC35F0" w14:paraId="663F3E27" w14:textId="77777777">
        <w:trPr>
          <w:trHeight w:val="276"/>
        </w:trPr>
        <w:tc>
          <w:tcPr>
            <w:tcW w:w="1797" w:type="dxa"/>
            <w:tcBorders>
              <w:top w:val="nil"/>
              <w:left w:val="single" w:sz="8" w:space="0" w:color="000000"/>
              <w:bottom w:val="single" w:sz="8" w:space="0" w:color="000000"/>
              <w:right w:val="single" w:sz="4" w:space="0" w:color="000000"/>
            </w:tcBorders>
            <w:shd w:val="clear" w:color="auto" w:fill="auto"/>
            <w:vAlign w:val="center"/>
          </w:tcPr>
          <w:p w14:paraId="562C4B8C"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Хронични морталитет (30+) средње вредности према </w:t>
            </w:r>
            <w:r w:rsidRPr="00CC35F0">
              <w:rPr>
                <w:rFonts w:ascii="Times New Roman" w:eastAsia="Times New Roman" w:hAnsi="Times New Roman"/>
                <w:i/>
                <w:sz w:val="24"/>
                <w:szCs w:val="24"/>
                <w:lang w:val="sr-Cyrl-CS"/>
              </w:rPr>
              <w:t>VSL</w:t>
            </w:r>
          </w:p>
        </w:tc>
        <w:tc>
          <w:tcPr>
            <w:tcW w:w="1180" w:type="dxa"/>
            <w:tcBorders>
              <w:top w:val="nil"/>
              <w:left w:val="nil"/>
              <w:bottom w:val="single" w:sz="8" w:space="0" w:color="000000"/>
              <w:right w:val="nil"/>
            </w:tcBorders>
            <w:vAlign w:val="center"/>
          </w:tcPr>
          <w:p w14:paraId="7C5B271A"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lang w:val="sr-Cyrl-CS"/>
              </w:rPr>
              <w:t xml:space="preserve">Случајеви </w:t>
            </w:r>
            <w:r w:rsidRPr="00CC35F0">
              <w:rPr>
                <w:rFonts w:ascii="Times New Roman" w:eastAsia="Times New Roman" w:hAnsi="Times New Roman"/>
                <w:sz w:val="24"/>
                <w:szCs w:val="24"/>
                <w:lang w:val="sr-Cyrl-CS"/>
              </w:rPr>
              <w:t>превремене смрти</w:t>
            </w:r>
          </w:p>
        </w:tc>
        <w:tc>
          <w:tcPr>
            <w:tcW w:w="1171" w:type="dxa"/>
            <w:vMerge/>
            <w:tcBorders>
              <w:top w:val="nil"/>
              <w:left w:val="single" w:sz="4" w:space="0" w:color="000000"/>
              <w:bottom w:val="single" w:sz="8" w:space="0" w:color="000000"/>
              <w:right w:val="single" w:sz="4" w:space="0" w:color="000000"/>
            </w:tcBorders>
            <w:shd w:val="clear" w:color="auto" w:fill="auto"/>
            <w:vAlign w:val="center"/>
          </w:tcPr>
          <w:p w14:paraId="4FF80A3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261" w:type="dxa"/>
            <w:tcBorders>
              <w:top w:val="nil"/>
              <w:left w:val="nil"/>
              <w:bottom w:val="single" w:sz="8" w:space="0" w:color="000000"/>
              <w:right w:val="single" w:sz="4" w:space="0" w:color="000000"/>
            </w:tcBorders>
            <w:shd w:val="clear" w:color="auto" w:fill="auto"/>
            <w:vAlign w:val="center"/>
          </w:tcPr>
          <w:p w14:paraId="79AC4D2C"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694</w:t>
            </w:r>
          </w:p>
        </w:tc>
        <w:tc>
          <w:tcPr>
            <w:tcW w:w="980" w:type="dxa"/>
            <w:tcBorders>
              <w:top w:val="nil"/>
              <w:left w:val="nil"/>
              <w:bottom w:val="single" w:sz="8" w:space="0" w:color="000000"/>
              <w:right w:val="single" w:sz="4" w:space="0" w:color="000000"/>
            </w:tcBorders>
            <w:shd w:val="clear" w:color="auto" w:fill="auto"/>
            <w:vAlign w:val="center"/>
          </w:tcPr>
          <w:p w14:paraId="62197A7B"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469</w:t>
            </w:r>
          </w:p>
        </w:tc>
        <w:tc>
          <w:tcPr>
            <w:tcW w:w="980" w:type="dxa"/>
            <w:tcBorders>
              <w:top w:val="nil"/>
              <w:left w:val="nil"/>
              <w:bottom w:val="single" w:sz="8" w:space="0" w:color="000000"/>
              <w:right w:val="single" w:sz="4" w:space="0" w:color="000000"/>
            </w:tcBorders>
            <w:shd w:val="clear" w:color="auto" w:fill="auto"/>
            <w:vAlign w:val="center"/>
          </w:tcPr>
          <w:p w14:paraId="067CB74D"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427</w:t>
            </w:r>
          </w:p>
        </w:tc>
        <w:tc>
          <w:tcPr>
            <w:tcW w:w="980" w:type="dxa"/>
            <w:tcBorders>
              <w:top w:val="nil"/>
              <w:left w:val="nil"/>
              <w:bottom w:val="single" w:sz="8" w:space="0" w:color="000000"/>
              <w:right w:val="single" w:sz="4" w:space="0" w:color="000000"/>
            </w:tcBorders>
            <w:shd w:val="clear" w:color="auto" w:fill="auto"/>
            <w:vAlign w:val="center"/>
          </w:tcPr>
          <w:p w14:paraId="7990A6B0"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381</w:t>
            </w:r>
          </w:p>
        </w:tc>
        <w:tc>
          <w:tcPr>
            <w:tcW w:w="980" w:type="dxa"/>
            <w:tcBorders>
              <w:top w:val="nil"/>
              <w:left w:val="nil"/>
              <w:bottom w:val="single" w:sz="8" w:space="0" w:color="000000"/>
              <w:right w:val="single" w:sz="8" w:space="0" w:color="000000"/>
            </w:tcBorders>
            <w:shd w:val="clear" w:color="auto" w:fill="auto"/>
            <w:vAlign w:val="center"/>
          </w:tcPr>
          <w:p w14:paraId="3D57A41A"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374</w:t>
            </w:r>
          </w:p>
        </w:tc>
      </w:tr>
    </w:tbl>
    <w:p w14:paraId="23404DAA" w14:textId="77777777" w:rsidR="00A0251B" w:rsidRPr="00CC35F0" w:rsidRDefault="00A0251B">
      <w:pPr>
        <w:rPr>
          <w:rFonts w:ascii="Times New Roman" w:eastAsia="Times New Roman" w:hAnsi="Times New Roman"/>
          <w:sz w:val="24"/>
          <w:szCs w:val="24"/>
          <w:lang w:val="sr-Cyrl-CS"/>
        </w:rPr>
      </w:pPr>
    </w:p>
    <w:p w14:paraId="74F03105" w14:textId="77777777" w:rsidR="00A0251B" w:rsidRPr="00CC35F0" w:rsidRDefault="00DD55DC" w:rsidP="00D22F0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Како је представљено у т</w:t>
      </w:r>
      <w:r w:rsidR="008D6506" w:rsidRPr="00CC35F0">
        <w:rPr>
          <w:rFonts w:ascii="Times New Roman" w:eastAsia="Times New Roman" w:hAnsi="Times New Roman"/>
          <w:sz w:val="24"/>
          <w:szCs w:val="24"/>
          <w:lang w:val="sr-Cyrl-CS"/>
        </w:rPr>
        <w:t>абелама, спровођењем сценарија WEM оствариће се велике користи за здравље грађана Републике Србије, ефикасност постојећих мера разматраних у оквиру сценарија WEM, што указује на значај благовременог спровођења NERP-а, мера у сектору индустрије, у сектору друмског саобраћаја и примене Уредбе о граничним вредностима емисије загађујућих материја у ваздух из постројења за сагоревање („Службени гласник РС”, бр. 6/16 и 67/21) и Уредбе о граничним вредностима емисија загађујућих материја у ваздух из стационарних извора загађивања,  осим постројења за сагоревање („Службени гласник РС”, бр. 111/15 и 83/21). Очекује се да ће хронични морталитет опасти за 41,4% до 2030. у поређењу са 2015. годином. Даљи пад хроничног морталитета очекује се од спровођења сценарија WAM A (-46,5%), WAM B (-52,3%</w:t>
      </w:r>
      <w:r w:rsidR="001C6C5E" w:rsidRPr="00CC35F0">
        <w:rPr>
          <w:rFonts w:ascii="Times New Roman" w:eastAsia="Times New Roman" w:hAnsi="Times New Roman"/>
          <w:sz w:val="24"/>
          <w:szCs w:val="24"/>
          <w:lang w:val="sr-Cyrl-CS"/>
        </w:rPr>
        <w:t>) и WAM C (-53,1%). Поред тога,</w:t>
      </w:r>
      <w:r w:rsidR="008D6506" w:rsidRPr="00CC35F0">
        <w:rPr>
          <w:rFonts w:ascii="Times New Roman" w:eastAsia="Times New Roman" w:hAnsi="Times New Roman"/>
          <w:sz w:val="24"/>
          <w:szCs w:val="24"/>
          <w:lang w:val="sr-Cyrl-CS"/>
        </w:rPr>
        <w:t xml:space="preserve"> очекује се пад броја дана са израженим симптомима астме код деце (од 5 до 19 година) до 2030. у поређењу са 2015. годином захваљујући спровођењу сценарија WAM A, WAM B и WAM C, и то за 43,2%, 50,7% односно 53,6%. Спровођење ПиМ из сценарија WAM A, WAM B и WAM C такође ће смањити број дана одсуства с посла у поређењу са 2015. годином. Сценарио  WAM A доводи до уштеде од 0,16 милиона радних дана, WAM B 0,33 милиона радних дана, док се сценариом WAM C додатно уштеди чак 0,40 милиона радних дана 2030. године. Када се сви утицаји на здравље у Републици Србији из Табеле 5-2 искажу у новцу, смањење укупне штете која се наноси здрављу исказана новчано у односу на године живота 2030. године износи за сценарио WAM A 1</w:t>
      </w:r>
      <w:r w:rsidR="001C6C5E" w:rsidRPr="00CC35F0">
        <w:rPr>
          <w:rFonts w:ascii="Times New Roman" w:eastAsia="Times New Roman" w:hAnsi="Times New Roman"/>
          <w:sz w:val="24"/>
          <w:szCs w:val="24"/>
          <w:lang w:val="sr-Cyrl-CS"/>
        </w:rPr>
        <w:t>.</w:t>
      </w:r>
      <w:r w:rsidR="008D6506" w:rsidRPr="00CC35F0">
        <w:rPr>
          <w:rFonts w:ascii="Times New Roman" w:eastAsia="Times New Roman" w:hAnsi="Times New Roman"/>
          <w:sz w:val="24"/>
          <w:szCs w:val="24"/>
          <w:lang w:val="sr-Cyrl-CS"/>
        </w:rPr>
        <w:t>845 милиона евра мање у поређењу са штетом из 2015. године. Спровођење сценарија WAM B донела би додатних 385 милиона евра уштеде у поређењу са сценариом WAM A (укупно 2</w:t>
      </w:r>
      <w:r w:rsidR="001C6C5E" w:rsidRPr="00CC35F0">
        <w:rPr>
          <w:rFonts w:ascii="Times New Roman" w:eastAsia="Times New Roman" w:hAnsi="Times New Roman"/>
          <w:sz w:val="24"/>
          <w:szCs w:val="24"/>
          <w:lang w:val="sr-Cyrl-CS"/>
        </w:rPr>
        <w:t>.</w:t>
      </w:r>
      <w:r w:rsidR="008D6506" w:rsidRPr="00CC35F0">
        <w:rPr>
          <w:rFonts w:ascii="Times New Roman" w:eastAsia="Times New Roman" w:hAnsi="Times New Roman"/>
          <w:sz w:val="24"/>
          <w:szCs w:val="24"/>
          <w:lang w:val="sr-Cyrl-CS"/>
        </w:rPr>
        <w:t>204 милиона евра у поређењу са 2015. годином), док би се спровођењем сценарија WAM C оствариле укупне уштеде од 2</w:t>
      </w:r>
      <w:r w:rsidR="0064792C" w:rsidRPr="00CC35F0">
        <w:rPr>
          <w:rFonts w:ascii="Times New Roman" w:eastAsia="Times New Roman" w:hAnsi="Times New Roman"/>
          <w:sz w:val="24"/>
          <w:szCs w:val="24"/>
          <w:lang w:val="sr-Cyrl-CS"/>
        </w:rPr>
        <w:t>.</w:t>
      </w:r>
      <w:r w:rsidR="008D6506" w:rsidRPr="00CC35F0">
        <w:rPr>
          <w:rFonts w:ascii="Times New Roman" w:eastAsia="Times New Roman" w:hAnsi="Times New Roman"/>
          <w:sz w:val="24"/>
          <w:szCs w:val="24"/>
          <w:lang w:val="sr-Cyrl-CS"/>
        </w:rPr>
        <w:t xml:space="preserve">335 милиона евра, односно 132 милиона евра више него </w:t>
      </w:r>
      <w:r w:rsidR="008D6506" w:rsidRPr="00CC35F0">
        <w:rPr>
          <w:rFonts w:ascii="Times New Roman" w:eastAsia="Times New Roman" w:hAnsi="Times New Roman"/>
          <w:sz w:val="24"/>
          <w:szCs w:val="24"/>
          <w:lang w:val="sr-Cyrl-CS"/>
        </w:rPr>
        <w:lastRenderedPageBreak/>
        <w:t>спровођењем сценарија WAM B. Појединости о укупној годишњој штети по здравље, исказаној кроз вредност статистичког живота (VSL) и вредност година живота (VO</w:t>
      </w:r>
      <w:r w:rsidR="005A4236" w:rsidRPr="00CC35F0">
        <w:rPr>
          <w:rFonts w:ascii="Times New Roman" w:eastAsia="Times New Roman" w:hAnsi="Times New Roman"/>
          <w:sz w:val="24"/>
          <w:szCs w:val="24"/>
          <w:lang w:val="sr-Cyrl-CS"/>
        </w:rPr>
        <w:t>LY) представљене су на Слици 21</w:t>
      </w:r>
      <w:r w:rsidR="008D6506" w:rsidRPr="00CC35F0">
        <w:rPr>
          <w:rFonts w:ascii="Times New Roman" w:eastAsia="Times New Roman" w:hAnsi="Times New Roman"/>
          <w:sz w:val="24"/>
          <w:szCs w:val="24"/>
          <w:lang w:val="sr-Cyrl-CS"/>
        </w:rPr>
        <w:t>.</w:t>
      </w:r>
    </w:p>
    <w:p w14:paraId="3D958AD9"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5D322FDF" wp14:editId="6963773E">
            <wp:extent cx="4781550" cy="2736850"/>
            <wp:effectExtent l="0" t="0" r="0" b="0"/>
            <wp:docPr id="584"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6"/>
                    <a:srcRect/>
                    <a:stretch>
                      <a:fillRect/>
                    </a:stretch>
                  </pic:blipFill>
                  <pic:spPr>
                    <a:xfrm>
                      <a:off x="0" y="0"/>
                      <a:ext cx="4781550" cy="2736850"/>
                    </a:xfrm>
                    <a:prstGeom prst="rect">
                      <a:avLst/>
                    </a:prstGeom>
                    <a:ln/>
                  </pic:spPr>
                </pic:pic>
              </a:graphicData>
            </a:graphic>
          </wp:inline>
        </w:drawing>
      </w:r>
    </w:p>
    <w:p w14:paraId="2CFC6E64" w14:textId="77777777" w:rsidR="00A0251B" w:rsidRPr="00CC35F0" w:rsidRDefault="008D6506">
      <w:pPr>
        <w:rPr>
          <w:rFonts w:ascii="Times New Roman" w:eastAsia="Times New Roman" w:hAnsi="Times New Roman"/>
          <w:b/>
          <w:sz w:val="24"/>
          <w:szCs w:val="24"/>
          <w:lang w:val="sr-Cyrl-CS"/>
        </w:rPr>
      </w:pPr>
      <w:bookmarkStart w:id="55" w:name="_heading=h.1egqt2p" w:colFirst="0" w:colLast="0"/>
      <w:bookmarkEnd w:id="55"/>
      <w:r w:rsidRPr="00CC35F0">
        <w:rPr>
          <w:rFonts w:ascii="Times New Roman" w:eastAsia="Times New Roman" w:hAnsi="Times New Roman"/>
          <w:b/>
          <w:sz w:val="24"/>
          <w:szCs w:val="24"/>
          <w:lang w:val="sr-Cyrl-CS"/>
        </w:rPr>
        <w:t xml:space="preserve">Слика 21: Укупне годишње штете по здравље које су последица ваздуха лошег квалитета у Републици Србији </w:t>
      </w:r>
    </w:p>
    <w:p w14:paraId="6B23B7B6"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noProof/>
          <w:sz w:val="24"/>
          <w:szCs w:val="24"/>
          <w:lang w:val="sr-Cyrl-RS" w:eastAsia="sr-Cyrl-RS"/>
        </w:rPr>
        <w:drawing>
          <wp:inline distT="0" distB="0" distL="0" distR="0" wp14:anchorId="27E281AE" wp14:editId="3795C93A">
            <wp:extent cx="4819650" cy="3067050"/>
            <wp:effectExtent l="0" t="0" r="0" b="0"/>
            <wp:docPr id="585"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37"/>
                    <a:srcRect/>
                    <a:stretch>
                      <a:fillRect/>
                    </a:stretch>
                  </pic:blipFill>
                  <pic:spPr>
                    <a:xfrm>
                      <a:off x="0" y="0"/>
                      <a:ext cx="4819650" cy="3067050"/>
                    </a:xfrm>
                    <a:prstGeom prst="rect">
                      <a:avLst/>
                    </a:prstGeom>
                    <a:ln/>
                  </pic:spPr>
                </pic:pic>
              </a:graphicData>
            </a:graphic>
          </wp:inline>
        </w:drawing>
      </w:r>
    </w:p>
    <w:p w14:paraId="544BA299" w14:textId="77777777" w:rsidR="00A0251B" w:rsidRPr="00CC35F0" w:rsidRDefault="008D6506">
      <w:pPr>
        <w:rPr>
          <w:rFonts w:ascii="Times New Roman" w:eastAsia="Times New Roman" w:hAnsi="Times New Roman"/>
          <w:b/>
          <w:sz w:val="24"/>
          <w:szCs w:val="24"/>
          <w:lang w:val="sr-Cyrl-CS"/>
        </w:rPr>
      </w:pPr>
      <w:bookmarkStart w:id="56" w:name="_heading=h.3ygebqi" w:colFirst="0" w:colLast="0"/>
      <w:bookmarkEnd w:id="56"/>
      <w:r w:rsidRPr="00CC35F0">
        <w:rPr>
          <w:rFonts w:ascii="Times New Roman" w:eastAsia="Times New Roman" w:hAnsi="Times New Roman"/>
          <w:b/>
          <w:sz w:val="24"/>
          <w:szCs w:val="24"/>
          <w:lang w:val="sr-Cyrl-CS"/>
        </w:rPr>
        <w:t xml:space="preserve">Слика 22: Укупне годишње користи за здравље од спровођења различитих сценарија ублажавања </w:t>
      </w:r>
    </w:p>
    <w:p w14:paraId="74A9AD8E" w14:textId="77777777" w:rsidR="00A0251B" w:rsidRPr="00CC35F0" w:rsidRDefault="008D6506" w:rsidP="00940740">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Процена трошкова и користи сценарија</w:t>
      </w:r>
    </w:p>
    <w:p w14:paraId="2C7428F5" w14:textId="77777777" w:rsidR="00A0251B" w:rsidRPr="00CC35F0" w:rsidRDefault="008D6506" w:rsidP="0094074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Проценом трошкова и користи у принципу се указује на то да ли користи по здравље од бољег квалитета ваздуха превазилазе потребе за додатним улагањима за спровођење ПиМ из сценарија. Како би се боље сагледала целокупна слика и извршило поређење сценарија, користи и трошкови сценарија ублажавања упоређени су са сценариом WEM. </w:t>
      </w:r>
    </w:p>
    <w:p w14:paraId="7F5408F4"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085587D2" wp14:editId="54483D48">
            <wp:extent cx="4864100" cy="3105150"/>
            <wp:effectExtent l="0" t="0" r="0" b="0"/>
            <wp:docPr id="54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8"/>
                    <a:srcRect/>
                    <a:stretch>
                      <a:fillRect/>
                    </a:stretch>
                  </pic:blipFill>
                  <pic:spPr>
                    <a:xfrm>
                      <a:off x="0" y="0"/>
                      <a:ext cx="4864100" cy="3105150"/>
                    </a:xfrm>
                    <a:prstGeom prst="rect">
                      <a:avLst/>
                    </a:prstGeom>
                    <a:ln/>
                  </pic:spPr>
                </pic:pic>
              </a:graphicData>
            </a:graphic>
          </wp:inline>
        </w:drawing>
      </w:r>
    </w:p>
    <w:p w14:paraId="55E8838F" w14:textId="77777777" w:rsidR="00A0251B" w:rsidRPr="00CC35F0" w:rsidRDefault="008D6506">
      <w:pPr>
        <w:rPr>
          <w:rFonts w:ascii="Times New Roman" w:eastAsia="Times New Roman" w:hAnsi="Times New Roman"/>
          <w:b/>
          <w:sz w:val="24"/>
          <w:szCs w:val="24"/>
          <w:lang w:val="sr-Cyrl-CS"/>
        </w:rPr>
      </w:pPr>
      <w:bookmarkStart w:id="57" w:name="_heading=h.2dlolyb" w:colFirst="0" w:colLast="0"/>
      <w:bookmarkEnd w:id="57"/>
      <w:r w:rsidRPr="00CC35F0">
        <w:rPr>
          <w:rFonts w:ascii="Times New Roman" w:eastAsia="Times New Roman" w:hAnsi="Times New Roman"/>
          <w:b/>
          <w:sz w:val="24"/>
          <w:szCs w:val="24"/>
          <w:lang w:val="sr-Cyrl-CS"/>
        </w:rPr>
        <w:t>Слика 23: Процена трошкова и користи за сценарије ублажавања применом VOLY методе вредновања морталитета</w:t>
      </w:r>
    </w:p>
    <w:p w14:paraId="540BD5CC" w14:textId="77777777" w:rsidR="00A0251B" w:rsidRPr="00CC35F0" w:rsidRDefault="008D6506" w:rsidP="0094074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Процена трошкова и користи сценарија WAM A, WAM B и WAM C (Слика 23) показала је да су користи по здравље у свим сценаријима већи од укупних трошкова мера предложених у сценаријима и подељених по годинама, што значи да је реализација трошкова за спровођење сценарија економски поуздана и оправдана. Најбољи однос користи и трошкова анализиран је за сценарио WAM A, и он износи 5,5, за њим је рангиран сценарио WAM C са односом од 4,1 и WAM B са односом користи и трошкова од 3,9. У апсолутном смислу, сценариом WAM C остварује се највећа нето корис</w:t>
      </w:r>
      <w:r w:rsidR="008B0A0C" w:rsidRPr="00CC35F0">
        <w:rPr>
          <w:rFonts w:ascii="Times New Roman" w:eastAsia="Times New Roman" w:hAnsi="Times New Roman"/>
          <w:sz w:val="24"/>
          <w:szCs w:val="24"/>
          <w:lang w:val="sr-Cyrl-CS"/>
        </w:rPr>
        <w:t xml:space="preserve">т од 611 милиона евра годишње, </w:t>
      </w:r>
      <w:r w:rsidRPr="00CC35F0">
        <w:rPr>
          <w:rFonts w:ascii="Times New Roman" w:eastAsia="Times New Roman" w:hAnsi="Times New Roman"/>
          <w:sz w:val="24"/>
          <w:szCs w:val="24"/>
          <w:lang w:val="sr-Cyrl-CS"/>
        </w:rPr>
        <w:t>затим следи WAM B са 499 милиона годишње и WAM A са 259 милиона евра годишње.</w:t>
      </w:r>
    </w:p>
    <w:p w14:paraId="6515CC92" w14:textId="77777777" w:rsidR="00A0251B" w:rsidRPr="00CC35F0" w:rsidRDefault="008D6506" w:rsidP="00940740">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Утицаји на животну средину </w:t>
      </w:r>
    </w:p>
    <w:p w14:paraId="1055F899" w14:textId="77777777" w:rsidR="00A0251B" w:rsidRPr="00CC35F0" w:rsidRDefault="008D6506" w:rsidP="0094074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Стандарди квалитета ваздуха за заштиту вегетације дефинисани су у Директиви ЕУ о квалитету амбијенталног ваздуха за концентрације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xml:space="preserve"> и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Критични нивои су 30 µg.m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односно 20 µg.m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за годишње концентрације NO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и те вредности концентрација не би требало да буду прекорачене на руралним мерним станицама</w:t>
      </w:r>
      <w:r w:rsidRPr="00CC35F0">
        <w:rPr>
          <w:rFonts w:ascii="Times New Roman" w:eastAsia="Times New Roman" w:hAnsi="Times New Roman"/>
          <w:sz w:val="24"/>
          <w:szCs w:val="24"/>
          <w:vertAlign w:val="superscript"/>
          <w:lang w:val="sr-Cyrl-CS"/>
        </w:rPr>
        <w:footnoteReference w:id="30"/>
      </w:r>
      <w:r w:rsidRPr="00CC35F0">
        <w:rPr>
          <w:rFonts w:ascii="Times New Roman" w:eastAsia="Times New Roman" w:hAnsi="Times New Roman"/>
          <w:sz w:val="24"/>
          <w:szCs w:val="24"/>
          <w:lang w:val="sr-Cyrl-CS"/>
        </w:rPr>
        <w:t>. У Републици Србији су се ове концентрације 2015. године мериле на пет мерних места у руралним подручјима, али само су на два мерна места мерене концентрације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док концентрације NO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нису мерене ни на једном. На два мерна места, на којима је 2015. измерено присуство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радило се о годишњим концентрацијама нижим од 10 µg.m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и за 2030. годину симулиране су такође веома ниске концентрације. Када је реч о NO</w:t>
      </w:r>
      <w:r w:rsidRPr="00CC35F0">
        <w:rPr>
          <w:rFonts w:ascii="Times New Roman" w:eastAsia="Times New Roman" w:hAnsi="Times New Roman"/>
          <w:sz w:val="24"/>
          <w:szCs w:val="24"/>
          <w:vertAlign w:val="subscript"/>
          <w:lang w:val="sr-Cyrl-CS"/>
        </w:rPr>
        <w:t>2</w:t>
      </w:r>
      <w:r w:rsidR="008B0A0C" w:rsidRPr="00CC35F0">
        <w:rPr>
          <w:rFonts w:ascii="Times New Roman" w:eastAsia="Times New Roman" w:hAnsi="Times New Roman"/>
          <w:sz w:val="24"/>
          <w:szCs w:val="24"/>
          <w:lang w:val="sr-Cyrl-CS"/>
        </w:rPr>
        <w:t>, 2015. године су на пет</w:t>
      </w:r>
      <w:r w:rsidRPr="00CC35F0">
        <w:rPr>
          <w:rFonts w:ascii="Times New Roman" w:eastAsia="Times New Roman" w:hAnsi="Times New Roman"/>
          <w:sz w:val="24"/>
          <w:szCs w:val="24"/>
          <w:lang w:val="sr-Cyrl-CS"/>
        </w:rPr>
        <w:t xml:space="preserve"> од 29 станица измерене концентрације изнад 30 µg.m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али свих пет станица су класификоване као станице за мерење концентрација из саобраћаја, индустрије или урбаних подручја. Ни на једној станици у приградским подручјима нису измерене концентрације веће од 30 µg.m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Овај број станица је 2030. године сведен на </w:t>
      </w:r>
      <w:r w:rsidR="008B0A0C" w:rsidRPr="00CC35F0">
        <w:rPr>
          <w:rFonts w:ascii="Times New Roman" w:eastAsia="Times New Roman" w:hAnsi="Times New Roman"/>
          <w:sz w:val="24"/>
          <w:szCs w:val="24"/>
          <w:lang w:val="sr-Cyrl-CS"/>
        </w:rPr>
        <w:t>две</w:t>
      </w:r>
      <w:r w:rsidRPr="00CC35F0">
        <w:rPr>
          <w:rFonts w:ascii="Times New Roman" w:eastAsia="Times New Roman" w:hAnsi="Times New Roman"/>
          <w:sz w:val="24"/>
          <w:szCs w:val="24"/>
          <w:lang w:val="sr-Cyrl-CS"/>
        </w:rPr>
        <w:t xml:space="preserve">, и то саобраћајне станице у сценаријима WEM и WAM A, односно на једну у сценаријима WAM B и WAM C. </w:t>
      </w:r>
    </w:p>
    <w:p w14:paraId="4D2ECD37" w14:textId="77777777" w:rsidR="00A0251B" w:rsidRPr="00CC35F0" w:rsidRDefault="008D6506" w:rsidP="0094074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Дакле, мада су на неколико станица у руралним подручјима 2015. године измерене концентрације, симулације су показале да 2030. године ни једном од симулираних сценарија неће доћи до прекорачења критичних нивоа за вегетацију.</w:t>
      </w:r>
    </w:p>
    <w:p w14:paraId="17838356" w14:textId="77777777" w:rsidR="00A0251B" w:rsidRPr="00CC35F0" w:rsidRDefault="00A0251B">
      <w:pPr>
        <w:rPr>
          <w:rFonts w:ascii="Times New Roman" w:eastAsia="Times New Roman" w:hAnsi="Times New Roman"/>
          <w:b/>
          <w:sz w:val="24"/>
          <w:szCs w:val="24"/>
          <w:u w:val="single"/>
          <w:lang w:val="sr-Cyrl-CS"/>
        </w:rPr>
      </w:pPr>
    </w:p>
    <w:p w14:paraId="2B52313E" w14:textId="77777777" w:rsidR="00A0251B" w:rsidRPr="00CC35F0" w:rsidRDefault="008D6506" w:rsidP="00940740">
      <w:pPr>
        <w:ind w:firstLine="72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Територија изложена прекорачењима концентрација циљних вредности озона од значаја за заштиту вегетације</w:t>
      </w:r>
    </w:p>
    <w:p w14:paraId="0B37D771" w14:textId="77777777" w:rsidR="00A0251B" w:rsidRPr="00CC35F0" w:rsidRDefault="008D6506" w:rsidP="0094074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Циљна вредност Директиве ЕУ о квалитету амбијенталног ваздуха за заштиту вегетациј</w:t>
      </w:r>
      <w:r w:rsidR="0056514A" w:rsidRPr="00CC35F0">
        <w:rPr>
          <w:rFonts w:ascii="Times New Roman" w:eastAsia="Times New Roman" w:hAnsi="Times New Roman"/>
          <w:sz w:val="24"/>
          <w:szCs w:val="24"/>
          <w:lang w:val="sr-Cyrl-CS"/>
        </w:rPr>
        <w:t>е утврђена је као AOT40 за биље</w:t>
      </w:r>
      <w:r w:rsidRPr="00CC35F0">
        <w:rPr>
          <w:rFonts w:ascii="Times New Roman" w:eastAsia="Times New Roman" w:hAnsi="Times New Roman"/>
          <w:sz w:val="24"/>
          <w:szCs w:val="24"/>
          <w:lang w:val="sr-Cyrl-CS"/>
        </w:rPr>
        <w:t xml:space="preserve"> и износи 18.000 µg.m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.h</w:t>
      </w:r>
      <w:r w:rsidRPr="00CC35F0">
        <w:rPr>
          <w:rFonts w:ascii="Times New Roman" w:eastAsia="Times New Roman" w:hAnsi="Times New Roman"/>
          <w:sz w:val="24"/>
          <w:szCs w:val="24"/>
          <w:vertAlign w:val="superscript"/>
          <w:lang w:val="sr-Cyrl-CS"/>
        </w:rPr>
        <w:t>-1</w:t>
      </w:r>
      <w:r w:rsidRPr="00CC35F0">
        <w:rPr>
          <w:rFonts w:ascii="Times New Roman" w:eastAsia="Times New Roman" w:hAnsi="Times New Roman"/>
          <w:sz w:val="24"/>
          <w:szCs w:val="24"/>
          <w:lang w:val="sr-Cyrl-CS"/>
        </w:rPr>
        <w:t>. AOT40</w:t>
      </w:r>
      <w:r w:rsidRPr="00CC35F0">
        <w:rPr>
          <w:rFonts w:ascii="Times New Roman" w:eastAsia="Times New Roman" w:hAnsi="Times New Roman"/>
          <w:sz w:val="24"/>
          <w:szCs w:val="24"/>
          <w:vertAlign w:val="superscript"/>
          <w:lang w:val="sr-Cyrl-CS"/>
        </w:rPr>
        <w:footnoteReference w:id="31"/>
      </w:r>
      <w:r w:rsidRPr="00CC35F0">
        <w:rPr>
          <w:rFonts w:ascii="Times New Roman" w:eastAsia="Times New Roman" w:hAnsi="Times New Roman"/>
          <w:sz w:val="24"/>
          <w:szCs w:val="24"/>
          <w:lang w:val="sr-Cyrl-CS"/>
        </w:rPr>
        <w:t xml:space="preserve"> за биље дефинише се као AOT40 измерен или симулиран на висини од једног метра, акумулиран у периоду од маја до јула. Број квадратних километара на којима се бележе прекорачења у референтној и 2030. години, како је израчунато у овом м</w:t>
      </w:r>
      <w:r w:rsidR="001E7169" w:rsidRPr="00CC35F0">
        <w:rPr>
          <w:rFonts w:ascii="Times New Roman" w:eastAsia="Times New Roman" w:hAnsi="Times New Roman"/>
          <w:sz w:val="24"/>
          <w:szCs w:val="24"/>
          <w:lang w:val="sr-Cyrl-CS"/>
        </w:rPr>
        <w:t>оделу, приказан је у Табели 5-3</w:t>
      </w:r>
      <w:r w:rsidRPr="00CC35F0">
        <w:rPr>
          <w:rFonts w:ascii="Times New Roman" w:eastAsia="Times New Roman" w:hAnsi="Times New Roman"/>
          <w:sz w:val="24"/>
          <w:szCs w:val="24"/>
          <w:lang w:val="sr-Cyrl-CS"/>
        </w:rPr>
        <w:t xml:space="preserve">. Ова површина исказана је и у процентима територије. </w:t>
      </w:r>
    </w:p>
    <w:p w14:paraId="7850BB33" w14:textId="77777777" w:rsidR="00A0251B" w:rsidRPr="00CC35F0" w:rsidRDefault="001F6EEA">
      <w:pPr>
        <w:spacing w:after="0"/>
        <w:rPr>
          <w:rFonts w:ascii="Times New Roman" w:eastAsia="Times New Roman" w:hAnsi="Times New Roman"/>
          <w:b/>
          <w:sz w:val="24"/>
          <w:szCs w:val="24"/>
          <w:lang w:val="sr-Cyrl-CS"/>
        </w:rPr>
      </w:pPr>
      <w:bookmarkStart w:id="58" w:name="_heading=h.sqyw64" w:colFirst="0" w:colLast="0"/>
      <w:bookmarkEnd w:id="58"/>
      <w:r w:rsidRPr="00CC35F0">
        <w:rPr>
          <w:rFonts w:ascii="Times New Roman" w:eastAsia="Times New Roman" w:hAnsi="Times New Roman"/>
          <w:b/>
          <w:sz w:val="24"/>
          <w:szCs w:val="24"/>
          <w:lang w:val="sr-Cyrl-CS"/>
        </w:rPr>
        <w:t xml:space="preserve">Табела 5-3 </w:t>
      </w:r>
      <w:r w:rsidR="008D6506" w:rsidRPr="00CC35F0">
        <w:rPr>
          <w:rFonts w:ascii="Times New Roman" w:eastAsia="Times New Roman" w:hAnsi="Times New Roman"/>
          <w:b/>
          <w:sz w:val="24"/>
          <w:szCs w:val="24"/>
          <w:lang w:val="sr-Cyrl-CS"/>
        </w:rPr>
        <w:t xml:space="preserve">Површине на којима се бележе прекорачења циљне вредности AOT40 за вегетацију у </w:t>
      </w:r>
      <w:r w:rsidR="0056514A" w:rsidRPr="00CC35F0">
        <w:rPr>
          <w:rFonts w:ascii="Times New Roman" w:eastAsia="Times New Roman" w:hAnsi="Times New Roman"/>
          <w:b/>
          <w:sz w:val="24"/>
          <w:szCs w:val="24"/>
          <w:lang w:val="sr-Cyrl-CS"/>
        </w:rPr>
        <w:t xml:space="preserve">Републици </w:t>
      </w:r>
      <w:r w:rsidR="008D6506" w:rsidRPr="00CC35F0">
        <w:rPr>
          <w:rFonts w:ascii="Times New Roman" w:eastAsia="Times New Roman" w:hAnsi="Times New Roman"/>
          <w:b/>
          <w:sz w:val="24"/>
          <w:szCs w:val="24"/>
          <w:lang w:val="sr-Cyrl-CS"/>
        </w:rPr>
        <w:t>Србији</w:t>
      </w:r>
    </w:p>
    <w:tbl>
      <w:tblPr>
        <w:tblStyle w:val="aa"/>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53"/>
        <w:gridCol w:w="1176"/>
        <w:gridCol w:w="1271"/>
        <w:gridCol w:w="1131"/>
        <w:gridCol w:w="1131"/>
        <w:gridCol w:w="1131"/>
      </w:tblGrid>
      <w:tr w:rsidR="00A0251B" w:rsidRPr="00CC35F0" w14:paraId="67D420C3" w14:textId="77777777" w:rsidTr="00A0251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3" w:type="dxa"/>
            <w:tcBorders>
              <w:top w:val="nil"/>
              <w:left w:val="nil"/>
              <w:bottom w:val="nil"/>
            </w:tcBorders>
            <w:shd w:val="clear" w:color="auto" w:fill="DEEBF6"/>
            <w:vAlign w:val="center"/>
          </w:tcPr>
          <w:p w14:paraId="4C2A99B9"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 xml:space="preserve">Површине на којима је забележено прекорачење циљне вредности  AOT40 за Републику Србију </w:t>
            </w:r>
          </w:p>
        </w:tc>
        <w:tc>
          <w:tcPr>
            <w:tcW w:w="1176" w:type="dxa"/>
            <w:tcBorders>
              <w:top w:val="nil"/>
              <w:bottom w:val="nil"/>
            </w:tcBorders>
            <w:shd w:val="clear" w:color="auto" w:fill="DEEBF6"/>
            <w:vAlign w:val="center"/>
          </w:tcPr>
          <w:p w14:paraId="19583456" w14:textId="77777777" w:rsidR="00A0251B" w:rsidRPr="00CC35F0" w:rsidRDefault="008D65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Реф.</w:t>
            </w:r>
          </w:p>
          <w:p w14:paraId="67DC90D2" w14:textId="77777777" w:rsidR="00A0251B" w:rsidRPr="00CC35F0" w:rsidRDefault="008D65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(2015.)</w:t>
            </w:r>
          </w:p>
        </w:tc>
        <w:tc>
          <w:tcPr>
            <w:tcW w:w="1271" w:type="dxa"/>
            <w:tcBorders>
              <w:top w:val="nil"/>
              <w:bottom w:val="nil"/>
            </w:tcBorders>
            <w:shd w:val="clear" w:color="auto" w:fill="DEEBF6"/>
            <w:vAlign w:val="center"/>
          </w:tcPr>
          <w:p w14:paraId="13ACB05E" w14:textId="77777777" w:rsidR="00A0251B" w:rsidRPr="00CC35F0" w:rsidRDefault="008D65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WEM</w:t>
            </w:r>
          </w:p>
          <w:p w14:paraId="62F6C516" w14:textId="77777777" w:rsidR="00A0251B" w:rsidRPr="00CC35F0" w:rsidRDefault="008D65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(2030.)</w:t>
            </w:r>
          </w:p>
        </w:tc>
        <w:tc>
          <w:tcPr>
            <w:tcW w:w="1131" w:type="dxa"/>
            <w:tcBorders>
              <w:top w:val="nil"/>
              <w:bottom w:val="nil"/>
            </w:tcBorders>
            <w:shd w:val="clear" w:color="auto" w:fill="DEEBF6"/>
            <w:vAlign w:val="center"/>
          </w:tcPr>
          <w:p w14:paraId="2FF3CD03" w14:textId="77777777" w:rsidR="00A0251B" w:rsidRPr="00CC35F0" w:rsidRDefault="008D65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WAM A</w:t>
            </w:r>
          </w:p>
          <w:p w14:paraId="370CB4C5" w14:textId="77777777" w:rsidR="00A0251B" w:rsidRPr="00CC35F0" w:rsidRDefault="008D65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(2030.)</w:t>
            </w:r>
          </w:p>
        </w:tc>
        <w:tc>
          <w:tcPr>
            <w:tcW w:w="1131" w:type="dxa"/>
            <w:tcBorders>
              <w:top w:val="nil"/>
              <w:bottom w:val="nil"/>
            </w:tcBorders>
            <w:shd w:val="clear" w:color="auto" w:fill="DEEBF6"/>
            <w:vAlign w:val="center"/>
          </w:tcPr>
          <w:p w14:paraId="7D7FCABF" w14:textId="77777777" w:rsidR="00A0251B" w:rsidRPr="00CC35F0" w:rsidRDefault="008D65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WAM B</w:t>
            </w:r>
          </w:p>
          <w:p w14:paraId="2A91F1C8" w14:textId="77777777" w:rsidR="00A0251B" w:rsidRPr="00CC35F0" w:rsidRDefault="008D65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(2030.)</w:t>
            </w:r>
          </w:p>
        </w:tc>
        <w:tc>
          <w:tcPr>
            <w:tcW w:w="1131" w:type="dxa"/>
            <w:tcBorders>
              <w:top w:val="nil"/>
              <w:bottom w:val="nil"/>
              <w:right w:val="nil"/>
            </w:tcBorders>
            <w:shd w:val="clear" w:color="auto" w:fill="DEEBF6"/>
            <w:vAlign w:val="center"/>
          </w:tcPr>
          <w:p w14:paraId="3BF54AD1" w14:textId="77777777" w:rsidR="00A0251B" w:rsidRPr="00CC35F0" w:rsidRDefault="008D65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WAM C</w:t>
            </w:r>
          </w:p>
          <w:p w14:paraId="4C440081" w14:textId="77777777" w:rsidR="00A0251B" w:rsidRPr="00CC35F0" w:rsidRDefault="008D6506">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b w:val="0"/>
                <w:color w:val="000000"/>
                <w:sz w:val="24"/>
                <w:szCs w:val="24"/>
                <w:lang w:val="sr-Cyrl-CS"/>
              </w:rPr>
              <w:t>(2030.)</w:t>
            </w:r>
          </w:p>
        </w:tc>
      </w:tr>
      <w:tr w:rsidR="00A0251B" w:rsidRPr="00CC35F0" w14:paraId="7D5E0179" w14:textId="77777777" w:rsidTr="00A0251B">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653" w:type="dxa"/>
            <w:shd w:val="clear" w:color="auto" w:fill="auto"/>
            <w:vAlign w:val="center"/>
          </w:tcPr>
          <w:p w14:paraId="4FF9D91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km</w:t>
            </w:r>
            <w:r w:rsidRPr="00CC35F0">
              <w:rPr>
                <w:rFonts w:ascii="Times New Roman" w:eastAsia="Times New Roman" w:hAnsi="Times New Roman"/>
                <w:sz w:val="24"/>
                <w:szCs w:val="24"/>
                <w:vertAlign w:val="superscript"/>
                <w:lang w:val="sr-Cyrl-CS"/>
              </w:rPr>
              <w:t>2</w:t>
            </w:r>
          </w:p>
        </w:tc>
        <w:tc>
          <w:tcPr>
            <w:tcW w:w="1176" w:type="dxa"/>
            <w:shd w:val="clear" w:color="auto" w:fill="auto"/>
            <w:vAlign w:val="center"/>
          </w:tcPr>
          <w:p w14:paraId="3F0B2C8A" w14:textId="77777777" w:rsidR="00A0251B" w:rsidRPr="00CC35F0" w:rsidRDefault="008D65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1.440.288</w:t>
            </w:r>
          </w:p>
        </w:tc>
        <w:tc>
          <w:tcPr>
            <w:tcW w:w="1271" w:type="dxa"/>
            <w:shd w:val="clear" w:color="auto" w:fill="auto"/>
            <w:vAlign w:val="center"/>
          </w:tcPr>
          <w:p w14:paraId="2AB87F67" w14:textId="77777777" w:rsidR="00A0251B" w:rsidRPr="00CC35F0" w:rsidRDefault="008D65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53.377</w:t>
            </w:r>
          </w:p>
        </w:tc>
        <w:tc>
          <w:tcPr>
            <w:tcW w:w="1131" w:type="dxa"/>
            <w:shd w:val="clear" w:color="auto" w:fill="auto"/>
            <w:vAlign w:val="center"/>
          </w:tcPr>
          <w:p w14:paraId="02FC6106" w14:textId="77777777" w:rsidR="00A0251B" w:rsidRPr="00CC35F0" w:rsidRDefault="008D65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7.237</w:t>
            </w:r>
          </w:p>
        </w:tc>
        <w:tc>
          <w:tcPr>
            <w:tcW w:w="1131" w:type="dxa"/>
            <w:shd w:val="clear" w:color="auto" w:fill="auto"/>
            <w:vAlign w:val="center"/>
          </w:tcPr>
          <w:p w14:paraId="2722C50D" w14:textId="77777777" w:rsidR="00A0251B" w:rsidRPr="00CC35F0" w:rsidRDefault="008D65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664</w:t>
            </w:r>
          </w:p>
        </w:tc>
        <w:tc>
          <w:tcPr>
            <w:tcW w:w="1131" w:type="dxa"/>
            <w:shd w:val="clear" w:color="auto" w:fill="auto"/>
            <w:vAlign w:val="center"/>
          </w:tcPr>
          <w:p w14:paraId="7BEE3B18" w14:textId="77777777" w:rsidR="00A0251B" w:rsidRPr="00CC35F0" w:rsidRDefault="008D650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664</w:t>
            </w:r>
          </w:p>
        </w:tc>
      </w:tr>
      <w:tr w:rsidR="00A0251B" w:rsidRPr="00CC35F0" w14:paraId="754F9370" w14:textId="77777777" w:rsidTr="00A0251B">
        <w:tc>
          <w:tcPr>
            <w:cnfStyle w:val="001000000000" w:firstRow="0" w:lastRow="0" w:firstColumn="1" w:lastColumn="0" w:oddVBand="0" w:evenVBand="0" w:oddHBand="0" w:evenHBand="0" w:firstRowFirstColumn="0" w:firstRowLastColumn="0" w:lastRowFirstColumn="0" w:lastRowLastColumn="0"/>
            <w:tcW w:w="3653" w:type="dxa"/>
            <w:vAlign w:val="center"/>
          </w:tcPr>
          <w:p w14:paraId="1A6B859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 укупне површине</w:t>
            </w:r>
          </w:p>
        </w:tc>
        <w:tc>
          <w:tcPr>
            <w:tcW w:w="1176" w:type="dxa"/>
            <w:vAlign w:val="center"/>
          </w:tcPr>
          <w:p w14:paraId="29F14E85" w14:textId="77777777" w:rsidR="00A0251B" w:rsidRPr="00CC35F0" w:rsidRDefault="008D65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38,73%</w:t>
            </w:r>
          </w:p>
        </w:tc>
        <w:tc>
          <w:tcPr>
            <w:tcW w:w="1271" w:type="dxa"/>
            <w:vAlign w:val="center"/>
          </w:tcPr>
          <w:p w14:paraId="295E1B89" w14:textId="77777777" w:rsidR="00A0251B" w:rsidRPr="00CC35F0" w:rsidRDefault="008D65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1,44%</w:t>
            </w:r>
          </w:p>
        </w:tc>
        <w:tc>
          <w:tcPr>
            <w:tcW w:w="1131" w:type="dxa"/>
            <w:vAlign w:val="center"/>
          </w:tcPr>
          <w:p w14:paraId="1A531ABB" w14:textId="77777777" w:rsidR="00A0251B" w:rsidRPr="00CC35F0" w:rsidRDefault="008D65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0,19%</w:t>
            </w:r>
          </w:p>
        </w:tc>
        <w:tc>
          <w:tcPr>
            <w:tcW w:w="1131" w:type="dxa"/>
            <w:vAlign w:val="center"/>
          </w:tcPr>
          <w:p w14:paraId="0135481C" w14:textId="77777777" w:rsidR="00A0251B" w:rsidRPr="00CC35F0" w:rsidRDefault="008D65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0,02%</w:t>
            </w:r>
          </w:p>
        </w:tc>
        <w:tc>
          <w:tcPr>
            <w:tcW w:w="1131" w:type="dxa"/>
            <w:vAlign w:val="center"/>
          </w:tcPr>
          <w:p w14:paraId="741C1B48" w14:textId="77777777" w:rsidR="00A0251B" w:rsidRPr="00CC35F0" w:rsidRDefault="008D6506">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0,02%</w:t>
            </w:r>
          </w:p>
        </w:tc>
      </w:tr>
    </w:tbl>
    <w:p w14:paraId="08D825DA" w14:textId="77777777" w:rsidR="00A0251B" w:rsidRPr="00CC35F0" w:rsidRDefault="00A0251B">
      <w:pPr>
        <w:rPr>
          <w:rFonts w:ascii="Times New Roman" w:eastAsia="Times New Roman" w:hAnsi="Times New Roman"/>
          <w:sz w:val="24"/>
          <w:szCs w:val="24"/>
          <w:lang w:val="sr-Cyrl-CS"/>
        </w:rPr>
      </w:pPr>
    </w:p>
    <w:p w14:paraId="6730E0E7" w14:textId="77777777" w:rsidR="00A0251B" w:rsidRPr="00CC35F0" w:rsidRDefault="008D6506" w:rsidP="0094074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површине на којима је забележено прекорачење у референтној години у односу на 2030. годину и примену сценарија WEM је изузетно, јер са скоро 40% територије на којој је забележено прекорачење, овај проценат 2030.</w:t>
      </w:r>
      <w:r w:rsidR="001E7169" w:rsidRPr="00CC35F0">
        <w:rPr>
          <w:rFonts w:ascii="Times New Roman" w:eastAsia="Times New Roman" w:hAnsi="Times New Roman"/>
          <w:sz w:val="24"/>
          <w:szCs w:val="24"/>
          <w:lang w:val="sr-Cyrl-CS"/>
        </w:rPr>
        <w:t xml:space="preserve"> године</w:t>
      </w:r>
      <w:r w:rsidRPr="00CC35F0">
        <w:rPr>
          <w:rFonts w:ascii="Times New Roman" w:eastAsia="Times New Roman" w:hAnsi="Times New Roman"/>
          <w:sz w:val="24"/>
          <w:szCs w:val="24"/>
          <w:lang w:val="sr-Cyrl-CS"/>
        </w:rPr>
        <w:t xml:space="preserve"> износи мање од 2%. Овакав резултат углавном је последица знатног смањења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xml:space="preserve"> (-50% у поређењу са 2015. годином). Смањења емисија VOC би такође имала ефекта, али ово смањење је и значајније (-10%). Применом најстрож</w:t>
      </w:r>
      <w:r w:rsidR="00220C4C">
        <w:rPr>
          <w:rFonts w:ascii="Times New Roman" w:eastAsia="Times New Roman" w:hAnsi="Times New Roman"/>
          <w:sz w:val="24"/>
          <w:szCs w:val="24"/>
          <w:lang w:val="sr-Cyrl-CS"/>
        </w:rPr>
        <w:t>ег</w:t>
      </w:r>
      <w:r w:rsidRPr="00CC35F0">
        <w:rPr>
          <w:rFonts w:ascii="Times New Roman" w:eastAsia="Times New Roman" w:hAnsi="Times New Roman"/>
          <w:sz w:val="24"/>
          <w:szCs w:val="24"/>
          <w:lang w:val="sr-Cyrl-CS"/>
        </w:rPr>
        <w:t xml:space="preserve"> сценарија на емисије загађујућих материја (WAM C), којим се емисије NOx и VOC смањују 60%, односно 26% у поређењу са референтном 2015. годином, прекорачења циљних вредности би била забележена на само 0,02% територије. </w:t>
      </w:r>
    </w:p>
    <w:p w14:paraId="5930ED69" w14:textId="77777777" w:rsidR="00A0251B" w:rsidRPr="00CC35F0" w:rsidRDefault="008D6506" w:rsidP="00382EC6">
      <w:pPr>
        <w:pStyle w:val="Heading1"/>
        <w:numPr>
          <w:ilvl w:val="1"/>
          <w:numId w:val="10"/>
        </w:numPr>
        <w:rPr>
          <w:rFonts w:ascii="Times New Roman" w:eastAsia="Times New Roman" w:hAnsi="Times New Roman"/>
          <w:sz w:val="24"/>
          <w:szCs w:val="24"/>
          <w:lang w:val="sr-Cyrl-CS"/>
        </w:rPr>
      </w:pPr>
      <w:bookmarkStart w:id="59" w:name="_heading=h.3cqmetx" w:colFirst="0" w:colLast="0"/>
      <w:bookmarkEnd w:id="59"/>
      <w:r w:rsidRPr="00CC35F0">
        <w:rPr>
          <w:rFonts w:ascii="Times New Roman" w:eastAsia="Times New Roman" w:hAnsi="Times New Roman"/>
          <w:sz w:val="24"/>
          <w:szCs w:val="24"/>
          <w:lang w:val="sr-Cyrl-CS"/>
        </w:rPr>
        <w:t>Вишекритеријумска анализа коју су спровеле заинтересоване стране, а која служи за избор оптималног сценарија за побољшање квалитета ваздуха у Републици Србији</w:t>
      </w:r>
    </w:p>
    <w:p w14:paraId="4510B9C6" w14:textId="77777777" w:rsidR="00A0251B" w:rsidRPr="00CC35F0" w:rsidRDefault="008D6506" w:rsidP="0094074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Вишекритеријумска анализа (МЦА) је спроведена кроз електронски упитник, уз који је достављен технички документ са поједностављеним информацијама, како би омогућила доступност великом броју заинтересованих страна. Питања су се односила на три сценарија са додатним мерама (WAM A, WAM B и WAM C), припремљених у контексту израде овог програма.</w:t>
      </w:r>
    </w:p>
    <w:p w14:paraId="2DB3B899" w14:textId="77777777" w:rsidR="00A0251B" w:rsidRPr="00CC35F0" w:rsidRDefault="008D6506" w:rsidP="0094074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У наставку следи сажетак кључних резултата. Детаљна анализа резултата вишекритеријумск</w:t>
      </w:r>
      <w:r w:rsidR="00AF0F97" w:rsidRPr="00CC35F0">
        <w:rPr>
          <w:rFonts w:ascii="Times New Roman" w:eastAsia="Times New Roman" w:hAnsi="Times New Roman"/>
          <w:sz w:val="24"/>
          <w:szCs w:val="24"/>
          <w:lang w:val="sr-Cyrl-CS"/>
        </w:rPr>
        <w:t>е анализе налази се у Прилогу 1, који је одштампан уз овај програм и чини његов састав</w:t>
      </w:r>
      <w:r w:rsidR="00ED64D3" w:rsidRPr="00CC35F0">
        <w:rPr>
          <w:rFonts w:ascii="Times New Roman" w:eastAsia="Times New Roman" w:hAnsi="Times New Roman"/>
          <w:sz w:val="24"/>
          <w:szCs w:val="24"/>
          <w:lang w:val="sr-Cyrl-CS"/>
        </w:rPr>
        <w:t>н</w:t>
      </w:r>
      <w:r w:rsidR="00AF0F97" w:rsidRPr="00CC35F0">
        <w:rPr>
          <w:rFonts w:ascii="Times New Roman" w:eastAsia="Times New Roman" w:hAnsi="Times New Roman"/>
          <w:sz w:val="24"/>
          <w:szCs w:val="24"/>
          <w:lang w:val="sr-Cyrl-CS"/>
        </w:rPr>
        <w:t>и део.</w:t>
      </w:r>
    </w:p>
    <w:p w14:paraId="62BD8CFD" w14:textId="77777777" w:rsidR="00A0251B" w:rsidRPr="00CC35F0" w:rsidRDefault="008D6506" w:rsidP="0094074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Коришћена су три критеријума, при чему су заинтересоване стране највећи значај дале здрављу (4,36 од 5), а затим следе животна средина (4,27) и економија (4,04).</w:t>
      </w:r>
    </w:p>
    <w:p w14:paraId="1CD6A3B9" w14:textId="77777777" w:rsidR="00A0251B" w:rsidRPr="00CC35F0" w:rsidRDefault="008D6506" w:rsidP="00940740">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 критеријум животне средине постављена су три питања:</w:t>
      </w:r>
    </w:p>
    <w:p w14:paraId="7153B391" w14:textId="77777777" w:rsidR="00A0251B" w:rsidRPr="00CC35F0" w:rsidRDefault="000A49DD" w:rsidP="00382EC6">
      <w:pPr>
        <w:numPr>
          <w:ilvl w:val="0"/>
          <w:numId w:val="30"/>
        </w:numPr>
        <w:spacing w:after="0"/>
        <w:ind w:left="0"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w:t>
      </w:r>
      <w:r w:rsidR="008D6506" w:rsidRPr="00CC35F0">
        <w:rPr>
          <w:rFonts w:ascii="Times New Roman" w:eastAsia="Times New Roman" w:hAnsi="Times New Roman"/>
          <w:sz w:val="24"/>
          <w:szCs w:val="24"/>
          <w:lang w:val="sr-Cyrl-CS"/>
        </w:rPr>
        <w:t>олико сте задовољни смањењем емисија PM10 постигнутим у оквиру сценарија WAM A, WAM B и WAM C?</w:t>
      </w:r>
      <w:r w:rsidR="00232F38" w:rsidRPr="00CC35F0">
        <w:rPr>
          <w:rFonts w:ascii="Times New Roman" w:eastAsia="Times New Roman" w:hAnsi="Times New Roman"/>
          <w:sz w:val="24"/>
          <w:szCs w:val="24"/>
          <w:lang w:val="sr-Cyrl-CS"/>
        </w:rPr>
        <w:t>;</w:t>
      </w:r>
    </w:p>
    <w:p w14:paraId="331CA6D5" w14:textId="77777777" w:rsidR="00A0251B" w:rsidRPr="00CC35F0" w:rsidRDefault="000A49DD" w:rsidP="00382EC6">
      <w:pPr>
        <w:numPr>
          <w:ilvl w:val="0"/>
          <w:numId w:val="30"/>
        </w:numPr>
        <w:spacing w:after="0"/>
        <w:ind w:left="0"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w:t>
      </w:r>
      <w:r w:rsidR="008D6506" w:rsidRPr="00CC35F0">
        <w:rPr>
          <w:rFonts w:ascii="Times New Roman" w:eastAsia="Times New Roman" w:hAnsi="Times New Roman"/>
          <w:sz w:val="24"/>
          <w:szCs w:val="24"/>
          <w:lang w:val="sr-Cyrl-CS"/>
        </w:rPr>
        <w:t>олико сте задовољни бројем дана прекорачења граничних вредности PM10 процењених у WAM A, WAM B и WAM C?</w:t>
      </w:r>
      <w:r w:rsidR="00232F38" w:rsidRPr="00CC35F0">
        <w:rPr>
          <w:rFonts w:ascii="Times New Roman" w:eastAsia="Times New Roman" w:hAnsi="Times New Roman"/>
          <w:sz w:val="24"/>
          <w:szCs w:val="24"/>
          <w:lang w:val="sr-Cyrl-CS"/>
        </w:rPr>
        <w:t>;</w:t>
      </w:r>
    </w:p>
    <w:p w14:paraId="6D38F53F" w14:textId="77777777" w:rsidR="00A0251B" w:rsidRPr="00CC35F0" w:rsidRDefault="000A49DD" w:rsidP="00382EC6">
      <w:pPr>
        <w:numPr>
          <w:ilvl w:val="0"/>
          <w:numId w:val="30"/>
        </w:numPr>
        <w:spacing w:after="0"/>
        <w:ind w:left="0"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w:t>
      </w:r>
      <w:r w:rsidR="008D6506" w:rsidRPr="00CC35F0">
        <w:rPr>
          <w:rFonts w:ascii="Times New Roman" w:eastAsia="Times New Roman" w:hAnsi="Times New Roman"/>
          <w:sz w:val="24"/>
          <w:szCs w:val="24"/>
          <w:lang w:val="sr-Cyrl-CS"/>
        </w:rPr>
        <w:t>олико сте задовољни проценом броја дана прекорачења граничних вредности било које загађујуће материје у вашем граду (или граду у вашој близини) у оквиру WAM A, WAM B и WAM C?</w:t>
      </w:r>
      <w:r w:rsidR="00232F38" w:rsidRPr="00CC35F0">
        <w:rPr>
          <w:rFonts w:ascii="Times New Roman" w:eastAsia="Times New Roman" w:hAnsi="Times New Roman"/>
          <w:sz w:val="24"/>
          <w:szCs w:val="24"/>
          <w:lang w:val="sr-Cyrl-CS"/>
        </w:rPr>
        <w:t>.</w:t>
      </w:r>
    </w:p>
    <w:p w14:paraId="3D2550BF" w14:textId="77777777" w:rsidR="00A0251B" w:rsidRPr="00CC35F0" w:rsidRDefault="00A0251B" w:rsidP="007E41E4">
      <w:pPr>
        <w:rPr>
          <w:rFonts w:ascii="Times New Roman" w:eastAsia="Times New Roman" w:hAnsi="Times New Roman"/>
          <w:sz w:val="24"/>
          <w:szCs w:val="24"/>
          <w:highlight w:val="lightGray"/>
          <w:lang w:val="sr-Cyrl-CS"/>
        </w:rPr>
      </w:pPr>
    </w:p>
    <w:p w14:paraId="5B9787BA" w14:textId="77777777" w:rsidR="00A0251B" w:rsidRPr="00CC35F0" w:rsidRDefault="008D6506" w:rsidP="00BF76C3">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 критеријум здравља постављено је једно питање:</w:t>
      </w:r>
    </w:p>
    <w:p w14:paraId="5F3ECA54" w14:textId="77777777" w:rsidR="00A0251B" w:rsidRPr="00CC35F0" w:rsidRDefault="00232F38" w:rsidP="00382EC6">
      <w:pPr>
        <w:pStyle w:val="ListParagraph"/>
        <w:numPr>
          <w:ilvl w:val="0"/>
          <w:numId w:val="31"/>
        </w:numPr>
        <w:tabs>
          <w:tab w:val="clear" w:pos="3825"/>
        </w:tabs>
        <w:spacing w:after="0"/>
        <w:ind w:left="0" w:firstLine="360"/>
        <w:jc w:val="left"/>
        <w:rPr>
          <w:rFonts w:ascii="Times New Roman" w:hAnsi="Times New Roman"/>
          <w:sz w:val="24"/>
          <w:szCs w:val="24"/>
          <w:lang w:val="sr-Cyrl-CS"/>
        </w:rPr>
      </w:pPr>
      <w:r w:rsidRPr="00CC35F0">
        <w:rPr>
          <w:rFonts w:ascii="Times New Roman" w:hAnsi="Times New Roman"/>
          <w:sz w:val="24"/>
          <w:szCs w:val="24"/>
          <w:lang w:val="sr-Cyrl-CS"/>
        </w:rPr>
        <w:t>к</w:t>
      </w:r>
      <w:r w:rsidR="008D6506" w:rsidRPr="00CC35F0">
        <w:rPr>
          <w:rFonts w:ascii="Times New Roman" w:hAnsi="Times New Roman"/>
          <w:sz w:val="24"/>
          <w:szCs w:val="24"/>
          <w:lang w:val="sr-Cyrl-CS"/>
        </w:rPr>
        <w:t>олико сте задовољни проценом броја превремених смртних случајева у вези са загађењем ваздуха у оквиру WAM A, WAM B и WAM C?</w:t>
      </w:r>
    </w:p>
    <w:p w14:paraId="06E4D79A" w14:textId="77777777" w:rsidR="00A0251B" w:rsidRPr="00CC35F0" w:rsidRDefault="00A0251B">
      <w:pPr>
        <w:rPr>
          <w:rFonts w:ascii="Times New Roman" w:eastAsia="Times New Roman" w:hAnsi="Times New Roman"/>
          <w:sz w:val="24"/>
          <w:szCs w:val="24"/>
          <w:lang w:val="sr-Cyrl-CS"/>
        </w:rPr>
      </w:pPr>
    </w:p>
    <w:p w14:paraId="142FF5AE" w14:textId="77777777" w:rsidR="00A0251B" w:rsidRPr="00CC35F0" w:rsidRDefault="008D6506" w:rsidP="00BF76C3">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 економски критеријум постављена су два питања:</w:t>
      </w:r>
    </w:p>
    <w:p w14:paraId="0EF0D9AC" w14:textId="77777777" w:rsidR="00A0251B" w:rsidRPr="00CC35F0" w:rsidRDefault="00232F38" w:rsidP="00382EC6">
      <w:pPr>
        <w:numPr>
          <w:ilvl w:val="0"/>
          <w:numId w:val="32"/>
        </w:numPr>
        <w:spacing w:after="0"/>
        <w:ind w:left="0" w:firstLine="360"/>
        <w:jc w:val="left"/>
        <w:rPr>
          <w:rFonts w:ascii="Times New Roman" w:eastAsia="Times New Roman" w:hAnsi="Times New Roman"/>
          <w:sz w:val="24"/>
          <w:szCs w:val="24"/>
          <w:lang w:val="sr-Cyrl-CS"/>
        </w:rPr>
      </w:pPr>
      <w:bookmarkStart w:id="60" w:name="_heading=h.1rvwp1q" w:colFirst="0" w:colLast="0"/>
      <w:bookmarkEnd w:id="60"/>
      <w:r w:rsidRPr="00CC35F0">
        <w:rPr>
          <w:rFonts w:ascii="Times New Roman" w:eastAsia="Times New Roman" w:hAnsi="Times New Roman"/>
          <w:sz w:val="24"/>
          <w:szCs w:val="24"/>
          <w:lang w:val="sr-Cyrl-CS"/>
        </w:rPr>
        <w:t>к</w:t>
      </w:r>
      <w:r w:rsidR="008D6506" w:rsidRPr="00CC35F0">
        <w:rPr>
          <w:rFonts w:ascii="Times New Roman" w:eastAsia="Times New Roman" w:hAnsi="Times New Roman"/>
          <w:sz w:val="24"/>
          <w:szCs w:val="24"/>
          <w:lang w:val="sr-Cyrl-CS"/>
        </w:rPr>
        <w:t>олико сте задовољни процењеним додатним трошковима за спровођење WAM A, WAM B и WAM C?</w:t>
      </w:r>
      <w:r w:rsidRPr="00CC35F0">
        <w:rPr>
          <w:rFonts w:ascii="Times New Roman" w:eastAsia="Times New Roman" w:hAnsi="Times New Roman"/>
          <w:sz w:val="24"/>
          <w:szCs w:val="24"/>
          <w:lang w:val="sr-Cyrl-CS"/>
        </w:rPr>
        <w:t>;</w:t>
      </w:r>
    </w:p>
    <w:p w14:paraId="48DB5D92" w14:textId="77777777" w:rsidR="00A0251B" w:rsidRPr="00CC35F0" w:rsidRDefault="00232F38" w:rsidP="00382EC6">
      <w:pPr>
        <w:numPr>
          <w:ilvl w:val="0"/>
          <w:numId w:val="32"/>
        </w:numPr>
        <w:tabs>
          <w:tab w:val="left" w:pos="360"/>
        </w:tabs>
        <w:spacing w:after="0"/>
        <w:ind w:left="0" w:firstLine="36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w:t>
      </w:r>
      <w:r w:rsidR="008D6506" w:rsidRPr="00CC35F0">
        <w:rPr>
          <w:rFonts w:ascii="Times New Roman" w:eastAsia="Times New Roman" w:hAnsi="Times New Roman"/>
          <w:sz w:val="24"/>
          <w:szCs w:val="24"/>
          <w:lang w:val="sr-Cyrl-CS"/>
        </w:rPr>
        <w:t>олико сте задовољни проценом нето користи (односа користи и трошка) у оквиру WAM A, WAM B и WAM C?</w:t>
      </w:r>
      <w:r w:rsidRPr="00CC35F0">
        <w:rPr>
          <w:rFonts w:ascii="Times New Roman" w:eastAsia="Times New Roman" w:hAnsi="Times New Roman"/>
          <w:sz w:val="24"/>
          <w:szCs w:val="24"/>
          <w:lang w:val="sr-Cyrl-CS"/>
        </w:rPr>
        <w:t>.</w:t>
      </w:r>
    </w:p>
    <w:p w14:paraId="22A18BD3" w14:textId="77777777" w:rsidR="00A0251B" w:rsidRPr="00CC35F0" w:rsidRDefault="00A0251B">
      <w:pPr>
        <w:rPr>
          <w:rFonts w:ascii="Times New Roman" w:eastAsia="Times New Roman" w:hAnsi="Times New Roman"/>
          <w:sz w:val="24"/>
          <w:szCs w:val="24"/>
          <w:highlight w:val="lightGray"/>
          <w:lang w:val="sr-Cyrl-CS"/>
        </w:rPr>
      </w:pPr>
    </w:p>
    <w:p w14:paraId="2A7DD2B4" w14:textId="77777777" w:rsidR="00A0251B" w:rsidRPr="00CC35F0" w:rsidRDefault="008D6506" w:rsidP="007B389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Одговори на сва питања, без изузетка указују на највећи степен задовољства сценариом WAM C, затим следи WAM B и на крају WAM A.</w:t>
      </w:r>
    </w:p>
    <w:p w14:paraId="38090DF2" w14:textId="77777777" w:rsidR="00A0251B" w:rsidRPr="00CC35F0" w:rsidRDefault="008D6506" w:rsidP="007B389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 илустрацију одговора заинтересованих страна и највеће исказане наклоности сценарију WAM C у поређењу са осталим, на Слици 24 графички су представљени резултати одговора на питање o задовољству са смањењем емисија PM10 постигнутим у оквиру сваког сценарија.</w:t>
      </w:r>
    </w:p>
    <w:p w14:paraId="4E68CC7D" w14:textId="77777777" w:rsidR="00A0251B" w:rsidRPr="00CC35F0" w:rsidRDefault="008D6506">
      <w:pPr>
        <w:keepNext/>
        <w:jc w:val="center"/>
        <w:rPr>
          <w:rFonts w:ascii="Times New Roman" w:eastAsia="Times New Roman" w:hAnsi="Times New Roman"/>
          <w:sz w:val="24"/>
          <w:szCs w:val="24"/>
          <w:highlight w:val="lightGray"/>
          <w:lang w:val="sr-Cyrl-CS"/>
        </w:rPr>
      </w:pPr>
      <w:r w:rsidRPr="00CC35F0">
        <w:rPr>
          <w:rFonts w:ascii="Times New Roman" w:eastAsia="Times New Roman" w:hAnsi="Times New Roman"/>
          <w:noProof/>
          <w:sz w:val="24"/>
          <w:szCs w:val="24"/>
          <w:highlight w:val="lightGray"/>
          <w:lang w:val="sr-Cyrl-RS" w:eastAsia="sr-Cyrl-RS"/>
        </w:rPr>
        <w:lastRenderedPageBreak/>
        <w:drawing>
          <wp:inline distT="0" distB="0" distL="0" distR="0" wp14:anchorId="7263E39F" wp14:editId="7D203D40">
            <wp:extent cx="5118735" cy="2535382"/>
            <wp:effectExtent l="0" t="0" r="0" b="0"/>
            <wp:docPr id="528" name="Chart 5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579AD81" w14:textId="77777777" w:rsidR="00A0251B" w:rsidRPr="00CC35F0" w:rsidRDefault="00EB030F" w:rsidP="007B3892">
      <w:pPr>
        <w:spacing w:before="120" w:after="60"/>
        <w:jc w:val="center"/>
        <w:rPr>
          <w:rFonts w:ascii="Times New Roman" w:eastAsia="Times New Roman" w:hAnsi="Times New Roman"/>
          <w:b/>
          <w:sz w:val="24"/>
          <w:szCs w:val="24"/>
          <w:lang w:val="sr-Cyrl-CS"/>
        </w:rPr>
      </w:pPr>
      <w:bookmarkStart w:id="61" w:name="_heading=h.4bvk7pj" w:colFirst="0" w:colLast="0"/>
      <w:bookmarkEnd w:id="61"/>
      <w:r w:rsidRPr="00CC35F0">
        <w:rPr>
          <w:rFonts w:ascii="Times New Roman" w:eastAsia="Times New Roman" w:hAnsi="Times New Roman"/>
          <w:b/>
          <w:sz w:val="24"/>
          <w:szCs w:val="24"/>
          <w:lang w:val="sr-Cyrl-CS"/>
        </w:rPr>
        <w:t>Слика</w:t>
      </w:r>
      <w:r w:rsidR="008D6506" w:rsidRPr="00CC35F0">
        <w:rPr>
          <w:rFonts w:ascii="Times New Roman" w:eastAsia="Times New Roman" w:hAnsi="Times New Roman"/>
          <w:b/>
          <w:sz w:val="24"/>
          <w:szCs w:val="24"/>
          <w:lang w:val="sr-Cyrl-CS"/>
        </w:rPr>
        <w:t xml:space="preserve"> 24 - Колико сте задовољни смањењем емисија PM</w:t>
      </w:r>
      <w:r w:rsidR="008D6506" w:rsidRPr="00CC35F0">
        <w:rPr>
          <w:rFonts w:ascii="Times New Roman" w:eastAsia="Times New Roman" w:hAnsi="Times New Roman"/>
          <w:b/>
          <w:sz w:val="24"/>
          <w:szCs w:val="24"/>
          <w:vertAlign w:val="subscript"/>
          <w:lang w:val="sr-Cyrl-CS"/>
        </w:rPr>
        <w:t>10</w:t>
      </w:r>
      <w:r w:rsidR="008D6506" w:rsidRPr="00CC35F0">
        <w:rPr>
          <w:rFonts w:ascii="Times New Roman" w:eastAsia="Times New Roman" w:hAnsi="Times New Roman"/>
          <w:b/>
          <w:sz w:val="24"/>
          <w:szCs w:val="24"/>
          <w:lang w:val="sr-Cyrl-CS"/>
        </w:rPr>
        <w:t xml:space="preserve"> постигнутим у оквиру сценарија WAM A, WAM B и WAM C? – просек оцена</w:t>
      </w:r>
    </w:p>
    <w:p w14:paraId="4801FC63" w14:textId="77777777" w:rsidR="00A0251B" w:rsidRPr="00CC35F0" w:rsidRDefault="00A0251B">
      <w:pPr>
        <w:rPr>
          <w:rFonts w:ascii="Times New Roman" w:eastAsia="Times New Roman" w:hAnsi="Times New Roman"/>
          <w:sz w:val="24"/>
          <w:szCs w:val="24"/>
          <w:highlight w:val="lightGray"/>
          <w:lang w:val="sr-Cyrl-CS"/>
        </w:rPr>
      </w:pPr>
    </w:p>
    <w:p w14:paraId="0F3C4998" w14:textId="77777777" w:rsidR="00A0251B" w:rsidRPr="00CC35F0" w:rsidRDefault="008D6506" w:rsidP="001D29AA">
      <w:pPr>
        <w:ind w:firstLine="432"/>
        <w:rPr>
          <w:rFonts w:ascii="Times New Roman" w:eastAsia="Times New Roman" w:hAnsi="Times New Roman"/>
          <w:sz w:val="24"/>
          <w:szCs w:val="24"/>
          <w:highlight w:val="lightGray"/>
          <w:lang w:val="sr-Cyrl-CS"/>
        </w:rPr>
      </w:pPr>
      <w:r w:rsidRPr="00CC35F0">
        <w:rPr>
          <w:rFonts w:ascii="Times New Roman" w:eastAsia="Times New Roman" w:hAnsi="Times New Roman"/>
          <w:sz w:val="24"/>
          <w:szCs w:val="24"/>
          <w:lang w:val="sr-Cyrl-CS"/>
        </w:rPr>
        <w:t>Резултати вишекритеријумске анализе јасно показују да заинтересоване стране желе да се истраже све могућности за побољшање квалитета амбијенталног ваздуха, како би се осигурало да сви грађани Републике Србије уживају у бољим здравственим условима у поређењу са тренутним стањем. Чак и када су суочени са нешто већим трошковима које ће сносити градови са најтежим стањем у погледу квалитета ваздуха, заинтересоване стране су показале велики осећај солидарности, врло јасно рекавши да ниједан становник Републике Србије не сме остати занемарен. Имајући све то у виду, као и чињеницу да резултати анализе не представљају пропис, испитаници подржавају усвајање сценарија WAM C како би се испунила визија дефинисана у овом програму.</w:t>
      </w:r>
    </w:p>
    <w:p w14:paraId="16E007B7" w14:textId="77777777" w:rsidR="00A0251B" w:rsidRPr="00CC35F0" w:rsidRDefault="008D6506" w:rsidP="001D29AA">
      <w:pPr>
        <w:pStyle w:val="Einzug1"/>
        <w:rPr>
          <w:rFonts w:ascii="Times New Roman" w:hAnsi="Times New Roman" w:cs="Times New Roman"/>
          <w:sz w:val="24"/>
          <w:szCs w:val="24"/>
          <w:lang w:val="sr-Cyrl-CS"/>
        </w:rPr>
      </w:pPr>
      <w:bookmarkStart w:id="62" w:name="_heading=h.2r0uhxc" w:colFirst="0" w:colLast="0"/>
      <w:bookmarkEnd w:id="62"/>
      <w:r w:rsidRPr="00CC35F0">
        <w:rPr>
          <w:rFonts w:ascii="Times New Roman" w:hAnsi="Times New Roman" w:cs="Times New Roman"/>
          <w:sz w:val="24"/>
          <w:szCs w:val="24"/>
          <w:lang w:val="sr-Cyrl-CS"/>
        </w:rPr>
        <w:t>ОПШТИ И ПОСЕБНИ ЦИЉЕВИ</w:t>
      </w:r>
    </w:p>
    <w:p w14:paraId="2B94B380" w14:textId="77777777" w:rsidR="00A0251B" w:rsidRPr="00CC35F0" w:rsidRDefault="008D6506" w:rsidP="007B3892">
      <w:pPr>
        <w:ind w:firstLine="432"/>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 основу процене трошкова и утицаја на здравље и животну средину уз спровођење сценарија ублажавања и на основу инпута заинтересованих страна, дата је препорука за спровођење сценарија WAM C, будући да овај сценарио представља економичан и социјално праведан пут до остварења визије о квалитету ваздуха у Републици Србији.</w:t>
      </w:r>
    </w:p>
    <w:p w14:paraId="02B6FBF0" w14:textId="77777777" w:rsidR="00A0251B" w:rsidRPr="00CC35F0" w:rsidRDefault="008D6506" w:rsidP="007B3892">
      <w:pPr>
        <w:ind w:firstLine="432"/>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Сценарио WAM C је сценарио потпуне контроле, и као такав има далеко највећи позитиван утицај на животну средину и здравље људи, поштујући принцип да грађани имају право на чист ваздух, и усредсређујући се на суспендоване честице, које су најштетније за здравље људи. Поред тога, најамбициознији сценарио WAM C такође ће имати највећи позитиван утицај не само у зимским временским условима, већ и за време летњих топлотних таласа, када долази до повећања концентрација загађујућих материја у ваздуху, и када високе температуре и загађујуће материје делују у синергији и узрокују озбиљније здравствене проблеме него што би се то могло очекивати само од високе атмосферске температуре или само од загађења.</w:t>
      </w:r>
    </w:p>
    <w:p w14:paraId="40EBCFC6" w14:textId="77777777" w:rsidR="00A0251B" w:rsidRPr="00CC35F0" w:rsidRDefault="008D6506" w:rsidP="007B3892">
      <w:pPr>
        <w:ind w:firstLine="432"/>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Сценарио WAM C је поред тога амбициозан и у смислу подршке одрживом развоју и чистој производњи енергије у Републици Србији, он има за циљ промоцију конкурентности кроз јачање националног конкурентног профила у складу са циљевима и правцима утврђеним у сектору заштите ваздуха.</w:t>
      </w:r>
    </w:p>
    <w:p w14:paraId="318EB181" w14:textId="77777777" w:rsidR="00A0251B" w:rsidRPr="00CC35F0" w:rsidRDefault="008D6506" w:rsidP="007B3892">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Полазећи од ових принципа, општи циљ овог програма је:</w:t>
      </w:r>
    </w:p>
    <w:p w14:paraId="4A3C72C9" w14:textId="77777777" w:rsidR="00A0251B" w:rsidRPr="00CC35F0" w:rsidRDefault="008D6506" w:rsidP="008B1084">
      <w:pPr>
        <w:spacing w:after="0" w:line="276" w:lineRule="auto"/>
        <w:ind w:firstLine="36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lastRenderedPageBreak/>
        <w:t>Смањење штетних утицаја на здравље услед излагања ваздуху лошег квалитета до 2030. у поређењу са 2015. годином смањењем излагања загађењу ваздуха, у исто време омогућавајући да се Република Србија усклади са регулаторним ограничењима прописаним у Европској унији за загађење ваздуха, и ограничавајући штетне утицаје на екосистеме</w:t>
      </w:r>
      <w:r w:rsidR="007B3892" w:rsidRPr="00CC35F0">
        <w:rPr>
          <w:rFonts w:ascii="Times New Roman" w:eastAsia="Times New Roman" w:hAnsi="Times New Roman"/>
          <w:b/>
          <w:sz w:val="24"/>
          <w:szCs w:val="24"/>
          <w:lang w:val="sr-Cyrl-CS"/>
        </w:rPr>
        <w:t>.</w:t>
      </w:r>
    </w:p>
    <w:p w14:paraId="0C0C6975" w14:textId="77777777" w:rsidR="00A0251B" w:rsidRPr="00CC35F0" w:rsidRDefault="008D6506" w:rsidP="007B3892">
      <w:pPr>
        <w:ind w:firstLine="360"/>
        <w:rPr>
          <w:rFonts w:ascii="Times New Roman" w:eastAsia="Times New Roman" w:hAnsi="Times New Roman"/>
          <w:sz w:val="24"/>
          <w:szCs w:val="24"/>
          <w:highlight w:val="yellow"/>
          <w:lang w:val="sr-Cyrl-CS"/>
        </w:rPr>
      </w:pPr>
      <w:bookmarkStart w:id="63" w:name="_heading=h.1664s55" w:colFirst="0" w:colLast="0"/>
      <w:bookmarkEnd w:id="63"/>
      <w:r w:rsidRPr="00CC35F0">
        <w:rPr>
          <w:rFonts w:ascii="Times New Roman" w:eastAsia="Times New Roman" w:hAnsi="Times New Roman"/>
          <w:sz w:val="24"/>
          <w:szCs w:val="24"/>
          <w:lang w:val="sr-Cyrl-CS"/>
        </w:rPr>
        <w:t>Да би се овај главни циљ остварио, Република Србија до 2030. године треба да смањи 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за 92%, NOx за 60,6%,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за 50,9,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за 58,3%, VOC за 28,3% и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за 20,5% у поређењу са 2015. годином, што представља знатно смањење емисија. Ови циљеви графички су приказани на Слици 25.</w:t>
      </w:r>
    </w:p>
    <w:p w14:paraId="53365836"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58DAAF11" wp14:editId="587B11E4">
            <wp:extent cx="5478780" cy="3196590"/>
            <wp:effectExtent l="0" t="0" r="0" b="0"/>
            <wp:docPr id="54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0"/>
                    <a:srcRect/>
                    <a:stretch>
                      <a:fillRect/>
                    </a:stretch>
                  </pic:blipFill>
                  <pic:spPr>
                    <a:xfrm>
                      <a:off x="0" y="0"/>
                      <a:ext cx="5478780" cy="3196590"/>
                    </a:xfrm>
                    <a:prstGeom prst="rect">
                      <a:avLst/>
                    </a:prstGeom>
                    <a:ln/>
                  </pic:spPr>
                </pic:pic>
              </a:graphicData>
            </a:graphic>
          </wp:inline>
        </w:drawing>
      </w:r>
    </w:p>
    <w:p w14:paraId="66E2FDFC" w14:textId="77777777" w:rsidR="00A0251B" w:rsidRPr="00CC35F0" w:rsidRDefault="008D6506">
      <w:pPr>
        <w:rPr>
          <w:rFonts w:ascii="Times New Roman" w:eastAsia="Times New Roman" w:hAnsi="Times New Roman"/>
          <w:b/>
          <w:sz w:val="24"/>
          <w:szCs w:val="24"/>
          <w:lang w:val="sr-Cyrl-CS"/>
        </w:rPr>
      </w:pPr>
      <w:bookmarkStart w:id="64" w:name="_heading=h.3q5sasy" w:colFirst="0" w:colLast="0"/>
      <w:bookmarkEnd w:id="64"/>
      <w:r w:rsidRPr="00CC35F0">
        <w:rPr>
          <w:rFonts w:ascii="Times New Roman" w:eastAsia="Times New Roman" w:hAnsi="Times New Roman"/>
          <w:b/>
          <w:sz w:val="24"/>
          <w:szCs w:val="24"/>
          <w:lang w:val="sr-Cyrl-CS"/>
        </w:rPr>
        <w:t>Слика 25: Циљне емисије загађујућих материја у ваздуху из општег циља</w:t>
      </w:r>
    </w:p>
    <w:p w14:paraId="2D369BBE" w14:textId="77777777" w:rsidR="00A0251B" w:rsidRPr="00CC35F0" w:rsidRDefault="008D6506" w:rsidP="00073BFF">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Ово смањење загађујућих материја у ваздуху на националном нивоу ослања се на смањење емисија из неколико привредних сектора. Како би се омогућила усклађеност са прописима и праксама Европске уније, дефинисани су и одређени </w:t>
      </w:r>
      <w:r w:rsidRPr="00CC35F0">
        <w:rPr>
          <w:rFonts w:ascii="Times New Roman" w:eastAsia="Times New Roman" w:hAnsi="Times New Roman"/>
          <w:b/>
          <w:sz w:val="24"/>
          <w:szCs w:val="24"/>
          <w:lang w:val="sr-Cyrl-CS"/>
        </w:rPr>
        <w:t xml:space="preserve">посебни циљеви </w:t>
      </w:r>
      <w:r w:rsidRPr="00CC35F0">
        <w:rPr>
          <w:rFonts w:ascii="Times New Roman" w:eastAsia="Times New Roman" w:hAnsi="Times New Roman"/>
          <w:sz w:val="24"/>
          <w:szCs w:val="24"/>
          <w:lang w:val="sr-Cyrl-CS"/>
        </w:rPr>
        <w:t xml:space="preserve">за остварење општег циља овог програма, и то: </w:t>
      </w:r>
    </w:p>
    <w:p w14:paraId="230190C8" w14:textId="77777777" w:rsidR="00A0251B" w:rsidRPr="00CC35F0" w:rsidRDefault="008D6506" w:rsidP="00073BFF">
      <w:pPr>
        <w:ind w:firstLine="720"/>
        <w:rPr>
          <w:rFonts w:ascii="Times New Roman" w:eastAsia="Times New Roman" w:hAnsi="Times New Roman"/>
          <w:b/>
          <w:i/>
          <w:sz w:val="24"/>
          <w:szCs w:val="24"/>
          <w:lang w:val="sr-Cyrl-CS"/>
        </w:rPr>
      </w:pPr>
      <w:r w:rsidRPr="00CC35F0">
        <w:rPr>
          <w:rFonts w:ascii="Times New Roman" w:eastAsia="Times New Roman" w:hAnsi="Times New Roman"/>
          <w:b/>
          <w:i/>
          <w:sz w:val="24"/>
          <w:szCs w:val="24"/>
          <w:lang w:val="sr-Cyrl-CS"/>
        </w:rPr>
        <w:t>Посебни циљ 1: Смањење емисија SO2 за 92% и суспендованих честица PM2.5 за 58,3% из сектора енергетике (укључујући саобраћај и индивидуална ложишта)</w:t>
      </w:r>
      <w:r w:rsidRPr="00CC35F0">
        <w:rPr>
          <w:rFonts w:ascii="Times New Roman" w:eastAsia="Times New Roman" w:hAnsi="Times New Roman"/>
          <w:i/>
          <w:sz w:val="24"/>
          <w:szCs w:val="24"/>
          <w:lang w:val="sr-Cyrl-CS"/>
        </w:rPr>
        <w:t xml:space="preserve"> </w:t>
      </w:r>
      <w:r w:rsidRPr="00CC35F0">
        <w:rPr>
          <w:rFonts w:ascii="Times New Roman" w:eastAsia="Times New Roman" w:hAnsi="Times New Roman"/>
          <w:b/>
          <w:i/>
          <w:sz w:val="24"/>
          <w:szCs w:val="24"/>
          <w:lang w:val="sr-Cyrl-CS"/>
        </w:rPr>
        <w:t xml:space="preserve"> 2030. године у поређењу са 2015. годином</w:t>
      </w:r>
    </w:p>
    <w:p w14:paraId="0E1C0A72" w14:textId="77777777" w:rsidR="00A0251B" w:rsidRPr="00CC35F0" w:rsidRDefault="008D6506" w:rsidP="00073BFF">
      <w:pPr>
        <w:ind w:firstLine="360"/>
        <w:rPr>
          <w:rFonts w:ascii="Times New Roman" w:eastAsia="Times New Roman" w:hAnsi="Times New Roman"/>
          <w:sz w:val="24"/>
          <w:szCs w:val="24"/>
          <w:lang w:val="sr-Cyrl-CS"/>
        </w:rPr>
      </w:pPr>
      <w:bookmarkStart w:id="65" w:name="_heading=h.25b2l0r" w:colFirst="0" w:colLast="0"/>
      <w:bookmarkEnd w:id="65"/>
      <w:r w:rsidRPr="00CC35F0">
        <w:rPr>
          <w:rFonts w:ascii="Times New Roman" w:eastAsia="Times New Roman" w:hAnsi="Times New Roman"/>
          <w:i/>
          <w:sz w:val="24"/>
          <w:szCs w:val="24"/>
          <w:lang w:val="sr-Cyrl-CS"/>
        </w:rPr>
        <w:t>Од посебног значаја за остваривање овог посебног циља је</w:t>
      </w:r>
      <w:r w:rsidRPr="00CC35F0">
        <w:rPr>
          <w:rFonts w:ascii="Times New Roman" w:eastAsia="Times New Roman" w:hAnsi="Times New Roman"/>
          <w:sz w:val="24"/>
          <w:szCs w:val="24"/>
          <w:lang w:val="sr-Cyrl-CS"/>
        </w:rPr>
        <w:t>:</w:t>
      </w:r>
    </w:p>
    <w:p w14:paraId="64C97D52" w14:textId="77777777" w:rsidR="00A0251B" w:rsidRPr="00CC35F0" w:rsidRDefault="008B1084" w:rsidP="00382EC6">
      <w:pPr>
        <w:numPr>
          <w:ilvl w:val="0"/>
          <w:numId w:val="33"/>
        </w:numPr>
        <w:pBdr>
          <w:top w:val="nil"/>
          <w:left w:val="nil"/>
          <w:bottom w:val="nil"/>
          <w:right w:val="nil"/>
          <w:between w:val="nil"/>
        </w:pBdr>
        <w:tabs>
          <w:tab w:val="left" w:pos="709"/>
        </w:tabs>
        <w:spacing w:before="120" w:line="240"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w:t>
      </w:r>
      <w:r w:rsidR="008D6506" w:rsidRPr="00CC35F0">
        <w:rPr>
          <w:rFonts w:ascii="Times New Roman" w:eastAsia="Times New Roman" w:hAnsi="Times New Roman"/>
          <w:color w:val="000000"/>
          <w:sz w:val="24"/>
          <w:szCs w:val="24"/>
          <w:lang w:val="sr-Cyrl-CS"/>
        </w:rPr>
        <w:t>мањење емисија SO</w:t>
      </w:r>
      <w:r w:rsidR="008D6506" w:rsidRPr="00CC35F0">
        <w:rPr>
          <w:rFonts w:ascii="Times New Roman" w:eastAsia="Times New Roman" w:hAnsi="Times New Roman"/>
          <w:color w:val="000000"/>
          <w:sz w:val="24"/>
          <w:szCs w:val="24"/>
          <w:vertAlign w:val="subscript"/>
          <w:lang w:val="sr-Cyrl-CS"/>
        </w:rPr>
        <w:t>2</w:t>
      </w:r>
      <w:r w:rsidR="008D6506" w:rsidRPr="00CC35F0">
        <w:rPr>
          <w:rFonts w:ascii="Times New Roman" w:eastAsia="Times New Roman" w:hAnsi="Times New Roman"/>
          <w:color w:val="000000"/>
          <w:sz w:val="24"/>
          <w:szCs w:val="24"/>
          <w:lang w:val="sr-Cyrl-CS"/>
        </w:rPr>
        <w:t xml:space="preserve"> из </w:t>
      </w:r>
      <w:r w:rsidR="008D6506" w:rsidRPr="00CC35F0">
        <w:rPr>
          <w:rFonts w:ascii="Times New Roman" w:eastAsia="Times New Roman" w:hAnsi="Times New Roman"/>
          <w:color w:val="000000"/>
          <w:sz w:val="24"/>
          <w:szCs w:val="24"/>
          <w:u w:val="single"/>
          <w:lang w:val="sr-Cyrl-CS"/>
        </w:rPr>
        <w:t>A</w:t>
      </w:r>
      <w:r w:rsidR="008D6506" w:rsidRPr="00CC35F0">
        <w:rPr>
          <w:rFonts w:ascii="Times New Roman" w:eastAsia="Times New Roman" w:hAnsi="Times New Roman"/>
          <w:color w:val="000000"/>
          <w:sz w:val="24"/>
          <w:szCs w:val="24"/>
          <w:lang w:val="sr-Cyrl-CS"/>
        </w:rPr>
        <w:t xml:space="preserve"> сектора јавне енергетике за 94%, односно PM</w:t>
      </w:r>
      <w:r w:rsidR="008D6506" w:rsidRPr="00CC35F0">
        <w:rPr>
          <w:rFonts w:ascii="Times New Roman" w:eastAsia="Times New Roman" w:hAnsi="Times New Roman"/>
          <w:color w:val="000000"/>
          <w:sz w:val="24"/>
          <w:szCs w:val="24"/>
          <w:vertAlign w:val="subscript"/>
          <w:lang w:val="sr-Cyrl-CS"/>
        </w:rPr>
        <w:t>2.5</w:t>
      </w:r>
      <w:r w:rsidR="008D6506" w:rsidRPr="00CC35F0">
        <w:rPr>
          <w:rFonts w:ascii="Times New Roman" w:eastAsia="Times New Roman" w:hAnsi="Times New Roman"/>
          <w:color w:val="000000"/>
          <w:sz w:val="24"/>
          <w:szCs w:val="24"/>
          <w:lang w:val="sr-Cyrl-CS"/>
        </w:rPr>
        <w:t xml:space="preserve"> за 76% до 2030. године;</w:t>
      </w:r>
    </w:p>
    <w:p w14:paraId="20D99EB0" w14:textId="77777777" w:rsidR="00A0251B" w:rsidRPr="00CC35F0" w:rsidRDefault="008B1084" w:rsidP="00382EC6">
      <w:pPr>
        <w:numPr>
          <w:ilvl w:val="0"/>
          <w:numId w:val="33"/>
        </w:numPr>
        <w:pBdr>
          <w:top w:val="nil"/>
          <w:left w:val="nil"/>
          <w:bottom w:val="nil"/>
          <w:right w:val="nil"/>
          <w:between w:val="nil"/>
        </w:pBdr>
        <w:tabs>
          <w:tab w:val="left" w:pos="709"/>
        </w:tabs>
        <w:spacing w:before="120" w:line="240"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w:t>
      </w:r>
      <w:r w:rsidR="008D6506" w:rsidRPr="00CC35F0">
        <w:rPr>
          <w:rFonts w:ascii="Times New Roman" w:eastAsia="Times New Roman" w:hAnsi="Times New Roman"/>
          <w:color w:val="000000"/>
          <w:sz w:val="24"/>
          <w:szCs w:val="24"/>
          <w:lang w:val="sr-Cyrl-CS"/>
        </w:rPr>
        <w:t>мањење PM</w:t>
      </w:r>
      <w:r w:rsidR="008D6506" w:rsidRPr="00CC35F0">
        <w:rPr>
          <w:rFonts w:ascii="Times New Roman" w:eastAsia="Times New Roman" w:hAnsi="Times New Roman"/>
          <w:color w:val="000000"/>
          <w:sz w:val="24"/>
          <w:szCs w:val="24"/>
          <w:vertAlign w:val="subscript"/>
          <w:lang w:val="sr-Cyrl-CS"/>
        </w:rPr>
        <w:t>2.5</w:t>
      </w:r>
      <w:r w:rsidR="008D6506" w:rsidRPr="00CC35F0">
        <w:rPr>
          <w:rFonts w:ascii="Times New Roman" w:eastAsia="Times New Roman" w:hAnsi="Times New Roman"/>
          <w:color w:val="000000"/>
          <w:sz w:val="24"/>
          <w:szCs w:val="24"/>
          <w:lang w:val="sr-Cyrl-CS"/>
        </w:rPr>
        <w:t xml:space="preserve"> из </w:t>
      </w:r>
      <w:r w:rsidR="008D6506" w:rsidRPr="00CC35F0">
        <w:rPr>
          <w:rFonts w:ascii="Times New Roman" w:eastAsia="Times New Roman" w:hAnsi="Times New Roman"/>
          <w:color w:val="000000"/>
          <w:sz w:val="24"/>
          <w:szCs w:val="24"/>
          <w:u w:val="single"/>
          <w:lang w:val="sr-Cyrl-CS"/>
        </w:rPr>
        <w:t>C</w:t>
      </w:r>
      <w:r w:rsidR="008D6506" w:rsidRPr="00CC35F0">
        <w:rPr>
          <w:rFonts w:ascii="Times New Roman" w:eastAsia="Times New Roman" w:hAnsi="Times New Roman"/>
          <w:color w:val="000000"/>
          <w:sz w:val="24"/>
          <w:szCs w:val="24"/>
          <w:lang w:val="sr-Cyrl-CS"/>
        </w:rPr>
        <w:t xml:space="preserve"> сектора осталих стационарних постројења са сагоревањем за 50% до 2030. године; </w:t>
      </w:r>
    </w:p>
    <w:p w14:paraId="57A98EFE" w14:textId="77777777" w:rsidR="00A0251B" w:rsidRPr="00CC35F0" w:rsidRDefault="008B1084" w:rsidP="00382EC6">
      <w:pPr>
        <w:numPr>
          <w:ilvl w:val="0"/>
          <w:numId w:val="33"/>
        </w:num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w:t>
      </w:r>
      <w:r w:rsidR="008D6506" w:rsidRPr="00CC35F0">
        <w:rPr>
          <w:rFonts w:ascii="Times New Roman" w:eastAsia="Times New Roman" w:hAnsi="Times New Roman"/>
          <w:color w:val="000000"/>
          <w:sz w:val="24"/>
          <w:szCs w:val="24"/>
          <w:lang w:val="sr-Cyrl-CS"/>
        </w:rPr>
        <w:t>мањење PM</w:t>
      </w:r>
      <w:r w:rsidR="008D6506" w:rsidRPr="00CC35F0">
        <w:rPr>
          <w:rFonts w:ascii="Times New Roman" w:eastAsia="Times New Roman" w:hAnsi="Times New Roman"/>
          <w:color w:val="000000"/>
          <w:sz w:val="24"/>
          <w:szCs w:val="24"/>
          <w:vertAlign w:val="subscript"/>
          <w:lang w:val="sr-Cyrl-CS"/>
        </w:rPr>
        <w:t>2.5</w:t>
      </w:r>
      <w:r w:rsidR="008D6506" w:rsidRPr="00CC35F0">
        <w:rPr>
          <w:rFonts w:ascii="Times New Roman" w:eastAsia="Times New Roman" w:hAnsi="Times New Roman"/>
          <w:color w:val="000000"/>
          <w:sz w:val="24"/>
          <w:szCs w:val="24"/>
          <w:lang w:val="sr-Cyrl-CS"/>
        </w:rPr>
        <w:t xml:space="preserve"> из </w:t>
      </w:r>
      <w:r w:rsidR="008D6506" w:rsidRPr="00CC35F0">
        <w:rPr>
          <w:rFonts w:ascii="Times New Roman" w:eastAsia="Times New Roman" w:hAnsi="Times New Roman"/>
          <w:color w:val="000000"/>
          <w:sz w:val="24"/>
          <w:szCs w:val="24"/>
          <w:u w:val="single"/>
          <w:lang w:val="sr-Cyrl-CS"/>
        </w:rPr>
        <w:t>F</w:t>
      </w:r>
      <w:r w:rsidR="008D6506" w:rsidRPr="00CC35F0">
        <w:rPr>
          <w:rFonts w:ascii="Times New Roman" w:eastAsia="Times New Roman" w:hAnsi="Times New Roman"/>
          <w:color w:val="000000"/>
          <w:sz w:val="24"/>
          <w:szCs w:val="24"/>
          <w:lang w:val="sr-Cyrl-CS"/>
        </w:rPr>
        <w:t xml:space="preserve"> из сектора саобраћаја за 44% до 2030. године.</w:t>
      </w:r>
    </w:p>
    <w:p w14:paraId="1EDF83F0" w14:textId="77777777" w:rsidR="00A0251B" w:rsidRPr="00CC35F0" w:rsidRDefault="00A0251B">
      <w:pPr>
        <w:rPr>
          <w:rFonts w:ascii="Times New Roman" w:eastAsia="Times New Roman" w:hAnsi="Times New Roman"/>
          <w:b/>
          <w:i/>
          <w:sz w:val="24"/>
          <w:szCs w:val="24"/>
          <w:lang w:val="sr-Cyrl-CS"/>
        </w:rPr>
      </w:pPr>
    </w:p>
    <w:p w14:paraId="7FD5439C" w14:textId="77777777" w:rsidR="00A0251B" w:rsidRPr="00CC35F0" w:rsidRDefault="008D6506" w:rsidP="00073BFF">
      <w:pPr>
        <w:ind w:firstLine="360"/>
        <w:rPr>
          <w:rFonts w:ascii="Times New Roman" w:eastAsia="Times New Roman" w:hAnsi="Times New Roman"/>
          <w:b/>
          <w:i/>
          <w:sz w:val="24"/>
          <w:szCs w:val="24"/>
          <w:lang w:val="sr-Cyrl-CS"/>
        </w:rPr>
      </w:pPr>
      <w:r w:rsidRPr="00CC35F0">
        <w:rPr>
          <w:rFonts w:ascii="Times New Roman" w:eastAsia="Times New Roman" w:hAnsi="Times New Roman"/>
          <w:b/>
          <w:i/>
          <w:sz w:val="24"/>
          <w:szCs w:val="24"/>
          <w:lang w:val="sr-Cyrl-CS"/>
        </w:rPr>
        <w:t>Посебни циљ 2: Смањење емисија загађујућих материја и тешких метала у ваздух из индустријских процеса и употребе производа кроз усаглашавање са BAT AELs</w:t>
      </w:r>
    </w:p>
    <w:p w14:paraId="338FA511" w14:textId="77777777" w:rsidR="00A0251B" w:rsidRPr="00CC35F0" w:rsidRDefault="008D6506" w:rsidP="00073BFF">
      <w:pPr>
        <w:ind w:firstLine="360"/>
        <w:rPr>
          <w:rFonts w:ascii="Times New Roman" w:eastAsia="Times New Roman" w:hAnsi="Times New Roman"/>
          <w:i/>
          <w:sz w:val="24"/>
          <w:szCs w:val="24"/>
          <w:lang w:val="sr-Cyrl-CS"/>
        </w:rPr>
      </w:pPr>
      <w:r w:rsidRPr="00CC35F0">
        <w:rPr>
          <w:rFonts w:ascii="Times New Roman" w:eastAsia="Times New Roman" w:hAnsi="Times New Roman"/>
          <w:i/>
          <w:sz w:val="24"/>
          <w:szCs w:val="24"/>
          <w:lang w:val="sr-Cyrl-CS"/>
        </w:rPr>
        <w:t xml:space="preserve">Од посебног значаја за остваривање овог посебног циља је: </w:t>
      </w:r>
    </w:p>
    <w:p w14:paraId="28BC5E82" w14:textId="77777777" w:rsidR="00A0251B" w:rsidRPr="00CC35F0" w:rsidRDefault="00272597" w:rsidP="00382EC6">
      <w:pPr>
        <w:numPr>
          <w:ilvl w:val="0"/>
          <w:numId w:val="34"/>
        </w:numPr>
        <w:pBdr>
          <w:top w:val="nil"/>
          <w:left w:val="nil"/>
          <w:bottom w:val="nil"/>
          <w:right w:val="nil"/>
          <w:between w:val="nil"/>
        </w:pBdr>
        <w:tabs>
          <w:tab w:val="left" w:pos="426"/>
        </w:tabs>
        <w:spacing w:before="120" w:line="240" w:lineRule="auto"/>
        <w:ind w:left="0" w:firstLine="360"/>
        <w:rPr>
          <w:rFonts w:ascii="Times New Roman" w:eastAsia="Times New Roman" w:hAnsi="Times New Roman"/>
          <w:b/>
          <w:i/>
          <w:color w:val="000000"/>
          <w:sz w:val="24"/>
          <w:szCs w:val="24"/>
          <w:lang w:val="sr-Cyrl-CS"/>
        </w:rPr>
      </w:pPr>
      <w:r w:rsidRPr="00CC35F0">
        <w:rPr>
          <w:rFonts w:ascii="Times New Roman" w:eastAsia="Times New Roman" w:hAnsi="Times New Roman"/>
          <w:color w:val="000000"/>
          <w:sz w:val="24"/>
          <w:szCs w:val="24"/>
          <w:lang w:val="sr-Cyrl-CS"/>
        </w:rPr>
        <w:lastRenderedPageBreak/>
        <w:t>с</w:t>
      </w:r>
      <w:r w:rsidR="008D6506" w:rsidRPr="00CC35F0">
        <w:rPr>
          <w:rFonts w:ascii="Times New Roman" w:eastAsia="Times New Roman" w:hAnsi="Times New Roman"/>
          <w:color w:val="000000"/>
          <w:sz w:val="24"/>
          <w:szCs w:val="24"/>
          <w:lang w:val="sr-Cyrl-CS"/>
        </w:rPr>
        <w:t>провођење Поглавља II Директиве ЕУ о индустријским емисијама у индустријским процесима, узимајући у обзир средње вредности горњих и доњих BAT AELs, односно ниже нивое за производњу бакра</w:t>
      </w:r>
      <w:r w:rsidR="008D6506" w:rsidRPr="00CC35F0">
        <w:rPr>
          <w:rFonts w:ascii="Times New Roman" w:eastAsia="Times New Roman" w:hAnsi="Times New Roman"/>
          <w:color w:val="000000"/>
          <w:sz w:val="24"/>
          <w:szCs w:val="24"/>
          <w:vertAlign w:val="superscript"/>
          <w:lang w:val="sr-Cyrl-CS"/>
        </w:rPr>
        <w:footnoteReference w:id="32"/>
      </w:r>
      <w:r w:rsidR="008D6506" w:rsidRPr="00CC35F0">
        <w:rPr>
          <w:rFonts w:ascii="Times New Roman" w:eastAsia="Times New Roman" w:hAnsi="Times New Roman"/>
          <w:color w:val="000000"/>
          <w:sz w:val="24"/>
          <w:szCs w:val="24"/>
          <w:lang w:val="sr-Cyrl-CS"/>
        </w:rPr>
        <w:t xml:space="preserve"> и сумпорне киселине</w:t>
      </w:r>
      <w:r w:rsidR="008D6506" w:rsidRPr="00CC35F0">
        <w:rPr>
          <w:rFonts w:ascii="Times New Roman" w:eastAsia="Times New Roman" w:hAnsi="Times New Roman"/>
          <w:color w:val="000000"/>
          <w:sz w:val="24"/>
          <w:szCs w:val="24"/>
          <w:vertAlign w:val="superscript"/>
          <w:lang w:val="sr-Cyrl-CS"/>
        </w:rPr>
        <w:footnoteReference w:id="33"/>
      </w:r>
      <w:r w:rsidR="008D6506" w:rsidRPr="00CC35F0">
        <w:rPr>
          <w:rFonts w:ascii="Times New Roman" w:eastAsia="Times New Roman" w:hAnsi="Times New Roman"/>
          <w:color w:val="000000"/>
          <w:sz w:val="24"/>
          <w:szCs w:val="24"/>
          <w:lang w:val="sr-Cyrl-CS"/>
        </w:rPr>
        <w:t xml:space="preserve"> у Бору.</w:t>
      </w:r>
    </w:p>
    <w:p w14:paraId="5D827931" w14:textId="77777777" w:rsidR="00A0251B" w:rsidRPr="00CC35F0" w:rsidRDefault="00A0251B">
      <w:pPr>
        <w:rPr>
          <w:rFonts w:ascii="Times New Roman" w:eastAsia="Times New Roman" w:hAnsi="Times New Roman"/>
          <w:b/>
          <w:i/>
          <w:sz w:val="24"/>
          <w:szCs w:val="24"/>
          <w:lang w:val="sr-Cyrl-CS"/>
        </w:rPr>
      </w:pPr>
    </w:p>
    <w:p w14:paraId="71703014" w14:textId="77777777" w:rsidR="00A0251B" w:rsidRPr="00CC35F0" w:rsidRDefault="008D6506" w:rsidP="00073BFF">
      <w:pPr>
        <w:ind w:firstLine="360"/>
        <w:rPr>
          <w:rFonts w:ascii="Times New Roman" w:eastAsia="Times New Roman" w:hAnsi="Times New Roman"/>
          <w:b/>
          <w:i/>
          <w:sz w:val="24"/>
          <w:szCs w:val="24"/>
          <w:lang w:val="sr-Cyrl-CS"/>
        </w:rPr>
      </w:pPr>
      <w:r w:rsidRPr="00CC35F0">
        <w:rPr>
          <w:rFonts w:ascii="Times New Roman" w:eastAsia="Times New Roman" w:hAnsi="Times New Roman"/>
          <w:b/>
          <w:i/>
          <w:sz w:val="24"/>
          <w:szCs w:val="24"/>
          <w:lang w:val="sr-Cyrl-CS"/>
        </w:rPr>
        <w:t>Посебни циљ 3: Смањење емисија NH</w:t>
      </w:r>
      <w:r w:rsidRPr="00CC35F0">
        <w:rPr>
          <w:rFonts w:ascii="Times New Roman" w:eastAsia="Times New Roman" w:hAnsi="Times New Roman"/>
          <w:b/>
          <w:i/>
          <w:sz w:val="24"/>
          <w:szCs w:val="24"/>
          <w:vertAlign w:val="subscript"/>
          <w:lang w:val="sr-Cyrl-CS"/>
        </w:rPr>
        <w:t>3</w:t>
      </w:r>
      <w:r w:rsidRPr="00CC35F0">
        <w:rPr>
          <w:rFonts w:ascii="Times New Roman" w:eastAsia="Times New Roman" w:hAnsi="Times New Roman"/>
          <w:b/>
          <w:i/>
          <w:sz w:val="24"/>
          <w:szCs w:val="24"/>
          <w:lang w:val="sr-Cyrl-CS"/>
        </w:rPr>
        <w:t xml:space="preserve"> из сектора пољопривреде за 20,5% у поређењу са 2015. годином</w:t>
      </w:r>
    </w:p>
    <w:p w14:paraId="77F162F4" w14:textId="77777777" w:rsidR="00A0251B" w:rsidRPr="00CC35F0" w:rsidRDefault="008D6506" w:rsidP="00073BFF">
      <w:pPr>
        <w:ind w:firstLine="360"/>
        <w:rPr>
          <w:rFonts w:ascii="Times New Roman" w:eastAsia="Times New Roman" w:hAnsi="Times New Roman"/>
          <w:sz w:val="24"/>
          <w:szCs w:val="24"/>
          <w:lang w:val="sr-Cyrl-CS"/>
        </w:rPr>
      </w:pPr>
      <w:r w:rsidRPr="00CC35F0">
        <w:rPr>
          <w:rFonts w:ascii="Times New Roman" w:eastAsia="Times New Roman" w:hAnsi="Times New Roman"/>
          <w:i/>
          <w:sz w:val="24"/>
          <w:szCs w:val="24"/>
          <w:lang w:val="sr-Cyrl-CS"/>
        </w:rPr>
        <w:t>Од посебног значаја за остваривање овог посебног циља је:</w:t>
      </w:r>
      <w:r w:rsidRPr="00CC35F0">
        <w:rPr>
          <w:rFonts w:ascii="Times New Roman" w:eastAsia="Times New Roman" w:hAnsi="Times New Roman"/>
          <w:sz w:val="24"/>
          <w:szCs w:val="24"/>
          <w:lang w:val="sr-Cyrl-CS"/>
        </w:rPr>
        <w:t xml:space="preserve"> </w:t>
      </w:r>
    </w:p>
    <w:p w14:paraId="026E15DE" w14:textId="77777777" w:rsidR="00A0251B" w:rsidRPr="00CC35F0" w:rsidRDefault="003A3D31" w:rsidP="00382EC6">
      <w:pPr>
        <w:numPr>
          <w:ilvl w:val="0"/>
          <w:numId w:val="35"/>
        </w:numPr>
        <w:pBdr>
          <w:top w:val="nil"/>
          <w:left w:val="nil"/>
          <w:bottom w:val="nil"/>
          <w:right w:val="nil"/>
          <w:between w:val="nil"/>
        </w:pBdr>
        <w:tabs>
          <w:tab w:val="left" w:pos="851"/>
        </w:tabs>
        <w:spacing w:before="120" w:line="240"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w:t>
      </w:r>
      <w:r w:rsidR="008D6506" w:rsidRPr="00CC35F0">
        <w:rPr>
          <w:rFonts w:ascii="Times New Roman" w:eastAsia="Times New Roman" w:hAnsi="Times New Roman"/>
          <w:color w:val="000000"/>
          <w:sz w:val="24"/>
          <w:szCs w:val="24"/>
          <w:lang w:val="sr-Cyrl-CS"/>
        </w:rPr>
        <w:t>мањење емисија NH</w:t>
      </w:r>
      <w:r w:rsidR="008D6506" w:rsidRPr="00CC35F0">
        <w:rPr>
          <w:rFonts w:ascii="Times New Roman" w:eastAsia="Times New Roman" w:hAnsi="Times New Roman"/>
          <w:color w:val="000000"/>
          <w:sz w:val="24"/>
          <w:szCs w:val="24"/>
          <w:vertAlign w:val="subscript"/>
          <w:lang w:val="sr-Cyrl-CS"/>
        </w:rPr>
        <w:t>3</w:t>
      </w:r>
      <w:r w:rsidR="008D6506" w:rsidRPr="00CC35F0">
        <w:rPr>
          <w:rFonts w:ascii="Times New Roman" w:eastAsia="Times New Roman" w:hAnsi="Times New Roman"/>
          <w:color w:val="000000"/>
          <w:sz w:val="24"/>
          <w:szCs w:val="24"/>
          <w:lang w:val="sr-Cyrl-CS"/>
        </w:rPr>
        <w:t xml:space="preserve"> из управљања стајњаком за 9% до 2030. у поређењу са 2015. годином;</w:t>
      </w:r>
    </w:p>
    <w:p w14:paraId="5449966D" w14:textId="77777777" w:rsidR="00A0251B" w:rsidRPr="00CC35F0" w:rsidRDefault="003A3D31" w:rsidP="00382EC6">
      <w:pPr>
        <w:numPr>
          <w:ilvl w:val="0"/>
          <w:numId w:val="35"/>
        </w:numPr>
        <w:pBdr>
          <w:top w:val="nil"/>
          <w:left w:val="nil"/>
          <w:bottom w:val="nil"/>
          <w:right w:val="nil"/>
          <w:between w:val="nil"/>
        </w:pBdr>
        <w:tabs>
          <w:tab w:val="left" w:pos="709"/>
        </w:tabs>
        <w:spacing w:before="120" w:line="240" w:lineRule="auto"/>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w:t>
      </w:r>
      <w:r w:rsidR="008D6506" w:rsidRPr="00CC35F0">
        <w:rPr>
          <w:rFonts w:ascii="Times New Roman" w:eastAsia="Times New Roman" w:hAnsi="Times New Roman"/>
          <w:color w:val="000000"/>
          <w:sz w:val="24"/>
          <w:szCs w:val="24"/>
          <w:lang w:val="sr-Cyrl-CS"/>
        </w:rPr>
        <w:t>мањење емисија NH</w:t>
      </w:r>
      <w:r w:rsidR="008D6506" w:rsidRPr="00CC35F0">
        <w:rPr>
          <w:rFonts w:ascii="Times New Roman" w:eastAsia="Times New Roman" w:hAnsi="Times New Roman"/>
          <w:color w:val="000000"/>
          <w:sz w:val="24"/>
          <w:szCs w:val="24"/>
          <w:vertAlign w:val="subscript"/>
          <w:lang w:val="sr-Cyrl-CS"/>
        </w:rPr>
        <w:t>3</w:t>
      </w:r>
      <w:r w:rsidR="008D6506" w:rsidRPr="00CC35F0">
        <w:rPr>
          <w:rFonts w:ascii="Times New Roman" w:eastAsia="Times New Roman" w:hAnsi="Times New Roman"/>
          <w:color w:val="000000"/>
          <w:sz w:val="24"/>
          <w:szCs w:val="24"/>
          <w:lang w:val="sr-Cyrl-CS"/>
        </w:rPr>
        <w:t xml:space="preserve"> из активности растурања стајњака по обрадивом земљишту за 31% до 2030. у поређењу са 2015. годином.</w:t>
      </w:r>
    </w:p>
    <w:p w14:paraId="261CB6F5" w14:textId="77777777" w:rsidR="00A0251B" w:rsidRPr="00CC35F0" w:rsidRDefault="00A0251B">
      <w:pPr>
        <w:rPr>
          <w:rFonts w:ascii="Times New Roman" w:eastAsia="Times New Roman" w:hAnsi="Times New Roman"/>
          <w:b/>
          <w:i/>
          <w:sz w:val="24"/>
          <w:szCs w:val="24"/>
          <w:lang w:val="sr-Cyrl-CS"/>
        </w:rPr>
      </w:pPr>
    </w:p>
    <w:p w14:paraId="36A399F0" w14:textId="77777777" w:rsidR="00A0251B" w:rsidRPr="00CC35F0" w:rsidRDefault="008D6506" w:rsidP="00073BFF">
      <w:pPr>
        <w:ind w:firstLine="360"/>
        <w:rPr>
          <w:rFonts w:ascii="Times New Roman" w:eastAsia="Times New Roman" w:hAnsi="Times New Roman"/>
          <w:b/>
          <w:i/>
          <w:sz w:val="24"/>
          <w:szCs w:val="24"/>
          <w:lang w:val="sr-Cyrl-CS"/>
        </w:rPr>
      </w:pPr>
      <w:r w:rsidRPr="00CC35F0">
        <w:rPr>
          <w:rFonts w:ascii="Times New Roman" w:eastAsia="Times New Roman" w:hAnsi="Times New Roman"/>
          <w:b/>
          <w:i/>
          <w:sz w:val="24"/>
          <w:szCs w:val="24"/>
          <w:lang w:val="sr-Cyrl-CS"/>
        </w:rPr>
        <w:t>Посебни циљ 4: Промоција преласка на чист ваздух за све</w:t>
      </w:r>
    </w:p>
    <w:p w14:paraId="3D556A39" w14:textId="77777777" w:rsidR="00A0251B" w:rsidRPr="00CC35F0" w:rsidRDefault="008D6506" w:rsidP="00073BFF">
      <w:pPr>
        <w:spacing w:before="60" w:after="0"/>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Промотивне активности спадају у хоризонталне активности, које ће се, између осталог, остваривати кроз едукацију, обуку за примену најбољих пракси, изградњу капацитета и подизање свести.</w:t>
      </w:r>
    </w:p>
    <w:p w14:paraId="10D8E4FA" w14:textId="77777777" w:rsidR="00A0251B" w:rsidRPr="00CC35F0" w:rsidRDefault="008D6506" w:rsidP="00073BFF">
      <w:pPr>
        <w:spacing w:before="60" w:after="0"/>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Састављена је листа различитих мера чијим спровођењем ће се обезбедити испуњење посебних, а према томе, и општег циља Програма. Ове мере, њихови ефекти, утицаји, одговорне институције, временски рокови и друге информације које се односе на праћење и извештавање о мерама, детаљно су описане у Акционом плану, док су основне информације дате у следећим поглављима Програма.</w:t>
      </w:r>
    </w:p>
    <w:p w14:paraId="6BD4FD3F" w14:textId="77777777" w:rsidR="00A0251B" w:rsidRPr="00CC35F0" w:rsidRDefault="00A0251B">
      <w:pPr>
        <w:rPr>
          <w:rFonts w:ascii="Times New Roman" w:eastAsia="Times New Roman" w:hAnsi="Times New Roman"/>
          <w:b/>
          <w:sz w:val="24"/>
          <w:szCs w:val="24"/>
          <w:lang w:val="sr-Cyrl-CS"/>
        </w:rPr>
      </w:pPr>
    </w:p>
    <w:p w14:paraId="65043D17" w14:textId="77777777" w:rsidR="00A0251B" w:rsidRPr="00CC35F0" w:rsidRDefault="008D6506" w:rsidP="001D29AA">
      <w:pPr>
        <w:pStyle w:val="Einzug1"/>
        <w:rPr>
          <w:rFonts w:ascii="Times New Roman" w:hAnsi="Times New Roman"/>
          <w:sz w:val="24"/>
          <w:szCs w:val="24"/>
          <w:lang w:val="sr-Cyrl-CS"/>
        </w:rPr>
      </w:pPr>
      <w:bookmarkStart w:id="66" w:name="_heading=h.kgcv8k" w:colFirst="0" w:colLast="0"/>
      <w:bookmarkEnd w:id="66"/>
      <w:r w:rsidRPr="00CC35F0">
        <w:rPr>
          <w:rFonts w:ascii="Times New Roman" w:hAnsi="Times New Roman"/>
          <w:sz w:val="24"/>
          <w:szCs w:val="24"/>
          <w:lang w:val="sr-Cyrl-CS"/>
        </w:rPr>
        <w:t>МЕРЕ И ЊИХОВ УТИЦАЈ НА ЖИВОТНУ СРЕДИНУ</w:t>
      </w:r>
    </w:p>
    <w:p w14:paraId="6EA88813" w14:textId="77777777" w:rsidR="00A0251B" w:rsidRPr="00CC35F0" w:rsidRDefault="008D6506" w:rsidP="00073BFF">
      <w:pPr>
        <w:ind w:firstLine="432"/>
        <w:rPr>
          <w:rFonts w:ascii="Times New Roman" w:eastAsia="Times New Roman" w:hAnsi="Times New Roman"/>
          <w:sz w:val="24"/>
          <w:szCs w:val="24"/>
          <w:lang w:val="sr-Cyrl-CS"/>
        </w:rPr>
      </w:pPr>
      <w:bookmarkStart w:id="67" w:name="_heading=h.34g0dwd" w:colFirst="0" w:colLast="0"/>
      <w:bookmarkEnd w:id="67"/>
      <w:r w:rsidRPr="00CC35F0">
        <w:rPr>
          <w:rFonts w:ascii="Times New Roman" w:eastAsia="Times New Roman" w:hAnsi="Times New Roman"/>
          <w:sz w:val="24"/>
          <w:szCs w:val="24"/>
          <w:lang w:val="sr-Cyrl-CS"/>
        </w:rPr>
        <w:t xml:space="preserve">У </w:t>
      </w:r>
      <w:r w:rsidR="004213B4" w:rsidRPr="00CC35F0">
        <w:rPr>
          <w:rFonts w:ascii="Times New Roman" w:eastAsia="Times New Roman" w:hAnsi="Times New Roman"/>
          <w:sz w:val="24"/>
          <w:szCs w:val="24"/>
          <w:lang w:val="sr-Cyrl-CS"/>
        </w:rPr>
        <w:t>овој т</w:t>
      </w:r>
      <w:r w:rsidRPr="00CC35F0">
        <w:rPr>
          <w:rFonts w:ascii="Times New Roman" w:eastAsia="Times New Roman" w:hAnsi="Times New Roman"/>
          <w:sz w:val="24"/>
          <w:szCs w:val="24"/>
          <w:lang w:val="sr-Cyrl-CS"/>
        </w:rPr>
        <w:t>абел</w:t>
      </w:r>
      <w:r w:rsidR="004213B4" w:rsidRPr="00CC35F0">
        <w:rPr>
          <w:rFonts w:ascii="Times New Roman" w:eastAsia="Times New Roman" w:hAnsi="Times New Roman"/>
          <w:sz w:val="24"/>
          <w:szCs w:val="24"/>
          <w:lang w:val="sr-Cyrl-CS"/>
        </w:rPr>
        <w:t>и</w:t>
      </w:r>
      <w:r w:rsidRPr="00CC35F0">
        <w:rPr>
          <w:rFonts w:ascii="Times New Roman" w:eastAsia="Times New Roman" w:hAnsi="Times New Roman"/>
          <w:sz w:val="24"/>
          <w:szCs w:val="24"/>
          <w:lang w:val="sr-Cyrl-CS"/>
        </w:rPr>
        <w:t xml:space="preserve"> приказане су конкретне мере којима се осигурава остварење визије Програма кроз спровођење посебних и општег циља. </w:t>
      </w:r>
      <w:r w:rsidR="0064139B" w:rsidRPr="00CC35F0">
        <w:rPr>
          <w:rFonts w:ascii="Times New Roman" w:eastAsia="Times New Roman" w:hAnsi="Times New Roman"/>
          <w:sz w:val="24"/>
          <w:szCs w:val="24"/>
          <w:lang w:val="sr-Cyrl-CS"/>
        </w:rPr>
        <w:t>Ова т</w:t>
      </w:r>
      <w:r w:rsidRPr="00CC35F0">
        <w:rPr>
          <w:rFonts w:ascii="Times New Roman" w:eastAsia="Times New Roman" w:hAnsi="Times New Roman"/>
          <w:sz w:val="24"/>
          <w:szCs w:val="24"/>
          <w:lang w:val="sr-Cyrl-CS"/>
        </w:rPr>
        <w:t>абела, осим мера, приказује и заинтересоване стране које могу имати интерес или су под утицајем мере</w:t>
      </w:r>
      <w:r w:rsidRPr="00CC35F0">
        <w:rPr>
          <w:rFonts w:ascii="Times New Roman" w:eastAsia="Times New Roman" w:hAnsi="Times New Roman"/>
          <w:sz w:val="24"/>
          <w:szCs w:val="24"/>
          <w:vertAlign w:val="superscript"/>
          <w:lang w:val="sr-Cyrl-CS"/>
        </w:rPr>
        <w:footnoteReference w:id="34"/>
      </w:r>
      <w:r w:rsidRPr="00CC35F0">
        <w:rPr>
          <w:rFonts w:ascii="Times New Roman" w:eastAsia="Times New Roman" w:hAnsi="Times New Roman"/>
          <w:sz w:val="24"/>
          <w:szCs w:val="24"/>
          <w:lang w:val="sr-Cyrl-CS"/>
        </w:rPr>
        <w:t xml:space="preserve">. </w:t>
      </w:r>
    </w:p>
    <w:p w14:paraId="5279303F" w14:textId="77777777" w:rsidR="00A0251B" w:rsidRPr="00CC35F0" w:rsidRDefault="008D6506">
      <w:pPr>
        <w:rPr>
          <w:rFonts w:ascii="Times New Roman" w:eastAsia="Times New Roman" w:hAnsi="Times New Roman"/>
          <w:b/>
          <w:i/>
          <w:sz w:val="24"/>
          <w:szCs w:val="24"/>
          <w:lang w:val="sr-Cyrl-CS"/>
        </w:rPr>
      </w:pPr>
      <w:bookmarkStart w:id="68" w:name="_heading=h.1jlao46" w:colFirst="0" w:colLast="0"/>
      <w:bookmarkEnd w:id="68"/>
      <w:r w:rsidRPr="00CC35F0">
        <w:rPr>
          <w:rFonts w:ascii="Times New Roman" w:eastAsia="Times New Roman" w:hAnsi="Times New Roman"/>
          <w:b/>
          <w:sz w:val="24"/>
          <w:szCs w:val="24"/>
          <w:lang w:val="sr-Cyrl-CS"/>
        </w:rPr>
        <w:t xml:space="preserve">Табела 7-1 </w:t>
      </w:r>
      <w:r w:rsidRPr="00CC35F0">
        <w:rPr>
          <w:rFonts w:ascii="Times New Roman" w:eastAsia="Times New Roman" w:hAnsi="Times New Roman"/>
          <w:b/>
          <w:i/>
          <w:sz w:val="24"/>
          <w:szCs w:val="24"/>
          <w:lang w:val="sr-Cyrl-CS"/>
        </w:rPr>
        <w:t>Мере за постизање циљева и идентификација заинтересованих страна</w:t>
      </w:r>
    </w:p>
    <w:tbl>
      <w:tblPr>
        <w:tblStyle w:val="ab"/>
        <w:tblW w:w="9494" w:type="dxa"/>
        <w:tblLayout w:type="fixed"/>
        <w:tblLook w:val="0400" w:firstRow="0" w:lastRow="0" w:firstColumn="0" w:lastColumn="0" w:noHBand="0" w:noVBand="1"/>
      </w:tblPr>
      <w:tblGrid>
        <w:gridCol w:w="2298"/>
        <w:gridCol w:w="4164"/>
        <w:gridCol w:w="3032"/>
      </w:tblGrid>
      <w:tr w:rsidR="00A0251B" w:rsidRPr="00CC35F0" w14:paraId="2A9FA920" w14:textId="77777777" w:rsidTr="00872AA9">
        <w:trPr>
          <w:tblHeader/>
        </w:trPr>
        <w:tc>
          <w:tcPr>
            <w:tcW w:w="2298" w:type="dxa"/>
            <w:tcBorders>
              <w:top w:val="single" w:sz="4" w:space="0" w:color="000000"/>
              <w:left w:val="single" w:sz="4" w:space="0" w:color="000000"/>
              <w:bottom w:val="single" w:sz="4" w:space="0" w:color="auto"/>
              <w:right w:val="single" w:sz="4" w:space="0" w:color="000000"/>
            </w:tcBorders>
            <w:shd w:val="clear" w:color="auto" w:fill="D9D9D9"/>
            <w:vAlign w:val="center"/>
          </w:tcPr>
          <w:p w14:paraId="0E3CB7BB"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Посебни циљ</w:t>
            </w:r>
          </w:p>
        </w:tc>
        <w:tc>
          <w:tcPr>
            <w:tcW w:w="416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A61486A"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Мера </w:t>
            </w:r>
          </w:p>
        </w:tc>
        <w:tc>
          <w:tcPr>
            <w:tcW w:w="303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123EF4A"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Заинтересоване стране</w:t>
            </w:r>
          </w:p>
        </w:tc>
      </w:tr>
      <w:tr w:rsidR="00A0251B" w:rsidRPr="00CC35F0" w14:paraId="2F17DFD1" w14:textId="77777777" w:rsidTr="00872AA9">
        <w:tc>
          <w:tcPr>
            <w:tcW w:w="229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27EFC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i/>
                <w:sz w:val="24"/>
                <w:szCs w:val="24"/>
                <w:lang w:val="sr-Cyrl-CS"/>
              </w:rPr>
              <w:t xml:space="preserve">Посебни циљ 1: Смањење емисија SO2 за 92% и суспендованих честица PM2.5 за 58,3% из сектора енергетике </w:t>
            </w:r>
            <w:r w:rsidRPr="00CC35F0">
              <w:rPr>
                <w:rFonts w:ascii="Times New Roman" w:eastAsia="Times New Roman" w:hAnsi="Times New Roman"/>
                <w:i/>
                <w:sz w:val="24"/>
                <w:szCs w:val="24"/>
                <w:lang w:val="sr-Cyrl-CS"/>
              </w:rPr>
              <w:lastRenderedPageBreak/>
              <w:t>(укључујући саобраћај и индивидуална ложишта) 2030. године у поређењу са 2015. годином</w:t>
            </w:r>
          </w:p>
        </w:tc>
        <w:tc>
          <w:tcPr>
            <w:tcW w:w="4164" w:type="dxa"/>
            <w:tcBorders>
              <w:top w:val="single" w:sz="4" w:space="0" w:color="000000"/>
              <w:left w:val="single" w:sz="4" w:space="0" w:color="auto"/>
              <w:bottom w:val="single" w:sz="4" w:space="0" w:color="000000"/>
              <w:right w:val="single" w:sz="4" w:space="0" w:color="000000"/>
            </w:tcBorders>
            <w:shd w:val="clear" w:color="auto" w:fill="auto"/>
            <w:vAlign w:val="center"/>
          </w:tcPr>
          <w:p w14:paraId="7926F6F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Спровођење Поглавља II Директиве ЕУ о индустријским емисијама за велика постројења за сагоревање, узимајући у обзир средње вредности горњих и доњих BAT AELs</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C5E3B"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Јавни произвођачи електричне и топлотне енергије, оператери великих индустријских постројења</w:t>
            </w:r>
          </w:p>
        </w:tc>
      </w:tr>
      <w:tr w:rsidR="00A0251B" w:rsidRPr="00CC35F0" w14:paraId="39C820EA" w14:textId="77777777" w:rsidTr="00872AA9">
        <w:tc>
          <w:tcPr>
            <w:tcW w:w="229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1F21B5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single" w:sz="4" w:space="0" w:color="auto"/>
              <w:bottom w:val="single" w:sz="4" w:space="0" w:color="000000"/>
              <w:right w:val="single" w:sz="4" w:space="0" w:color="000000"/>
            </w:tcBorders>
            <w:shd w:val="clear" w:color="auto" w:fill="auto"/>
            <w:vAlign w:val="center"/>
          </w:tcPr>
          <w:p w14:paraId="0010686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Спровођење Директиве ЕУ 2015/2193 о ограничењу емисија одређених </w:t>
            </w:r>
            <w:r w:rsidRPr="00CC35F0">
              <w:rPr>
                <w:rFonts w:ascii="Times New Roman" w:eastAsia="Times New Roman" w:hAnsi="Times New Roman"/>
                <w:sz w:val="24"/>
                <w:szCs w:val="24"/>
                <w:lang w:val="sr-Cyrl-CS"/>
              </w:rPr>
              <w:lastRenderedPageBreak/>
              <w:t>загађујућих материја у ваздух из средњих постројења за сагоревање</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0D716"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Оператери средњих постројења за сагоревање</w:t>
            </w:r>
          </w:p>
        </w:tc>
      </w:tr>
      <w:tr w:rsidR="00A0251B" w:rsidRPr="00CC35F0" w14:paraId="31E30AE2" w14:textId="77777777" w:rsidTr="00872AA9">
        <w:tc>
          <w:tcPr>
            <w:tcW w:w="229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A381C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single" w:sz="4" w:space="0" w:color="auto"/>
              <w:bottom w:val="single" w:sz="4" w:space="0" w:color="000000"/>
              <w:right w:val="single" w:sz="4" w:space="0" w:color="000000"/>
            </w:tcBorders>
            <w:shd w:val="clear" w:color="auto" w:fill="auto"/>
            <w:vAlign w:val="center"/>
          </w:tcPr>
          <w:p w14:paraId="14B7601B"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Спровођење Уредбе о граничним вредностима емисија загађујућих материја у ваздух из постројења са сагоревањем у мањим постројењима за сагоревање (капацитет до 1 MW), које не подлежу Директиви о еко-дизајну. </w:t>
            </w:r>
          </w:p>
        </w:tc>
        <w:tc>
          <w:tcPr>
            <w:tcW w:w="3032" w:type="dxa"/>
            <w:tcBorders>
              <w:top w:val="single" w:sz="4" w:space="0" w:color="000000"/>
              <w:left w:val="single" w:sz="4" w:space="0" w:color="000000"/>
              <w:bottom w:val="single" w:sz="4" w:space="0" w:color="000000"/>
              <w:right w:val="single" w:sz="4" w:space="0" w:color="000000"/>
            </w:tcBorders>
            <w:vAlign w:val="center"/>
          </w:tcPr>
          <w:p w14:paraId="59EE9BFC"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Оператери малих и средњих предузећа</w:t>
            </w:r>
          </w:p>
        </w:tc>
      </w:tr>
      <w:tr w:rsidR="00A0251B" w:rsidRPr="00CC35F0" w14:paraId="374987B4" w14:textId="77777777" w:rsidTr="00872AA9">
        <w:tc>
          <w:tcPr>
            <w:tcW w:w="229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254F0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single" w:sz="4" w:space="0" w:color="auto"/>
              <w:bottom w:val="single" w:sz="4" w:space="0" w:color="000000"/>
              <w:right w:val="single" w:sz="4" w:space="0" w:color="000000"/>
            </w:tcBorders>
            <w:shd w:val="clear" w:color="auto" w:fill="auto"/>
            <w:vAlign w:val="center"/>
          </w:tcPr>
          <w:p w14:paraId="2854971B"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Спровођење најмање Euro стандарда за половна увезена возила: Euro 5/V од 1. јануара 2024. и Euro 6/VI од 1. јануара 2025. </w:t>
            </w:r>
            <w:r w:rsidR="004213B4" w:rsidRPr="00CC35F0">
              <w:rPr>
                <w:rFonts w:ascii="Times New Roman" w:eastAsia="Times New Roman" w:hAnsi="Times New Roman"/>
                <w:sz w:val="24"/>
                <w:szCs w:val="24"/>
                <w:lang w:val="sr-Cyrl-CS"/>
              </w:rPr>
              <w:t>Г</w:t>
            </w:r>
            <w:r w:rsidRPr="00CC35F0">
              <w:rPr>
                <w:rFonts w:ascii="Times New Roman" w:eastAsia="Times New Roman" w:hAnsi="Times New Roman"/>
                <w:sz w:val="24"/>
                <w:szCs w:val="24"/>
                <w:lang w:val="sr-Cyrl-CS"/>
              </w:rPr>
              <w:t>одине</w:t>
            </w:r>
          </w:p>
        </w:tc>
        <w:tc>
          <w:tcPr>
            <w:tcW w:w="3032" w:type="dxa"/>
            <w:tcBorders>
              <w:top w:val="single" w:sz="4" w:space="0" w:color="000000"/>
              <w:left w:val="single" w:sz="4" w:space="0" w:color="000000"/>
              <w:bottom w:val="single" w:sz="4" w:space="0" w:color="000000"/>
              <w:right w:val="single" w:sz="4" w:space="0" w:color="000000"/>
            </w:tcBorders>
            <w:vAlign w:val="center"/>
          </w:tcPr>
          <w:p w14:paraId="5035B40F"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Потрошачи (власници друмских возила), пружаоци услуга у друмском саобраћају, увозници и продавци возила</w:t>
            </w:r>
          </w:p>
        </w:tc>
      </w:tr>
      <w:tr w:rsidR="00A0251B" w:rsidRPr="00CC35F0" w14:paraId="2C514E67" w14:textId="77777777" w:rsidTr="00872AA9">
        <w:tc>
          <w:tcPr>
            <w:tcW w:w="229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E7DF9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single" w:sz="4" w:space="0" w:color="auto"/>
              <w:bottom w:val="single" w:sz="4" w:space="0" w:color="000000"/>
              <w:right w:val="single" w:sz="4" w:space="0" w:color="000000"/>
            </w:tcBorders>
            <w:shd w:val="clear" w:color="auto" w:fill="auto"/>
            <w:vAlign w:val="center"/>
          </w:tcPr>
          <w:p w14:paraId="4C790CC7" w14:textId="77777777" w:rsidR="00A0251B" w:rsidRPr="00CC35F0" w:rsidRDefault="008D6506">
            <w:pPr>
              <w:spacing w:after="0"/>
              <w:rPr>
                <w:rFonts w:ascii="Times New Roman" w:eastAsia="Times New Roman" w:hAnsi="Times New Roman"/>
                <w:sz w:val="24"/>
                <w:szCs w:val="24"/>
                <w:lang w:val="sr-Cyrl-CS"/>
              </w:rPr>
            </w:pPr>
            <w:bookmarkStart w:id="69" w:name="_heading=h.43ky6rz" w:colFirst="0" w:colLast="0"/>
            <w:bookmarkEnd w:id="69"/>
            <w:r w:rsidRPr="00CC35F0">
              <w:rPr>
                <w:rFonts w:ascii="Times New Roman" w:eastAsia="Times New Roman" w:hAnsi="Times New Roman"/>
                <w:sz w:val="24"/>
                <w:szCs w:val="24"/>
                <w:lang w:val="sr-Cyrl-CS"/>
              </w:rPr>
              <w:t>Додатна обнова возног парка од финансијских подстицаја за дерегистрацију/отпремање у рециклажне центре најстаријих Euro 1, 2 и 3 дизел путничких возила и теретних возила (изузев N3), и EURO I, II и III дизел аутобуса</w:t>
            </w:r>
          </w:p>
        </w:tc>
        <w:tc>
          <w:tcPr>
            <w:tcW w:w="3032" w:type="dxa"/>
            <w:tcBorders>
              <w:top w:val="single" w:sz="4" w:space="0" w:color="000000"/>
              <w:left w:val="single" w:sz="4" w:space="0" w:color="000000"/>
              <w:bottom w:val="single" w:sz="4" w:space="0" w:color="000000"/>
              <w:right w:val="single" w:sz="4" w:space="0" w:color="000000"/>
            </w:tcBorders>
            <w:vAlign w:val="center"/>
          </w:tcPr>
          <w:p w14:paraId="5AEC0A3B"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Потрошачи (власници друмских возила), пружаоци услуга у друмском саобраћају </w:t>
            </w:r>
          </w:p>
        </w:tc>
      </w:tr>
      <w:tr w:rsidR="00A0251B" w:rsidRPr="00CC35F0" w14:paraId="7423C5DC" w14:textId="77777777" w:rsidTr="00872AA9">
        <w:tc>
          <w:tcPr>
            <w:tcW w:w="229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399E8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single" w:sz="4" w:space="0" w:color="auto"/>
              <w:bottom w:val="single" w:sz="4" w:space="0" w:color="000000"/>
              <w:right w:val="single" w:sz="4" w:space="0" w:color="000000"/>
            </w:tcBorders>
            <w:shd w:val="clear" w:color="auto" w:fill="auto"/>
            <w:vAlign w:val="center"/>
          </w:tcPr>
          <w:p w14:paraId="2B82B9F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ТМ</w:t>
            </w:r>
          </w:p>
        </w:tc>
        <w:tc>
          <w:tcPr>
            <w:tcW w:w="3032" w:type="dxa"/>
            <w:tcBorders>
              <w:top w:val="single" w:sz="4" w:space="0" w:color="000000"/>
              <w:left w:val="single" w:sz="4" w:space="0" w:color="000000"/>
              <w:bottom w:val="single" w:sz="4" w:space="0" w:color="000000"/>
              <w:right w:val="single" w:sz="4" w:space="0" w:color="000000"/>
            </w:tcBorders>
            <w:vAlign w:val="center"/>
          </w:tcPr>
          <w:p w14:paraId="51242EC9"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Добављачи опреме, грађевинска предузећа </w:t>
            </w:r>
          </w:p>
        </w:tc>
      </w:tr>
      <w:tr w:rsidR="00A0251B" w:rsidRPr="00CC35F0" w14:paraId="1779447B" w14:textId="77777777" w:rsidTr="00872AA9">
        <w:tc>
          <w:tcPr>
            <w:tcW w:w="229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B6A77E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single" w:sz="4" w:space="0" w:color="auto"/>
              <w:bottom w:val="single" w:sz="4" w:space="0" w:color="000000"/>
              <w:right w:val="single" w:sz="4" w:space="0" w:color="000000"/>
            </w:tcBorders>
            <w:shd w:val="clear" w:color="auto" w:fill="auto"/>
            <w:vAlign w:val="center"/>
          </w:tcPr>
          <w:p w14:paraId="5E86401D"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Бржа  замена постојећих уређаја за грејање у домаћинствима новим уређајима који испуњавају захтеве Директиве о еко-дизајну уз финансијске подстицаје и уз већи проценат замене у градовима Крагујевац, Београд, Ниш, Ваљево и Ужице</w:t>
            </w:r>
          </w:p>
        </w:tc>
        <w:tc>
          <w:tcPr>
            <w:tcW w:w="3032" w:type="dxa"/>
            <w:tcBorders>
              <w:top w:val="single" w:sz="4" w:space="0" w:color="000000"/>
              <w:left w:val="single" w:sz="4" w:space="0" w:color="000000"/>
              <w:bottom w:val="single" w:sz="4" w:space="0" w:color="000000"/>
              <w:right w:val="single" w:sz="4" w:space="0" w:color="000000"/>
            </w:tcBorders>
            <w:vAlign w:val="center"/>
          </w:tcPr>
          <w:p w14:paraId="5F569404"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Локалне заједнице, домаћинства</w:t>
            </w:r>
          </w:p>
        </w:tc>
      </w:tr>
      <w:tr w:rsidR="00A0251B" w:rsidRPr="00CC35F0" w14:paraId="34FDB0DF" w14:textId="77777777" w:rsidTr="00872AA9">
        <w:tc>
          <w:tcPr>
            <w:tcW w:w="229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244F32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single" w:sz="4" w:space="0" w:color="auto"/>
              <w:bottom w:val="single" w:sz="4" w:space="0" w:color="000000"/>
              <w:right w:val="single" w:sz="4" w:space="0" w:color="000000"/>
            </w:tcBorders>
            <w:shd w:val="clear" w:color="auto" w:fill="auto"/>
            <w:vAlign w:val="center"/>
          </w:tcPr>
          <w:p w14:paraId="4A312284" w14:textId="77777777" w:rsidR="00A0251B" w:rsidRPr="00CC35F0" w:rsidRDefault="008D6506">
            <w:pPr>
              <w:spacing w:after="0"/>
              <w:rPr>
                <w:rFonts w:ascii="Times New Roman" w:eastAsia="Times New Roman" w:hAnsi="Times New Roman"/>
                <w:sz w:val="24"/>
                <w:szCs w:val="24"/>
                <w:lang w:val="sr-Cyrl-CS"/>
              </w:rPr>
            </w:pPr>
            <w:bookmarkStart w:id="70" w:name="_heading=h.2iq8gzs" w:colFirst="0" w:colLast="0"/>
            <w:bookmarkEnd w:id="70"/>
            <w:r w:rsidRPr="00CC35F0">
              <w:rPr>
                <w:rFonts w:ascii="Times New Roman" w:eastAsia="Times New Roman" w:hAnsi="Times New Roman"/>
                <w:sz w:val="24"/>
                <w:szCs w:val="24"/>
                <w:lang w:val="sr-Cyrl-CS"/>
              </w:rPr>
              <w:t>Спровођење измењене Директиве 2009/30/EЗ о квалитету горива и Директиве 2016/802/EЗ о смањењу садржаја сумпора у одређеним течним горивима</w:t>
            </w:r>
          </w:p>
        </w:tc>
        <w:tc>
          <w:tcPr>
            <w:tcW w:w="3032" w:type="dxa"/>
            <w:tcBorders>
              <w:top w:val="single" w:sz="4" w:space="0" w:color="000000"/>
              <w:left w:val="single" w:sz="4" w:space="0" w:color="000000"/>
              <w:bottom w:val="single" w:sz="4" w:space="0" w:color="000000"/>
              <w:right w:val="single" w:sz="4" w:space="0" w:color="000000"/>
            </w:tcBorders>
            <w:vAlign w:val="center"/>
          </w:tcPr>
          <w:p w14:paraId="5A060BC0"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Произвођачи и снабдевачи течног горива</w:t>
            </w:r>
          </w:p>
        </w:tc>
      </w:tr>
      <w:tr w:rsidR="00A0251B" w:rsidRPr="00CC35F0" w14:paraId="05DECF04" w14:textId="77777777" w:rsidTr="00872AA9">
        <w:tc>
          <w:tcPr>
            <w:tcW w:w="229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37738F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single" w:sz="4" w:space="0" w:color="auto"/>
              <w:bottom w:val="single" w:sz="4" w:space="0" w:color="000000"/>
              <w:right w:val="single" w:sz="4" w:space="0" w:color="000000"/>
            </w:tcBorders>
            <w:shd w:val="clear" w:color="auto" w:fill="auto"/>
            <w:vAlign w:val="center"/>
          </w:tcPr>
          <w:p w14:paraId="0FD179C2"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Ограничавање емисија VOC спровођењем 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w:t>
            </w:r>
            <w:r w:rsidRPr="00CC35F0">
              <w:rPr>
                <w:rFonts w:ascii="Times New Roman" w:eastAsia="Times New Roman" w:hAnsi="Times New Roman"/>
                <w:sz w:val="24"/>
                <w:szCs w:val="24"/>
                <w:lang w:val="sr-Cyrl-CS"/>
              </w:rPr>
              <w:lastRenderedPageBreak/>
              <w:t>Директива 2009/126/ЕЗ сакупљања бензинске паре током допуњавања моторних возила горивом на бензинским станицама (Друга фаза).</w:t>
            </w:r>
          </w:p>
        </w:tc>
        <w:tc>
          <w:tcPr>
            <w:tcW w:w="3032" w:type="dxa"/>
            <w:tcBorders>
              <w:top w:val="single" w:sz="4" w:space="0" w:color="000000"/>
              <w:left w:val="single" w:sz="4" w:space="0" w:color="000000"/>
              <w:bottom w:val="single" w:sz="4" w:space="0" w:color="000000"/>
              <w:right w:val="single" w:sz="4" w:space="0" w:color="000000"/>
            </w:tcBorders>
            <w:vAlign w:val="center"/>
          </w:tcPr>
          <w:p w14:paraId="7238BE06"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xml:space="preserve">Инфраструктура за складиштење и дистрибуцију бензина, предузећа за транспорт бензина </w:t>
            </w:r>
          </w:p>
        </w:tc>
      </w:tr>
      <w:tr w:rsidR="00A0251B" w:rsidRPr="00CC35F0" w14:paraId="66B14056" w14:textId="77777777" w:rsidTr="00872AA9">
        <w:trPr>
          <w:trHeight w:val="1188"/>
        </w:trPr>
        <w:tc>
          <w:tcPr>
            <w:tcW w:w="2298" w:type="dxa"/>
            <w:vMerge w:val="restart"/>
            <w:tcBorders>
              <w:top w:val="single" w:sz="4" w:space="0" w:color="auto"/>
              <w:left w:val="single" w:sz="4" w:space="0" w:color="000000"/>
              <w:right w:val="single" w:sz="4" w:space="0" w:color="000000"/>
            </w:tcBorders>
            <w:shd w:val="clear" w:color="auto" w:fill="auto"/>
            <w:vAlign w:val="center"/>
          </w:tcPr>
          <w:p w14:paraId="4FB8700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i/>
                <w:sz w:val="24"/>
                <w:szCs w:val="24"/>
                <w:lang w:val="sr-Cyrl-CS"/>
              </w:rPr>
              <w:t>Посебни циљ 2: Смањење емисија загађујућих материја у ваздух и тешких метала из индустријских процеса и употребе производа кроз усаглашавање са BAT AELs</w:t>
            </w:r>
          </w:p>
        </w:tc>
        <w:tc>
          <w:tcPr>
            <w:tcW w:w="4164" w:type="dxa"/>
            <w:tcBorders>
              <w:top w:val="nil"/>
              <w:left w:val="nil"/>
              <w:bottom w:val="single" w:sz="4" w:space="0" w:color="000000"/>
              <w:right w:val="single" w:sz="4" w:space="0" w:color="000000"/>
            </w:tcBorders>
            <w:shd w:val="clear" w:color="auto" w:fill="auto"/>
            <w:vAlign w:val="center"/>
          </w:tcPr>
          <w:p w14:paraId="71AF3A8C" w14:textId="77777777" w:rsidR="00A0251B" w:rsidRPr="00CC35F0" w:rsidRDefault="008D6506">
            <w:pPr>
              <w:spacing w:after="0"/>
              <w:rPr>
                <w:rFonts w:ascii="Times New Roman" w:eastAsia="Times New Roman" w:hAnsi="Times New Roman"/>
                <w:i/>
                <w:color w:val="000000"/>
                <w:sz w:val="24"/>
                <w:szCs w:val="24"/>
                <w:lang w:val="sr-Cyrl-CS"/>
              </w:rPr>
            </w:pPr>
            <w:r w:rsidRPr="00CC35F0">
              <w:rPr>
                <w:rFonts w:ascii="Times New Roman" w:eastAsia="Times New Roman" w:hAnsi="Times New Roman"/>
                <w:sz w:val="24"/>
                <w:szCs w:val="24"/>
                <w:lang w:val="sr-Cyrl-CS"/>
              </w:rPr>
              <w:t>Спровођење Поглавља II Директиве ЕУ о индустријским емисијама у индустријским процесима, узимајући у обзир средње вредности горњих и доњих BAT AELs, односно ниже нивое за производњу бакра и сумпорне киселине у Бору</w:t>
            </w:r>
          </w:p>
        </w:tc>
        <w:tc>
          <w:tcPr>
            <w:tcW w:w="3032" w:type="dxa"/>
            <w:tcBorders>
              <w:top w:val="nil"/>
              <w:left w:val="nil"/>
              <w:bottom w:val="single" w:sz="4" w:space="0" w:color="000000"/>
              <w:right w:val="single" w:sz="4" w:space="0" w:color="000000"/>
            </w:tcBorders>
            <w:shd w:val="clear" w:color="auto" w:fill="auto"/>
            <w:vAlign w:val="center"/>
          </w:tcPr>
          <w:p w14:paraId="6A6603EB"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Топионице бакра</w:t>
            </w:r>
          </w:p>
        </w:tc>
      </w:tr>
      <w:tr w:rsidR="00A0251B" w:rsidRPr="00CC35F0" w14:paraId="4632C19A" w14:textId="77777777">
        <w:tc>
          <w:tcPr>
            <w:tcW w:w="2298" w:type="dxa"/>
            <w:vMerge/>
            <w:tcBorders>
              <w:top w:val="nil"/>
              <w:left w:val="single" w:sz="4" w:space="0" w:color="000000"/>
              <w:right w:val="single" w:sz="4" w:space="0" w:color="000000"/>
            </w:tcBorders>
            <w:shd w:val="clear" w:color="auto" w:fill="auto"/>
            <w:vAlign w:val="center"/>
          </w:tcPr>
          <w:p w14:paraId="38FE07A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nil"/>
              <w:bottom w:val="single" w:sz="4" w:space="0" w:color="000000"/>
              <w:right w:val="single" w:sz="4" w:space="0" w:color="000000"/>
            </w:tcBorders>
            <w:shd w:val="clear" w:color="auto" w:fill="auto"/>
            <w:vAlign w:val="center"/>
          </w:tcPr>
          <w:p w14:paraId="04782E12" w14:textId="77777777" w:rsidR="00A0251B" w:rsidRPr="00CC35F0" w:rsidRDefault="008D6506">
            <w:pPr>
              <w:spacing w:after="0"/>
              <w:rPr>
                <w:rFonts w:ascii="Times New Roman" w:eastAsia="Times New Roman" w:hAnsi="Times New Roman"/>
                <w:i/>
                <w:sz w:val="24"/>
                <w:szCs w:val="24"/>
                <w:lang w:val="sr-Cyrl-CS"/>
              </w:rPr>
            </w:pPr>
            <w:r w:rsidRPr="00CC35F0">
              <w:rPr>
                <w:rFonts w:ascii="Times New Roman" w:eastAsia="Times New Roman" w:hAnsi="Times New Roman"/>
                <w:sz w:val="24"/>
                <w:szCs w:val="24"/>
                <w:lang w:val="sr-Cyrl-CS"/>
              </w:rPr>
              <w:t xml:space="preserve">Спровођење Поглавља V Директиве о индустријским емисијама, Анекса VII за VOC или Поглавља 2 за постројења у којима потрошња растварача прелази 200 t годишње или 150 kg на сат. </w:t>
            </w:r>
          </w:p>
        </w:tc>
        <w:tc>
          <w:tcPr>
            <w:tcW w:w="3032" w:type="dxa"/>
            <w:tcBorders>
              <w:top w:val="nil"/>
              <w:left w:val="nil"/>
              <w:bottom w:val="single" w:sz="4" w:space="0" w:color="000000"/>
              <w:right w:val="single" w:sz="4" w:space="0" w:color="000000"/>
            </w:tcBorders>
            <w:shd w:val="clear" w:color="auto" w:fill="auto"/>
            <w:vAlign w:val="center"/>
          </w:tcPr>
          <w:p w14:paraId="118C15F3"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Компаније које врше површинску обраду супстанци, предмета или артикала у којима се користе органски растварачи, нарочито за пресвлачење, штампу, облагање, одмашћивање, заптивање, калибрацију, бојење, чишћење или импрегнацију</w:t>
            </w:r>
          </w:p>
        </w:tc>
      </w:tr>
      <w:tr w:rsidR="00A0251B" w:rsidRPr="00CC35F0" w14:paraId="2701A94A" w14:textId="77777777">
        <w:tc>
          <w:tcPr>
            <w:tcW w:w="22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439FEDF"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i/>
                <w:sz w:val="24"/>
                <w:szCs w:val="24"/>
                <w:lang w:val="sr-Cyrl-CS"/>
              </w:rPr>
              <w:t>Посебни циљ 3: Смањење емисија NH</w:t>
            </w:r>
            <w:r w:rsidRPr="00CC35F0">
              <w:rPr>
                <w:rFonts w:ascii="Times New Roman" w:eastAsia="Times New Roman" w:hAnsi="Times New Roman"/>
                <w:i/>
                <w:sz w:val="24"/>
                <w:szCs w:val="24"/>
                <w:vertAlign w:val="subscript"/>
                <w:lang w:val="sr-Cyrl-CS"/>
              </w:rPr>
              <w:t xml:space="preserve">3 </w:t>
            </w:r>
            <w:r w:rsidRPr="00CC35F0">
              <w:rPr>
                <w:rFonts w:ascii="Times New Roman" w:eastAsia="Times New Roman" w:hAnsi="Times New Roman"/>
                <w:i/>
                <w:sz w:val="24"/>
                <w:szCs w:val="24"/>
                <w:lang w:val="sr-Cyrl-CS"/>
              </w:rPr>
              <w:t>из сектора пољопривреде за 20,5% у поређењу са 2015. годином</w:t>
            </w:r>
          </w:p>
        </w:tc>
        <w:tc>
          <w:tcPr>
            <w:tcW w:w="4164" w:type="dxa"/>
            <w:tcBorders>
              <w:top w:val="single" w:sz="4" w:space="0" w:color="000000"/>
              <w:left w:val="nil"/>
              <w:bottom w:val="single" w:sz="4" w:space="0" w:color="000000"/>
              <w:right w:val="single" w:sz="4" w:space="0" w:color="000000"/>
            </w:tcBorders>
            <w:shd w:val="clear" w:color="auto" w:fill="auto"/>
            <w:vAlign w:val="center"/>
          </w:tcPr>
          <w:p w14:paraId="5FF3874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Спровођење најбоље праксе у складиштењу течног стајњака</w:t>
            </w:r>
          </w:p>
        </w:tc>
        <w:tc>
          <w:tcPr>
            <w:tcW w:w="30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8A514"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Оператери фарми свиња и говеда који су у обавези прибављања интегрисане дозволе</w:t>
            </w:r>
          </w:p>
        </w:tc>
      </w:tr>
      <w:tr w:rsidR="00A0251B" w:rsidRPr="00CC35F0" w14:paraId="32CAB046" w14:textId="77777777">
        <w:tc>
          <w:tcPr>
            <w:tcW w:w="22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C8382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nil"/>
              <w:bottom w:val="single" w:sz="4" w:space="0" w:color="000000"/>
              <w:right w:val="single" w:sz="4" w:space="0" w:color="000000"/>
            </w:tcBorders>
            <w:shd w:val="clear" w:color="auto" w:fill="auto"/>
            <w:vAlign w:val="center"/>
          </w:tcPr>
          <w:p w14:paraId="6D1DFEF6"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Замена ђубрива на бази урее ђубривима на бази амонијум-нитрата</w:t>
            </w:r>
          </w:p>
        </w:tc>
        <w:tc>
          <w:tcPr>
            <w:tcW w:w="3032" w:type="dxa"/>
            <w:tcBorders>
              <w:top w:val="nil"/>
              <w:left w:val="single" w:sz="4" w:space="0" w:color="000000"/>
              <w:bottom w:val="single" w:sz="4" w:space="0" w:color="000000"/>
              <w:right w:val="single" w:sz="4" w:space="0" w:color="000000"/>
            </w:tcBorders>
            <w:shd w:val="clear" w:color="auto" w:fill="auto"/>
            <w:vAlign w:val="center"/>
          </w:tcPr>
          <w:p w14:paraId="32CB0D51"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Власници фарми и пољопривредног земљишта</w:t>
            </w:r>
          </w:p>
        </w:tc>
      </w:tr>
      <w:tr w:rsidR="00A0251B" w:rsidRPr="00CC35F0" w14:paraId="5F652AB1" w14:textId="77777777">
        <w:tc>
          <w:tcPr>
            <w:tcW w:w="22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D92AB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nil"/>
              <w:bottom w:val="single" w:sz="4" w:space="0" w:color="000000"/>
              <w:right w:val="single" w:sz="4" w:space="0" w:color="000000"/>
            </w:tcBorders>
            <w:shd w:val="clear" w:color="auto" w:fill="auto"/>
            <w:vAlign w:val="center"/>
          </w:tcPr>
          <w:p w14:paraId="3A48C503" w14:textId="77777777" w:rsidR="00A0251B" w:rsidRPr="00CC35F0" w:rsidRDefault="008D6506">
            <w:pPr>
              <w:spacing w:after="0"/>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Увођење најбоље праксе приликом растурања и наношења чврстог стајњака на земљиште бржом инкорпорацијом стајњака у земљиште</w:t>
            </w:r>
          </w:p>
        </w:tc>
        <w:tc>
          <w:tcPr>
            <w:tcW w:w="3032" w:type="dxa"/>
            <w:tcBorders>
              <w:top w:val="nil"/>
              <w:left w:val="single" w:sz="4" w:space="0" w:color="000000"/>
              <w:bottom w:val="single" w:sz="4" w:space="0" w:color="000000"/>
              <w:right w:val="single" w:sz="4" w:space="0" w:color="000000"/>
            </w:tcBorders>
            <w:shd w:val="clear" w:color="auto" w:fill="auto"/>
            <w:vAlign w:val="center"/>
          </w:tcPr>
          <w:p w14:paraId="14BADAB6"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Оператери фарми свиња и живине </w:t>
            </w:r>
          </w:p>
        </w:tc>
      </w:tr>
      <w:tr w:rsidR="00A0251B" w:rsidRPr="00CC35F0" w14:paraId="65ECF55D" w14:textId="77777777">
        <w:tc>
          <w:tcPr>
            <w:tcW w:w="22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23B97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nil"/>
              <w:bottom w:val="single" w:sz="4" w:space="0" w:color="000000"/>
              <w:right w:val="single" w:sz="4" w:space="0" w:color="000000"/>
            </w:tcBorders>
            <w:shd w:val="clear" w:color="auto" w:fill="auto"/>
            <w:vAlign w:val="center"/>
          </w:tcPr>
          <w:p w14:paraId="408E0888" w14:textId="77777777" w:rsidR="00A0251B" w:rsidRPr="00CC35F0" w:rsidRDefault="008D6506">
            <w:pPr>
              <w:spacing w:after="0"/>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Увођење најбоље праксе у активности растурања течног стајњака са фарми свиња и говеда</w:t>
            </w:r>
          </w:p>
        </w:tc>
        <w:tc>
          <w:tcPr>
            <w:tcW w:w="3032" w:type="dxa"/>
            <w:tcBorders>
              <w:top w:val="nil"/>
              <w:left w:val="single" w:sz="4" w:space="0" w:color="000000"/>
              <w:bottom w:val="single" w:sz="4" w:space="0" w:color="000000"/>
              <w:right w:val="single" w:sz="4" w:space="0" w:color="000000"/>
            </w:tcBorders>
            <w:shd w:val="clear" w:color="auto" w:fill="auto"/>
            <w:vAlign w:val="center"/>
          </w:tcPr>
          <w:p w14:paraId="23EA1323"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Власници пољопривредног земљишта</w:t>
            </w:r>
          </w:p>
        </w:tc>
      </w:tr>
      <w:tr w:rsidR="00A0251B" w:rsidRPr="00CC35F0" w14:paraId="34F0A972" w14:textId="77777777">
        <w:trPr>
          <w:trHeight w:val="346"/>
        </w:trPr>
        <w:tc>
          <w:tcPr>
            <w:tcW w:w="22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8DCDD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164" w:type="dxa"/>
            <w:tcBorders>
              <w:top w:val="nil"/>
              <w:left w:val="nil"/>
              <w:right w:val="single" w:sz="4" w:space="0" w:color="000000"/>
            </w:tcBorders>
            <w:shd w:val="clear" w:color="auto" w:fill="auto"/>
            <w:vAlign w:val="center"/>
          </w:tcPr>
          <w:p w14:paraId="311EC83D" w14:textId="77777777" w:rsidR="00A0251B" w:rsidRPr="00CC35F0" w:rsidRDefault="008D6506">
            <w:pPr>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Ограничавање спаљивања остатака из пољопривреде (0% 2030. године)</w:t>
            </w:r>
          </w:p>
        </w:tc>
        <w:tc>
          <w:tcPr>
            <w:tcW w:w="3032" w:type="dxa"/>
            <w:tcBorders>
              <w:top w:val="nil"/>
              <w:left w:val="single" w:sz="4" w:space="0" w:color="000000"/>
              <w:right w:val="single" w:sz="4" w:space="0" w:color="000000"/>
            </w:tcBorders>
            <w:shd w:val="clear" w:color="auto" w:fill="auto"/>
            <w:vAlign w:val="center"/>
          </w:tcPr>
          <w:p w14:paraId="04F48DCD"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Власници фарми и пољопривредног земљишта</w:t>
            </w:r>
          </w:p>
        </w:tc>
      </w:tr>
      <w:tr w:rsidR="00A0251B" w:rsidRPr="00CC35F0" w14:paraId="18BB383A" w14:textId="77777777">
        <w:tc>
          <w:tcPr>
            <w:tcW w:w="22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14831"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i/>
                <w:sz w:val="24"/>
                <w:szCs w:val="24"/>
                <w:lang w:val="sr-Cyrl-CS"/>
              </w:rPr>
              <w:t>Посебни циљ 4: Промоција преласка на чист ваздух за све</w:t>
            </w:r>
          </w:p>
        </w:tc>
        <w:tc>
          <w:tcPr>
            <w:tcW w:w="4164" w:type="dxa"/>
            <w:tcBorders>
              <w:top w:val="single" w:sz="4" w:space="0" w:color="000000"/>
              <w:left w:val="nil"/>
              <w:bottom w:val="single" w:sz="4" w:space="0" w:color="000000"/>
              <w:right w:val="single" w:sz="4" w:space="0" w:color="000000"/>
            </w:tcBorders>
            <w:shd w:val="clear" w:color="auto" w:fill="auto"/>
            <w:vAlign w:val="center"/>
          </w:tcPr>
          <w:p w14:paraId="395B481B"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Едукација о заштити и квалитету ваздуха, обука за спровођење најбоље праксе и подизање свести</w:t>
            </w:r>
          </w:p>
        </w:tc>
        <w:tc>
          <w:tcPr>
            <w:tcW w:w="3032" w:type="dxa"/>
            <w:tcBorders>
              <w:top w:val="single" w:sz="4" w:space="0" w:color="000000"/>
              <w:left w:val="nil"/>
              <w:bottom w:val="single" w:sz="4" w:space="0" w:color="000000"/>
              <w:right w:val="single" w:sz="4" w:space="0" w:color="000000"/>
            </w:tcBorders>
            <w:shd w:val="clear" w:color="auto" w:fill="auto"/>
            <w:vAlign w:val="center"/>
          </w:tcPr>
          <w:p w14:paraId="7DEA1882"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Универзитети, школе, центри за обуку одраслих, локалне заједнице, домаћинства, компаније, запослени, нарочито у ланцу вредности у секторима са највећим утицајем на квалитет ваздуха</w:t>
            </w:r>
          </w:p>
        </w:tc>
      </w:tr>
    </w:tbl>
    <w:p w14:paraId="6168CC6E" w14:textId="77777777" w:rsidR="00A0251B" w:rsidRPr="00CC35F0" w:rsidRDefault="00A0251B">
      <w:pPr>
        <w:rPr>
          <w:rFonts w:ascii="Times New Roman" w:eastAsia="Times New Roman" w:hAnsi="Times New Roman"/>
          <w:sz w:val="24"/>
          <w:szCs w:val="24"/>
          <w:highlight w:val="yellow"/>
          <w:lang w:val="sr-Cyrl-CS"/>
        </w:rPr>
      </w:pPr>
    </w:p>
    <w:p w14:paraId="0C777D1E" w14:textId="77777777" w:rsidR="00A0251B" w:rsidRPr="00CC35F0" w:rsidRDefault="008D6506" w:rsidP="00073BFF">
      <w:pPr>
        <w:ind w:firstLine="720"/>
        <w:rPr>
          <w:rFonts w:ascii="Times New Roman" w:eastAsia="Times New Roman" w:hAnsi="Times New Roman"/>
          <w:sz w:val="24"/>
          <w:szCs w:val="24"/>
          <w:lang w:val="sr-Cyrl-CS"/>
        </w:rPr>
      </w:pPr>
      <w:bookmarkStart w:id="71" w:name="_heading=h.xvir7l" w:colFirst="0" w:colLast="0"/>
      <w:bookmarkEnd w:id="71"/>
      <w:r w:rsidRPr="00CC35F0">
        <w:rPr>
          <w:rFonts w:ascii="Times New Roman" w:eastAsia="Times New Roman" w:hAnsi="Times New Roman"/>
          <w:sz w:val="24"/>
          <w:szCs w:val="24"/>
          <w:lang w:val="sr-Cyrl-CS"/>
        </w:rPr>
        <w:lastRenderedPageBreak/>
        <w:t>Када је реч о утицајима посебних ПиМ на животну средину, далеко највећи допринос постизању Посебног циља 1 дају подстицаји за бржу замену кућних грејних тела новим еко-дизајнираним уређајима и топлотним пумпама, уз већи проценат замене у Крагујевцу, Београду, Нишу, Ваљеву и Ужицу, чиме ће се допринети испуњењу општег циља у проценту од 63,9% за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и чак 90,6% за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Ову меру прати ограничење спаљивања остатака из пољопривреде на пољопривредном земљишту, чиме се доприноси испуњењу општег циља у проценту од 30,8% за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Примена минималних стандарда на половна возила допринеће 63,5% укупно потребном смањењу емисија NOx</w:t>
      </w:r>
      <w:r w:rsidRPr="00CC35F0">
        <w:rPr>
          <w:rFonts w:ascii="Times New Roman" w:eastAsia="Times New Roman" w:hAnsi="Times New Roman"/>
          <w:sz w:val="24"/>
          <w:szCs w:val="24"/>
          <w:vertAlign w:val="superscript"/>
          <w:lang w:val="sr-Cyrl-CS"/>
        </w:rPr>
        <w:footnoteReference w:id="35"/>
      </w:r>
      <w:r w:rsidRPr="00CC35F0">
        <w:rPr>
          <w:rFonts w:ascii="Times New Roman" w:eastAsia="Times New Roman" w:hAnsi="Times New Roman"/>
          <w:sz w:val="24"/>
          <w:szCs w:val="24"/>
          <w:lang w:val="sr-Cyrl-CS"/>
        </w:rPr>
        <w:t xml:space="preserve">. </w:t>
      </w:r>
    </w:p>
    <w:p w14:paraId="5F07A39D" w14:textId="77777777" w:rsidR="00A0251B" w:rsidRPr="00CC35F0" w:rsidRDefault="008D6506" w:rsidP="00073BFF">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Посебни циљ 2 односни се на индустријске процесе и употребу производа. Спровођење Поглавља II Директиве ЕУ о индустријским емисијама у индустријским процесима, узимајући у обзир средње вредности горњих и доњих BAT AELs</w:t>
      </w:r>
      <w:r w:rsidRPr="00CC35F0">
        <w:rPr>
          <w:rFonts w:ascii="Times New Roman" w:eastAsia="Times New Roman" w:hAnsi="Times New Roman"/>
          <w:sz w:val="24"/>
          <w:szCs w:val="24"/>
          <w:vertAlign w:val="superscript"/>
          <w:lang w:val="sr-Cyrl-CS"/>
        </w:rPr>
        <w:footnoteReference w:id="36"/>
      </w:r>
      <w:r w:rsidRPr="00CC35F0">
        <w:rPr>
          <w:rFonts w:ascii="Times New Roman" w:eastAsia="Times New Roman" w:hAnsi="Times New Roman"/>
          <w:sz w:val="24"/>
          <w:szCs w:val="24"/>
          <w:lang w:val="sr-Cyrl-CS"/>
        </w:rPr>
        <w:t>, односно ниже нивое за производњу бакра и сумпорне киселине у Бору доприноси укупном смањењу емисија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са 31,9% и смањењу емисија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xml:space="preserve"> са 15,4%. Треба нагласити да је ова мера у сценарију WAM C између осталог усмерена на постизање граничних вредности емисије за прашкасте материје</w:t>
      </w:r>
      <w:r w:rsidRPr="00CC35F0">
        <w:rPr>
          <w:rFonts w:ascii="Times New Roman" w:eastAsia="Times New Roman" w:hAnsi="Times New Roman"/>
          <w:sz w:val="24"/>
          <w:szCs w:val="24"/>
          <w:vertAlign w:val="superscript"/>
          <w:lang w:val="sr-Cyrl-CS"/>
        </w:rPr>
        <w:footnoteReference w:id="37"/>
      </w:r>
      <w:r w:rsidRPr="00CC35F0">
        <w:rPr>
          <w:rFonts w:ascii="Times New Roman" w:eastAsia="Times New Roman" w:hAnsi="Times New Roman"/>
          <w:sz w:val="24"/>
          <w:szCs w:val="24"/>
          <w:lang w:val="sr-Cyrl-CS"/>
        </w:rPr>
        <w:t xml:space="preserve"> и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из топионице бакра у Бору, како би се осигурала усаглашеност квалитета ваздуха у Бору са граничним вредностима прописаним  Директивом о квалитету ваздуха 2008/50/EЗ у погледу сумпор диоксида и са циљним вредностима за арсен, кадмијум, никл и бензо(а)пирен у складу са Директивом 2004/107/ЕУ о арсену, кадмијуму, живи, никлу и полицикличним ароматичним угљоводоницима у амбијенталном ваздуху.  </w:t>
      </w:r>
    </w:p>
    <w:p w14:paraId="431CB552" w14:textId="77777777" w:rsidR="00A0251B" w:rsidRPr="00CC35F0" w:rsidRDefault="008D6506" w:rsidP="00073BFF">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Мере из Посебног циља 3 имају за циљ првенствено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при чему је далеко најважнија мера замена ђубрива на бази урее ђубривом на бази амонијум-нитрата, чиме се доприноси укупном смањењу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са 51,1%, након чега следе увођење најбоље праксе приликом растурања течног стајњака са фарми свиња и говеда, чиме се доприноси са 15,6%, и увођење најбоље праксе у активности растурања и наношења чврстог стајњака на земљиште бржом инкорпорацијом стајњака у земљиште, које доприноси укупном смањењу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са 5,9%.</w:t>
      </w:r>
    </w:p>
    <w:p w14:paraId="3F64EB39" w14:textId="77777777" w:rsidR="00A0251B" w:rsidRPr="00CC35F0" w:rsidRDefault="008D6506" w:rsidP="00073BFF">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Детаљан преглед утицаја мера на животну средину приказан је у Табела 7-2</w:t>
      </w:r>
      <w:r w:rsidR="009C108D" w:rsidRPr="00CC35F0">
        <w:rPr>
          <w:rFonts w:ascii="Times New Roman" w:eastAsia="Times New Roman" w:hAnsi="Times New Roman"/>
          <w:sz w:val="24"/>
          <w:szCs w:val="24"/>
          <w:lang w:val="sr-Cyrl-CS"/>
        </w:rPr>
        <w:t>.</w:t>
      </w:r>
    </w:p>
    <w:p w14:paraId="1DA0BAC8" w14:textId="77777777" w:rsidR="00A0251B" w:rsidRPr="00CC35F0" w:rsidRDefault="008D6506">
      <w:pPr>
        <w:keepNext/>
        <w:spacing w:after="0"/>
        <w:rPr>
          <w:rFonts w:ascii="Times New Roman" w:eastAsia="Times New Roman" w:hAnsi="Times New Roman"/>
          <w:b/>
          <w:i/>
          <w:sz w:val="24"/>
          <w:szCs w:val="24"/>
          <w:lang w:val="sr-Cyrl-CS"/>
        </w:rPr>
      </w:pPr>
      <w:bookmarkStart w:id="74" w:name="_heading=h.3hv69ve" w:colFirst="0" w:colLast="0"/>
      <w:bookmarkEnd w:id="74"/>
      <w:r w:rsidRPr="00CC35F0">
        <w:rPr>
          <w:rFonts w:ascii="Times New Roman" w:eastAsia="Times New Roman" w:hAnsi="Times New Roman"/>
          <w:b/>
          <w:sz w:val="24"/>
          <w:szCs w:val="24"/>
          <w:lang w:val="sr-Cyrl-CS"/>
        </w:rPr>
        <w:lastRenderedPageBreak/>
        <w:t xml:space="preserve">Табела 7-2 Утицаји мера на животну средину према загађујућим материјама и мерама </w:t>
      </w:r>
    </w:p>
    <w:p w14:paraId="3A2A52A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046A3531" wp14:editId="798758B6">
            <wp:extent cx="4206527" cy="7257808"/>
            <wp:effectExtent l="0" t="0" r="0" b="0"/>
            <wp:docPr id="54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1"/>
                    <a:srcRect/>
                    <a:stretch>
                      <a:fillRect/>
                    </a:stretch>
                  </pic:blipFill>
                  <pic:spPr>
                    <a:xfrm>
                      <a:off x="0" y="0"/>
                      <a:ext cx="4206527" cy="7257808"/>
                    </a:xfrm>
                    <a:prstGeom prst="rect">
                      <a:avLst/>
                    </a:prstGeom>
                    <a:ln/>
                  </pic:spPr>
                </pic:pic>
              </a:graphicData>
            </a:graphic>
          </wp:inline>
        </w:drawing>
      </w:r>
    </w:p>
    <w:p w14:paraId="04B20C98" w14:textId="77777777" w:rsidR="00A0251B" w:rsidRPr="00CC35F0" w:rsidRDefault="00A0251B">
      <w:pPr>
        <w:jc w:val="center"/>
        <w:rPr>
          <w:rFonts w:ascii="Times New Roman" w:eastAsia="Times New Roman" w:hAnsi="Times New Roman"/>
          <w:sz w:val="24"/>
          <w:szCs w:val="24"/>
          <w:lang w:val="sr-Cyrl-CS"/>
        </w:rPr>
      </w:pPr>
    </w:p>
    <w:p w14:paraId="3D99C59C" w14:textId="77777777" w:rsidR="00A0251B" w:rsidRPr="00CC35F0" w:rsidRDefault="008D6506" w:rsidP="00382EC6">
      <w:pPr>
        <w:pStyle w:val="Heading2"/>
        <w:numPr>
          <w:ilvl w:val="1"/>
          <w:numId w:val="10"/>
        </w:numPr>
        <w:rPr>
          <w:rFonts w:ascii="Times New Roman" w:eastAsia="Times New Roman" w:hAnsi="Times New Roman"/>
          <w:lang w:val="sr-Cyrl-CS"/>
        </w:rPr>
      </w:pPr>
      <w:bookmarkStart w:id="75" w:name="_heading=h.1x0gk37" w:colFirst="0" w:colLast="0"/>
      <w:bookmarkEnd w:id="75"/>
      <w:r w:rsidRPr="00CC35F0">
        <w:rPr>
          <w:rFonts w:ascii="Times New Roman" w:eastAsia="Times New Roman" w:hAnsi="Times New Roman"/>
          <w:lang w:val="sr-Cyrl-CS"/>
        </w:rPr>
        <w:t xml:space="preserve">Мере и описи мера, загађујуће материје, уштеде емисија и институције надлежне за спровођење мера и партнери </w:t>
      </w:r>
    </w:p>
    <w:p w14:paraId="4F3ED9D2" w14:textId="77777777" w:rsidR="00A0251B" w:rsidRPr="00CC35F0" w:rsidRDefault="008D6506" w:rsidP="00073BFF">
      <w:pPr>
        <w:ind w:firstLine="576"/>
        <w:rPr>
          <w:rFonts w:ascii="Times New Roman" w:eastAsia="Times New Roman" w:hAnsi="Times New Roman"/>
          <w:i/>
          <w:sz w:val="24"/>
          <w:szCs w:val="24"/>
          <w:lang w:val="sr-Cyrl-CS"/>
        </w:rPr>
        <w:sectPr w:rsidR="00A0251B" w:rsidRPr="00CC35F0" w:rsidSect="003F2AE7">
          <w:headerReference w:type="default" r:id="rId42"/>
          <w:footerReference w:type="default" r:id="rId43"/>
          <w:pgSz w:w="11901" w:h="16817"/>
          <w:pgMar w:top="862" w:right="1134" w:bottom="1418" w:left="1418" w:header="142" w:footer="367" w:gutter="0"/>
          <w:pgNumType w:start="1"/>
          <w:cols w:space="720"/>
          <w:titlePg/>
          <w:docGrid w:linePitch="299"/>
        </w:sectPr>
      </w:pPr>
      <w:r w:rsidRPr="00CC35F0">
        <w:rPr>
          <w:rFonts w:ascii="Times New Roman" w:eastAsia="Times New Roman" w:hAnsi="Times New Roman"/>
          <w:i/>
          <w:sz w:val="24"/>
          <w:szCs w:val="24"/>
          <w:lang w:val="sr-Cyrl-CS"/>
        </w:rPr>
        <w:t>Табела 7-3</w:t>
      </w:r>
      <w:r w:rsidRPr="00CC35F0">
        <w:rPr>
          <w:rFonts w:ascii="Times New Roman" w:eastAsia="Times New Roman" w:hAnsi="Times New Roman"/>
          <w:sz w:val="24"/>
          <w:szCs w:val="24"/>
          <w:lang w:val="sr-Cyrl-CS"/>
        </w:rPr>
        <w:t xml:space="preserve"> у наставку представља листу мера из сценарија WAM C са подацима о врсти мере, описом мере, краћим текстуалним описом главних елемената или концептуалног приступа мере, укључујући важне одреднице (очекивано време за спровођење мере), циљевима којима мера додатно доприноси, и поглављем из процеса претприступних преговора којем та мера припада. Свака мера такође садржи информације </w:t>
      </w:r>
      <w:r w:rsidRPr="00CC35F0">
        <w:rPr>
          <w:rFonts w:ascii="Times New Roman" w:eastAsia="Times New Roman" w:hAnsi="Times New Roman"/>
          <w:sz w:val="24"/>
          <w:szCs w:val="24"/>
          <w:lang w:val="sr-Cyrl-CS"/>
        </w:rPr>
        <w:lastRenderedPageBreak/>
        <w:t>о кључној имплементационој институцији, партнерима, затим о предметној загађујућој материји и потенцијалу мере за смањење емисије до 2025, 2030. и 2035. године, заједно са показатељем о економичности мере који се приписује једној од главних загађујућих материја у ваздуху.</w:t>
      </w:r>
    </w:p>
    <w:p w14:paraId="39373990" w14:textId="77777777" w:rsidR="00A0251B" w:rsidRPr="00CC35F0" w:rsidRDefault="008D6506">
      <w:pPr>
        <w:spacing w:after="0"/>
        <w:ind w:left="-851"/>
        <w:jc w:val="left"/>
        <w:rPr>
          <w:rFonts w:ascii="Times New Roman" w:eastAsia="Times New Roman" w:hAnsi="Times New Roman"/>
          <w:b/>
          <w:sz w:val="24"/>
          <w:szCs w:val="24"/>
          <w:lang w:val="sr-Cyrl-CS"/>
        </w:rPr>
      </w:pPr>
      <w:bookmarkStart w:id="76" w:name="_heading=h.4h042r0" w:colFirst="0" w:colLast="0"/>
      <w:bookmarkEnd w:id="76"/>
      <w:r w:rsidRPr="00CC35F0">
        <w:rPr>
          <w:rFonts w:ascii="Times New Roman" w:eastAsia="Times New Roman" w:hAnsi="Times New Roman"/>
          <w:b/>
          <w:i/>
          <w:sz w:val="24"/>
          <w:szCs w:val="24"/>
          <w:lang w:val="sr-Cyrl-CS"/>
        </w:rPr>
        <w:lastRenderedPageBreak/>
        <w:t>Табела 7-3:</w:t>
      </w:r>
      <w:r w:rsidRPr="00CC35F0">
        <w:rPr>
          <w:rFonts w:ascii="Times New Roman" w:eastAsia="Times New Roman" w:hAnsi="Times New Roman"/>
          <w:b/>
          <w:sz w:val="24"/>
          <w:szCs w:val="24"/>
          <w:lang w:val="sr-Cyrl-CS"/>
        </w:rPr>
        <w:t xml:space="preserve"> Списак мера са основним описом, загађујућим материјама, уштедама емисије и имплементационим органима</w:t>
      </w:r>
    </w:p>
    <w:tbl>
      <w:tblPr>
        <w:tblStyle w:val="ac"/>
        <w:tblW w:w="15708"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0"/>
        <w:gridCol w:w="3531"/>
        <w:gridCol w:w="4283"/>
        <w:gridCol w:w="1485"/>
        <w:gridCol w:w="1500"/>
        <w:gridCol w:w="1330"/>
        <w:gridCol w:w="44"/>
        <w:gridCol w:w="60"/>
        <w:gridCol w:w="1332"/>
        <w:gridCol w:w="22"/>
        <w:gridCol w:w="35"/>
        <w:gridCol w:w="1380"/>
        <w:gridCol w:w="10"/>
        <w:gridCol w:w="6"/>
      </w:tblGrid>
      <w:tr w:rsidR="00A0251B" w:rsidRPr="00CC35F0" w14:paraId="484E63E3" w14:textId="77777777">
        <w:trPr>
          <w:trHeight w:val="391"/>
        </w:trPr>
        <w:tc>
          <w:tcPr>
            <w:tcW w:w="15708" w:type="dxa"/>
            <w:gridSpan w:val="14"/>
            <w:shd w:val="clear" w:color="auto" w:fill="FFCC00"/>
            <w:vAlign w:val="center"/>
          </w:tcPr>
          <w:p w14:paraId="16A80ED9" w14:textId="77777777" w:rsidR="00A0251B" w:rsidRPr="00CC35F0" w:rsidRDefault="008D6506">
            <w:pPr>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Посебни циљ 1: Смањење емисија SO2 за 92% и суспендованих честица PM2.5 за 58,3% из сектора енергетике (укључујући саобраћај и индивидуална ложишта)</w:t>
            </w:r>
            <w:r w:rsidRPr="00CC35F0">
              <w:rPr>
                <w:rFonts w:ascii="Times New Roman" w:eastAsia="Times New Roman" w:hAnsi="Times New Roman"/>
                <w:i/>
                <w:sz w:val="24"/>
                <w:szCs w:val="24"/>
                <w:lang w:val="sr-Cyrl-CS"/>
              </w:rPr>
              <w:t xml:space="preserve"> </w:t>
            </w:r>
            <w:r w:rsidRPr="00CC35F0">
              <w:rPr>
                <w:rFonts w:ascii="Times New Roman" w:eastAsia="Times New Roman" w:hAnsi="Times New Roman"/>
                <w:b/>
                <w:sz w:val="24"/>
                <w:szCs w:val="24"/>
                <w:lang w:val="sr-Cyrl-CS"/>
              </w:rPr>
              <w:t xml:space="preserve"> 2030. године у поређењу са 2015. </w:t>
            </w:r>
            <w:r w:rsidR="004213B4" w:rsidRPr="00CC35F0">
              <w:rPr>
                <w:rFonts w:ascii="Times New Roman" w:eastAsia="Times New Roman" w:hAnsi="Times New Roman"/>
                <w:b/>
                <w:sz w:val="24"/>
                <w:szCs w:val="24"/>
                <w:lang w:val="sr-Cyrl-CS"/>
              </w:rPr>
              <w:t>Г</w:t>
            </w:r>
            <w:r w:rsidRPr="00CC35F0">
              <w:rPr>
                <w:rFonts w:ascii="Times New Roman" w:eastAsia="Times New Roman" w:hAnsi="Times New Roman"/>
                <w:b/>
                <w:sz w:val="24"/>
                <w:szCs w:val="24"/>
                <w:lang w:val="sr-Cyrl-CS"/>
              </w:rPr>
              <w:t>одином</w:t>
            </w:r>
          </w:p>
        </w:tc>
      </w:tr>
      <w:tr w:rsidR="00A0251B" w:rsidRPr="00CC35F0" w14:paraId="61D9B58A" w14:textId="77777777">
        <w:trPr>
          <w:trHeight w:val="442"/>
        </w:trPr>
        <w:tc>
          <w:tcPr>
            <w:tcW w:w="690" w:type="dxa"/>
            <w:shd w:val="clear" w:color="auto" w:fill="44546A"/>
            <w:vAlign w:val="center"/>
          </w:tcPr>
          <w:p w14:paraId="025AD921"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 B1</w:t>
            </w:r>
          </w:p>
        </w:tc>
        <w:tc>
          <w:tcPr>
            <w:tcW w:w="15018" w:type="dxa"/>
            <w:gridSpan w:val="13"/>
            <w:shd w:val="clear" w:color="auto" w:fill="44546A"/>
            <w:vAlign w:val="center"/>
          </w:tcPr>
          <w:p w14:paraId="72487C69"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Спровођење Поглавља II Директиве ЕУ о индустријским емисијама за велика постројења за сагоревање, узимајући у обзир средње вредности горњих и доњих BAT AELs</w:t>
            </w:r>
          </w:p>
        </w:tc>
      </w:tr>
      <w:tr w:rsidR="00A0251B" w:rsidRPr="00CC35F0" w14:paraId="7F323532" w14:textId="77777777">
        <w:trPr>
          <w:trHeight w:val="212"/>
        </w:trPr>
        <w:tc>
          <w:tcPr>
            <w:tcW w:w="690" w:type="dxa"/>
            <w:vMerge w:val="restart"/>
            <w:shd w:val="clear" w:color="auto" w:fill="auto"/>
            <w:vAlign w:val="center"/>
          </w:tcPr>
          <w:p w14:paraId="7816678A"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1</w:t>
            </w:r>
          </w:p>
        </w:tc>
        <w:tc>
          <w:tcPr>
            <w:tcW w:w="15018" w:type="dxa"/>
            <w:gridSpan w:val="13"/>
            <w:shd w:val="clear" w:color="auto" w:fill="auto"/>
            <w:vAlign w:val="center"/>
          </w:tcPr>
          <w:p w14:paraId="0E8F155E" w14:textId="77777777" w:rsidR="00A0251B" w:rsidRPr="00CC35F0" w:rsidRDefault="008D6506">
            <w:pPr>
              <w:spacing w:after="0" w:line="240" w:lineRule="auto"/>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w:t>
            </w:r>
            <w:r w:rsidRPr="00CC35F0">
              <w:rPr>
                <w:rFonts w:ascii="Times New Roman" w:eastAsia="Times New Roman" w:hAnsi="Times New Roman"/>
                <w:b/>
                <w:sz w:val="24"/>
                <w:szCs w:val="24"/>
                <w:lang w:val="sr-Cyrl-CS"/>
              </w:rPr>
              <w:t xml:space="preserve"> </w:t>
            </w:r>
          </w:p>
          <w:p w14:paraId="223370EC" w14:textId="77777777" w:rsidR="00A0251B" w:rsidRPr="00CC35F0" w:rsidRDefault="00A0251B">
            <w:pPr>
              <w:spacing w:after="0" w:line="240" w:lineRule="auto"/>
              <w:rPr>
                <w:rFonts w:ascii="Times New Roman" w:eastAsia="Times New Roman" w:hAnsi="Times New Roman"/>
                <w:b/>
                <w:sz w:val="24"/>
                <w:szCs w:val="24"/>
                <w:u w:val="single"/>
                <w:lang w:val="sr-Cyrl-CS"/>
              </w:rPr>
            </w:pPr>
          </w:p>
          <w:p w14:paraId="2A7FC2EF" w14:textId="77777777" w:rsidR="00A0251B" w:rsidRPr="00CC35F0" w:rsidRDefault="008D6506">
            <w:pPr>
              <w:spacing w:after="0" w:line="240" w:lineRule="auto"/>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02662352"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мера састоји се од спровођења Директиве 2010/75/EУ о индустријским емисија, нарочито Поглавља II за велика постројења за сагоревање, осим постројења из Националног програма за смањење емисија. Поглавље II Директиве о индустријским емисијама захтева интегрисани приступ у уређивању одређених индустријских активности у односу на заштиту животне средине. То значи да се емисије у ваздух, воду (укључујући испуштање у канализацију) и земљиште, као и опсег њиховог утицаја на животну средину, морају разматрати заједно. Како би се постигао висок степен заштите животне средине у целости, утврђују се услови у дозволи, који се заснивају на најбољим доступним техникама.</w:t>
            </w:r>
          </w:p>
          <w:p w14:paraId="2365A1C2"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Поглавље II Директиве о индустријским емисијама захтева поштовање BAT AELs. Ови нивои емисија (</w:t>
            </w:r>
            <w:r w:rsidRPr="00CC35F0">
              <w:rPr>
                <w:rFonts w:ascii="Times New Roman" w:eastAsia="Times New Roman" w:hAnsi="Times New Roman"/>
                <w:i/>
                <w:sz w:val="24"/>
                <w:szCs w:val="24"/>
                <w:lang w:val="sr-Cyrl-CS"/>
              </w:rPr>
              <w:t>BAT AELs</w:t>
            </w:r>
            <w:r w:rsidRPr="00CC35F0">
              <w:rPr>
                <w:rFonts w:ascii="Times New Roman" w:eastAsia="Times New Roman" w:hAnsi="Times New Roman"/>
                <w:sz w:val="24"/>
                <w:szCs w:val="24"/>
                <w:lang w:val="sr-Cyrl-CS"/>
              </w:rPr>
              <w:t>) дефинисани су низом закључака о најбољим доступним техникама који се примењују у Е</w:t>
            </w:r>
            <w:r w:rsidR="00493202" w:rsidRPr="00CC35F0">
              <w:rPr>
                <w:rFonts w:ascii="Times New Roman" w:eastAsia="Times New Roman" w:hAnsi="Times New Roman"/>
                <w:sz w:val="24"/>
                <w:szCs w:val="24"/>
                <w:lang w:val="sr-Cyrl-CS"/>
              </w:rPr>
              <w:t>вропској унији</w:t>
            </w:r>
            <w:r w:rsidRPr="00CC35F0">
              <w:rPr>
                <w:rFonts w:ascii="Times New Roman" w:eastAsia="Times New Roman" w:hAnsi="Times New Roman"/>
                <w:sz w:val="24"/>
                <w:szCs w:val="24"/>
                <w:lang w:val="sr-Cyrl-CS"/>
              </w:rPr>
              <w:t>. Када се постројењу издаје интегрисана дозвола, услови обухватају и прописане граничне вредности емисије како би се осигурало да емисије из постројења остану у границама BAT AELs. Ова мера подразумева да граничне вредности емисије прописане за велика постројења за сагоревање омогућавају овим постројењима да поштују просечне вредности између горњих и доњих BAT AELs. Прецизну процену одступања од средњих вредности горњих и доњих нивоа емисије за најбоље доступне технике (</w:t>
            </w:r>
            <w:r w:rsidRPr="00CC35F0">
              <w:rPr>
                <w:rFonts w:ascii="Times New Roman" w:eastAsia="Times New Roman" w:hAnsi="Times New Roman"/>
                <w:i/>
                <w:sz w:val="24"/>
                <w:szCs w:val="24"/>
                <w:lang w:val="sr-Cyrl-CS"/>
              </w:rPr>
              <w:t>BAT AELs</w:t>
            </w:r>
            <w:r w:rsidRPr="00CC35F0">
              <w:rPr>
                <w:rFonts w:ascii="Times New Roman" w:eastAsia="Times New Roman" w:hAnsi="Times New Roman"/>
                <w:sz w:val="24"/>
                <w:szCs w:val="24"/>
                <w:lang w:val="sr-Cyrl-CS"/>
              </w:rPr>
              <w:t>) треба рачунати на нивоу сваког појединачног постројења, узимајући у обзир допринос сваког постројења (примарне и секундарне емисије) квалитету ваздуха и прекорачења одређених загађујућих материја у ваздуху у зонама и агломерацијама.</w:t>
            </w:r>
          </w:p>
          <w:p w14:paraId="0CFB6653"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Недавно објављена Спроведбена одлука Комисије (ЕУ) 2017/1442 од 31. јула 2017. године, којом су утврђени закључци о најбољим доступним техникама у складу са Директивом 2010/75/EУ Европског парламента и Савета, примењује се на велика постројења за сагоревање.</w:t>
            </w:r>
          </w:p>
          <w:p w14:paraId="2391364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Национална Уредба о граничним вредностима емисија загађујућих материја у ваздух из с</w:t>
            </w:r>
            <w:r w:rsidR="00493202" w:rsidRPr="00CC35F0">
              <w:rPr>
                <w:rFonts w:ascii="Times New Roman" w:eastAsia="Times New Roman" w:hAnsi="Times New Roman"/>
                <w:sz w:val="24"/>
                <w:szCs w:val="24"/>
                <w:lang w:val="sr-Cyrl-CS"/>
              </w:rPr>
              <w:t xml:space="preserve">тационарних извора загађивања, </w:t>
            </w:r>
            <w:r w:rsidRPr="00CC35F0">
              <w:rPr>
                <w:rFonts w:ascii="Times New Roman" w:eastAsia="Times New Roman" w:hAnsi="Times New Roman"/>
                <w:sz w:val="24"/>
                <w:szCs w:val="24"/>
                <w:lang w:val="sr-Cyrl-CS"/>
              </w:rPr>
              <w:t>осим постројења за саго</w:t>
            </w:r>
            <w:r w:rsidR="00493202" w:rsidRPr="00CC35F0">
              <w:rPr>
                <w:rFonts w:ascii="Times New Roman" w:eastAsia="Times New Roman" w:hAnsi="Times New Roman"/>
                <w:sz w:val="24"/>
                <w:szCs w:val="24"/>
                <w:lang w:val="sr-Cyrl-CS"/>
              </w:rPr>
              <w:t>ревање</w:t>
            </w:r>
            <w:r w:rsidRPr="00CC35F0">
              <w:rPr>
                <w:rFonts w:ascii="Times New Roman" w:eastAsia="Times New Roman" w:hAnsi="Times New Roman"/>
                <w:sz w:val="24"/>
                <w:szCs w:val="24"/>
                <w:lang w:val="sr-Cyrl-CS"/>
              </w:rPr>
              <w:t xml:space="preserve"> и Уредба о граничним вредностима емисије загађујућих материја у ваздух из по</w:t>
            </w:r>
            <w:r w:rsidR="00493202" w:rsidRPr="00CC35F0">
              <w:rPr>
                <w:rFonts w:ascii="Times New Roman" w:eastAsia="Times New Roman" w:hAnsi="Times New Roman"/>
                <w:sz w:val="24"/>
                <w:szCs w:val="24"/>
                <w:lang w:val="sr-Cyrl-CS"/>
              </w:rPr>
              <w:t>стројења за сагоревање</w:t>
            </w:r>
            <w:r w:rsidRPr="00CC35F0">
              <w:rPr>
                <w:rFonts w:ascii="Times New Roman" w:eastAsia="Times New Roman" w:hAnsi="Times New Roman"/>
                <w:sz w:val="24"/>
                <w:szCs w:val="24"/>
                <w:lang w:val="sr-Cyrl-CS"/>
              </w:rPr>
              <w:t xml:space="preserve"> разматране су у оквиру сценарија WEM. У сценаријима WAM A , WAM B и WAM C, Директива о индустријским емисијама утиче на смањење емисија када су граничне вредности емисија строже него оне прописане домаћом регулативом. Ова мера не укључује постр</w:t>
            </w:r>
            <w:r w:rsidR="00565159" w:rsidRPr="00CC35F0">
              <w:rPr>
                <w:rFonts w:ascii="Times New Roman" w:eastAsia="Times New Roman" w:hAnsi="Times New Roman"/>
                <w:sz w:val="24"/>
                <w:szCs w:val="24"/>
                <w:lang w:val="sr-Cyrl-CS"/>
              </w:rPr>
              <w:t xml:space="preserve">ојења за сагоревање из </w:t>
            </w:r>
            <w:r w:rsidRPr="00CC35F0">
              <w:rPr>
                <w:rFonts w:ascii="Times New Roman" w:eastAsia="Times New Roman" w:hAnsi="Times New Roman"/>
                <w:sz w:val="24"/>
                <w:szCs w:val="24"/>
                <w:lang w:val="sr-Cyrl-CS"/>
              </w:rPr>
              <w:t xml:space="preserve">NERP. </w:t>
            </w:r>
          </w:p>
          <w:p w14:paraId="14DBF725" w14:textId="77777777" w:rsidR="00A0251B" w:rsidRPr="00CC35F0" w:rsidRDefault="008D6506">
            <w:pPr>
              <w:spacing w:after="0" w:line="240" w:lineRule="auto"/>
              <w:jc w:val="left"/>
              <w:rPr>
                <w:rFonts w:ascii="Times New Roman" w:eastAsia="Times New Roman" w:hAnsi="Times New Roman"/>
                <w:sz w:val="24"/>
                <w:szCs w:val="24"/>
                <w:lang w:val="sr-Cyrl-CS"/>
              </w:rPr>
            </w:pPr>
            <w:bookmarkStart w:id="77" w:name="_heading=h.2w5ecyt" w:colFirst="0" w:colLast="0"/>
            <w:bookmarkEnd w:id="77"/>
            <w:r w:rsidRPr="00CC35F0">
              <w:rPr>
                <w:rFonts w:ascii="Times New Roman" w:eastAsia="Times New Roman" w:hAnsi="Times New Roman"/>
                <w:sz w:val="24"/>
                <w:szCs w:val="24"/>
                <w:lang w:val="sr-Cyrl-CS"/>
              </w:rPr>
              <w:t>Мониторинг над спровођењем ов</w:t>
            </w:r>
            <w:r w:rsidR="00324874" w:rsidRPr="00CC35F0">
              <w:rPr>
                <w:rFonts w:ascii="Times New Roman" w:eastAsia="Times New Roman" w:hAnsi="Times New Roman"/>
                <w:sz w:val="24"/>
                <w:szCs w:val="24"/>
                <w:lang w:val="sr-Cyrl-CS"/>
              </w:rPr>
              <w:t xml:space="preserve">е мере врши </w:t>
            </w:r>
            <w:r w:rsidRPr="00CC35F0">
              <w:rPr>
                <w:rFonts w:ascii="Times New Roman" w:eastAsia="Times New Roman" w:hAnsi="Times New Roman"/>
                <w:color w:val="000000"/>
                <w:sz w:val="24"/>
                <w:szCs w:val="24"/>
                <w:lang w:val="sr-Cyrl-CS"/>
              </w:rPr>
              <w:t>АЗЖС као орган задужен за Национални регистар извора загађивања и за објављивање извештаја о стању животне средине.</w:t>
            </w:r>
            <w:r w:rsidRPr="00CC35F0">
              <w:rPr>
                <w:rFonts w:ascii="Times New Roman" w:eastAsia="Times New Roman" w:hAnsi="Times New Roman"/>
                <w:sz w:val="24"/>
                <w:szCs w:val="24"/>
                <w:lang w:val="sr-Cyrl-CS"/>
              </w:rPr>
              <w:t xml:space="preserve">  </w:t>
            </w:r>
          </w:p>
          <w:p w14:paraId="55A50681" w14:textId="77777777" w:rsidR="00A0251B" w:rsidRPr="00CC35F0" w:rsidRDefault="00A0251B">
            <w:pPr>
              <w:spacing w:after="0" w:line="240" w:lineRule="auto"/>
              <w:rPr>
                <w:rFonts w:ascii="Times New Roman" w:eastAsia="Times New Roman" w:hAnsi="Times New Roman"/>
                <w:b/>
                <w:sz w:val="24"/>
                <w:szCs w:val="24"/>
                <w:u w:val="single"/>
                <w:lang w:val="sr-Cyrl-CS"/>
              </w:rPr>
            </w:pPr>
          </w:p>
          <w:p w14:paraId="36F76851" w14:textId="77777777" w:rsidR="00A0251B" w:rsidRPr="00CC35F0" w:rsidRDefault="008D6506">
            <w:pPr>
              <w:spacing w:after="0" w:line="240" w:lineRule="auto"/>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Циљ у вези са ЕУ:  </w:t>
            </w:r>
          </w:p>
          <w:p w14:paraId="4C69C30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Снабдевање енергијом: побољшање ефикасности у сектору енергетике и трансформацији</w:t>
            </w:r>
          </w:p>
          <w:p w14:paraId="106B574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Потрошња енергије: побољшање ефикасности у индустријским секторима као крајњим корисницима </w:t>
            </w:r>
          </w:p>
          <w:p w14:paraId="00FF3A8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Индустријски процеси: инсталација технологија за ублажавање ефеката </w:t>
            </w:r>
          </w:p>
          <w:p w14:paraId="5A75CFD8" w14:textId="77777777" w:rsidR="00A0251B" w:rsidRPr="00CC35F0" w:rsidRDefault="00A0251B">
            <w:pPr>
              <w:spacing w:after="0" w:line="240" w:lineRule="auto"/>
              <w:rPr>
                <w:rFonts w:ascii="Times New Roman" w:eastAsia="Times New Roman" w:hAnsi="Times New Roman"/>
                <w:b/>
                <w:sz w:val="24"/>
                <w:szCs w:val="24"/>
                <w:u w:val="single"/>
                <w:lang w:val="sr-Cyrl-CS"/>
              </w:rPr>
            </w:pPr>
          </w:p>
          <w:p w14:paraId="74B37A24" w14:textId="77777777" w:rsidR="00A0251B" w:rsidRPr="00CC35F0" w:rsidRDefault="008D6506">
            <w:pPr>
              <w:spacing w:after="0" w:line="240" w:lineRule="auto"/>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2461B93B"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540BD3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Побољшање квалитета ваздуха у </w:t>
            </w:r>
            <w:r w:rsidR="005E207A"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 xml:space="preserve">Србији како би се избегла прекорачења граничних вредности за квалитет ваздуха </w:t>
            </w:r>
          </w:p>
          <w:p w14:paraId="64BF3D6E" w14:textId="77777777" w:rsidR="00A0251B" w:rsidRPr="00CC35F0" w:rsidRDefault="00A0251B">
            <w:pPr>
              <w:spacing w:after="0" w:line="240" w:lineRule="auto"/>
              <w:rPr>
                <w:rFonts w:ascii="Times New Roman" w:eastAsia="Times New Roman" w:hAnsi="Times New Roman"/>
                <w:b/>
                <w:i/>
                <w:sz w:val="24"/>
                <w:szCs w:val="24"/>
                <w:u w:val="single"/>
                <w:lang w:val="sr-Cyrl-CS"/>
              </w:rPr>
            </w:pPr>
          </w:p>
          <w:p w14:paraId="17A49F2C" w14:textId="77777777" w:rsidR="00A0251B" w:rsidRPr="00CC35F0" w:rsidRDefault="008D6506">
            <w:pPr>
              <w:spacing w:after="0" w:line="240" w:lineRule="auto"/>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p w14:paraId="217B1847" w14:textId="77777777" w:rsidR="00A0251B" w:rsidRPr="00CC35F0" w:rsidRDefault="00A0251B">
            <w:pPr>
              <w:spacing w:after="0" w:line="240" w:lineRule="auto"/>
              <w:rPr>
                <w:rFonts w:ascii="Times New Roman" w:eastAsia="Times New Roman" w:hAnsi="Times New Roman"/>
                <w:b/>
                <w:sz w:val="24"/>
                <w:szCs w:val="24"/>
                <w:u w:val="single"/>
                <w:lang w:val="sr-Cyrl-CS"/>
              </w:rPr>
            </w:pPr>
          </w:p>
          <w:p w14:paraId="0A5F259A" w14:textId="77777777" w:rsidR="00A0251B" w:rsidRPr="00CC35F0" w:rsidRDefault="00A0251B">
            <w:pPr>
              <w:spacing w:after="0" w:line="240" w:lineRule="auto"/>
              <w:rPr>
                <w:rFonts w:ascii="Times New Roman" w:eastAsia="Times New Roman" w:hAnsi="Times New Roman"/>
                <w:b/>
                <w:i/>
                <w:sz w:val="24"/>
                <w:szCs w:val="24"/>
                <w:u w:val="single"/>
                <w:lang w:val="sr-Cyrl-CS"/>
              </w:rPr>
            </w:pPr>
          </w:p>
        </w:tc>
      </w:tr>
      <w:tr w:rsidR="00A0251B" w:rsidRPr="00CC35F0" w14:paraId="6E8335EE" w14:textId="77777777">
        <w:trPr>
          <w:gridAfter w:val="2"/>
          <w:wAfter w:w="16" w:type="dxa"/>
          <w:trHeight w:val="385"/>
        </w:trPr>
        <w:tc>
          <w:tcPr>
            <w:tcW w:w="690" w:type="dxa"/>
            <w:vMerge/>
            <w:shd w:val="clear" w:color="auto" w:fill="auto"/>
            <w:vAlign w:val="center"/>
          </w:tcPr>
          <w:p w14:paraId="442FBE7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76AACC72"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p w14:paraId="11721CDD" w14:textId="77777777" w:rsidR="00A0251B" w:rsidRPr="00CC35F0" w:rsidRDefault="00A0251B">
            <w:pPr>
              <w:rPr>
                <w:rFonts w:ascii="Times New Roman" w:eastAsia="Times New Roman" w:hAnsi="Times New Roman"/>
                <w:sz w:val="24"/>
                <w:szCs w:val="24"/>
                <w:lang w:val="sr-Cyrl-CS"/>
              </w:rPr>
            </w:pPr>
          </w:p>
        </w:tc>
        <w:tc>
          <w:tcPr>
            <w:tcW w:w="4283" w:type="dxa"/>
            <w:vMerge w:val="restart"/>
            <w:shd w:val="clear" w:color="auto" w:fill="D9D9D9"/>
            <w:vAlign w:val="center"/>
          </w:tcPr>
          <w:p w14:paraId="61CA100B"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85" w:type="dxa"/>
            <w:vMerge w:val="restart"/>
            <w:shd w:val="clear" w:color="auto" w:fill="D9D9D9"/>
            <w:vAlign w:val="center"/>
          </w:tcPr>
          <w:p w14:paraId="1FD653F5"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500" w:type="dxa"/>
            <w:vMerge w:val="restart"/>
            <w:shd w:val="clear" w:color="auto" w:fill="D9D9D9"/>
            <w:vAlign w:val="center"/>
          </w:tcPr>
          <w:p w14:paraId="7C5FAF4C"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4203" w:type="dxa"/>
            <w:gridSpan w:val="7"/>
            <w:shd w:val="clear" w:color="auto" w:fill="D9D9D9"/>
            <w:vAlign w:val="center"/>
          </w:tcPr>
          <w:p w14:paraId="7DD4F9E1"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69E54E02" w14:textId="77777777">
        <w:trPr>
          <w:gridAfter w:val="2"/>
          <w:wAfter w:w="16" w:type="dxa"/>
          <w:trHeight w:val="385"/>
        </w:trPr>
        <w:tc>
          <w:tcPr>
            <w:tcW w:w="690" w:type="dxa"/>
            <w:vMerge/>
            <w:shd w:val="clear" w:color="auto" w:fill="auto"/>
            <w:vAlign w:val="center"/>
          </w:tcPr>
          <w:p w14:paraId="3AB8DBC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60D445E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4A8B466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85" w:type="dxa"/>
            <w:vMerge/>
            <w:shd w:val="clear" w:color="auto" w:fill="D9D9D9"/>
            <w:vAlign w:val="center"/>
          </w:tcPr>
          <w:p w14:paraId="5C18A4D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00" w:type="dxa"/>
            <w:vMerge/>
            <w:shd w:val="clear" w:color="auto" w:fill="D9D9D9"/>
            <w:vAlign w:val="center"/>
          </w:tcPr>
          <w:p w14:paraId="3878107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7"/>
            <w:shd w:val="clear" w:color="auto" w:fill="D9D9D9"/>
            <w:vAlign w:val="center"/>
          </w:tcPr>
          <w:p w14:paraId="711C6897"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16F21E9E" w14:textId="77777777">
        <w:trPr>
          <w:gridAfter w:val="2"/>
          <w:wAfter w:w="16" w:type="dxa"/>
          <w:trHeight w:val="311"/>
        </w:trPr>
        <w:tc>
          <w:tcPr>
            <w:tcW w:w="690" w:type="dxa"/>
            <w:vMerge/>
            <w:shd w:val="clear" w:color="auto" w:fill="auto"/>
            <w:vAlign w:val="center"/>
          </w:tcPr>
          <w:p w14:paraId="1CEE84F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val="restart"/>
            <w:shd w:val="clear" w:color="auto" w:fill="FFFFFF"/>
            <w:vAlign w:val="center"/>
          </w:tcPr>
          <w:p w14:paraId="056F89D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tc>
        <w:tc>
          <w:tcPr>
            <w:tcW w:w="4283" w:type="dxa"/>
            <w:vMerge w:val="restart"/>
            <w:shd w:val="clear" w:color="auto" w:fill="FFFFFF"/>
            <w:vAlign w:val="center"/>
          </w:tcPr>
          <w:p w14:paraId="2308BB7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Покрајински секретаријат за енергетику, грађевинарство и саобраћај и јединице локалне самоуправе у чијој надлежности је издавање интегрисаних дозвола</w:t>
            </w:r>
          </w:p>
          <w:p w14:paraId="210D092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w:t>
            </w:r>
          </w:p>
        </w:tc>
        <w:tc>
          <w:tcPr>
            <w:tcW w:w="1485" w:type="dxa"/>
            <w:shd w:val="clear" w:color="auto" w:fill="FFFFFF"/>
            <w:vAlign w:val="center"/>
          </w:tcPr>
          <w:p w14:paraId="0C24916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NOx</w:t>
            </w:r>
          </w:p>
        </w:tc>
        <w:tc>
          <w:tcPr>
            <w:tcW w:w="1500" w:type="dxa"/>
            <w:shd w:val="clear" w:color="auto" w:fill="FFFFFF"/>
            <w:vAlign w:val="center"/>
          </w:tcPr>
          <w:p w14:paraId="71EB08C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3,8</w:t>
            </w:r>
          </w:p>
        </w:tc>
        <w:tc>
          <w:tcPr>
            <w:tcW w:w="1374" w:type="dxa"/>
            <w:gridSpan w:val="2"/>
            <w:shd w:val="clear" w:color="auto" w:fill="FFFFFF"/>
            <w:vAlign w:val="center"/>
          </w:tcPr>
          <w:p w14:paraId="60BC13B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0,67</w:t>
            </w:r>
          </w:p>
        </w:tc>
        <w:tc>
          <w:tcPr>
            <w:tcW w:w="1414" w:type="dxa"/>
            <w:gridSpan w:val="3"/>
            <w:shd w:val="clear" w:color="auto" w:fill="FFFFFF"/>
            <w:vAlign w:val="center"/>
          </w:tcPr>
          <w:p w14:paraId="2A4CCBC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0,68</w:t>
            </w:r>
          </w:p>
        </w:tc>
        <w:tc>
          <w:tcPr>
            <w:tcW w:w="1415" w:type="dxa"/>
            <w:gridSpan w:val="2"/>
            <w:shd w:val="clear" w:color="auto" w:fill="FFFFFF"/>
            <w:vAlign w:val="center"/>
          </w:tcPr>
          <w:p w14:paraId="5F31DCD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0,85</w:t>
            </w:r>
          </w:p>
        </w:tc>
      </w:tr>
      <w:tr w:rsidR="00A0251B" w:rsidRPr="00CC35F0" w14:paraId="644D4331" w14:textId="77777777">
        <w:trPr>
          <w:gridAfter w:val="2"/>
          <w:wAfter w:w="16" w:type="dxa"/>
          <w:trHeight w:val="273"/>
        </w:trPr>
        <w:tc>
          <w:tcPr>
            <w:tcW w:w="690" w:type="dxa"/>
            <w:vMerge/>
            <w:shd w:val="clear" w:color="auto" w:fill="auto"/>
            <w:vAlign w:val="center"/>
          </w:tcPr>
          <w:p w14:paraId="618D463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03CAF23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1BBAD9B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6A3FCC2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SO</w:t>
            </w:r>
            <w:r w:rsidRPr="00CC35F0">
              <w:rPr>
                <w:rFonts w:ascii="Times New Roman" w:eastAsia="Times New Roman" w:hAnsi="Times New Roman"/>
                <w:color w:val="000000"/>
                <w:sz w:val="24"/>
                <w:szCs w:val="24"/>
                <w:vertAlign w:val="subscript"/>
                <w:lang w:val="sr-Cyrl-CS"/>
              </w:rPr>
              <w:t>2</w:t>
            </w:r>
          </w:p>
        </w:tc>
        <w:tc>
          <w:tcPr>
            <w:tcW w:w="1500" w:type="dxa"/>
            <w:shd w:val="clear" w:color="auto" w:fill="FFFFFF"/>
            <w:vAlign w:val="center"/>
          </w:tcPr>
          <w:p w14:paraId="2C87B94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1,3</w:t>
            </w:r>
          </w:p>
        </w:tc>
        <w:tc>
          <w:tcPr>
            <w:tcW w:w="1374" w:type="dxa"/>
            <w:gridSpan w:val="2"/>
            <w:shd w:val="clear" w:color="auto" w:fill="FFFFFF"/>
            <w:vAlign w:val="center"/>
          </w:tcPr>
          <w:p w14:paraId="6DDAB83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0,59</w:t>
            </w:r>
          </w:p>
        </w:tc>
        <w:tc>
          <w:tcPr>
            <w:tcW w:w="1414" w:type="dxa"/>
            <w:gridSpan w:val="3"/>
            <w:shd w:val="clear" w:color="auto" w:fill="FFFFFF"/>
            <w:vAlign w:val="center"/>
          </w:tcPr>
          <w:p w14:paraId="7ADA32B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0,60</w:t>
            </w:r>
          </w:p>
        </w:tc>
        <w:tc>
          <w:tcPr>
            <w:tcW w:w="1415" w:type="dxa"/>
            <w:gridSpan w:val="2"/>
            <w:shd w:val="clear" w:color="auto" w:fill="FFFFFF"/>
            <w:vAlign w:val="center"/>
          </w:tcPr>
          <w:p w14:paraId="1FD9097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0,43</w:t>
            </w:r>
          </w:p>
        </w:tc>
      </w:tr>
      <w:tr w:rsidR="00A0251B" w:rsidRPr="00CC35F0" w14:paraId="222FE3C7" w14:textId="77777777">
        <w:trPr>
          <w:gridAfter w:val="2"/>
          <w:wAfter w:w="16" w:type="dxa"/>
          <w:trHeight w:val="536"/>
        </w:trPr>
        <w:tc>
          <w:tcPr>
            <w:tcW w:w="690" w:type="dxa"/>
            <w:vMerge/>
            <w:shd w:val="clear" w:color="auto" w:fill="auto"/>
            <w:vAlign w:val="center"/>
          </w:tcPr>
          <w:p w14:paraId="03179FA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3C54458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07FCE61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0C134C0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10</w:t>
            </w:r>
          </w:p>
        </w:tc>
        <w:tc>
          <w:tcPr>
            <w:tcW w:w="1500" w:type="dxa"/>
            <w:shd w:val="clear" w:color="auto" w:fill="FFFFFF"/>
            <w:vAlign w:val="center"/>
          </w:tcPr>
          <w:p w14:paraId="5B59972A"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Смањење емисија PM спровођењем DeSOx </w:t>
            </w:r>
          </w:p>
        </w:tc>
        <w:tc>
          <w:tcPr>
            <w:tcW w:w="1374" w:type="dxa"/>
            <w:gridSpan w:val="2"/>
            <w:shd w:val="clear" w:color="auto" w:fill="FFFFFF"/>
            <w:vAlign w:val="center"/>
          </w:tcPr>
          <w:p w14:paraId="17091D8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0,09</w:t>
            </w:r>
          </w:p>
        </w:tc>
        <w:tc>
          <w:tcPr>
            <w:tcW w:w="1414" w:type="dxa"/>
            <w:gridSpan w:val="3"/>
            <w:shd w:val="clear" w:color="auto" w:fill="FFFFFF"/>
            <w:vAlign w:val="center"/>
          </w:tcPr>
          <w:p w14:paraId="53BF3DE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0,04</w:t>
            </w:r>
          </w:p>
        </w:tc>
        <w:tc>
          <w:tcPr>
            <w:tcW w:w="1415" w:type="dxa"/>
            <w:gridSpan w:val="2"/>
            <w:shd w:val="clear" w:color="auto" w:fill="FFFFFF"/>
            <w:vAlign w:val="center"/>
          </w:tcPr>
          <w:p w14:paraId="6AB7A48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0,06</w:t>
            </w:r>
          </w:p>
        </w:tc>
      </w:tr>
      <w:tr w:rsidR="00A0251B" w:rsidRPr="00CC35F0" w14:paraId="70031289" w14:textId="77777777">
        <w:trPr>
          <w:gridAfter w:val="2"/>
          <w:wAfter w:w="16" w:type="dxa"/>
          <w:trHeight w:val="536"/>
        </w:trPr>
        <w:tc>
          <w:tcPr>
            <w:tcW w:w="690" w:type="dxa"/>
            <w:vMerge/>
            <w:shd w:val="clear" w:color="auto" w:fill="auto"/>
            <w:vAlign w:val="center"/>
          </w:tcPr>
          <w:p w14:paraId="2242122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5BBE1E6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27A0576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4D455D3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2,5</w:t>
            </w:r>
          </w:p>
        </w:tc>
        <w:tc>
          <w:tcPr>
            <w:tcW w:w="1500" w:type="dxa"/>
            <w:shd w:val="clear" w:color="auto" w:fill="FFFFFF"/>
            <w:vAlign w:val="center"/>
          </w:tcPr>
          <w:p w14:paraId="7916B2B1"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Смањење емисија PM спровођењем DeSOx </w:t>
            </w:r>
          </w:p>
        </w:tc>
        <w:tc>
          <w:tcPr>
            <w:tcW w:w="1374" w:type="dxa"/>
            <w:gridSpan w:val="2"/>
            <w:shd w:val="clear" w:color="auto" w:fill="FFFFFF"/>
            <w:vAlign w:val="center"/>
          </w:tcPr>
          <w:p w14:paraId="76D21FB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0,04</w:t>
            </w:r>
          </w:p>
        </w:tc>
        <w:tc>
          <w:tcPr>
            <w:tcW w:w="1414" w:type="dxa"/>
            <w:gridSpan w:val="3"/>
            <w:shd w:val="clear" w:color="auto" w:fill="FFFFFF"/>
            <w:vAlign w:val="center"/>
          </w:tcPr>
          <w:p w14:paraId="7617B39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0,04</w:t>
            </w:r>
          </w:p>
        </w:tc>
        <w:tc>
          <w:tcPr>
            <w:tcW w:w="1415" w:type="dxa"/>
            <w:gridSpan w:val="2"/>
            <w:shd w:val="clear" w:color="auto" w:fill="FFFFFF"/>
            <w:vAlign w:val="center"/>
          </w:tcPr>
          <w:p w14:paraId="0651179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0,03</w:t>
            </w:r>
          </w:p>
        </w:tc>
      </w:tr>
      <w:tr w:rsidR="00A0251B" w:rsidRPr="00CC35F0" w14:paraId="2CF89C77" w14:textId="77777777">
        <w:trPr>
          <w:trHeight w:val="442"/>
        </w:trPr>
        <w:tc>
          <w:tcPr>
            <w:tcW w:w="690" w:type="dxa"/>
            <w:shd w:val="clear" w:color="auto" w:fill="44546A"/>
            <w:vAlign w:val="center"/>
          </w:tcPr>
          <w:p w14:paraId="40EAF653"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WAMA2.</w:t>
            </w:r>
          </w:p>
        </w:tc>
        <w:tc>
          <w:tcPr>
            <w:tcW w:w="15018" w:type="dxa"/>
            <w:gridSpan w:val="13"/>
            <w:shd w:val="clear" w:color="auto" w:fill="44546A"/>
            <w:vAlign w:val="center"/>
          </w:tcPr>
          <w:p w14:paraId="10F89F01"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Назив мере/политике</w:t>
            </w:r>
            <w:r w:rsidRPr="00CC35F0">
              <w:rPr>
                <w:rFonts w:ascii="Times New Roman" w:eastAsia="Times New Roman" w:hAnsi="Times New Roman"/>
                <w:b/>
                <w:color w:val="FFFFFF"/>
                <w:sz w:val="24"/>
                <w:szCs w:val="24"/>
                <w:u w:val="single"/>
                <w:lang w:val="sr-Cyrl-CS"/>
              </w:rPr>
              <w:t>: Спровођење Директиве ЕУ 2015/2193 о ограничењу емисија одређених загађујућих материја у ваздух из средњих постројења за сагоревање</w:t>
            </w:r>
          </w:p>
        </w:tc>
      </w:tr>
      <w:tr w:rsidR="00A0251B" w:rsidRPr="00CC35F0" w14:paraId="54BB0ECC" w14:textId="77777777">
        <w:trPr>
          <w:trHeight w:val="212"/>
        </w:trPr>
        <w:tc>
          <w:tcPr>
            <w:tcW w:w="690" w:type="dxa"/>
            <w:vMerge w:val="restart"/>
            <w:shd w:val="clear" w:color="auto" w:fill="auto"/>
            <w:vAlign w:val="center"/>
          </w:tcPr>
          <w:p w14:paraId="5897566C"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w:t>
            </w:r>
          </w:p>
        </w:tc>
        <w:tc>
          <w:tcPr>
            <w:tcW w:w="15018" w:type="dxa"/>
            <w:gridSpan w:val="13"/>
            <w:shd w:val="clear" w:color="auto" w:fill="auto"/>
            <w:vAlign w:val="center"/>
          </w:tcPr>
          <w:p w14:paraId="40DB5B3B"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w:t>
            </w:r>
          </w:p>
          <w:p w14:paraId="3A47B2C9"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6BA2A661"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59D5BD84"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Ова мера разматра спровођење Директиве (ЕУ) 2015/2193 Ев</w:t>
            </w:r>
            <w:r w:rsidR="005E207A" w:rsidRPr="00CC35F0">
              <w:rPr>
                <w:rFonts w:ascii="Times New Roman" w:eastAsia="Times New Roman" w:hAnsi="Times New Roman"/>
                <w:sz w:val="24"/>
                <w:szCs w:val="24"/>
                <w:lang w:val="sr-Cyrl-CS"/>
              </w:rPr>
              <w:t xml:space="preserve">ропског парламента и Савета од </w:t>
            </w:r>
            <w:r w:rsidRPr="00CC35F0">
              <w:rPr>
                <w:rFonts w:ascii="Times New Roman" w:eastAsia="Times New Roman" w:hAnsi="Times New Roman"/>
                <w:sz w:val="24"/>
                <w:szCs w:val="24"/>
                <w:lang w:val="sr-Cyrl-CS"/>
              </w:rPr>
              <w:t>25. новембра 2015. године о ограничавању емисија одређених загађујућих материја из средњих постројења за сагоревање, топлотног капацитета 1 до 50 MW. Ова директива још није у целости транспонована у домаће законодавство. Датуми за постизање усаглашености са граничним вредностима емисије су следећи:</w:t>
            </w:r>
          </w:p>
          <w:p w14:paraId="77D4488B" w14:textId="77777777" w:rsidR="00A0251B" w:rsidRPr="00CC35F0" w:rsidRDefault="005E207A" w:rsidP="00382EC6">
            <w:pPr>
              <w:numPr>
                <w:ilvl w:val="0"/>
                <w:numId w:val="3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w:t>
            </w:r>
            <w:r w:rsidR="008D6506" w:rsidRPr="00CC35F0">
              <w:rPr>
                <w:rFonts w:ascii="Times New Roman" w:eastAsia="Times New Roman" w:hAnsi="Times New Roman"/>
                <w:color w:val="000000"/>
                <w:sz w:val="24"/>
                <w:szCs w:val="24"/>
                <w:lang w:val="sr-Cyrl-CS"/>
              </w:rPr>
              <w:t xml:space="preserve">остројења са ложиштима топлотног капацитета од 5 до 50 MW морају се усагласити од 2025. </w:t>
            </w:r>
            <w:r w:rsidRPr="00CC35F0">
              <w:rPr>
                <w:rFonts w:ascii="Times New Roman" w:eastAsia="Times New Roman" w:hAnsi="Times New Roman"/>
                <w:color w:val="000000"/>
                <w:sz w:val="24"/>
                <w:szCs w:val="24"/>
                <w:lang w:val="sr-Cyrl-CS"/>
              </w:rPr>
              <w:t>г</w:t>
            </w:r>
            <w:r w:rsidR="008D6506" w:rsidRPr="00CC35F0">
              <w:rPr>
                <w:rFonts w:ascii="Times New Roman" w:eastAsia="Times New Roman" w:hAnsi="Times New Roman"/>
                <w:color w:val="000000"/>
                <w:sz w:val="24"/>
                <w:szCs w:val="24"/>
                <w:lang w:val="sr-Cyrl-CS"/>
              </w:rPr>
              <w:t>одине</w:t>
            </w:r>
            <w:r w:rsidRPr="00CC35F0">
              <w:rPr>
                <w:rFonts w:ascii="Times New Roman" w:eastAsia="Times New Roman" w:hAnsi="Times New Roman"/>
                <w:color w:val="000000"/>
                <w:sz w:val="24"/>
                <w:szCs w:val="24"/>
                <w:lang w:val="sr-Cyrl-CS"/>
              </w:rPr>
              <w:t>;</w:t>
            </w:r>
          </w:p>
          <w:p w14:paraId="25EFE34D" w14:textId="77777777" w:rsidR="00A0251B" w:rsidRPr="00CC35F0" w:rsidRDefault="005E207A" w:rsidP="00382EC6">
            <w:pPr>
              <w:numPr>
                <w:ilvl w:val="0"/>
                <w:numId w:val="3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w:t>
            </w:r>
            <w:r w:rsidR="008D6506" w:rsidRPr="00CC35F0">
              <w:rPr>
                <w:rFonts w:ascii="Times New Roman" w:eastAsia="Times New Roman" w:hAnsi="Times New Roman"/>
                <w:color w:val="000000"/>
                <w:sz w:val="24"/>
                <w:szCs w:val="24"/>
                <w:lang w:val="sr-Cyrl-CS"/>
              </w:rPr>
              <w:t>остројења са ложиштима топлотног капацитета од 1 до 5 MW морају се усагласити од 2030. године.</w:t>
            </w:r>
          </w:p>
          <w:p w14:paraId="7EEFBC8A"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Уредба о граничним вредностима емисије загађујућих материја у ваздух из</w:t>
            </w:r>
            <w:r w:rsidR="00914C6C" w:rsidRPr="00CC35F0">
              <w:rPr>
                <w:rFonts w:ascii="Times New Roman" w:eastAsia="Times New Roman" w:hAnsi="Times New Roman"/>
                <w:sz w:val="24"/>
                <w:szCs w:val="24"/>
                <w:lang w:val="sr-Cyrl-CS"/>
              </w:rPr>
              <w:t xml:space="preserve"> постројења за сагоревање</w:t>
            </w:r>
            <w:r w:rsidRPr="00CC35F0">
              <w:rPr>
                <w:rFonts w:ascii="Times New Roman" w:eastAsia="Times New Roman" w:hAnsi="Times New Roman"/>
                <w:sz w:val="24"/>
                <w:szCs w:val="24"/>
                <w:lang w:val="sr-Cyrl-CS"/>
              </w:rPr>
              <w:t xml:space="preserve"> већ је прописала граничне вредности емисије за постројења из овог топлотног опсега, и оне су разматране у сценарију WEM.   </w:t>
            </w:r>
          </w:p>
          <w:p w14:paraId="4E20E37B"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Директива о ограничавању емисија одређених загађујућих материја из средњих постројења за сагоревање може имплементирати строже граничне вредности емисије за неке загађујуће материје и за поједине топлотне опсеге него што је то урађено националном уредбом. Граничне вредности емисије строже се за постојећа средња постројења за сагоревање за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PM у случајевима коришћења чврстог горива, за SOx у случајевима течних и гасовитих горива, осим природног гаса. Међутим, домаћом уредбом прописане су строже граничне вредности емисије за NOx из свих постројења на течно гориво, осим за гасно уље, из постројења капацитета између 1 и 5 MW на природни гас, и постројења капацитета преко 5 MW на гасно уље, осим на природни гас.</w:t>
            </w:r>
          </w:p>
          <w:p w14:paraId="5EC3CE82"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Граничне вредности емисије за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NOx су у Директиви о средњим постројењима за сагоревање строже прописане за нова постројења на чврста горива, као и за SOx, NOx и PM за сва течна и гасовита горива, осим за природни гас.</w:t>
            </w:r>
          </w:p>
          <w:p w14:paraId="18D62F7D"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Поред тога, према овој директиви, само се на нова постројења примењује агрегација, док се домаћом уредбом то предвиђа за сва постројења.</w:t>
            </w:r>
          </w:p>
          <w:p w14:paraId="6BE89537" w14:textId="77777777" w:rsidR="00A0251B" w:rsidRPr="00CC35F0" w:rsidRDefault="00595E21">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Директива о средњим постројењима за сагоревање</w:t>
            </w:r>
            <w:r w:rsidR="00D433C8" w:rsidRPr="00CC35F0">
              <w:rPr>
                <w:rFonts w:ascii="Times New Roman" w:eastAsia="Times New Roman" w:hAnsi="Times New Roman"/>
                <w:sz w:val="24"/>
                <w:szCs w:val="24"/>
                <w:lang w:val="sr-Cyrl-CS"/>
              </w:rPr>
              <w:t xml:space="preserve"> </w:t>
            </w:r>
            <w:r w:rsidR="008D6506" w:rsidRPr="00CC35F0">
              <w:rPr>
                <w:rFonts w:ascii="Times New Roman" w:eastAsia="Times New Roman" w:hAnsi="Times New Roman"/>
                <w:sz w:val="24"/>
                <w:szCs w:val="24"/>
                <w:lang w:val="sr-Cyrl-CS"/>
              </w:rPr>
              <w:t>не прописује граничне вредности емисије за CO, N</w:t>
            </w:r>
            <w:r w:rsidR="008D6506" w:rsidRPr="00CC35F0">
              <w:rPr>
                <w:rFonts w:ascii="Times New Roman" w:eastAsia="Times New Roman" w:hAnsi="Times New Roman"/>
                <w:sz w:val="24"/>
                <w:szCs w:val="24"/>
                <w:vertAlign w:val="subscript"/>
                <w:lang w:val="sr-Cyrl-CS"/>
              </w:rPr>
              <w:t>2</w:t>
            </w:r>
            <w:r w:rsidR="008D6506" w:rsidRPr="00CC35F0">
              <w:rPr>
                <w:rFonts w:ascii="Times New Roman" w:eastAsia="Times New Roman" w:hAnsi="Times New Roman"/>
                <w:sz w:val="24"/>
                <w:szCs w:val="24"/>
                <w:lang w:val="sr-Cyrl-CS"/>
              </w:rPr>
              <w:t>O и укупни органски угљеник (TOC), за разлику од домаће уредбе, која прописује.</w:t>
            </w:r>
          </w:p>
          <w:p w14:paraId="54B151C5" w14:textId="77777777" w:rsidR="00A0251B" w:rsidRPr="00CC35F0" w:rsidRDefault="00595E21">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Наведена д</w:t>
            </w:r>
            <w:r w:rsidR="008D6506" w:rsidRPr="00CC35F0">
              <w:rPr>
                <w:rFonts w:ascii="Times New Roman" w:eastAsia="Times New Roman" w:hAnsi="Times New Roman"/>
                <w:sz w:val="24"/>
                <w:szCs w:val="24"/>
                <w:lang w:val="sr-Cyrl-CS"/>
              </w:rPr>
              <w:t>иректива</w:t>
            </w:r>
            <w:r w:rsidR="00D433C8" w:rsidRPr="00CC35F0">
              <w:rPr>
                <w:rFonts w:ascii="Times New Roman" w:eastAsia="Times New Roman" w:hAnsi="Times New Roman"/>
                <w:sz w:val="24"/>
                <w:szCs w:val="24"/>
                <w:lang w:val="sr-Cyrl-CS"/>
              </w:rPr>
              <w:t xml:space="preserve"> </w:t>
            </w:r>
            <w:r w:rsidR="008D6506" w:rsidRPr="00CC35F0">
              <w:rPr>
                <w:rFonts w:ascii="Times New Roman" w:eastAsia="Times New Roman" w:hAnsi="Times New Roman"/>
                <w:sz w:val="24"/>
                <w:szCs w:val="24"/>
                <w:lang w:val="sr-Cyrl-CS"/>
              </w:rPr>
              <w:t>ће имати утицај на емисије SO</w:t>
            </w:r>
            <w:r w:rsidR="008D6506" w:rsidRPr="00CC35F0">
              <w:rPr>
                <w:rFonts w:ascii="Times New Roman" w:eastAsia="Times New Roman" w:hAnsi="Times New Roman"/>
                <w:sz w:val="24"/>
                <w:szCs w:val="24"/>
                <w:vertAlign w:val="subscript"/>
                <w:lang w:val="sr-Cyrl-CS"/>
              </w:rPr>
              <w:t>2</w:t>
            </w:r>
            <w:r w:rsidR="008D6506" w:rsidRPr="00CC35F0">
              <w:rPr>
                <w:rFonts w:ascii="Times New Roman" w:eastAsia="Times New Roman" w:hAnsi="Times New Roman"/>
                <w:sz w:val="24"/>
                <w:szCs w:val="24"/>
                <w:lang w:val="sr-Cyrl-CS"/>
              </w:rPr>
              <w:t>, NOx и PM када пропише граничне вредности строже од оних прописаних домаћом Уредбом о граничним вредностима емисије загађујућих материја у ваздух из по</w:t>
            </w:r>
            <w:r w:rsidR="00F20E21" w:rsidRPr="00CC35F0">
              <w:rPr>
                <w:rFonts w:ascii="Times New Roman" w:eastAsia="Times New Roman" w:hAnsi="Times New Roman"/>
                <w:sz w:val="24"/>
                <w:szCs w:val="24"/>
                <w:lang w:val="sr-Cyrl-CS"/>
              </w:rPr>
              <w:t>стројења за сагоревање</w:t>
            </w:r>
            <w:r w:rsidR="008D6506" w:rsidRPr="00CC35F0">
              <w:rPr>
                <w:rFonts w:ascii="Times New Roman" w:eastAsia="Times New Roman" w:hAnsi="Times New Roman"/>
                <w:sz w:val="24"/>
                <w:szCs w:val="24"/>
                <w:lang w:val="sr-Cyrl-CS"/>
              </w:rPr>
              <w:t>.</w:t>
            </w:r>
          </w:p>
          <w:p w14:paraId="319AD6E6"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Циљ у вези са ЕУ:</w:t>
            </w:r>
            <w:r w:rsidRPr="00CC35F0">
              <w:rPr>
                <w:rFonts w:ascii="Times New Roman" w:eastAsia="Times New Roman" w:hAnsi="Times New Roman"/>
                <w:sz w:val="24"/>
                <w:szCs w:val="24"/>
                <w:lang w:val="sr-Cyrl-CS"/>
              </w:rPr>
              <w:t xml:space="preserve">  </w:t>
            </w:r>
          </w:p>
          <w:p w14:paraId="1C32F15A"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Потрошња енергије: побољшање ефикасности у индустријским секторима као крајњим корисницима </w:t>
            </w:r>
          </w:p>
          <w:p w14:paraId="6961BB39"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Потрошња енергије: побољшање ефикасности у сектору услуга/терцијарном сектору</w:t>
            </w:r>
          </w:p>
          <w:p w14:paraId="65585604"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Потрошња енергије: побољшање ефикасности у зградама</w:t>
            </w:r>
          </w:p>
          <w:p w14:paraId="08E8CF44"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Индустријски процеси: инсталација технологија за ублажавање ефеката </w:t>
            </w:r>
          </w:p>
          <w:p w14:paraId="66642830" w14:textId="77777777" w:rsidR="00A0251B" w:rsidRPr="00CC35F0" w:rsidRDefault="00A0251B">
            <w:pPr>
              <w:spacing w:after="0"/>
              <w:rPr>
                <w:rFonts w:ascii="Times New Roman" w:eastAsia="Times New Roman" w:hAnsi="Times New Roman"/>
                <w:b/>
                <w:sz w:val="24"/>
                <w:szCs w:val="24"/>
                <w:u w:val="single"/>
                <w:lang w:val="sr-Cyrl-CS"/>
              </w:rPr>
            </w:pPr>
          </w:p>
          <w:p w14:paraId="2B669407"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19499B2D"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37D2BD8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Побољшање квалитета ваздуха у </w:t>
            </w:r>
            <w:r w:rsidR="00642A8F"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 xml:space="preserve">Србији како би се избегла прекорачења граничних вредности за квалитет ваздуха </w:t>
            </w:r>
          </w:p>
          <w:p w14:paraId="2ABDB604" w14:textId="77777777" w:rsidR="00A0251B" w:rsidRPr="00CC35F0" w:rsidRDefault="008D6506">
            <w:pPr>
              <w:spacing w:after="0"/>
              <w:rPr>
                <w:rFonts w:ascii="Times New Roman" w:eastAsia="Times New Roman" w:hAnsi="Times New Roman"/>
                <w:i/>
                <w:sz w:val="24"/>
                <w:szCs w:val="24"/>
                <w:lang w:val="sr-Cyrl-CS"/>
              </w:rPr>
            </w:pPr>
            <w:r w:rsidRPr="00CC35F0">
              <w:rPr>
                <w:rFonts w:ascii="Times New Roman" w:eastAsia="Times New Roman" w:hAnsi="Times New Roman"/>
                <w:i/>
                <w:sz w:val="24"/>
                <w:szCs w:val="24"/>
                <w:lang w:val="sr-Cyrl-CS"/>
              </w:rPr>
              <w:t>  </w:t>
            </w:r>
          </w:p>
          <w:p w14:paraId="4AFC865A"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1538795C" w14:textId="77777777">
        <w:trPr>
          <w:gridAfter w:val="2"/>
          <w:wAfter w:w="16" w:type="dxa"/>
          <w:trHeight w:val="385"/>
        </w:trPr>
        <w:tc>
          <w:tcPr>
            <w:tcW w:w="690" w:type="dxa"/>
            <w:vMerge/>
            <w:shd w:val="clear" w:color="auto" w:fill="auto"/>
            <w:vAlign w:val="center"/>
          </w:tcPr>
          <w:p w14:paraId="27339BB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01E9EC77"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0621460F"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85" w:type="dxa"/>
            <w:vMerge w:val="restart"/>
            <w:shd w:val="clear" w:color="auto" w:fill="D9D9D9"/>
            <w:vAlign w:val="center"/>
          </w:tcPr>
          <w:p w14:paraId="4589631A"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500" w:type="dxa"/>
            <w:vMerge w:val="restart"/>
            <w:shd w:val="clear" w:color="auto" w:fill="D9D9D9"/>
            <w:vAlign w:val="center"/>
          </w:tcPr>
          <w:p w14:paraId="42ABA903"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4203" w:type="dxa"/>
            <w:gridSpan w:val="7"/>
            <w:shd w:val="clear" w:color="auto" w:fill="D9D9D9"/>
            <w:vAlign w:val="center"/>
          </w:tcPr>
          <w:p w14:paraId="4E7FBB12"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12EEFAE0" w14:textId="77777777">
        <w:trPr>
          <w:gridAfter w:val="2"/>
          <w:wAfter w:w="16" w:type="dxa"/>
          <w:trHeight w:val="385"/>
        </w:trPr>
        <w:tc>
          <w:tcPr>
            <w:tcW w:w="690" w:type="dxa"/>
            <w:vMerge/>
            <w:shd w:val="clear" w:color="auto" w:fill="auto"/>
            <w:vAlign w:val="center"/>
          </w:tcPr>
          <w:p w14:paraId="32946D6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0335DDF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4491F70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85" w:type="dxa"/>
            <w:vMerge/>
            <w:shd w:val="clear" w:color="auto" w:fill="D9D9D9"/>
            <w:vAlign w:val="center"/>
          </w:tcPr>
          <w:p w14:paraId="2EBE58E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00" w:type="dxa"/>
            <w:vMerge/>
            <w:shd w:val="clear" w:color="auto" w:fill="D9D9D9"/>
            <w:vAlign w:val="center"/>
          </w:tcPr>
          <w:p w14:paraId="5766725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7"/>
            <w:shd w:val="clear" w:color="auto" w:fill="D9D9D9"/>
            <w:vAlign w:val="center"/>
          </w:tcPr>
          <w:p w14:paraId="103D18D9"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0D65DB55" w14:textId="77777777">
        <w:trPr>
          <w:gridAfter w:val="2"/>
          <w:wAfter w:w="16" w:type="dxa"/>
          <w:trHeight w:val="83"/>
        </w:trPr>
        <w:tc>
          <w:tcPr>
            <w:tcW w:w="690" w:type="dxa"/>
            <w:vMerge/>
            <w:shd w:val="clear" w:color="auto" w:fill="auto"/>
            <w:vAlign w:val="center"/>
          </w:tcPr>
          <w:p w14:paraId="751B262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val="restart"/>
            <w:shd w:val="clear" w:color="auto" w:fill="FFFFFF"/>
            <w:vAlign w:val="center"/>
          </w:tcPr>
          <w:p w14:paraId="2D92E07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МЗЖС </w:t>
            </w:r>
          </w:p>
          <w:p w14:paraId="76BAD1E1" w14:textId="77777777" w:rsidR="00A0251B" w:rsidRPr="00CC35F0" w:rsidRDefault="00A0251B">
            <w:pPr>
              <w:spacing w:after="0"/>
              <w:jc w:val="center"/>
              <w:rPr>
                <w:rFonts w:ascii="Times New Roman" w:eastAsia="Times New Roman" w:hAnsi="Times New Roman"/>
                <w:color w:val="000000"/>
                <w:sz w:val="24"/>
                <w:szCs w:val="24"/>
                <w:lang w:val="sr-Cyrl-CS"/>
              </w:rPr>
            </w:pPr>
          </w:p>
        </w:tc>
        <w:tc>
          <w:tcPr>
            <w:tcW w:w="4283" w:type="dxa"/>
            <w:vMerge w:val="restart"/>
            <w:shd w:val="clear" w:color="auto" w:fill="FFFFFF"/>
            <w:vAlign w:val="center"/>
          </w:tcPr>
          <w:p w14:paraId="7812A6F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рударства и енергетике</w:t>
            </w:r>
          </w:p>
          <w:p w14:paraId="7E9C1FE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w:t>
            </w:r>
          </w:p>
          <w:p w14:paraId="467FE5F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Покрајински секретаријат за урбанизам и заштиту животне средине и јединице локалне самоуправе </w:t>
            </w:r>
          </w:p>
        </w:tc>
        <w:tc>
          <w:tcPr>
            <w:tcW w:w="1485" w:type="dxa"/>
            <w:shd w:val="clear" w:color="auto" w:fill="FFFFFF"/>
            <w:vAlign w:val="center"/>
          </w:tcPr>
          <w:p w14:paraId="33A5E58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NOx</w:t>
            </w:r>
          </w:p>
        </w:tc>
        <w:tc>
          <w:tcPr>
            <w:tcW w:w="1500" w:type="dxa"/>
            <w:shd w:val="clear" w:color="auto" w:fill="FFFFFF"/>
            <w:vAlign w:val="center"/>
          </w:tcPr>
          <w:p w14:paraId="7E628F9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2,7</w:t>
            </w:r>
          </w:p>
        </w:tc>
        <w:tc>
          <w:tcPr>
            <w:tcW w:w="1374" w:type="dxa"/>
            <w:gridSpan w:val="2"/>
            <w:shd w:val="clear" w:color="auto" w:fill="FFFFFF"/>
            <w:vAlign w:val="center"/>
          </w:tcPr>
          <w:p w14:paraId="262B1B6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0,09</w:t>
            </w:r>
          </w:p>
        </w:tc>
        <w:tc>
          <w:tcPr>
            <w:tcW w:w="1414" w:type="dxa"/>
            <w:gridSpan w:val="3"/>
            <w:shd w:val="clear" w:color="auto" w:fill="FFFFFF"/>
            <w:vAlign w:val="center"/>
          </w:tcPr>
          <w:p w14:paraId="5EC7E56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0,15</w:t>
            </w:r>
          </w:p>
        </w:tc>
        <w:tc>
          <w:tcPr>
            <w:tcW w:w="1415" w:type="dxa"/>
            <w:gridSpan w:val="2"/>
            <w:shd w:val="clear" w:color="auto" w:fill="FFFFFF"/>
            <w:vAlign w:val="center"/>
          </w:tcPr>
          <w:p w14:paraId="35B8CB8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0,16</w:t>
            </w:r>
          </w:p>
        </w:tc>
      </w:tr>
      <w:tr w:rsidR="00A0251B" w:rsidRPr="00CC35F0" w14:paraId="6B2A5191" w14:textId="77777777">
        <w:trPr>
          <w:gridAfter w:val="2"/>
          <w:wAfter w:w="16" w:type="dxa"/>
          <w:trHeight w:val="247"/>
        </w:trPr>
        <w:tc>
          <w:tcPr>
            <w:tcW w:w="690" w:type="dxa"/>
            <w:vMerge/>
            <w:shd w:val="clear" w:color="auto" w:fill="auto"/>
            <w:vAlign w:val="center"/>
          </w:tcPr>
          <w:p w14:paraId="179C101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59211AE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661177F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47332D9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SO</w:t>
            </w:r>
            <w:r w:rsidRPr="00CC35F0">
              <w:rPr>
                <w:rFonts w:ascii="Times New Roman" w:eastAsia="Times New Roman" w:hAnsi="Times New Roman"/>
                <w:color w:val="000000"/>
                <w:sz w:val="24"/>
                <w:szCs w:val="24"/>
                <w:vertAlign w:val="subscript"/>
                <w:lang w:val="sr-Cyrl-CS"/>
              </w:rPr>
              <w:t>2</w:t>
            </w:r>
          </w:p>
        </w:tc>
        <w:tc>
          <w:tcPr>
            <w:tcW w:w="1500" w:type="dxa"/>
            <w:shd w:val="clear" w:color="auto" w:fill="FFFFFF"/>
            <w:vAlign w:val="center"/>
          </w:tcPr>
          <w:p w14:paraId="1169004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1,1</w:t>
            </w:r>
          </w:p>
        </w:tc>
        <w:tc>
          <w:tcPr>
            <w:tcW w:w="1374" w:type="dxa"/>
            <w:gridSpan w:val="2"/>
            <w:shd w:val="clear" w:color="auto" w:fill="FFFFFF"/>
            <w:vAlign w:val="center"/>
          </w:tcPr>
          <w:p w14:paraId="043C786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4,64</w:t>
            </w:r>
          </w:p>
        </w:tc>
        <w:tc>
          <w:tcPr>
            <w:tcW w:w="1414" w:type="dxa"/>
            <w:gridSpan w:val="3"/>
            <w:shd w:val="clear" w:color="auto" w:fill="FFFFFF"/>
            <w:vAlign w:val="center"/>
          </w:tcPr>
          <w:p w14:paraId="1EE34A9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4,99</w:t>
            </w:r>
          </w:p>
        </w:tc>
        <w:tc>
          <w:tcPr>
            <w:tcW w:w="1415" w:type="dxa"/>
            <w:gridSpan w:val="2"/>
            <w:shd w:val="clear" w:color="auto" w:fill="FFFFFF"/>
            <w:vAlign w:val="center"/>
          </w:tcPr>
          <w:p w14:paraId="10B0D6B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4,34</w:t>
            </w:r>
          </w:p>
        </w:tc>
      </w:tr>
      <w:tr w:rsidR="00A0251B" w:rsidRPr="00CC35F0" w14:paraId="5F1E2327" w14:textId="77777777">
        <w:trPr>
          <w:gridAfter w:val="2"/>
          <w:wAfter w:w="16" w:type="dxa"/>
          <w:trHeight w:val="269"/>
        </w:trPr>
        <w:tc>
          <w:tcPr>
            <w:tcW w:w="690" w:type="dxa"/>
            <w:vMerge/>
            <w:shd w:val="clear" w:color="auto" w:fill="auto"/>
            <w:vAlign w:val="center"/>
          </w:tcPr>
          <w:p w14:paraId="51882A2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6FC4F09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714F421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08A89AF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10</w:t>
            </w:r>
          </w:p>
        </w:tc>
        <w:tc>
          <w:tcPr>
            <w:tcW w:w="1500" w:type="dxa"/>
            <w:vMerge w:val="restart"/>
            <w:shd w:val="clear" w:color="auto" w:fill="FFFFFF"/>
            <w:vAlign w:val="center"/>
          </w:tcPr>
          <w:p w14:paraId="474DF1B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1,9</w:t>
            </w:r>
          </w:p>
        </w:tc>
        <w:tc>
          <w:tcPr>
            <w:tcW w:w="1374" w:type="dxa"/>
            <w:gridSpan w:val="2"/>
            <w:shd w:val="clear" w:color="auto" w:fill="FFFFFF"/>
            <w:vAlign w:val="center"/>
          </w:tcPr>
          <w:p w14:paraId="143FAAB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0,18</w:t>
            </w:r>
          </w:p>
        </w:tc>
        <w:tc>
          <w:tcPr>
            <w:tcW w:w="1414" w:type="dxa"/>
            <w:gridSpan w:val="3"/>
            <w:shd w:val="clear" w:color="auto" w:fill="FFFFFF"/>
            <w:vAlign w:val="center"/>
          </w:tcPr>
          <w:p w14:paraId="6985EEA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0,47</w:t>
            </w:r>
          </w:p>
        </w:tc>
        <w:tc>
          <w:tcPr>
            <w:tcW w:w="1415" w:type="dxa"/>
            <w:gridSpan w:val="2"/>
            <w:shd w:val="clear" w:color="auto" w:fill="FFFFFF"/>
            <w:vAlign w:val="center"/>
          </w:tcPr>
          <w:p w14:paraId="522135E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0,48</w:t>
            </w:r>
          </w:p>
        </w:tc>
      </w:tr>
      <w:tr w:rsidR="00A0251B" w:rsidRPr="00CC35F0" w14:paraId="605CEE7C" w14:textId="77777777">
        <w:trPr>
          <w:gridAfter w:val="2"/>
          <w:wAfter w:w="16" w:type="dxa"/>
          <w:trHeight w:val="37"/>
        </w:trPr>
        <w:tc>
          <w:tcPr>
            <w:tcW w:w="690" w:type="dxa"/>
            <w:vMerge/>
            <w:shd w:val="clear" w:color="auto" w:fill="auto"/>
            <w:vAlign w:val="center"/>
          </w:tcPr>
          <w:p w14:paraId="2237848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46E333F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154C475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2A58D30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2,5</w:t>
            </w:r>
          </w:p>
        </w:tc>
        <w:tc>
          <w:tcPr>
            <w:tcW w:w="1500" w:type="dxa"/>
            <w:vMerge/>
            <w:shd w:val="clear" w:color="auto" w:fill="FFFFFF"/>
            <w:vAlign w:val="center"/>
          </w:tcPr>
          <w:p w14:paraId="2CA597C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67BB8E8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0,16</w:t>
            </w:r>
          </w:p>
        </w:tc>
        <w:tc>
          <w:tcPr>
            <w:tcW w:w="1414" w:type="dxa"/>
            <w:gridSpan w:val="3"/>
            <w:shd w:val="clear" w:color="auto" w:fill="FFFFFF"/>
            <w:vAlign w:val="center"/>
          </w:tcPr>
          <w:p w14:paraId="2157622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0,39</w:t>
            </w:r>
          </w:p>
        </w:tc>
        <w:tc>
          <w:tcPr>
            <w:tcW w:w="1415" w:type="dxa"/>
            <w:gridSpan w:val="2"/>
            <w:shd w:val="clear" w:color="auto" w:fill="FFFFFF"/>
            <w:vAlign w:val="center"/>
          </w:tcPr>
          <w:p w14:paraId="305C4F5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0,40</w:t>
            </w:r>
          </w:p>
        </w:tc>
      </w:tr>
      <w:tr w:rsidR="00A0251B" w:rsidRPr="00CC35F0" w14:paraId="08BF5A15" w14:textId="77777777">
        <w:trPr>
          <w:trHeight w:val="442"/>
        </w:trPr>
        <w:tc>
          <w:tcPr>
            <w:tcW w:w="690" w:type="dxa"/>
            <w:shd w:val="clear" w:color="auto" w:fill="44546A"/>
            <w:vAlign w:val="center"/>
          </w:tcPr>
          <w:p w14:paraId="6835ED20"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 A3</w:t>
            </w:r>
          </w:p>
        </w:tc>
        <w:tc>
          <w:tcPr>
            <w:tcW w:w="15018" w:type="dxa"/>
            <w:gridSpan w:val="13"/>
            <w:shd w:val="clear" w:color="auto" w:fill="44546A"/>
            <w:vAlign w:val="center"/>
          </w:tcPr>
          <w:p w14:paraId="77D6DBE8"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 xml:space="preserve">Спровођење Уредбе о граничним вредностима емисија загађујућих материја у ваздух из постројења са сагоревањем (у малим постројењима за сагоревање (капацитет до 1 MW)  </w:t>
            </w:r>
          </w:p>
        </w:tc>
      </w:tr>
      <w:tr w:rsidR="00A0251B" w:rsidRPr="00CC35F0" w14:paraId="582DF60B" w14:textId="77777777">
        <w:trPr>
          <w:trHeight w:val="212"/>
        </w:trPr>
        <w:tc>
          <w:tcPr>
            <w:tcW w:w="690" w:type="dxa"/>
            <w:vMerge w:val="restart"/>
            <w:shd w:val="clear" w:color="auto" w:fill="auto"/>
            <w:vAlign w:val="center"/>
          </w:tcPr>
          <w:p w14:paraId="2FEF826A"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3</w:t>
            </w:r>
          </w:p>
        </w:tc>
        <w:tc>
          <w:tcPr>
            <w:tcW w:w="15018" w:type="dxa"/>
            <w:gridSpan w:val="13"/>
            <w:shd w:val="clear" w:color="auto" w:fill="auto"/>
            <w:vAlign w:val="center"/>
          </w:tcPr>
          <w:p w14:paraId="126AEB7C"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w:t>
            </w:r>
          </w:p>
          <w:p w14:paraId="2AD8B8C2"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5734B39B"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1BDB25F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мера разматра примену граничних вредности из Уредбе о граничним вредностима емисије загађујућих материја у ваздух из постројења за сагоревање у постројењима са ложиштима топлотног капацитета до 1 MW на чврсто, течно гориво или природни гас. Постројења са ложиштима топлотног капацитета од 1 до 5 MW на течно гориво и од 1 до 10 MW на природни гас, која се актуелном регулативом</w:t>
            </w:r>
            <w:r w:rsidR="00B625A3">
              <w:rPr>
                <w:rFonts w:ascii="Times New Roman" w:eastAsia="Times New Roman" w:hAnsi="Times New Roman"/>
                <w:sz w:val="24"/>
                <w:szCs w:val="24"/>
                <w:lang w:val="sr-Cyrl-CS"/>
              </w:rPr>
              <w:t xml:space="preserve"> </w:t>
            </w:r>
            <w:r w:rsidR="00B625A3" w:rsidRPr="00B625A3">
              <w:rPr>
                <w:rFonts w:ascii="Times New Roman" w:eastAsia="Times New Roman" w:hAnsi="Times New Roman"/>
                <w:bCs/>
                <w:sz w:val="24"/>
                <w:szCs w:val="24"/>
                <w:lang w:val="sr-Cyrl-RS"/>
              </w:rPr>
              <w:t>Републике Србије</w:t>
            </w:r>
            <w:r w:rsidRPr="00CC35F0">
              <w:rPr>
                <w:rFonts w:ascii="Times New Roman" w:eastAsia="Times New Roman" w:hAnsi="Times New Roman"/>
                <w:sz w:val="24"/>
                <w:szCs w:val="24"/>
                <w:lang w:val="sr-Cyrl-CS"/>
              </w:rPr>
              <w:t xml:space="preserve"> сматрају малим постројењима за сагоревање не подлежу Директиви о средњим постројењима за сагоревање (Мера бр.2). Ова постројења углавном подлежу обавези прибављања само грађевинске дозволе.</w:t>
            </w:r>
          </w:p>
          <w:p w14:paraId="414B3FDB"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Подразумева се да сва мала постројења за сагоревање буду у складу са граничним вредностима емисија од 2025. године.</w:t>
            </w:r>
          </w:p>
          <w:p w14:paraId="7EDD7BF6"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Циљ у вези са ЕУ:</w:t>
            </w:r>
          </w:p>
          <w:p w14:paraId="11E9908B"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Потрошња енергије: побољшање ефикасности у индустријским секторима као крајњим корисницима </w:t>
            </w:r>
          </w:p>
          <w:p w14:paraId="485AE7DB"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Потрошња енергије: побољшање ефикасности у сектору услуга/терцијарном сектору</w:t>
            </w:r>
          </w:p>
          <w:p w14:paraId="627DA1B6"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Потрошња енергије: побољшање ефикасности у зградама</w:t>
            </w:r>
          </w:p>
          <w:p w14:paraId="08B1A534"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Индустријски процеси: инсталација технологија за ублажавање ефеката </w:t>
            </w:r>
          </w:p>
          <w:p w14:paraId="221B6674" w14:textId="77777777" w:rsidR="00A0251B" w:rsidRPr="00CC35F0" w:rsidRDefault="00A0251B">
            <w:pPr>
              <w:spacing w:after="0"/>
              <w:rPr>
                <w:rFonts w:ascii="Times New Roman" w:eastAsia="Times New Roman" w:hAnsi="Times New Roman"/>
                <w:b/>
                <w:sz w:val="24"/>
                <w:szCs w:val="24"/>
                <w:u w:val="single"/>
                <w:lang w:val="sr-Cyrl-CS"/>
              </w:rPr>
            </w:pPr>
          </w:p>
          <w:p w14:paraId="10362A37"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i/>
                <w:sz w:val="24"/>
                <w:szCs w:val="24"/>
                <w:u w:val="single"/>
                <w:lang w:val="sr-Cyrl-CS"/>
              </w:rPr>
              <w:t>Додатни ефекти мере</w:t>
            </w:r>
            <w:r w:rsidRPr="00CC35F0">
              <w:rPr>
                <w:rFonts w:ascii="Times New Roman" w:eastAsia="Times New Roman" w:hAnsi="Times New Roman"/>
                <w:b/>
                <w:sz w:val="24"/>
                <w:szCs w:val="24"/>
                <w:u w:val="single"/>
                <w:lang w:val="sr-Cyrl-CS"/>
              </w:rPr>
              <w:t xml:space="preserve">: </w:t>
            </w:r>
          </w:p>
          <w:p w14:paraId="08FE2AB1"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19B8904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Побољшање квалитета ваздуха у </w:t>
            </w:r>
            <w:r w:rsidR="00642A8F"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 xml:space="preserve">Србији како би се избегла прекорачења граничних вредности за квалитет ваздуха </w:t>
            </w:r>
          </w:p>
          <w:p w14:paraId="5884EF87" w14:textId="77777777" w:rsidR="00A0251B" w:rsidRPr="00CC35F0" w:rsidRDefault="00A0251B">
            <w:pPr>
              <w:spacing w:after="0"/>
              <w:rPr>
                <w:rFonts w:ascii="Times New Roman" w:eastAsia="Times New Roman" w:hAnsi="Times New Roman"/>
                <w:i/>
                <w:sz w:val="24"/>
                <w:szCs w:val="24"/>
                <w:lang w:val="sr-Cyrl-CS"/>
              </w:rPr>
            </w:pPr>
          </w:p>
          <w:p w14:paraId="7EE5FD28"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lastRenderedPageBreak/>
              <w:t>Преговарачко поглавље: Поглавље 27 – Животна средина</w:t>
            </w:r>
          </w:p>
        </w:tc>
      </w:tr>
      <w:tr w:rsidR="00A0251B" w:rsidRPr="00CC35F0" w14:paraId="3E546730" w14:textId="77777777">
        <w:trPr>
          <w:gridAfter w:val="2"/>
          <w:wAfter w:w="16" w:type="dxa"/>
          <w:trHeight w:val="385"/>
        </w:trPr>
        <w:tc>
          <w:tcPr>
            <w:tcW w:w="690" w:type="dxa"/>
            <w:vMerge/>
            <w:shd w:val="clear" w:color="auto" w:fill="auto"/>
            <w:vAlign w:val="center"/>
          </w:tcPr>
          <w:p w14:paraId="7644F06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u w:val="single"/>
                <w:lang w:val="sr-Cyrl-CS"/>
              </w:rPr>
            </w:pPr>
          </w:p>
        </w:tc>
        <w:tc>
          <w:tcPr>
            <w:tcW w:w="3531" w:type="dxa"/>
            <w:vMerge w:val="restart"/>
            <w:shd w:val="clear" w:color="auto" w:fill="D9D9D9"/>
            <w:vAlign w:val="center"/>
          </w:tcPr>
          <w:p w14:paraId="4DC80C57"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0E8E4CEF"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85" w:type="dxa"/>
            <w:vMerge w:val="restart"/>
            <w:shd w:val="clear" w:color="auto" w:fill="D9D9D9"/>
            <w:vAlign w:val="center"/>
          </w:tcPr>
          <w:p w14:paraId="042A32D0"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500" w:type="dxa"/>
            <w:vMerge w:val="restart"/>
            <w:shd w:val="clear" w:color="auto" w:fill="D9D9D9"/>
            <w:vAlign w:val="center"/>
          </w:tcPr>
          <w:p w14:paraId="61EBFBB3"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4203" w:type="dxa"/>
            <w:gridSpan w:val="7"/>
            <w:shd w:val="clear" w:color="auto" w:fill="D9D9D9"/>
            <w:vAlign w:val="center"/>
          </w:tcPr>
          <w:p w14:paraId="3523ED53"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19D681F0" w14:textId="77777777">
        <w:trPr>
          <w:gridAfter w:val="2"/>
          <w:wAfter w:w="16" w:type="dxa"/>
          <w:trHeight w:val="385"/>
        </w:trPr>
        <w:tc>
          <w:tcPr>
            <w:tcW w:w="690" w:type="dxa"/>
            <w:vMerge/>
            <w:shd w:val="clear" w:color="auto" w:fill="auto"/>
            <w:vAlign w:val="center"/>
          </w:tcPr>
          <w:p w14:paraId="470774B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0414F62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333525E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85" w:type="dxa"/>
            <w:vMerge/>
            <w:shd w:val="clear" w:color="auto" w:fill="D9D9D9"/>
            <w:vAlign w:val="center"/>
          </w:tcPr>
          <w:p w14:paraId="18FC6EB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00" w:type="dxa"/>
            <w:vMerge/>
            <w:shd w:val="clear" w:color="auto" w:fill="D9D9D9"/>
            <w:vAlign w:val="center"/>
          </w:tcPr>
          <w:p w14:paraId="2730C4E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7"/>
            <w:shd w:val="clear" w:color="auto" w:fill="D9D9D9"/>
            <w:vAlign w:val="center"/>
          </w:tcPr>
          <w:p w14:paraId="14FF1BB4"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323EFC64" w14:textId="77777777">
        <w:trPr>
          <w:gridAfter w:val="2"/>
          <w:wAfter w:w="16" w:type="dxa"/>
          <w:trHeight w:val="207"/>
        </w:trPr>
        <w:tc>
          <w:tcPr>
            <w:tcW w:w="690" w:type="dxa"/>
            <w:vMerge/>
            <w:shd w:val="clear" w:color="auto" w:fill="auto"/>
            <w:vAlign w:val="center"/>
          </w:tcPr>
          <w:p w14:paraId="55439AD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val="restart"/>
            <w:shd w:val="clear" w:color="auto" w:fill="FFFFFF"/>
            <w:vAlign w:val="center"/>
          </w:tcPr>
          <w:p w14:paraId="1D98355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7342775B" w14:textId="77777777" w:rsidR="00A0251B" w:rsidRPr="00CC35F0" w:rsidRDefault="00A0251B">
            <w:pPr>
              <w:spacing w:after="0"/>
              <w:jc w:val="center"/>
              <w:rPr>
                <w:rFonts w:ascii="Times New Roman" w:eastAsia="Times New Roman" w:hAnsi="Times New Roman"/>
                <w:color w:val="000000"/>
                <w:sz w:val="24"/>
                <w:szCs w:val="24"/>
                <w:lang w:val="sr-Cyrl-CS"/>
              </w:rPr>
            </w:pPr>
          </w:p>
        </w:tc>
        <w:tc>
          <w:tcPr>
            <w:tcW w:w="4283" w:type="dxa"/>
            <w:vMerge w:val="restart"/>
            <w:shd w:val="clear" w:color="auto" w:fill="FFFFFF"/>
            <w:vAlign w:val="center"/>
          </w:tcPr>
          <w:p w14:paraId="57E9E5D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Министарство рударства и енергетике, АЗЖС, </w:t>
            </w:r>
            <w:r w:rsidRPr="00CC35F0">
              <w:rPr>
                <w:rFonts w:ascii="Times New Roman" w:eastAsia="Times New Roman" w:hAnsi="Times New Roman"/>
                <w:color w:val="000000"/>
                <w:sz w:val="24"/>
                <w:szCs w:val="24"/>
                <w:lang w:val="sr-Cyrl-CS"/>
              </w:rPr>
              <w:t>Покрајински секретаријат за урбанизам и заштиту животне средине и јединице локалне самоуправе</w:t>
            </w:r>
          </w:p>
        </w:tc>
        <w:tc>
          <w:tcPr>
            <w:tcW w:w="1485" w:type="dxa"/>
            <w:shd w:val="clear" w:color="auto" w:fill="FFFFFF"/>
            <w:vAlign w:val="center"/>
          </w:tcPr>
          <w:p w14:paraId="4322D4F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NOx</w:t>
            </w:r>
          </w:p>
        </w:tc>
        <w:tc>
          <w:tcPr>
            <w:tcW w:w="1500" w:type="dxa"/>
            <w:shd w:val="clear" w:color="auto" w:fill="FFFFFF"/>
            <w:vAlign w:val="center"/>
          </w:tcPr>
          <w:p w14:paraId="2A504D7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0,8</w:t>
            </w:r>
          </w:p>
        </w:tc>
        <w:tc>
          <w:tcPr>
            <w:tcW w:w="1374" w:type="dxa"/>
            <w:gridSpan w:val="2"/>
            <w:shd w:val="clear" w:color="auto" w:fill="FFFFFF"/>
            <w:vAlign w:val="center"/>
          </w:tcPr>
          <w:p w14:paraId="65B78F6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0,36</w:t>
            </w:r>
          </w:p>
        </w:tc>
        <w:tc>
          <w:tcPr>
            <w:tcW w:w="1414" w:type="dxa"/>
            <w:gridSpan w:val="3"/>
            <w:shd w:val="clear" w:color="auto" w:fill="FFFFFF"/>
            <w:vAlign w:val="center"/>
          </w:tcPr>
          <w:p w14:paraId="4E04B0A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0,33</w:t>
            </w:r>
          </w:p>
        </w:tc>
        <w:tc>
          <w:tcPr>
            <w:tcW w:w="1415" w:type="dxa"/>
            <w:gridSpan w:val="2"/>
            <w:shd w:val="clear" w:color="auto" w:fill="FFFFFF"/>
            <w:vAlign w:val="center"/>
          </w:tcPr>
          <w:p w14:paraId="24FA529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0,31</w:t>
            </w:r>
          </w:p>
        </w:tc>
      </w:tr>
      <w:tr w:rsidR="00A0251B" w:rsidRPr="00CC35F0" w14:paraId="3768C8D2" w14:textId="77777777">
        <w:trPr>
          <w:gridAfter w:val="2"/>
          <w:wAfter w:w="16" w:type="dxa"/>
          <w:trHeight w:val="84"/>
        </w:trPr>
        <w:tc>
          <w:tcPr>
            <w:tcW w:w="690" w:type="dxa"/>
            <w:vMerge/>
            <w:shd w:val="clear" w:color="auto" w:fill="auto"/>
            <w:vAlign w:val="center"/>
          </w:tcPr>
          <w:p w14:paraId="35654F2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0A99BE2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47204F6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3D932AF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10</w:t>
            </w:r>
          </w:p>
        </w:tc>
        <w:tc>
          <w:tcPr>
            <w:tcW w:w="1500" w:type="dxa"/>
            <w:vMerge w:val="restart"/>
            <w:shd w:val="clear" w:color="auto" w:fill="FFFFFF"/>
            <w:vAlign w:val="center"/>
          </w:tcPr>
          <w:p w14:paraId="51E3111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7,8</w:t>
            </w:r>
          </w:p>
        </w:tc>
        <w:tc>
          <w:tcPr>
            <w:tcW w:w="1374" w:type="dxa"/>
            <w:gridSpan w:val="2"/>
            <w:shd w:val="clear" w:color="auto" w:fill="FFFFFF"/>
            <w:vAlign w:val="center"/>
          </w:tcPr>
          <w:p w14:paraId="0F13089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w:t>
            </w:r>
          </w:p>
        </w:tc>
        <w:tc>
          <w:tcPr>
            <w:tcW w:w="1414" w:type="dxa"/>
            <w:gridSpan w:val="3"/>
            <w:shd w:val="clear" w:color="auto" w:fill="FFFFFF"/>
            <w:vAlign w:val="center"/>
          </w:tcPr>
          <w:p w14:paraId="683CE73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w:t>
            </w:r>
          </w:p>
        </w:tc>
        <w:tc>
          <w:tcPr>
            <w:tcW w:w="1415" w:type="dxa"/>
            <w:gridSpan w:val="2"/>
            <w:shd w:val="clear" w:color="auto" w:fill="FFFFFF"/>
            <w:vAlign w:val="center"/>
          </w:tcPr>
          <w:p w14:paraId="037EED7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0,02</w:t>
            </w:r>
          </w:p>
        </w:tc>
      </w:tr>
      <w:tr w:rsidR="00A0251B" w:rsidRPr="00CC35F0" w14:paraId="405FAEA7" w14:textId="77777777">
        <w:trPr>
          <w:gridAfter w:val="2"/>
          <w:wAfter w:w="16" w:type="dxa"/>
          <w:trHeight w:val="143"/>
        </w:trPr>
        <w:tc>
          <w:tcPr>
            <w:tcW w:w="690" w:type="dxa"/>
            <w:vMerge/>
            <w:shd w:val="clear" w:color="auto" w:fill="auto"/>
            <w:vAlign w:val="center"/>
          </w:tcPr>
          <w:p w14:paraId="49ECEAE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20FD0FE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275855F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02E74D1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2,5</w:t>
            </w:r>
          </w:p>
        </w:tc>
        <w:tc>
          <w:tcPr>
            <w:tcW w:w="1500" w:type="dxa"/>
            <w:vMerge/>
            <w:shd w:val="clear" w:color="auto" w:fill="FFFFFF"/>
            <w:vAlign w:val="center"/>
          </w:tcPr>
          <w:p w14:paraId="7E8502B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4FC6B38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w:t>
            </w:r>
          </w:p>
        </w:tc>
        <w:tc>
          <w:tcPr>
            <w:tcW w:w="1414" w:type="dxa"/>
            <w:gridSpan w:val="3"/>
            <w:shd w:val="clear" w:color="auto" w:fill="FFFFFF"/>
            <w:vAlign w:val="center"/>
          </w:tcPr>
          <w:p w14:paraId="14E2FD1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w:t>
            </w:r>
          </w:p>
        </w:tc>
        <w:tc>
          <w:tcPr>
            <w:tcW w:w="1415" w:type="dxa"/>
            <w:gridSpan w:val="2"/>
            <w:shd w:val="clear" w:color="auto" w:fill="FFFFFF"/>
            <w:vAlign w:val="center"/>
          </w:tcPr>
          <w:p w14:paraId="63153A0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w:t>
            </w:r>
          </w:p>
        </w:tc>
      </w:tr>
      <w:tr w:rsidR="00A0251B" w:rsidRPr="00CC35F0" w14:paraId="358B5DFE" w14:textId="77777777">
        <w:trPr>
          <w:trHeight w:val="442"/>
        </w:trPr>
        <w:tc>
          <w:tcPr>
            <w:tcW w:w="690" w:type="dxa"/>
            <w:shd w:val="clear" w:color="auto" w:fill="44546A"/>
            <w:vAlign w:val="center"/>
          </w:tcPr>
          <w:p w14:paraId="31BC1888"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 B4</w:t>
            </w:r>
          </w:p>
        </w:tc>
        <w:tc>
          <w:tcPr>
            <w:tcW w:w="15018" w:type="dxa"/>
            <w:gridSpan w:val="13"/>
            <w:shd w:val="clear" w:color="auto" w:fill="44546A"/>
            <w:vAlign w:val="center"/>
          </w:tcPr>
          <w:p w14:paraId="1805E769"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 xml:space="preserve">Спровођење најмање Euro стандарда за половна увезена возила: Euro 5/V од 1. јануара 2024. и Euro 6/VI од 1. јануара 2025. </w:t>
            </w:r>
            <w:r w:rsidR="004213B4" w:rsidRPr="00CC35F0">
              <w:rPr>
                <w:rFonts w:ascii="Times New Roman" w:eastAsia="Times New Roman" w:hAnsi="Times New Roman"/>
                <w:b/>
                <w:color w:val="FFFFFF"/>
                <w:sz w:val="24"/>
                <w:szCs w:val="24"/>
                <w:u w:val="single"/>
                <w:lang w:val="sr-Cyrl-CS"/>
              </w:rPr>
              <w:t>Г</w:t>
            </w:r>
            <w:r w:rsidRPr="00CC35F0">
              <w:rPr>
                <w:rFonts w:ascii="Times New Roman" w:eastAsia="Times New Roman" w:hAnsi="Times New Roman"/>
                <w:b/>
                <w:color w:val="FFFFFF"/>
                <w:sz w:val="24"/>
                <w:szCs w:val="24"/>
                <w:u w:val="single"/>
                <w:lang w:val="sr-Cyrl-CS"/>
              </w:rPr>
              <w:t>одине</w:t>
            </w:r>
          </w:p>
        </w:tc>
      </w:tr>
      <w:tr w:rsidR="00A0251B" w:rsidRPr="00CC35F0" w14:paraId="6C597E5F" w14:textId="77777777">
        <w:trPr>
          <w:trHeight w:val="212"/>
        </w:trPr>
        <w:tc>
          <w:tcPr>
            <w:tcW w:w="690" w:type="dxa"/>
            <w:vMerge w:val="restart"/>
            <w:shd w:val="clear" w:color="auto" w:fill="auto"/>
            <w:vAlign w:val="center"/>
          </w:tcPr>
          <w:p w14:paraId="3EA1B19D"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4</w:t>
            </w:r>
          </w:p>
        </w:tc>
        <w:tc>
          <w:tcPr>
            <w:tcW w:w="15018" w:type="dxa"/>
            <w:gridSpan w:val="13"/>
            <w:shd w:val="clear" w:color="auto" w:fill="auto"/>
            <w:vAlign w:val="center"/>
          </w:tcPr>
          <w:p w14:paraId="5C27B3CB"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w:t>
            </w:r>
            <w:r w:rsidRPr="00CC35F0">
              <w:rPr>
                <w:rFonts w:ascii="Times New Roman" w:eastAsia="Times New Roman" w:hAnsi="Times New Roman"/>
                <w:b/>
                <w:sz w:val="24"/>
                <w:szCs w:val="24"/>
                <w:lang w:val="sr-Cyrl-CS"/>
              </w:rPr>
              <w:t xml:space="preserve"> </w:t>
            </w:r>
          </w:p>
          <w:p w14:paraId="7A2951D4"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1E351F1D"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76F760FE"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мера има за циљ смањење емисија загађујућих материја из друмског саобраћаја (највише NOx и PM) кроз побољшање карактеристика возног парка.</w:t>
            </w:r>
          </w:p>
          <w:p w14:paraId="0B50D8BA"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Као минимални стандарди за увоз половних возила, примењују се следећи: </w:t>
            </w:r>
          </w:p>
          <w:p w14:paraId="37971324"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Euro 5 за путничка возила и теретна возила (изузев N3), односно Euro V од 1. јануара 2024. године, </w:t>
            </w:r>
          </w:p>
          <w:p w14:paraId="39C60F1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Euro 6 за путничка возила и теретна возила (изузев N3), односно Euro VI од 1. јануара 2025. године.</w:t>
            </w:r>
          </w:p>
          <w:p w14:paraId="7E3CC17C" w14:textId="77777777" w:rsidR="00A0251B" w:rsidRPr="00CC35F0" w:rsidRDefault="00A0251B">
            <w:pPr>
              <w:spacing w:after="0"/>
              <w:rPr>
                <w:rFonts w:ascii="Times New Roman" w:eastAsia="Times New Roman" w:hAnsi="Times New Roman"/>
                <w:b/>
                <w:sz w:val="24"/>
                <w:szCs w:val="24"/>
                <w:u w:val="single"/>
                <w:lang w:val="sr-Cyrl-CS"/>
              </w:rPr>
            </w:pPr>
          </w:p>
          <w:p w14:paraId="7BD7A8BB"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Циљ у вези са ЕУ:</w:t>
            </w:r>
            <w:r w:rsidRPr="00CC35F0">
              <w:rPr>
                <w:rFonts w:ascii="Times New Roman" w:eastAsia="Times New Roman" w:hAnsi="Times New Roman"/>
                <w:sz w:val="24"/>
                <w:szCs w:val="24"/>
                <w:lang w:val="sr-Cyrl-CS"/>
              </w:rPr>
              <w:t xml:space="preserve"> </w:t>
            </w:r>
          </w:p>
          <w:p w14:paraId="1B71035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Саобраћај – побољшање ефикасности возила</w:t>
            </w:r>
          </w:p>
          <w:p w14:paraId="599A3915" w14:textId="77777777" w:rsidR="00A0251B" w:rsidRPr="00CC35F0" w:rsidRDefault="00A0251B">
            <w:pPr>
              <w:spacing w:after="0"/>
              <w:jc w:val="left"/>
              <w:rPr>
                <w:rFonts w:ascii="Times New Roman" w:eastAsia="Times New Roman" w:hAnsi="Times New Roman"/>
                <w:sz w:val="24"/>
                <w:szCs w:val="24"/>
                <w:lang w:val="sr-Cyrl-CS"/>
              </w:rPr>
            </w:pPr>
          </w:p>
          <w:p w14:paraId="0C8CCCF9"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10A026FB"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6B04195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Побољшање квалитета ваздуха у </w:t>
            </w:r>
            <w:r w:rsidR="00642A8F"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 xml:space="preserve">Србији како би се избегла прекорачења граничних вредности за квалитет ваздуха </w:t>
            </w:r>
          </w:p>
          <w:p w14:paraId="174CF440" w14:textId="77777777" w:rsidR="00A0251B" w:rsidRPr="00CC35F0" w:rsidRDefault="00A0251B">
            <w:pPr>
              <w:spacing w:after="0"/>
              <w:rPr>
                <w:rFonts w:ascii="Times New Roman" w:eastAsia="Times New Roman" w:hAnsi="Times New Roman"/>
                <w:i/>
                <w:sz w:val="24"/>
                <w:szCs w:val="24"/>
                <w:lang w:val="sr-Cyrl-CS"/>
              </w:rPr>
            </w:pPr>
          </w:p>
          <w:p w14:paraId="7E430666"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257542BB" w14:textId="77777777">
        <w:trPr>
          <w:gridAfter w:val="2"/>
          <w:wAfter w:w="16" w:type="dxa"/>
          <w:trHeight w:val="385"/>
        </w:trPr>
        <w:tc>
          <w:tcPr>
            <w:tcW w:w="690" w:type="dxa"/>
            <w:vMerge/>
            <w:shd w:val="clear" w:color="auto" w:fill="auto"/>
            <w:vAlign w:val="center"/>
          </w:tcPr>
          <w:p w14:paraId="4052048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2583F520"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525F96CE"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85" w:type="dxa"/>
            <w:vMerge w:val="restart"/>
            <w:shd w:val="clear" w:color="auto" w:fill="D9D9D9"/>
            <w:vAlign w:val="center"/>
          </w:tcPr>
          <w:p w14:paraId="38292FEF"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Кључна загађујућа </w:t>
            </w:r>
            <w:r w:rsidRPr="00CC35F0">
              <w:rPr>
                <w:rFonts w:ascii="Times New Roman" w:eastAsia="Times New Roman" w:hAnsi="Times New Roman"/>
                <w:b/>
                <w:sz w:val="24"/>
                <w:szCs w:val="24"/>
                <w:lang w:val="sr-Cyrl-CS"/>
              </w:rPr>
              <w:lastRenderedPageBreak/>
              <w:t>материја у ваздуху</w:t>
            </w:r>
          </w:p>
        </w:tc>
        <w:tc>
          <w:tcPr>
            <w:tcW w:w="1500" w:type="dxa"/>
            <w:vMerge w:val="restart"/>
            <w:shd w:val="clear" w:color="auto" w:fill="D9D9D9"/>
            <w:vAlign w:val="center"/>
          </w:tcPr>
          <w:p w14:paraId="1F20A829"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lastRenderedPageBreak/>
              <w:t xml:space="preserve">Исплативост [€/kg </w:t>
            </w:r>
            <w:r w:rsidRPr="00CC35F0">
              <w:rPr>
                <w:rFonts w:ascii="Times New Roman" w:eastAsia="Times New Roman" w:hAnsi="Times New Roman"/>
                <w:b/>
                <w:sz w:val="24"/>
                <w:szCs w:val="24"/>
                <w:lang w:val="sr-Cyrl-CS"/>
              </w:rPr>
              <w:lastRenderedPageBreak/>
              <w:t>(загађујуће материје)]</w:t>
            </w:r>
          </w:p>
        </w:tc>
        <w:tc>
          <w:tcPr>
            <w:tcW w:w="4203" w:type="dxa"/>
            <w:gridSpan w:val="7"/>
            <w:shd w:val="clear" w:color="auto" w:fill="D9D9D9"/>
            <w:vAlign w:val="center"/>
          </w:tcPr>
          <w:p w14:paraId="42DFF98C"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lastRenderedPageBreak/>
              <w:t>Избегнуте емисије 2025, 2030. и 2035. године</w:t>
            </w:r>
          </w:p>
        </w:tc>
      </w:tr>
      <w:tr w:rsidR="00A0251B" w:rsidRPr="00CC35F0" w14:paraId="5E1BA43D" w14:textId="77777777">
        <w:trPr>
          <w:gridAfter w:val="2"/>
          <w:wAfter w:w="16" w:type="dxa"/>
          <w:trHeight w:val="385"/>
        </w:trPr>
        <w:tc>
          <w:tcPr>
            <w:tcW w:w="690" w:type="dxa"/>
            <w:vMerge/>
            <w:shd w:val="clear" w:color="auto" w:fill="auto"/>
            <w:vAlign w:val="center"/>
          </w:tcPr>
          <w:p w14:paraId="1E8DD5B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424D199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22DB613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85" w:type="dxa"/>
            <w:vMerge/>
            <w:shd w:val="clear" w:color="auto" w:fill="D9D9D9"/>
            <w:vAlign w:val="center"/>
          </w:tcPr>
          <w:p w14:paraId="552E418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00" w:type="dxa"/>
            <w:vMerge/>
            <w:shd w:val="clear" w:color="auto" w:fill="D9D9D9"/>
            <w:vAlign w:val="center"/>
          </w:tcPr>
          <w:p w14:paraId="6A94556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7"/>
            <w:shd w:val="clear" w:color="auto" w:fill="D9D9D9"/>
            <w:vAlign w:val="center"/>
          </w:tcPr>
          <w:p w14:paraId="579DDC5C"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06A5A54D" w14:textId="77777777">
        <w:trPr>
          <w:gridAfter w:val="2"/>
          <w:wAfter w:w="16" w:type="dxa"/>
          <w:trHeight w:val="333"/>
        </w:trPr>
        <w:tc>
          <w:tcPr>
            <w:tcW w:w="690" w:type="dxa"/>
            <w:vMerge/>
            <w:shd w:val="clear" w:color="auto" w:fill="auto"/>
            <w:vAlign w:val="center"/>
          </w:tcPr>
          <w:p w14:paraId="6578AAC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val="restart"/>
            <w:shd w:val="clear" w:color="auto" w:fill="FFFFFF"/>
            <w:vAlign w:val="center"/>
          </w:tcPr>
          <w:p w14:paraId="613D50D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унутрашње и спољне трговине</w:t>
            </w:r>
          </w:p>
        </w:tc>
        <w:tc>
          <w:tcPr>
            <w:tcW w:w="4283" w:type="dxa"/>
            <w:vMerge w:val="restart"/>
            <w:shd w:val="clear" w:color="auto" w:fill="FFFFFF"/>
            <w:vAlign w:val="center"/>
          </w:tcPr>
          <w:p w14:paraId="085418B0"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Министарство грађевинарства, саобраћаја и инфраструктуре (у даљем тексту: МГСИ) </w:t>
            </w:r>
          </w:p>
          <w:p w14:paraId="1D43C8B8"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Агенција за безбедност саобраћаја, </w:t>
            </w:r>
          </w:p>
          <w:p w14:paraId="4C77F7D6"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МЗЖС, </w:t>
            </w:r>
          </w:p>
          <w:p w14:paraId="316BA10A"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Министарство финансија </w:t>
            </w:r>
          </w:p>
        </w:tc>
        <w:tc>
          <w:tcPr>
            <w:tcW w:w="1485" w:type="dxa"/>
            <w:shd w:val="clear" w:color="auto" w:fill="FFFFFF"/>
            <w:vAlign w:val="center"/>
          </w:tcPr>
          <w:p w14:paraId="090DBD6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NOx</w:t>
            </w:r>
          </w:p>
        </w:tc>
        <w:tc>
          <w:tcPr>
            <w:tcW w:w="1500" w:type="dxa"/>
            <w:vMerge w:val="restart"/>
            <w:shd w:val="clear" w:color="auto" w:fill="FFFFFF"/>
            <w:vAlign w:val="center"/>
          </w:tcPr>
          <w:p w14:paraId="6F26BCF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12,0</w:t>
            </w:r>
          </w:p>
        </w:tc>
        <w:tc>
          <w:tcPr>
            <w:tcW w:w="1374" w:type="dxa"/>
            <w:gridSpan w:val="2"/>
            <w:shd w:val="clear" w:color="auto" w:fill="FFFFFF"/>
            <w:vAlign w:val="center"/>
          </w:tcPr>
          <w:p w14:paraId="3C2BB58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3,03</w:t>
            </w:r>
          </w:p>
        </w:tc>
        <w:tc>
          <w:tcPr>
            <w:tcW w:w="1414" w:type="dxa"/>
            <w:gridSpan w:val="3"/>
            <w:shd w:val="clear" w:color="auto" w:fill="FFFFFF"/>
            <w:vAlign w:val="center"/>
          </w:tcPr>
          <w:p w14:paraId="73DF002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8,65</w:t>
            </w:r>
          </w:p>
        </w:tc>
        <w:tc>
          <w:tcPr>
            <w:tcW w:w="1415" w:type="dxa"/>
            <w:gridSpan w:val="2"/>
            <w:shd w:val="clear" w:color="auto" w:fill="FFFFFF"/>
            <w:vAlign w:val="center"/>
          </w:tcPr>
          <w:p w14:paraId="4D17019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4,80</w:t>
            </w:r>
          </w:p>
        </w:tc>
      </w:tr>
      <w:tr w:rsidR="00A0251B" w:rsidRPr="00CC35F0" w14:paraId="5B696F43" w14:textId="77777777">
        <w:trPr>
          <w:gridAfter w:val="2"/>
          <w:wAfter w:w="16" w:type="dxa"/>
          <w:trHeight w:val="267"/>
        </w:trPr>
        <w:tc>
          <w:tcPr>
            <w:tcW w:w="690" w:type="dxa"/>
            <w:vMerge/>
            <w:shd w:val="clear" w:color="auto" w:fill="auto"/>
            <w:vAlign w:val="center"/>
          </w:tcPr>
          <w:p w14:paraId="1BC3367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2B0D559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399A2E7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6AF5818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10</w:t>
            </w:r>
          </w:p>
        </w:tc>
        <w:tc>
          <w:tcPr>
            <w:tcW w:w="1500" w:type="dxa"/>
            <w:vMerge/>
            <w:shd w:val="clear" w:color="auto" w:fill="FFFFFF"/>
            <w:vAlign w:val="center"/>
          </w:tcPr>
          <w:p w14:paraId="6777841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6F12609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0,06</w:t>
            </w:r>
          </w:p>
        </w:tc>
        <w:tc>
          <w:tcPr>
            <w:tcW w:w="1414" w:type="dxa"/>
            <w:gridSpan w:val="3"/>
            <w:shd w:val="clear" w:color="auto" w:fill="FFFFFF"/>
            <w:vAlign w:val="center"/>
          </w:tcPr>
          <w:p w14:paraId="2F1111B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0,15</w:t>
            </w:r>
          </w:p>
        </w:tc>
        <w:tc>
          <w:tcPr>
            <w:tcW w:w="1415" w:type="dxa"/>
            <w:gridSpan w:val="2"/>
            <w:shd w:val="clear" w:color="auto" w:fill="FFFFFF"/>
            <w:vAlign w:val="center"/>
          </w:tcPr>
          <w:p w14:paraId="3CE2948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0,06</w:t>
            </w:r>
          </w:p>
        </w:tc>
      </w:tr>
      <w:tr w:rsidR="00A0251B" w:rsidRPr="00CC35F0" w14:paraId="7E7F590B" w14:textId="77777777">
        <w:trPr>
          <w:gridAfter w:val="2"/>
          <w:wAfter w:w="16" w:type="dxa"/>
          <w:trHeight w:val="143"/>
        </w:trPr>
        <w:tc>
          <w:tcPr>
            <w:tcW w:w="690" w:type="dxa"/>
            <w:vMerge/>
            <w:shd w:val="clear" w:color="auto" w:fill="auto"/>
            <w:vAlign w:val="center"/>
          </w:tcPr>
          <w:p w14:paraId="76DE443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47EBDAE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3E38CEF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2468C2C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2.5</w:t>
            </w:r>
          </w:p>
        </w:tc>
        <w:tc>
          <w:tcPr>
            <w:tcW w:w="1500" w:type="dxa"/>
            <w:vMerge/>
            <w:shd w:val="clear" w:color="auto" w:fill="FFFFFF"/>
            <w:vAlign w:val="center"/>
          </w:tcPr>
          <w:p w14:paraId="62053F7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7E604C4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0,06</w:t>
            </w:r>
          </w:p>
        </w:tc>
        <w:tc>
          <w:tcPr>
            <w:tcW w:w="1414" w:type="dxa"/>
            <w:gridSpan w:val="3"/>
            <w:shd w:val="clear" w:color="auto" w:fill="FFFFFF"/>
            <w:vAlign w:val="center"/>
          </w:tcPr>
          <w:p w14:paraId="4F5C669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0,15</w:t>
            </w:r>
          </w:p>
        </w:tc>
        <w:tc>
          <w:tcPr>
            <w:tcW w:w="1415" w:type="dxa"/>
            <w:gridSpan w:val="2"/>
            <w:shd w:val="clear" w:color="auto" w:fill="FFFFFF"/>
            <w:vAlign w:val="center"/>
          </w:tcPr>
          <w:p w14:paraId="26D96EE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0,06</w:t>
            </w:r>
          </w:p>
        </w:tc>
      </w:tr>
      <w:tr w:rsidR="00A0251B" w:rsidRPr="00CC35F0" w14:paraId="6B37B1A8" w14:textId="77777777">
        <w:trPr>
          <w:gridAfter w:val="2"/>
          <w:wAfter w:w="16" w:type="dxa"/>
          <w:trHeight w:val="289"/>
        </w:trPr>
        <w:tc>
          <w:tcPr>
            <w:tcW w:w="690" w:type="dxa"/>
            <w:vMerge/>
            <w:shd w:val="clear" w:color="auto" w:fill="auto"/>
            <w:vAlign w:val="center"/>
          </w:tcPr>
          <w:p w14:paraId="7687FAB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59AB660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1F76D38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2C9D642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VOC</w:t>
            </w:r>
          </w:p>
        </w:tc>
        <w:tc>
          <w:tcPr>
            <w:tcW w:w="1500" w:type="dxa"/>
            <w:vMerge/>
            <w:shd w:val="clear" w:color="auto" w:fill="FFFFFF"/>
            <w:vAlign w:val="center"/>
          </w:tcPr>
          <w:p w14:paraId="2D17963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7CEA8D5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0,47</w:t>
            </w:r>
          </w:p>
        </w:tc>
        <w:tc>
          <w:tcPr>
            <w:tcW w:w="1414" w:type="dxa"/>
            <w:gridSpan w:val="3"/>
            <w:shd w:val="clear" w:color="auto" w:fill="FFFFFF"/>
            <w:vAlign w:val="center"/>
          </w:tcPr>
          <w:p w14:paraId="4D3D999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1,03</w:t>
            </w:r>
          </w:p>
        </w:tc>
        <w:tc>
          <w:tcPr>
            <w:tcW w:w="1415" w:type="dxa"/>
            <w:gridSpan w:val="2"/>
            <w:shd w:val="clear" w:color="auto" w:fill="FFFFFF"/>
            <w:vAlign w:val="center"/>
          </w:tcPr>
          <w:p w14:paraId="4F397B3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0,73</w:t>
            </w:r>
          </w:p>
        </w:tc>
      </w:tr>
      <w:tr w:rsidR="00A0251B" w:rsidRPr="00CC35F0" w14:paraId="590B2F8A" w14:textId="77777777">
        <w:trPr>
          <w:trHeight w:val="442"/>
        </w:trPr>
        <w:tc>
          <w:tcPr>
            <w:tcW w:w="690" w:type="dxa"/>
            <w:shd w:val="clear" w:color="auto" w:fill="44546A"/>
            <w:vAlign w:val="center"/>
          </w:tcPr>
          <w:p w14:paraId="52A77656"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 B5</w:t>
            </w:r>
          </w:p>
        </w:tc>
        <w:tc>
          <w:tcPr>
            <w:tcW w:w="15018" w:type="dxa"/>
            <w:gridSpan w:val="13"/>
            <w:shd w:val="clear" w:color="auto" w:fill="44546A"/>
            <w:vAlign w:val="center"/>
          </w:tcPr>
          <w:p w14:paraId="7D73A844"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 xml:space="preserve">Додатна обнова возног парка од финансијских подстицаја за дерегистрацију/отпремање најстаријих Euro 1, 2 и 3 дизел путничких возила и  теретних возила (изузев N3), и EURO I, II и III дизел аутобуса у рециклажне центре </w:t>
            </w:r>
          </w:p>
        </w:tc>
      </w:tr>
      <w:tr w:rsidR="00A0251B" w:rsidRPr="00CC35F0" w14:paraId="3F39D46E" w14:textId="77777777">
        <w:trPr>
          <w:trHeight w:val="212"/>
        </w:trPr>
        <w:tc>
          <w:tcPr>
            <w:tcW w:w="690" w:type="dxa"/>
            <w:vMerge w:val="restart"/>
            <w:shd w:val="clear" w:color="auto" w:fill="auto"/>
            <w:vAlign w:val="center"/>
          </w:tcPr>
          <w:p w14:paraId="1D2B9E45"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5</w:t>
            </w:r>
          </w:p>
        </w:tc>
        <w:tc>
          <w:tcPr>
            <w:tcW w:w="15018" w:type="dxa"/>
            <w:gridSpan w:val="13"/>
            <w:shd w:val="clear" w:color="auto" w:fill="auto"/>
            <w:vAlign w:val="center"/>
          </w:tcPr>
          <w:p w14:paraId="2D638E71"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финансијска</w:t>
            </w:r>
          </w:p>
          <w:p w14:paraId="5F5C4291"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71729362"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538D0738"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мера има за циљ смањење емисија, нарочито PM, из друмског саобраћаја уклањањем најстаријих возила која су углавном у складу са знатно нижим стандардима заштите животне средине. Мера је усредсређена на стара дизел возила, и то:</w:t>
            </w:r>
          </w:p>
          <w:p w14:paraId="645AC97B"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Путничка и теретна возила(изузев N3), Euro 1, Euro 2 и Euro 3 возила, односно Euro I, Euro II и Euro III дизел аутобусе. </w:t>
            </w:r>
          </w:p>
          <w:p w14:paraId="09F0613B"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подразумева да ће се финансијским подстицајима омогућити дерегистрацију/отпремање најстаријих возила из возног парка у рециклажне центре. Циљни број возила збринутих програмом дерегистрације/отпремања у рециклажне центре је следећи: </w:t>
            </w:r>
          </w:p>
          <w:tbl>
            <w:tblPr>
              <w:tblStyle w:val="ad"/>
              <w:tblW w:w="6677"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85"/>
              <w:gridCol w:w="1796"/>
              <w:gridCol w:w="1796"/>
            </w:tblGrid>
            <w:tr w:rsidR="0069462A" w:rsidRPr="00CC35F0" w14:paraId="3FB1C524" w14:textId="77777777" w:rsidTr="0069462A">
              <w:tc>
                <w:tcPr>
                  <w:tcW w:w="3085" w:type="dxa"/>
                </w:tcPr>
                <w:p w14:paraId="65CEDD56" w14:textId="77777777" w:rsidR="0069462A" w:rsidRPr="00CC35F0" w:rsidRDefault="0069462A">
                  <w:pPr>
                    <w:rPr>
                      <w:rFonts w:ascii="Times New Roman" w:eastAsia="Times New Roman" w:hAnsi="Times New Roman"/>
                      <w:color w:val="000000"/>
                      <w:sz w:val="24"/>
                      <w:szCs w:val="24"/>
                      <w:lang w:val="sr-Cyrl-CS"/>
                    </w:rPr>
                  </w:pPr>
                </w:p>
              </w:tc>
              <w:tc>
                <w:tcPr>
                  <w:tcW w:w="1796" w:type="dxa"/>
                </w:tcPr>
                <w:p w14:paraId="4C0E2254" w14:textId="77777777" w:rsidR="0069462A" w:rsidRPr="00CC35F0" w:rsidRDefault="0069462A">
                  <w:pPr>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c>
                <w:tcPr>
                  <w:tcW w:w="1796" w:type="dxa"/>
                </w:tcPr>
                <w:p w14:paraId="5547D48B" w14:textId="77777777" w:rsidR="0069462A" w:rsidRPr="00CC35F0" w:rsidRDefault="0069462A">
                  <w:pPr>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2026.</w:t>
                  </w:r>
                </w:p>
              </w:tc>
            </w:tr>
            <w:tr w:rsidR="0069462A" w:rsidRPr="00CC35F0" w14:paraId="249AAA87" w14:textId="77777777" w:rsidTr="0069462A">
              <w:tc>
                <w:tcPr>
                  <w:tcW w:w="3085" w:type="dxa"/>
                </w:tcPr>
                <w:p w14:paraId="21E4DE75" w14:textId="77777777" w:rsidR="0069462A" w:rsidRPr="00CC35F0" w:rsidRDefault="0069462A">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Путничка дизел возила</w:t>
                  </w:r>
                </w:p>
              </w:tc>
              <w:tc>
                <w:tcPr>
                  <w:tcW w:w="1796" w:type="dxa"/>
                  <w:vAlign w:val="center"/>
                </w:tcPr>
                <w:p w14:paraId="6436E2F4" w14:textId="77777777" w:rsidR="0069462A" w:rsidRPr="00CC35F0" w:rsidRDefault="0069462A">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107.600</w:t>
                  </w:r>
                </w:p>
              </w:tc>
              <w:tc>
                <w:tcPr>
                  <w:tcW w:w="1796" w:type="dxa"/>
                  <w:vAlign w:val="center"/>
                </w:tcPr>
                <w:p w14:paraId="28AD8A2D" w14:textId="77777777" w:rsidR="0069462A" w:rsidRPr="00CC35F0" w:rsidRDefault="0069462A">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16.300</w:t>
                  </w:r>
                </w:p>
              </w:tc>
            </w:tr>
            <w:tr w:rsidR="0069462A" w:rsidRPr="00CC35F0" w14:paraId="383FCBC4" w14:textId="77777777" w:rsidTr="0069462A">
              <w:tc>
                <w:tcPr>
                  <w:tcW w:w="3085" w:type="dxa"/>
                </w:tcPr>
                <w:p w14:paraId="5C8CD023" w14:textId="77777777" w:rsidR="0069462A" w:rsidRPr="00CC35F0" w:rsidRDefault="0069462A">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Теретна дизел возила (изузев N3)</w:t>
                  </w:r>
                </w:p>
              </w:tc>
              <w:tc>
                <w:tcPr>
                  <w:tcW w:w="1796" w:type="dxa"/>
                  <w:vAlign w:val="center"/>
                </w:tcPr>
                <w:p w14:paraId="2119B96A" w14:textId="77777777" w:rsidR="0069462A" w:rsidRPr="00CC35F0" w:rsidRDefault="0069462A">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12.800</w:t>
                  </w:r>
                </w:p>
              </w:tc>
              <w:tc>
                <w:tcPr>
                  <w:tcW w:w="1796" w:type="dxa"/>
                  <w:vAlign w:val="center"/>
                </w:tcPr>
                <w:p w14:paraId="72EAE428" w14:textId="77777777" w:rsidR="0069462A" w:rsidRPr="00CC35F0" w:rsidRDefault="0069462A">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1200</w:t>
                  </w:r>
                </w:p>
              </w:tc>
            </w:tr>
            <w:tr w:rsidR="0069462A" w:rsidRPr="00CC35F0" w14:paraId="2DE37847" w14:textId="77777777" w:rsidTr="0069462A">
              <w:tc>
                <w:tcPr>
                  <w:tcW w:w="3085" w:type="dxa"/>
                </w:tcPr>
                <w:p w14:paraId="0278F426" w14:textId="77777777" w:rsidR="0069462A" w:rsidRPr="00CC35F0" w:rsidRDefault="0069462A">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Дизел аутобуси </w:t>
                  </w:r>
                </w:p>
              </w:tc>
              <w:tc>
                <w:tcPr>
                  <w:tcW w:w="1796" w:type="dxa"/>
                  <w:vAlign w:val="center"/>
                </w:tcPr>
                <w:p w14:paraId="753B1664" w14:textId="77777777" w:rsidR="0069462A" w:rsidRPr="00CC35F0" w:rsidRDefault="0069462A">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1.900</w:t>
                  </w:r>
                </w:p>
              </w:tc>
              <w:tc>
                <w:tcPr>
                  <w:tcW w:w="1796" w:type="dxa"/>
                  <w:vAlign w:val="center"/>
                </w:tcPr>
                <w:p w14:paraId="76D6EA32" w14:textId="77777777" w:rsidR="0069462A" w:rsidRPr="00CC35F0" w:rsidRDefault="0069462A">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400</w:t>
                  </w:r>
                </w:p>
              </w:tc>
            </w:tr>
            <w:tr w:rsidR="0069462A" w:rsidRPr="00CC35F0" w14:paraId="61E761CA" w14:textId="77777777" w:rsidTr="0069462A">
              <w:tc>
                <w:tcPr>
                  <w:tcW w:w="3085" w:type="dxa"/>
                </w:tcPr>
                <w:p w14:paraId="0A89F5DE" w14:textId="77777777" w:rsidR="0069462A" w:rsidRPr="00CC35F0" w:rsidRDefault="0069462A">
                  <w:pP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Укупно </w:t>
                  </w:r>
                </w:p>
              </w:tc>
              <w:tc>
                <w:tcPr>
                  <w:tcW w:w="1796" w:type="dxa"/>
                  <w:vAlign w:val="center"/>
                </w:tcPr>
                <w:p w14:paraId="69A9F05B" w14:textId="77777777" w:rsidR="0069462A" w:rsidRPr="00CC35F0" w:rsidRDefault="0069462A">
                  <w:pPr>
                    <w:jc w:val="righ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122.300</w:t>
                  </w:r>
                </w:p>
              </w:tc>
              <w:tc>
                <w:tcPr>
                  <w:tcW w:w="1796" w:type="dxa"/>
                  <w:vAlign w:val="center"/>
                </w:tcPr>
                <w:p w14:paraId="3776C16E" w14:textId="77777777" w:rsidR="0069462A" w:rsidRPr="00CC35F0" w:rsidRDefault="0069462A">
                  <w:pPr>
                    <w:jc w:val="righ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17.900</w:t>
                  </w:r>
                </w:p>
              </w:tc>
            </w:tr>
          </w:tbl>
          <w:p w14:paraId="049F7181" w14:textId="77777777" w:rsidR="00A0251B" w:rsidRPr="00CC35F0" w:rsidRDefault="00A0251B">
            <w:pPr>
              <w:spacing w:after="0"/>
              <w:rPr>
                <w:rFonts w:ascii="Times New Roman" w:eastAsia="Times New Roman" w:hAnsi="Times New Roman"/>
                <w:sz w:val="24"/>
                <w:szCs w:val="24"/>
                <w:lang w:val="sr-Cyrl-CS"/>
              </w:rPr>
            </w:pPr>
          </w:p>
          <w:p w14:paraId="73D223A6"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Финансијски подстицаји покривају 35% трошкова набавке половних Euro 6 или EURO VI возила. Ова мера у вези је са Мером бр. 4.</w:t>
            </w:r>
          </w:p>
          <w:p w14:paraId="5FAE8393"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Предложени финансијски подстицаји су следећи: </w:t>
            </w:r>
          </w:p>
          <w:p w14:paraId="44FA8A6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Путничко дизел возило: 2100 евра</w:t>
            </w:r>
          </w:p>
          <w:p w14:paraId="5A9B54E6"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Теретно дизел возило(изузев N3): 2500 евра</w:t>
            </w:r>
          </w:p>
          <w:p w14:paraId="1414D51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Аутобус: 2900 евра</w:t>
            </w:r>
          </w:p>
          <w:p w14:paraId="7E3FD5E1" w14:textId="77777777" w:rsidR="00A0251B" w:rsidRPr="00CC35F0" w:rsidRDefault="00A0251B">
            <w:pPr>
              <w:spacing w:after="0"/>
              <w:rPr>
                <w:rFonts w:ascii="Times New Roman" w:eastAsia="Times New Roman" w:hAnsi="Times New Roman"/>
                <w:sz w:val="24"/>
                <w:szCs w:val="24"/>
                <w:lang w:val="sr-Cyrl-CS"/>
              </w:rPr>
            </w:pPr>
          </w:p>
          <w:p w14:paraId="71FD029C"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циљу реализације мере потребно је да се успостави механизам којим ће се дефинисати кораци који су неопходни да би се реализовала подршка из јавних средстава за дерегистрацију/отпремање старих дизел путничких аутомобила, теретних возила (изузев N3) и аутобуса (који одговарају Euro 1, Euro 2, Euro 3 и Euro I, Euro II и Euro III) у рециклажне центре.</w:t>
            </w:r>
          </w:p>
          <w:p w14:paraId="125A0DD7" w14:textId="77777777" w:rsidR="00A0251B" w:rsidRPr="00CC35F0" w:rsidRDefault="00A0251B">
            <w:pPr>
              <w:spacing w:after="0"/>
              <w:rPr>
                <w:rFonts w:ascii="Times New Roman" w:eastAsia="Times New Roman" w:hAnsi="Times New Roman"/>
                <w:sz w:val="24"/>
                <w:szCs w:val="24"/>
                <w:lang w:val="sr-Cyrl-CS"/>
              </w:rPr>
            </w:pPr>
          </w:p>
          <w:p w14:paraId="23D1ABA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Агенција за безбедност саобраћаја даје предлог механизма подршке из јавних средстава за дерегистрацију/отпремање старих дизел путничких аутомобила, теретних возила (изузев N3) и аутобуса (који одговарају Euro 1, Euro 2, Euro 3 и Euro I, Euro II и Euro III) у рециклажне центре, док су партнери у реализацији успостављања механизма М</w:t>
            </w:r>
            <w:r w:rsidR="00642A8F" w:rsidRPr="00CC35F0">
              <w:rPr>
                <w:rFonts w:ascii="Times New Roman" w:eastAsia="Times New Roman" w:hAnsi="Times New Roman"/>
                <w:sz w:val="24"/>
                <w:szCs w:val="24"/>
                <w:lang w:val="sr-Cyrl-CS"/>
              </w:rPr>
              <w:t xml:space="preserve">ГСИ </w:t>
            </w:r>
            <w:r w:rsidRPr="00CC35F0">
              <w:rPr>
                <w:rFonts w:ascii="Times New Roman" w:eastAsia="Times New Roman" w:hAnsi="Times New Roman"/>
                <w:sz w:val="24"/>
                <w:szCs w:val="24"/>
                <w:lang w:val="sr-Cyrl-CS"/>
              </w:rPr>
              <w:t>и М</w:t>
            </w:r>
            <w:r w:rsidR="00642A8F" w:rsidRPr="00CC35F0">
              <w:rPr>
                <w:rFonts w:ascii="Times New Roman" w:eastAsia="Times New Roman" w:hAnsi="Times New Roman"/>
                <w:sz w:val="24"/>
                <w:szCs w:val="24"/>
                <w:lang w:val="sr-Cyrl-CS"/>
              </w:rPr>
              <w:t>ЗЖС</w:t>
            </w:r>
            <w:r w:rsidRPr="00CC35F0">
              <w:rPr>
                <w:rFonts w:ascii="Times New Roman" w:eastAsia="Times New Roman" w:hAnsi="Times New Roman"/>
                <w:sz w:val="24"/>
                <w:szCs w:val="24"/>
                <w:lang w:val="sr-Cyrl-CS"/>
              </w:rPr>
              <w:t>.</w:t>
            </w:r>
          </w:p>
          <w:p w14:paraId="3DB1EDA5" w14:textId="77777777" w:rsidR="00A0251B" w:rsidRPr="00CC35F0" w:rsidRDefault="00A0251B">
            <w:pPr>
              <w:spacing w:after="0"/>
              <w:rPr>
                <w:rFonts w:ascii="Times New Roman" w:eastAsia="Times New Roman" w:hAnsi="Times New Roman"/>
                <w:sz w:val="24"/>
                <w:szCs w:val="24"/>
                <w:lang w:val="sr-Cyrl-CS"/>
              </w:rPr>
            </w:pPr>
          </w:p>
          <w:p w14:paraId="6DF6A895"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За следећи корак, односно спровођење механизама подршке из јавних средстава за дерегистрацију/отпремање старих дизел путничких аутомобила, теретних возила (изузев N3) и аутобуса (који одговарају Euro 1, Euro 2, Euro 3 и Euro I, Euro II и Euro III) у рециклажне центре надлежан орган је </w:t>
            </w:r>
            <w:r w:rsidR="00FF2F72" w:rsidRPr="00CC35F0">
              <w:rPr>
                <w:rFonts w:ascii="Times New Roman" w:eastAsia="Times New Roman" w:hAnsi="Times New Roman"/>
                <w:sz w:val="24"/>
                <w:szCs w:val="24"/>
                <w:lang w:val="sr-Cyrl-CS"/>
              </w:rPr>
              <w:t>МГСИ</w:t>
            </w:r>
            <w:r w:rsidR="00E07D03"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w:t>
            </w:r>
            <w:r w:rsidR="00E07D03" w:rsidRPr="00CC35F0">
              <w:rPr>
                <w:rFonts w:ascii="Times New Roman" w:eastAsia="Times New Roman" w:hAnsi="Times New Roman"/>
                <w:sz w:val="24"/>
                <w:szCs w:val="24"/>
                <w:lang w:val="sr-Cyrl-CS"/>
              </w:rPr>
              <w:t>док су партнери у реализацији</w:t>
            </w:r>
            <w:r w:rsidRPr="00CC35F0">
              <w:rPr>
                <w:rFonts w:ascii="Times New Roman" w:eastAsia="Times New Roman" w:hAnsi="Times New Roman"/>
                <w:sz w:val="24"/>
                <w:szCs w:val="24"/>
                <w:lang w:val="sr-Cyrl-CS"/>
              </w:rPr>
              <w:t xml:space="preserve"> активности </w:t>
            </w:r>
            <w:r w:rsidR="00FF2F72" w:rsidRPr="00CC35F0">
              <w:rPr>
                <w:rFonts w:ascii="Times New Roman" w:eastAsia="Times New Roman" w:hAnsi="Times New Roman"/>
                <w:sz w:val="24"/>
                <w:szCs w:val="24"/>
                <w:lang w:val="sr-Cyrl-CS"/>
              </w:rPr>
              <w:t xml:space="preserve">МЗЖС </w:t>
            </w:r>
            <w:r w:rsidRPr="00CC35F0">
              <w:rPr>
                <w:rFonts w:ascii="Times New Roman" w:eastAsia="Times New Roman" w:hAnsi="Times New Roman"/>
                <w:sz w:val="24"/>
                <w:szCs w:val="24"/>
                <w:lang w:val="sr-Cyrl-CS"/>
              </w:rPr>
              <w:t>и Агенција за безбедност саобраћаја.</w:t>
            </w:r>
          </w:p>
          <w:p w14:paraId="2AAE4D92" w14:textId="77777777" w:rsidR="00A0251B" w:rsidRPr="00CC35F0" w:rsidRDefault="00A0251B">
            <w:pPr>
              <w:spacing w:after="0"/>
              <w:rPr>
                <w:rFonts w:ascii="Times New Roman" w:eastAsia="Times New Roman" w:hAnsi="Times New Roman"/>
                <w:sz w:val="24"/>
                <w:szCs w:val="24"/>
                <w:lang w:val="sr-Cyrl-CS"/>
              </w:rPr>
            </w:pPr>
          </w:p>
          <w:p w14:paraId="7BE2B42D"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Циљ у вези са ЕУ:</w:t>
            </w:r>
          </w:p>
          <w:p w14:paraId="43270FE5"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Саобраћај – побољшање ефикасности возила</w:t>
            </w:r>
          </w:p>
          <w:p w14:paraId="4C998D3F" w14:textId="77777777" w:rsidR="00A0251B" w:rsidRPr="00CC35F0" w:rsidRDefault="00A0251B">
            <w:pPr>
              <w:spacing w:after="0"/>
              <w:jc w:val="left"/>
              <w:rPr>
                <w:rFonts w:ascii="Times New Roman" w:eastAsia="Times New Roman" w:hAnsi="Times New Roman"/>
                <w:sz w:val="24"/>
                <w:szCs w:val="24"/>
                <w:lang w:val="sr-Cyrl-CS"/>
              </w:rPr>
            </w:pPr>
          </w:p>
          <w:p w14:paraId="39CC878C"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7678E1A5"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1675645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Побољшање квалитета ваздуха у </w:t>
            </w:r>
            <w:r w:rsidR="00642A8F"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 xml:space="preserve">Србији како би се избегла прекорачења граничних вредности за квалитет ваздуха </w:t>
            </w:r>
          </w:p>
          <w:p w14:paraId="30971893"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p w14:paraId="2F96975F"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57FB7BC4" w14:textId="77777777">
        <w:trPr>
          <w:gridAfter w:val="2"/>
          <w:wAfter w:w="16" w:type="dxa"/>
          <w:trHeight w:val="385"/>
        </w:trPr>
        <w:tc>
          <w:tcPr>
            <w:tcW w:w="690" w:type="dxa"/>
            <w:vMerge/>
            <w:shd w:val="clear" w:color="auto" w:fill="auto"/>
            <w:vAlign w:val="center"/>
          </w:tcPr>
          <w:p w14:paraId="28974D4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4F7CD4BE"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02FA5418"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85" w:type="dxa"/>
            <w:vMerge w:val="restart"/>
            <w:shd w:val="clear" w:color="auto" w:fill="D9D9D9"/>
            <w:vAlign w:val="center"/>
          </w:tcPr>
          <w:p w14:paraId="5878D2BE"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500" w:type="dxa"/>
            <w:vMerge w:val="restart"/>
            <w:shd w:val="clear" w:color="auto" w:fill="D9D9D9"/>
            <w:vAlign w:val="center"/>
          </w:tcPr>
          <w:p w14:paraId="2E399B71"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4203" w:type="dxa"/>
            <w:gridSpan w:val="7"/>
            <w:shd w:val="clear" w:color="auto" w:fill="D9D9D9"/>
            <w:vAlign w:val="center"/>
          </w:tcPr>
          <w:p w14:paraId="730D156A"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16CE4BA5" w14:textId="77777777">
        <w:trPr>
          <w:gridAfter w:val="2"/>
          <w:wAfter w:w="16" w:type="dxa"/>
          <w:trHeight w:val="385"/>
        </w:trPr>
        <w:tc>
          <w:tcPr>
            <w:tcW w:w="690" w:type="dxa"/>
            <w:vMerge/>
            <w:shd w:val="clear" w:color="auto" w:fill="auto"/>
            <w:vAlign w:val="center"/>
          </w:tcPr>
          <w:p w14:paraId="65C7FC9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44315C3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34AC328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85" w:type="dxa"/>
            <w:vMerge/>
            <w:shd w:val="clear" w:color="auto" w:fill="D9D9D9"/>
            <w:vAlign w:val="center"/>
          </w:tcPr>
          <w:p w14:paraId="4D1C335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00" w:type="dxa"/>
            <w:vMerge/>
            <w:shd w:val="clear" w:color="auto" w:fill="D9D9D9"/>
            <w:vAlign w:val="center"/>
          </w:tcPr>
          <w:p w14:paraId="4DEBAFC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7"/>
            <w:shd w:val="clear" w:color="auto" w:fill="D9D9D9"/>
            <w:vAlign w:val="center"/>
          </w:tcPr>
          <w:p w14:paraId="65C3778D"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2D2EDE8D" w14:textId="77777777">
        <w:trPr>
          <w:gridAfter w:val="2"/>
          <w:wAfter w:w="16" w:type="dxa"/>
          <w:trHeight w:val="185"/>
        </w:trPr>
        <w:tc>
          <w:tcPr>
            <w:tcW w:w="690" w:type="dxa"/>
            <w:vMerge/>
            <w:shd w:val="clear" w:color="auto" w:fill="auto"/>
            <w:vAlign w:val="center"/>
          </w:tcPr>
          <w:p w14:paraId="0338B03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val="restart"/>
            <w:shd w:val="clear" w:color="auto" w:fill="FFFFFF"/>
            <w:vAlign w:val="center"/>
          </w:tcPr>
          <w:p w14:paraId="30CDEFF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финансија</w:t>
            </w:r>
          </w:p>
          <w:p w14:paraId="677B044F" w14:textId="77777777" w:rsidR="00A0251B" w:rsidRPr="00CC35F0" w:rsidRDefault="00A0251B">
            <w:pPr>
              <w:spacing w:after="0"/>
              <w:jc w:val="center"/>
              <w:rPr>
                <w:rFonts w:ascii="Times New Roman" w:eastAsia="Times New Roman" w:hAnsi="Times New Roman"/>
                <w:color w:val="000000"/>
                <w:sz w:val="24"/>
                <w:szCs w:val="24"/>
                <w:lang w:val="sr-Cyrl-CS"/>
              </w:rPr>
            </w:pPr>
          </w:p>
        </w:tc>
        <w:tc>
          <w:tcPr>
            <w:tcW w:w="4283" w:type="dxa"/>
            <w:vMerge w:val="restart"/>
            <w:shd w:val="clear" w:color="auto" w:fill="FFFFFF"/>
            <w:vAlign w:val="center"/>
          </w:tcPr>
          <w:p w14:paraId="75614308"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Агенција за безбедност саобраћаја, </w:t>
            </w:r>
          </w:p>
          <w:p w14:paraId="2F557F2C"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МГСИ,</w:t>
            </w:r>
          </w:p>
          <w:p w14:paraId="7DFC78CC"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МЗЖС, </w:t>
            </w:r>
          </w:p>
          <w:p w14:paraId="59B324B1"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Удружење рециклера Србије</w:t>
            </w:r>
          </w:p>
        </w:tc>
        <w:tc>
          <w:tcPr>
            <w:tcW w:w="1485" w:type="dxa"/>
            <w:shd w:val="clear" w:color="auto" w:fill="FFFFFF"/>
            <w:vAlign w:val="center"/>
          </w:tcPr>
          <w:p w14:paraId="48937A6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NOx</w:t>
            </w:r>
          </w:p>
        </w:tc>
        <w:tc>
          <w:tcPr>
            <w:tcW w:w="1500" w:type="dxa"/>
            <w:vMerge w:val="restart"/>
            <w:shd w:val="clear" w:color="auto" w:fill="FFFFFF"/>
            <w:vAlign w:val="center"/>
          </w:tcPr>
          <w:p w14:paraId="5CCCCFE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33,0</w:t>
            </w:r>
          </w:p>
        </w:tc>
        <w:tc>
          <w:tcPr>
            <w:tcW w:w="1374" w:type="dxa"/>
            <w:gridSpan w:val="2"/>
            <w:shd w:val="clear" w:color="auto" w:fill="FFFFFF"/>
            <w:vAlign w:val="center"/>
          </w:tcPr>
          <w:p w14:paraId="38500FF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0,852</w:t>
            </w:r>
          </w:p>
        </w:tc>
        <w:tc>
          <w:tcPr>
            <w:tcW w:w="1414" w:type="dxa"/>
            <w:gridSpan w:val="3"/>
            <w:shd w:val="clear" w:color="auto" w:fill="FFFFFF"/>
            <w:vAlign w:val="center"/>
          </w:tcPr>
          <w:p w14:paraId="7280F15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0,215</w:t>
            </w:r>
          </w:p>
        </w:tc>
        <w:tc>
          <w:tcPr>
            <w:tcW w:w="1415" w:type="dxa"/>
            <w:gridSpan w:val="2"/>
            <w:shd w:val="clear" w:color="auto" w:fill="FFFFFF"/>
            <w:vAlign w:val="center"/>
          </w:tcPr>
          <w:p w14:paraId="57B7471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0,059</w:t>
            </w:r>
          </w:p>
        </w:tc>
      </w:tr>
      <w:tr w:rsidR="00A0251B" w:rsidRPr="00CC35F0" w14:paraId="508540D5" w14:textId="77777777">
        <w:trPr>
          <w:gridAfter w:val="2"/>
          <w:wAfter w:w="16" w:type="dxa"/>
          <w:trHeight w:val="189"/>
        </w:trPr>
        <w:tc>
          <w:tcPr>
            <w:tcW w:w="690" w:type="dxa"/>
            <w:vMerge/>
            <w:shd w:val="clear" w:color="auto" w:fill="auto"/>
            <w:vAlign w:val="center"/>
          </w:tcPr>
          <w:p w14:paraId="7A1C8C9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344AF7C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3B10E65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1262396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10</w:t>
            </w:r>
          </w:p>
        </w:tc>
        <w:tc>
          <w:tcPr>
            <w:tcW w:w="1500" w:type="dxa"/>
            <w:vMerge/>
            <w:shd w:val="clear" w:color="auto" w:fill="FFFFFF"/>
            <w:vAlign w:val="center"/>
          </w:tcPr>
          <w:p w14:paraId="5D41FAE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4743C79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0,060</w:t>
            </w:r>
          </w:p>
        </w:tc>
        <w:tc>
          <w:tcPr>
            <w:tcW w:w="1414" w:type="dxa"/>
            <w:gridSpan w:val="3"/>
            <w:shd w:val="clear" w:color="auto" w:fill="FFFFFF"/>
            <w:vAlign w:val="center"/>
          </w:tcPr>
          <w:p w14:paraId="0E4BB00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0,016</w:t>
            </w:r>
          </w:p>
        </w:tc>
        <w:tc>
          <w:tcPr>
            <w:tcW w:w="1415" w:type="dxa"/>
            <w:gridSpan w:val="2"/>
            <w:shd w:val="clear" w:color="auto" w:fill="FFFFFF"/>
            <w:vAlign w:val="center"/>
          </w:tcPr>
          <w:p w14:paraId="08AC2E9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0,004</w:t>
            </w:r>
          </w:p>
        </w:tc>
      </w:tr>
      <w:tr w:rsidR="00A0251B" w:rsidRPr="00CC35F0" w14:paraId="5C4C7594" w14:textId="77777777">
        <w:trPr>
          <w:gridAfter w:val="2"/>
          <w:wAfter w:w="16" w:type="dxa"/>
          <w:trHeight w:val="207"/>
        </w:trPr>
        <w:tc>
          <w:tcPr>
            <w:tcW w:w="690" w:type="dxa"/>
            <w:vMerge/>
            <w:shd w:val="clear" w:color="auto" w:fill="auto"/>
            <w:vAlign w:val="center"/>
          </w:tcPr>
          <w:p w14:paraId="231518A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7B5E858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74351F8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35073A3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2.5</w:t>
            </w:r>
          </w:p>
        </w:tc>
        <w:tc>
          <w:tcPr>
            <w:tcW w:w="1500" w:type="dxa"/>
            <w:vMerge/>
            <w:shd w:val="clear" w:color="auto" w:fill="FFFFFF"/>
            <w:vAlign w:val="center"/>
          </w:tcPr>
          <w:p w14:paraId="7150FE0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4B2F7A7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0,058</w:t>
            </w:r>
          </w:p>
        </w:tc>
        <w:tc>
          <w:tcPr>
            <w:tcW w:w="1414" w:type="dxa"/>
            <w:gridSpan w:val="3"/>
            <w:shd w:val="clear" w:color="auto" w:fill="FFFFFF"/>
            <w:vAlign w:val="center"/>
          </w:tcPr>
          <w:p w14:paraId="777ADCC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0,015</w:t>
            </w:r>
          </w:p>
        </w:tc>
        <w:tc>
          <w:tcPr>
            <w:tcW w:w="1415" w:type="dxa"/>
            <w:gridSpan w:val="2"/>
            <w:shd w:val="clear" w:color="auto" w:fill="FFFFFF"/>
            <w:vAlign w:val="center"/>
          </w:tcPr>
          <w:p w14:paraId="3F73E60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0,004</w:t>
            </w:r>
          </w:p>
        </w:tc>
      </w:tr>
      <w:tr w:rsidR="00A0251B" w:rsidRPr="00CC35F0" w14:paraId="7914E049" w14:textId="77777777">
        <w:trPr>
          <w:gridAfter w:val="2"/>
          <w:wAfter w:w="16" w:type="dxa"/>
          <w:trHeight w:val="225"/>
        </w:trPr>
        <w:tc>
          <w:tcPr>
            <w:tcW w:w="690" w:type="dxa"/>
            <w:vMerge/>
            <w:shd w:val="clear" w:color="auto" w:fill="auto"/>
            <w:vAlign w:val="center"/>
          </w:tcPr>
          <w:p w14:paraId="7C47A33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634CE61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182314D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14E3167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VOC</w:t>
            </w:r>
          </w:p>
        </w:tc>
        <w:tc>
          <w:tcPr>
            <w:tcW w:w="1500" w:type="dxa"/>
            <w:vMerge/>
            <w:shd w:val="clear" w:color="auto" w:fill="FFFFFF"/>
            <w:vAlign w:val="center"/>
          </w:tcPr>
          <w:p w14:paraId="66E2441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115C587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0,050</w:t>
            </w:r>
          </w:p>
        </w:tc>
        <w:tc>
          <w:tcPr>
            <w:tcW w:w="1414" w:type="dxa"/>
            <w:gridSpan w:val="3"/>
            <w:shd w:val="clear" w:color="auto" w:fill="FFFFFF"/>
            <w:vAlign w:val="center"/>
          </w:tcPr>
          <w:p w14:paraId="1EBB9D9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0,014</w:t>
            </w:r>
          </w:p>
        </w:tc>
        <w:tc>
          <w:tcPr>
            <w:tcW w:w="1415" w:type="dxa"/>
            <w:gridSpan w:val="2"/>
            <w:shd w:val="clear" w:color="auto" w:fill="FFFFFF"/>
            <w:vAlign w:val="center"/>
          </w:tcPr>
          <w:p w14:paraId="1E9945B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0,004</w:t>
            </w:r>
          </w:p>
        </w:tc>
      </w:tr>
      <w:tr w:rsidR="00A0251B" w:rsidRPr="00CC35F0" w14:paraId="0B2BEDFC" w14:textId="77777777">
        <w:trPr>
          <w:gridAfter w:val="2"/>
          <w:wAfter w:w="16" w:type="dxa"/>
          <w:trHeight w:val="225"/>
        </w:trPr>
        <w:tc>
          <w:tcPr>
            <w:tcW w:w="690" w:type="dxa"/>
            <w:vMerge/>
            <w:shd w:val="clear" w:color="auto" w:fill="auto"/>
            <w:vAlign w:val="center"/>
          </w:tcPr>
          <w:p w14:paraId="30ED4A0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1A3EC68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7553729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1D6048F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NH</w:t>
            </w:r>
            <w:r w:rsidRPr="00CC35F0">
              <w:rPr>
                <w:rFonts w:ascii="Times New Roman" w:eastAsia="Times New Roman" w:hAnsi="Times New Roman"/>
                <w:color w:val="000000"/>
                <w:sz w:val="24"/>
                <w:szCs w:val="24"/>
                <w:vertAlign w:val="subscript"/>
                <w:lang w:val="sr-Cyrl-CS"/>
              </w:rPr>
              <w:t>3</w:t>
            </w:r>
          </w:p>
        </w:tc>
        <w:tc>
          <w:tcPr>
            <w:tcW w:w="1500" w:type="dxa"/>
            <w:vMerge/>
            <w:shd w:val="clear" w:color="auto" w:fill="FFFFFF"/>
            <w:vAlign w:val="center"/>
          </w:tcPr>
          <w:p w14:paraId="11DB656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28CCD836"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-0,004</w:t>
            </w:r>
          </w:p>
        </w:tc>
        <w:tc>
          <w:tcPr>
            <w:tcW w:w="1414" w:type="dxa"/>
            <w:gridSpan w:val="3"/>
            <w:shd w:val="clear" w:color="auto" w:fill="FFFFFF"/>
            <w:vAlign w:val="center"/>
          </w:tcPr>
          <w:p w14:paraId="558F5C45"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-0,001</w:t>
            </w:r>
          </w:p>
        </w:tc>
        <w:tc>
          <w:tcPr>
            <w:tcW w:w="1415" w:type="dxa"/>
            <w:gridSpan w:val="2"/>
            <w:shd w:val="clear" w:color="auto" w:fill="FFFFFF"/>
            <w:vAlign w:val="center"/>
          </w:tcPr>
          <w:p w14:paraId="77D395EF"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0,000</w:t>
            </w:r>
          </w:p>
        </w:tc>
      </w:tr>
      <w:tr w:rsidR="00A0251B" w:rsidRPr="00CC35F0" w14:paraId="6F10ECAD" w14:textId="77777777">
        <w:trPr>
          <w:trHeight w:val="442"/>
        </w:trPr>
        <w:tc>
          <w:tcPr>
            <w:tcW w:w="690" w:type="dxa"/>
            <w:shd w:val="clear" w:color="auto" w:fill="44546A"/>
            <w:vAlign w:val="center"/>
          </w:tcPr>
          <w:p w14:paraId="2F558F46"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lastRenderedPageBreak/>
              <w:t>WAM A6</w:t>
            </w:r>
          </w:p>
        </w:tc>
        <w:tc>
          <w:tcPr>
            <w:tcW w:w="15018" w:type="dxa"/>
            <w:gridSpan w:val="13"/>
            <w:shd w:val="clear" w:color="auto" w:fill="44546A"/>
            <w:vAlign w:val="center"/>
          </w:tcPr>
          <w:p w14:paraId="00664926"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ТМ</w:t>
            </w:r>
          </w:p>
        </w:tc>
      </w:tr>
      <w:tr w:rsidR="00A0251B" w:rsidRPr="00CC35F0" w14:paraId="0DED9A23" w14:textId="77777777">
        <w:trPr>
          <w:trHeight w:val="212"/>
        </w:trPr>
        <w:tc>
          <w:tcPr>
            <w:tcW w:w="690" w:type="dxa"/>
            <w:vMerge w:val="restart"/>
            <w:shd w:val="clear" w:color="auto" w:fill="auto"/>
            <w:vAlign w:val="center"/>
          </w:tcPr>
          <w:p w14:paraId="775499B0"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6</w:t>
            </w:r>
          </w:p>
        </w:tc>
        <w:tc>
          <w:tcPr>
            <w:tcW w:w="15018" w:type="dxa"/>
            <w:gridSpan w:val="13"/>
            <w:shd w:val="clear" w:color="auto" w:fill="auto"/>
            <w:vAlign w:val="center"/>
          </w:tcPr>
          <w:p w14:paraId="0398F24C"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w:t>
            </w:r>
            <w:r w:rsidRPr="00CC35F0">
              <w:rPr>
                <w:rFonts w:ascii="Times New Roman" w:eastAsia="Times New Roman" w:hAnsi="Times New Roman"/>
                <w:b/>
                <w:sz w:val="24"/>
                <w:szCs w:val="24"/>
                <w:lang w:val="sr-Cyrl-CS"/>
              </w:rPr>
              <w:t xml:space="preserve"> </w:t>
            </w:r>
          </w:p>
          <w:p w14:paraId="1D93FCBE"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5153C22A"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154CA77E"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Ова мера представља спровођење граничних вредности емисије за главне загађујуће материје из Директиве ЕУ 2016/1628 за нову ТМ.  </w:t>
            </w:r>
          </w:p>
          <w:p w14:paraId="38C24545"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Овим прописом обухваћен је велики број машина из опсега ТМ. То су, између осталог: </w:t>
            </w:r>
          </w:p>
          <w:p w14:paraId="0FE84043" w14:textId="77777777" w:rsidR="00A0251B" w:rsidRPr="00CC35F0" w:rsidRDefault="008D6506" w:rsidP="00382EC6">
            <w:pPr>
              <w:numPr>
                <w:ilvl w:val="0"/>
                <w:numId w:val="13"/>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Грађевинске машине (нпр. багери и булдожери),</w:t>
            </w:r>
          </w:p>
          <w:p w14:paraId="5BF5F5CC" w14:textId="77777777" w:rsidR="00A0251B" w:rsidRPr="00CC35F0" w:rsidRDefault="008D6506" w:rsidP="00382EC6">
            <w:pPr>
              <w:numPr>
                <w:ilvl w:val="0"/>
                <w:numId w:val="13"/>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Пољопривредна механизација (нпр. распршивачи на сопствени погон и опрема за жетву),</w:t>
            </w:r>
          </w:p>
          <w:p w14:paraId="05E37A70" w14:textId="77777777" w:rsidR="00A0251B" w:rsidRPr="00CC35F0" w:rsidRDefault="008D6506" w:rsidP="00382EC6">
            <w:pPr>
              <w:numPr>
                <w:ilvl w:val="0"/>
                <w:numId w:val="13"/>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Машине за руковање материјалима (нпр. дизалице и индустријски камиони), </w:t>
            </w:r>
          </w:p>
          <w:p w14:paraId="02DCE0AD" w14:textId="77777777" w:rsidR="00A0251B" w:rsidRPr="00CC35F0" w:rsidRDefault="008D6506" w:rsidP="00382EC6">
            <w:pPr>
              <w:numPr>
                <w:ilvl w:val="0"/>
                <w:numId w:val="13"/>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Баштенске машине (нпр. косилице и тримери),</w:t>
            </w:r>
          </w:p>
          <w:p w14:paraId="6EA3F2FC" w14:textId="77777777" w:rsidR="00A0251B" w:rsidRPr="00CC35F0" w:rsidRDefault="008D6506" w:rsidP="00382EC6">
            <w:pPr>
              <w:numPr>
                <w:ilvl w:val="0"/>
                <w:numId w:val="13"/>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Комунална опрема (нпр. чистачи улица и возила зимске службе),</w:t>
            </w:r>
          </w:p>
          <w:p w14:paraId="22AD98D9" w14:textId="77777777" w:rsidR="00A0251B" w:rsidRPr="00CC35F0" w:rsidRDefault="008D6506" w:rsidP="00382EC6">
            <w:pPr>
              <w:numPr>
                <w:ilvl w:val="0"/>
                <w:numId w:val="13"/>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Мобилни агрегати, </w:t>
            </w:r>
          </w:p>
          <w:p w14:paraId="78CD8B94" w14:textId="77777777" w:rsidR="00A0251B" w:rsidRPr="00CC35F0" w:rsidRDefault="00CE304E" w:rsidP="00382EC6">
            <w:pPr>
              <w:numPr>
                <w:ilvl w:val="0"/>
                <w:numId w:val="13"/>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Pr>
                <w:rFonts w:ascii="Times New Roman" w:eastAsia="Times New Roman" w:hAnsi="Times New Roman"/>
                <w:color w:val="000000"/>
                <w:sz w:val="24"/>
                <w:szCs w:val="24"/>
                <w:lang w:val="sr-Cyrl-CS"/>
              </w:rPr>
              <w:t>Бродски мотори.</w:t>
            </w:r>
          </w:p>
          <w:p w14:paraId="0070A94D"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Утицај ове мере односи се на грађевинску и пољопривредну механизацију.</w:t>
            </w:r>
          </w:p>
          <w:p w14:paraId="7D1B9E40" w14:textId="77777777" w:rsidR="00A0251B" w:rsidRPr="00CC35F0" w:rsidRDefault="00A0251B">
            <w:pPr>
              <w:spacing w:after="0"/>
              <w:rPr>
                <w:rFonts w:ascii="Times New Roman" w:eastAsia="Times New Roman" w:hAnsi="Times New Roman"/>
                <w:b/>
                <w:sz w:val="24"/>
                <w:szCs w:val="24"/>
                <w:lang w:val="sr-Cyrl-CS"/>
              </w:rPr>
            </w:pPr>
          </w:p>
          <w:p w14:paraId="2792EEB2"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Циљ у вези са ЕУ:</w:t>
            </w:r>
            <w:r w:rsidRPr="00CC35F0">
              <w:rPr>
                <w:rFonts w:ascii="Times New Roman" w:eastAsia="Times New Roman" w:hAnsi="Times New Roman"/>
                <w:sz w:val="24"/>
                <w:szCs w:val="24"/>
                <w:lang w:val="sr-Cyrl-CS"/>
              </w:rPr>
              <w:t xml:space="preserve"> </w:t>
            </w:r>
          </w:p>
          <w:p w14:paraId="4ADBE1D4"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Саобраћај – ефикасност возила</w:t>
            </w:r>
          </w:p>
          <w:p w14:paraId="70736093"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154CCA16"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3DF16A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Побољшање квалитета ваздуха у </w:t>
            </w:r>
            <w:r w:rsidR="00B86E82"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 xml:space="preserve">Србији како би се избегла прекорачења граничних вредности за квалитет ваздуха </w:t>
            </w:r>
          </w:p>
          <w:p w14:paraId="717CBB85" w14:textId="77777777" w:rsidR="00A0251B" w:rsidRPr="00CC35F0" w:rsidRDefault="008D6506">
            <w:pPr>
              <w:spacing w:after="0"/>
              <w:rPr>
                <w:rFonts w:ascii="Times New Roman" w:eastAsia="Times New Roman" w:hAnsi="Times New Roman"/>
                <w:i/>
                <w:sz w:val="24"/>
                <w:szCs w:val="24"/>
                <w:lang w:val="sr-Cyrl-CS"/>
              </w:rPr>
            </w:pPr>
            <w:r w:rsidRPr="00CC35F0">
              <w:rPr>
                <w:rFonts w:ascii="Times New Roman" w:eastAsia="Times New Roman" w:hAnsi="Times New Roman"/>
                <w:i/>
                <w:sz w:val="24"/>
                <w:szCs w:val="24"/>
                <w:lang w:val="sr-Cyrl-CS"/>
              </w:rPr>
              <w:t> </w:t>
            </w:r>
          </w:p>
          <w:p w14:paraId="5932D3A1"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51F7540C" w14:textId="77777777">
        <w:trPr>
          <w:gridAfter w:val="2"/>
          <w:wAfter w:w="16" w:type="dxa"/>
          <w:trHeight w:val="385"/>
        </w:trPr>
        <w:tc>
          <w:tcPr>
            <w:tcW w:w="690" w:type="dxa"/>
            <w:vMerge/>
            <w:shd w:val="clear" w:color="auto" w:fill="auto"/>
            <w:vAlign w:val="center"/>
          </w:tcPr>
          <w:p w14:paraId="6F3EF19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5CC78652"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6D78EED9"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85" w:type="dxa"/>
            <w:vMerge w:val="restart"/>
            <w:shd w:val="clear" w:color="auto" w:fill="D9D9D9"/>
            <w:vAlign w:val="center"/>
          </w:tcPr>
          <w:p w14:paraId="536FECB9"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500" w:type="dxa"/>
            <w:vMerge w:val="restart"/>
            <w:shd w:val="clear" w:color="auto" w:fill="D9D9D9"/>
            <w:vAlign w:val="center"/>
          </w:tcPr>
          <w:p w14:paraId="07D952A5"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4203" w:type="dxa"/>
            <w:gridSpan w:val="7"/>
            <w:shd w:val="clear" w:color="auto" w:fill="D9D9D9"/>
            <w:vAlign w:val="center"/>
          </w:tcPr>
          <w:p w14:paraId="37444AD3"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1DE3645B" w14:textId="77777777">
        <w:trPr>
          <w:gridAfter w:val="2"/>
          <w:wAfter w:w="16" w:type="dxa"/>
          <w:trHeight w:val="385"/>
        </w:trPr>
        <w:tc>
          <w:tcPr>
            <w:tcW w:w="690" w:type="dxa"/>
            <w:vMerge/>
            <w:shd w:val="clear" w:color="auto" w:fill="auto"/>
            <w:vAlign w:val="center"/>
          </w:tcPr>
          <w:p w14:paraId="1860309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3D340D3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10EB7EA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85" w:type="dxa"/>
            <w:vMerge/>
            <w:shd w:val="clear" w:color="auto" w:fill="D9D9D9"/>
            <w:vAlign w:val="center"/>
          </w:tcPr>
          <w:p w14:paraId="356587D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00" w:type="dxa"/>
            <w:vMerge/>
            <w:shd w:val="clear" w:color="auto" w:fill="D9D9D9"/>
            <w:vAlign w:val="center"/>
          </w:tcPr>
          <w:p w14:paraId="1318C9B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7"/>
            <w:shd w:val="clear" w:color="auto" w:fill="D9D9D9"/>
            <w:vAlign w:val="center"/>
          </w:tcPr>
          <w:p w14:paraId="38FEB145"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142530D8" w14:textId="77777777">
        <w:trPr>
          <w:gridAfter w:val="2"/>
          <w:wAfter w:w="16" w:type="dxa"/>
          <w:trHeight w:val="418"/>
        </w:trPr>
        <w:tc>
          <w:tcPr>
            <w:tcW w:w="690" w:type="dxa"/>
            <w:vMerge/>
            <w:shd w:val="clear" w:color="auto" w:fill="auto"/>
            <w:vAlign w:val="center"/>
          </w:tcPr>
          <w:p w14:paraId="378DCB0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val="restart"/>
            <w:shd w:val="clear" w:color="auto" w:fill="FFFFFF"/>
            <w:vAlign w:val="center"/>
          </w:tcPr>
          <w:p w14:paraId="55B3A35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МГСИ </w:t>
            </w:r>
          </w:p>
        </w:tc>
        <w:tc>
          <w:tcPr>
            <w:tcW w:w="4283" w:type="dxa"/>
            <w:vMerge w:val="restart"/>
            <w:shd w:val="clear" w:color="auto" w:fill="FFFFFF"/>
            <w:vAlign w:val="center"/>
          </w:tcPr>
          <w:p w14:paraId="678D1BFC"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Агенција за безбедност саобраћаја</w:t>
            </w:r>
          </w:p>
        </w:tc>
        <w:tc>
          <w:tcPr>
            <w:tcW w:w="1485" w:type="dxa"/>
            <w:shd w:val="clear" w:color="auto" w:fill="FFFFFF"/>
            <w:vAlign w:val="center"/>
          </w:tcPr>
          <w:p w14:paraId="2B77904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NOx</w:t>
            </w:r>
          </w:p>
        </w:tc>
        <w:tc>
          <w:tcPr>
            <w:tcW w:w="1500" w:type="dxa"/>
            <w:vMerge w:val="restart"/>
            <w:shd w:val="clear" w:color="auto" w:fill="FFFFFF"/>
            <w:vAlign w:val="center"/>
          </w:tcPr>
          <w:p w14:paraId="24E6C5B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2,5</w:t>
            </w:r>
          </w:p>
        </w:tc>
        <w:tc>
          <w:tcPr>
            <w:tcW w:w="1374" w:type="dxa"/>
            <w:gridSpan w:val="2"/>
            <w:shd w:val="clear" w:color="auto" w:fill="FFFFFF"/>
            <w:vAlign w:val="center"/>
          </w:tcPr>
          <w:p w14:paraId="443ADF3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0,213</w:t>
            </w:r>
          </w:p>
        </w:tc>
        <w:tc>
          <w:tcPr>
            <w:tcW w:w="1414" w:type="dxa"/>
            <w:gridSpan w:val="3"/>
            <w:shd w:val="clear" w:color="auto" w:fill="FFFFFF"/>
            <w:vAlign w:val="center"/>
          </w:tcPr>
          <w:p w14:paraId="2192C2A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1,083</w:t>
            </w:r>
          </w:p>
        </w:tc>
        <w:tc>
          <w:tcPr>
            <w:tcW w:w="1415" w:type="dxa"/>
            <w:gridSpan w:val="2"/>
            <w:shd w:val="clear" w:color="auto" w:fill="FFFFFF"/>
            <w:vAlign w:val="center"/>
          </w:tcPr>
          <w:p w14:paraId="16429A4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1,780</w:t>
            </w:r>
          </w:p>
        </w:tc>
      </w:tr>
      <w:tr w:rsidR="00A0251B" w:rsidRPr="00CC35F0" w14:paraId="6FB97089" w14:textId="77777777">
        <w:trPr>
          <w:gridAfter w:val="2"/>
          <w:wAfter w:w="16" w:type="dxa"/>
          <w:trHeight w:val="269"/>
        </w:trPr>
        <w:tc>
          <w:tcPr>
            <w:tcW w:w="690" w:type="dxa"/>
            <w:vMerge/>
            <w:shd w:val="clear" w:color="auto" w:fill="auto"/>
            <w:vAlign w:val="center"/>
          </w:tcPr>
          <w:p w14:paraId="71CF97E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44032CB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48D66FE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6590809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10</w:t>
            </w:r>
          </w:p>
        </w:tc>
        <w:tc>
          <w:tcPr>
            <w:tcW w:w="1500" w:type="dxa"/>
            <w:vMerge/>
            <w:shd w:val="clear" w:color="auto" w:fill="FFFFFF"/>
            <w:vAlign w:val="center"/>
          </w:tcPr>
          <w:p w14:paraId="73A2AC4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42B7DDD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0,013</w:t>
            </w:r>
          </w:p>
        </w:tc>
        <w:tc>
          <w:tcPr>
            <w:tcW w:w="1414" w:type="dxa"/>
            <w:gridSpan w:val="3"/>
            <w:shd w:val="clear" w:color="auto" w:fill="FFFFFF"/>
            <w:vAlign w:val="center"/>
          </w:tcPr>
          <w:p w14:paraId="22C61D8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0,076</w:t>
            </w:r>
          </w:p>
        </w:tc>
        <w:tc>
          <w:tcPr>
            <w:tcW w:w="1415" w:type="dxa"/>
            <w:gridSpan w:val="2"/>
            <w:shd w:val="clear" w:color="auto" w:fill="FFFFFF"/>
            <w:vAlign w:val="center"/>
          </w:tcPr>
          <w:p w14:paraId="2566B1A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0,125</w:t>
            </w:r>
          </w:p>
        </w:tc>
      </w:tr>
      <w:tr w:rsidR="00A0251B" w:rsidRPr="00CC35F0" w14:paraId="0BC5562C" w14:textId="77777777">
        <w:trPr>
          <w:gridAfter w:val="2"/>
          <w:wAfter w:w="16" w:type="dxa"/>
          <w:trHeight w:val="273"/>
        </w:trPr>
        <w:tc>
          <w:tcPr>
            <w:tcW w:w="690" w:type="dxa"/>
            <w:vMerge/>
            <w:shd w:val="clear" w:color="auto" w:fill="auto"/>
            <w:vAlign w:val="center"/>
          </w:tcPr>
          <w:p w14:paraId="381F2C0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1EEA11B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14B58FC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14590B3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2.5</w:t>
            </w:r>
          </w:p>
        </w:tc>
        <w:tc>
          <w:tcPr>
            <w:tcW w:w="1500" w:type="dxa"/>
            <w:vMerge/>
            <w:shd w:val="clear" w:color="auto" w:fill="FFFFFF"/>
            <w:vAlign w:val="center"/>
          </w:tcPr>
          <w:p w14:paraId="37106C5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0C18146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0,013</w:t>
            </w:r>
          </w:p>
        </w:tc>
        <w:tc>
          <w:tcPr>
            <w:tcW w:w="1414" w:type="dxa"/>
            <w:gridSpan w:val="3"/>
            <w:shd w:val="clear" w:color="auto" w:fill="FFFFFF"/>
            <w:vAlign w:val="center"/>
          </w:tcPr>
          <w:p w14:paraId="12D3770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0,076</w:t>
            </w:r>
          </w:p>
        </w:tc>
        <w:tc>
          <w:tcPr>
            <w:tcW w:w="1415" w:type="dxa"/>
            <w:gridSpan w:val="2"/>
            <w:shd w:val="clear" w:color="auto" w:fill="FFFFFF"/>
            <w:vAlign w:val="center"/>
          </w:tcPr>
          <w:p w14:paraId="5589350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0,125</w:t>
            </w:r>
          </w:p>
        </w:tc>
      </w:tr>
      <w:tr w:rsidR="00A0251B" w:rsidRPr="00CC35F0" w14:paraId="798C6CA8" w14:textId="77777777">
        <w:trPr>
          <w:gridAfter w:val="2"/>
          <w:wAfter w:w="16" w:type="dxa"/>
          <w:trHeight w:val="277"/>
        </w:trPr>
        <w:tc>
          <w:tcPr>
            <w:tcW w:w="690" w:type="dxa"/>
            <w:vMerge/>
            <w:shd w:val="clear" w:color="auto" w:fill="auto"/>
            <w:vAlign w:val="center"/>
          </w:tcPr>
          <w:p w14:paraId="2C8781A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658652F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6D2A93E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157885D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VOC</w:t>
            </w:r>
          </w:p>
        </w:tc>
        <w:tc>
          <w:tcPr>
            <w:tcW w:w="1500" w:type="dxa"/>
            <w:vMerge/>
            <w:shd w:val="clear" w:color="auto" w:fill="FFFFFF"/>
            <w:vAlign w:val="center"/>
          </w:tcPr>
          <w:p w14:paraId="4BB283A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1A71B0F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0,021</w:t>
            </w:r>
          </w:p>
        </w:tc>
        <w:tc>
          <w:tcPr>
            <w:tcW w:w="1414" w:type="dxa"/>
            <w:gridSpan w:val="3"/>
            <w:shd w:val="clear" w:color="auto" w:fill="FFFFFF"/>
            <w:vAlign w:val="center"/>
          </w:tcPr>
          <w:p w14:paraId="169F44B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0,107</w:t>
            </w:r>
          </w:p>
        </w:tc>
        <w:tc>
          <w:tcPr>
            <w:tcW w:w="1415" w:type="dxa"/>
            <w:gridSpan w:val="2"/>
            <w:shd w:val="clear" w:color="auto" w:fill="FFFFFF"/>
            <w:vAlign w:val="center"/>
          </w:tcPr>
          <w:p w14:paraId="771B9E1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0,176</w:t>
            </w:r>
          </w:p>
        </w:tc>
      </w:tr>
      <w:tr w:rsidR="00A0251B" w:rsidRPr="00CC35F0" w14:paraId="5200542C" w14:textId="77777777">
        <w:trPr>
          <w:trHeight w:val="442"/>
        </w:trPr>
        <w:tc>
          <w:tcPr>
            <w:tcW w:w="690" w:type="dxa"/>
            <w:shd w:val="clear" w:color="auto" w:fill="44546A"/>
            <w:vAlign w:val="center"/>
          </w:tcPr>
          <w:p w14:paraId="1B3171EE"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 C1</w:t>
            </w:r>
          </w:p>
        </w:tc>
        <w:tc>
          <w:tcPr>
            <w:tcW w:w="15018" w:type="dxa"/>
            <w:gridSpan w:val="13"/>
            <w:shd w:val="clear" w:color="auto" w:fill="44546A"/>
            <w:vAlign w:val="center"/>
          </w:tcPr>
          <w:p w14:paraId="52EC658A" w14:textId="77777777" w:rsidR="00A0251B" w:rsidRPr="00CC35F0" w:rsidRDefault="008D6506">
            <w:pPr>
              <w:spacing w:after="0"/>
              <w:rPr>
                <w:rFonts w:ascii="Times New Roman" w:eastAsia="Times New Roman" w:hAnsi="Times New Roman"/>
                <w:color w:val="FFFFFF"/>
                <w:sz w:val="24"/>
                <w:szCs w:val="24"/>
                <w:lang w:val="sr-Cyrl-CS"/>
              </w:rPr>
            </w:pPr>
            <w:bookmarkStart w:id="78" w:name="_heading=h.1baon6m" w:colFirst="0" w:colLast="0"/>
            <w:bookmarkEnd w:id="78"/>
            <w:r w:rsidRPr="00CC35F0">
              <w:rPr>
                <w:rFonts w:ascii="Times New Roman" w:eastAsia="Times New Roman" w:hAnsi="Times New Roman"/>
                <w:color w:val="FFFFFF"/>
                <w:sz w:val="24"/>
                <w:szCs w:val="24"/>
                <w:lang w:val="sr-Cyrl-CS"/>
              </w:rPr>
              <w:t>Назив мере/политике:</w:t>
            </w:r>
            <w:r w:rsidRPr="00CC35F0">
              <w:rPr>
                <w:rFonts w:ascii="Times New Roman" w:eastAsia="Times New Roman" w:hAnsi="Times New Roman"/>
                <w:b/>
                <w:color w:val="FFFFFF"/>
                <w:sz w:val="24"/>
                <w:szCs w:val="24"/>
                <w:u w:val="single"/>
                <w:lang w:val="sr-Cyrl-CS"/>
              </w:rPr>
              <w:t xml:space="preserve"> Бржа  замена постојећих уређаја за грејање у домаћинствима новим уређајима који испуњавају захтеве Директиве о еко-дизајну уз финансијске подстицаје и уз већи проценат замене у градовима Крагујевац, Београд, Ниш, Ваљево и Ужице</w:t>
            </w:r>
          </w:p>
        </w:tc>
      </w:tr>
      <w:tr w:rsidR="00A0251B" w:rsidRPr="00CC35F0" w14:paraId="3C8B8EB4" w14:textId="77777777">
        <w:trPr>
          <w:trHeight w:val="212"/>
        </w:trPr>
        <w:tc>
          <w:tcPr>
            <w:tcW w:w="690" w:type="dxa"/>
            <w:vMerge w:val="restart"/>
            <w:shd w:val="clear" w:color="auto" w:fill="auto"/>
            <w:vAlign w:val="center"/>
          </w:tcPr>
          <w:p w14:paraId="71A9EB2E"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7</w:t>
            </w:r>
          </w:p>
        </w:tc>
        <w:tc>
          <w:tcPr>
            <w:tcW w:w="15018" w:type="dxa"/>
            <w:gridSpan w:val="13"/>
            <w:shd w:val="clear" w:color="auto" w:fill="auto"/>
            <w:vAlign w:val="center"/>
          </w:tcPr>
          <w:p w14:paraId="1EB043B1"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 финансијска</w:t>
            </w:r>
            <w:r w:rsidRPr="00CC35F0">
              <w:rPr>
                <w:rFonts w:ascii="Times New Roman" w:eastAsia="Times New Roman" w:hAnsi="Times New Roman"/>
                <w:sz w:val="24"/>
                <w:szCs w:val="24"/>
                <w:lang w:val="sr-Cyrl-CS"/>
              </w:rPr>
              <w:t xml:space="preserve"> </w:t>
            </w:r>
          </w:p>
          <w:p w14:paraId="6B219A11"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032063EF"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0CA66EB7"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мера подразумева спровођење Директиве о еко-дизајну и две сродне Уредбе 2015/1185 и 2015/1189:</w:t>
            </w:r>
          </w:p>
          <w:p w14:paraId="67F2205F"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Уредба 2015/1189 од 28. априла 2015. којом се имплементира Директива 2009/125/ЕЗ Европског парламента и Савета о захтевима еко-дизајна за котлове на чврсто гориво;</w:t>
            </w:r>
          </w:p>
          <w:p w14:paraId="4ED0CEB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Уредба 2015/1185 од 24. априла 2015. којом се имплементира Директива 2009/125/ЕЗ Европског парламента и Савета о захтевима еко-дизајна за локалне грејаче простора на чврсто гориво,</w:t>
            </w:r>
          </w:p>
          <w:p w14:paraId="3B964653"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 поређењу са природном стопом замене од 5% годишње, ова стопа се најмање удвостручава финансијским подстицајима од 2026. године. </w:t>
            </w:r>
          </w:p>
          <w:p w14:paraId="0F14B8D2"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p w14:paraId="2902FB86"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Нови уређаји који се стављају на тржиште морају да испуњавају захтеве ове две уредбе којима се имплементирају граничне вредности емисије за неколико загађујућих материја (PM, NOx, VOC) и параметре енергетске ефикасности за нове уређаје. Дакле, нови уређаји који се произведу или увезу у Србију морају најмање бити у складу са новим граничним вредностима емисије. Ове граничне вредности контролишу се на нивоу производног процеса, не на локацијама на којима се користе. </w:t>
            </w:r>
          </w:p>
          <w:p w14:paraId="7278161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Мером се подразумева да све измене и допуне постојећих прописа буду на снази пре 2024. да би се омогућила замена од 2024. године.</w:t>
            </w:r>
          </w:p>
          <w:p w14:paraId="03F4B5CC"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подразумева да ће финансијски подстицаји омогућити бржу замену уређаја за грејање у домаћинствима у којима се као енергент користи чврсто гориво. </w:t>
            </w:r>
          </w:p>
          <w:p w14:paraId="5DEEF833"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Јавна финансијска подршка је развијена ради обезбеђивања брже замене старих уређаја у целој Србији. Међутим, акценат је стављен на </w:t>
            </w:r>
            <w:r w:rsidR="00B86E82" w:rsidRPr="00CC35F0">
              <w:rPr>
                <w:rFonts w:ascii="Times New Roman" w:eastAsia="Times New Roman" w:hAnsi="Times New Roman"/>
                <w:sz w:val="24"/>
                <w:szCs w:val="24"/>
                <w:lang w:val="sr-Cyrl-CS"/>
              </w:rPr>
              <w:t>пет</w:t>
            </w:r>
            <w:r w:rsidRPr="00CC35F0">
              <w:rPr>
                <w:rFonts w:ascii="Times New Roman" w:eastAsia="Times New Roman" w:hAnsi="Times New Roman"/>
                <w:sz w:val="24"/>
                <w:szCs w:val="24"/>
                <w:lang w:val="sr-Cyrl-CS"/>
              </w:rPr>
              <w:t xml:space="preserve"> градова у којима је потребно брже извршити замену у поређењу са остатком Републике Србије, а с циљем обезбеђивања усаглашености са граничним вредностима емисија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и постизање одговарајућег квалитета ваздуха 2030. године. Степен смањења емисија суспендованих честица у овим градовима мора бити већи него у осталим деловима Републике Србије. Смањења емисија суспендованих честица потребна за осигурање усаглашености са граничним вредностима </w:t>
            </w:r>
            <w:r w:rsidR="00242421" w:rsidRPr="00CC35F0">
              <w:rPr>
                <w:rFonts w:ascii="Times New Roman" w:eastAsia="Times New Roman" w:hAnsi="Times New Roman"/>
                <w:sz w:val="24"/>
                <w:szCs w:val="24"/>
                <w:lang w:val="sr-Cyrl-CS"/>
              </w:rPr>
              <w:t>емисије за квалитет ваздуха су,</w:t>
            </w:r>
            <w:r w:rsidRPr="00CC35F0">
              <w:rPr>
                <w:rFonts w:ascii="Times New Roman" w:eastAsia="Times New Roman" w:hAnsi="Times New Roman"/>
                <w:sz w:val="24"/>
                <w:szCs w:val="24"/>
                <w:lang w:val="sr-Cyrl-CS"/>
              </w:rPr>
              <w:t xml:space="preserve"> у поређењу са 2015. годином, следећа:</w:t>
            </w:r>
          </w:p>
          <w:p w14:paraId="33B492FF"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Београд: -56%; Крагујевац: -54%; Ниш: -73%; Ваљево: -73%; Ужице: -81%; остали део Републике Србије: -46%.</w:t>
            </w:r>
          </w:p>
          <w:p w14:paraId="31780BA4"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Како се оволика смањења у горе набројаним агломерацијама не могу остварити природном заменом уређаја на угаљ и дрва, требало би да се планираним подстицајима постигне та замена. Мера подразумева већи продор уређаја на пелет у пет агломерација/градова са најозбиљнијим </w:t>
            </w:r>
            <w:r w:rsidRPr="00CC35F0">
              <w:rPr>
                <w:rFonts w:ascii="Times New Roman" w:eastAsia="Times New Roman" w:hAnsi="Times New Roman"/>
                <w:sz w:val="24"/>
                <w:szCs w:val="24"/>
                <w:lang w:val="sr-Cyrl-CS"/>
              </w:rPr>
              <w:lastRenderedPageBreak/>
              <w:t>проблемима у погледу квалитета ваздуха, као и инсталацију топлотних пумпи које немају директне емисије суспендованих честица у Нишу, Ваљеву и Ужицу.</w:t>
            </w:r>
          </w:p>
          <w:p w14:paraId="6563659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Крагујевцу, мора се заменити најмање 58% постојећих уређаја еко-дизајнираним, од чега најмање 25% морају бити уређаји на пелет,</w:t>
            </w:r>
          </w:p>
          <w:p w14:paraId="313D825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Београду најмање 58% уређаја мора бити замењено само уређајима на пелет,</w:t>
            </w:r>
          </w:p>
          <w:p w14:paraId="1FBD07D6"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 Ваљеву и Нишу најмање 74% уређаја мора бити замењено са до 50% уређаја на пелет и 50% или више топлотним пумпама, </w:t>
            </w:r>
          </w:p>
          <w:p w14:paraId="31E26F3D"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Ужицу најмање 80% уређаја мора бити замењено са 85% или више топлотних пумпи и до 15% уређајима на пелет.</w:t>
            </w:r>
          </w:p>
          <w:p w14:paraId="56D2507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Горе наведени проценти представљају минимум процената замене, при чему се уређаји на пелет могу пребацити на чистије технологије, уколико буде доступних финансијских средстава. </w:t>
            </w:r>
          </w:p>
          <w:p w14:paraId="5D661F93"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Износ финансијских подстицаја је следећи: 50% на целој територији Републике Србије, осим у Београду, Крагујевцу, Нишу, Ваљеву и Ужицу, где се разматрају подстицаји на нивоу од 80% износа инвестиције (за социо-економски најугроженије подносиоце захтева, треба размотрити подршку у износу од 100%).  </w:t>
            </w:r>
          </w:p>
          <w:p w14:paraId="31D640A4"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апсолутним вредностима, у оквиру сценарија WAM C разматра се следеће:</w:t>
            </w:r>
          </w:p>
          <w:p w14:paraId="037A9F2F" w14:textId="77777777" w:rsidR="00A0251B" w:rsidRPr="00CC35F0" w:rsidRDefault="008D6506" w:rsidP="00382EC6">
            <w:pPr>
              <w:numPr>
                <w:ilvl w:val="0"/>
                <w:numId w:val="14"/>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Локални грејачи простора који користе дрво и који задовољавају услове Еко-дизајна и имају српски знак усаглашености: од 240 до 380 евра; Локалн</w:t>
            </w:r>
            <w:r w:rsidR="00242421" w:rsidRPr="00CC35F0">
              <w:rPr>
                <w:rFonts w:ascii="Times New Roman" w:eastAsia="Times New Roman" w:hAnsi="Times New Roman"/>
                <w:color w:val="000000"/>
                <w:sz w:val="24"/>
                <w:szCs w:val="24"/>
                <w:lang w:val="sr-Cyrl-CS"/>
              </w:rPr>
              <w:t>и грејачи простора који користе</w:t>
            </w:r>
            <w:r w:rsidRPr="00CC35F0">
              <w:rPr>
                <w:rFonts w:ascii="Times New Roman" w:eastAsia="Times New Roman" w:hAnsi="Times New Roman"/>
                <w:color w:val="000000"/>
                <w:sz w:val="24"/>
                <w:szCs w:val="24"/>
                <w:lang w:val="sr-Cyrl-CS"/>
              </w:rPr>
              <w:t xml:space="preserve"> пелет и који задовољавају услове Еко-дизајна и имају српски знак усаглашености: од 400 до 640 евра. Топлотна пумпа (једноставна топлотна пумпа за грејање и хлађење плус пећ на ТНГ) као замена за пећ на дрва: од 440 до 700 евра,</w:t>
            </w:r>
          </w:p>
          <w:p w14:paraId="12398C1E" w14:textId="77777777" w:rsidR="00A0251B" w:rsidRPr="00CC35F0" w:rsidRDefault="008D6506" w:rsidP="00382EC6">
            <w:pPr>
              <w:numPr>
                <w:ilvl w:val="0"/>
                <w:numId w:val="14"/>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Котао на чврсто гориво који задовољава услове Еко-дизајна и има српски знак усаглашености: од 800 до 1300 евра; Котао на пелет који задовољава услове Еко-дизајна и има српски знак усаглашености: од 1200 до 1900 евра,</w:t>
            </w:r>
          </w:p>
          <w:p w14:paraId="44C11DA9" w14:textId="77777777" w:rsidR="00A0251B" w:rsidRPr="00CC35F0" w:rsidRDefault="008D6506" w:rsidP="00382EC6">
            <w:pPr>
              <w:numPr>
                <w:ilvl w:val="0"/>
                <w:numId w:val="14"/>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Топлотна пумпа (топлотна пумпа за грејање и хлађење) као замена за котао на чврсто гориво: од 1860 до 3000 евра.</w:t>
            </w:r>
          </w:p>
          <w:p w14:paraId="3F9BB02A" w14:textId="77777777" w:rsidR="00A0251B" w:rsidRPr="00CC35F0" w:rsidRDefault="00A0251B">
            <w:pPr>
              <w:spacing w:after="0"/>
              <w:rPr>
                <w:rFonts w:ascii="Times New Roman" w:eastAsia="Times New Roman" w:hAnsi="Times New Roman"/>
                <w:sz w:val="24"/>
                <w:szCs w:val="24"/>
                <w:lang w:val="sr-Cyrl-CS"/>
              </w:rPr>
            </w:pPr>
          </w:p>
          <w:p w14:paraId="52C217F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документу нису разматране субвенције за пећи на угаљ које испуњавају захтеве Директиве о еко-дизајну, као ни други уређаји или котлови на угаљ.</w:t>
            </w:r>
          </w:p>
          <w:p w14:paraId="7B1D6CD6" w14:textId="77777777" w:rsidR="00A0251B" w:rsidRPr="00CC35F0" w:rsidRDefault="00A0251B">
            <w:pPr>
              <w:spacing w:after="0"/>
              <w:rPr>
                <w:rFonts w:ascii="Times New Roman" w:eastAsia="Times New Roman" w:hAnsi="Times New Roman"/>
                <w:sz w:val="24"/>
                <w:szCs w:val="24"/>
                <w:lang w:val="sr-Cyrl-CS"/>
              </w:rPr>
            </w:pPr>
          </w:p>
          <w:p w14:paraId="32E54A5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Циљна стопа замене од 10% годишње у периоду од 2026. до 2030. године (у поређењу са природном стопом од 5%) предвиђена је као мања у периоду 2024. и 2025. године (2% и 4%) с обзиром на малу доступност уређаја који задовољавају захтеве Директиве о еко-дизајну на почетку тог периода. После 2030. године разматрана је природна стопа замене. Очекује се да ће се применом ове мере у Србији до 2030. године остварити замена 57% уређаја на чврсту биомасу и угаљ (726.500 уређаја на дрва (76.800 у Београду, 16.600 у Крагујевцу, 15.400 у Ваљеву, 30.650 у Нишу, 13.600 у Ужицу, остало у другим деловима Републике Србије) као и 156.800 уређаја на угаљ, односно 82% таквих уређаја до 2035. године. У Прилогу 5</w:t>
            </w:r>
            <w:r w:rsidR="00B86E82" w:rsidRPr="00CC35F0">
              <w:rPr>
                <w:rFonts w:ascii="Times New Roman" w:eastAsia="Times New Roman" w:hAnsi="Times New Roman"/>
                <w:sz w:val="24"/>
                <w:szCs w:val="24"/>
                <w:lang w:val="sr-Cyrl-CS"/>
              </w:rPr>
              <w:t>, који је одштампан уз овај програм и чини његов састав</w:t>
            </w:r>
            <w:r w:rsidR="00ED64D3" w:rsidRPr="00CC35F0">
              <w:rPr>
                <w:rFonts w:ascii="Times New Roman" w:eastAsia="Times New Roman" w:hAnsi="Times New Roman"/>
                <w:sz w:val="24"/>
                <w:szCs w:val="24"/>
                <w:lang w:val="sr-Cyrl-CS"/>
              </w:rPr>
              <w:t>н</w:t>
            </w:r>
            <w:r w:rsidR="00B86E82" w:rsidRPr="00CC35F0">
              <w:rPr>
                <w:rFonts w:ascii="Times New Roman" w:eastAsia="Times New Roman" w:hAnsi="Times New Roman"/>
                <w:sz w:val="24"/>
                <w:szCs w:val="24"/>
                <w:lang w:val="sr-Cyrl-CS"/>
              </w:rPr>
              <w:t>и део</w:t>
            </w:r>
            <w:r w:rsidRPr="00CC35F0">
              <w:rPr>
                <w:rFonts w:ascii="Times New Roman" w:eastAsia="Times New Roman" w:hAnsi="Times New Roman"/>
                <w:sz w:val="24"/>
                <w:szCs w:val="24"/>
                <w:lang w:val="sr-Cyrl-CS"/>
              </w:rPr>
              <w:t xml:space="preserve"> је дата табела о очекиваном увођењу нових уређаја који испуњавају захтеве Директиве о еко-дизајну.</w:t>
            </w:r>
          </w:p>
          <w:p w14:paraId="216214DF"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p w14:paraId="4AC76F0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За спровођење ове мере, процењена ј</w:t>
            </w:r>
            <w:r w:rsidR="00FC510C" w:rsidRPr="00CC35F0">
              <w:rPr>
                <w:rFonts w:ascii="Times New Roman" w:eastAsia="Times New Roman" w:hAnsi="Times New Roman"/>
                <w:sz w:val="24"/>
                <w:szCs w:val="24"/>
                <w:lang w:val="sr-Cyrl-CS"/>
              </w:rPr>
              <w:t>е потреба запошљавања додатних шест</w:t>
            </w:r>
            <w:r w:rsidR="00184565">
              <w:rPr>
                <w:rFonts w:ascii="Times New Roman" w:eastAsia="Times New Roman" w:hAnsi="Times New Roman"/>
                <w:sz w:val="24"/>
                <w:szCs w:val="24"/>
                <w:lang w:val="sr-Cyrl-CS"/>
              </w:rPr>
              <w:t xml:space="preserve"> лица са пуним радн</w:t>
            </w:r>
            <w:r w:rsidRPr="00CC35F0">
              <w:rPr>
                <w:rFonts w:ascii="Times New Roman" w:eastAsia="Times New Roman" w:hAnsi="Times New Roman"/>
                <w:sz w:val="24"/>
                <w:szCs w:val="24"/>
                <w:lang w:val="sr-Cyrl-CS"/>
              </w:rPr>
              <w:t>им временом.</w:t>
            </w:r>
          </w:p>
          <w:p w14:paraId="5FFA317C" w14:textId="77777777" w:rsidR="00A0251B" w:rsidRPr="00CC35F0" w:rsidRDefault="00A0251B">
            <w:pPr>
              <w:spacing w:after="0"/>
              <w:jc w:val="left"/>
              <w:rPr>
                <w:rFonts w:ascii="Times New Roman" w:eastAsia="Times New Roman" w:hAnsi="Times New Roman"/>
                <w:sz w:val="24"/>
                <w:szCs w:val="24"/>
                <w:lang w:val="sr-Cyrl-CS"/>
              </w:rPr>
            </w:pPr>
          </w:p>
          <w:p w14:paraId="1C493DC3"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Циљ у вези са ЕУ: </w:t>
            </w:r>
          </w:p>
          <w:p w14:paraId="40D321E7"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Потрошња енергије: побољшање ефикасности у зградама.</w:t>
            </w:r>
          </w:p>
          <w:p w14:paraId="7EC8805E" w14:textId="77777777" w:rsidR="00A0251B" w:rsidRPr="00CC35F0" w:rsidRDefault="00A0251B">
            <w:pPr>
              <w:spacing w:after="0"/>
              <w:rPr>
                <w:rFonts w:ascii="Times New Roman" w:eastAsia="Times New Roman" w:hAnsi="Times New Roman"/>
                <w:b/>
                <w:sz w:val="24"/>
                <w:szCs w:val="24"/>
                <w:u w:val="single"/>
                <w:lang w:val="sr-Cyrl-CS"/>
              </w:rPr>
            </w:pPr>
          </w:p>
          <w:p w14:paraId="6CF1941A"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0ACB9053"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емисија загађујућих материја, нарочито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и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w:t>
            </w:r>
          </w:p>
          <w:p w14:paraId="3E6C82C4"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Кључне су мере за смањење емисија суспендованих честица и побољшање квалитета ваздуха у погледу концентрација суспендованих честица.</w:t>
            </w:r>
          </w:p>
          <w:p w14:paraId="63E15F09" w14:textId="77777777" w:rsidR="00A0251B" w:rsidRPr="00CC35F0" w:rsidRDefault="00A0251B">
            <w:pPr>
              <w:spacing w:after="240"/>
              <w:rPr>
                <w:rFonts w:ascii="Times New Roman" w:eastAsia="Times New Roman" w:hAnsi="Times New Roman"/>
                <w:b/>
                <w:sz w:val="24"/>
                <w:szCs w:val="24"/>
                <w:u w:val="single"/>
                <w:lang w:val="sr-Cyrl-CS"/>
              </w:rPr>
            </w:pPr>
          </w:p>
          <w:p w14:paraId="5807C132" w14:textId="77777777" w:rsidR="00A0251B" w:rsidRPr="00CC35F0" w:rsidRDefault="008D6506">
            <w:pPr>
              <w:spacing w:after="24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15FCC61D" w14:textId="77777777">
        <w:trPr>
          <w:gridAfter w:val="2"/>
          <w:wAfter w:w="16" w:type="dxa"/>
          <w:trHeight w:val="385"/>
        </w:trPr>
        <w:tc>
          <w:tcPr>
            <w:tcW w:w="690" w:type="dxa"/>
            <w:vMerge/>
            <w:shd w:val="clear" w:color="auto" w:fill="auto"/>
            <w:vAlign w:val="center"/>
          </w:tcPr>
          <w:p w14:paraId="50EE6CA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65CC0828"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5F61C22B"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85" w:type="dxa"/>
            <w:vMerge w:val="restart"/>
            <w:shd w:val="clear" w:color="auto" w:fill="D9D9D9"/>
            <w:vAlign w:val="center"/>
          </w:tcPr>
          <w:p w14:paraId="4462CB14"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500" w:type="dxa"/>
            <w:vMerge w:val="restart"/>
            <w:shd w:val="clear" w:color="auto" w:fill="D9D9D9"/>
            <w:vAlign w:val="center"/>
          </w:tcPr>
          <w:p w14:paraId="1D15A7D8"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4203" w:type="dxa"/>
            <w:gridSpan w:val="7"/>
            <w:shd w:val="clear" w:color="auto" w:fill="D9D9D9"/>
            <w:vAlign w:val="center"/>
          </w:tcPr>
          <w:p w14:paraId="62D4BA52"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3EB05DB2" w14:textId="77777777">
        <w:trPr>
          <w:gridAfter w:val="2"/>
          <w:wAfter w:w="16" w:type="dxa"/>
          <w:trHeight w:val="385"/>
        </w:trPr>
        <w:tc>
          <w:tcPr>
            <w:tcW w:w="690" w:type="dxa"/>
            <w:vMerge/>
            <w:shd w:val="clear" w:color="auto" w:fill="auto"/>
            <w:vAlign w:val="center"/>
          </w:tcPr>
          <w:p w14:paraId="1D4916B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17F9053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474A7C5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85" w:type="dxa"/>
            <w:vMerge/>
            <w:shd w:val="clear" w:color="auto" w:fill="D9D9D9"/>
            <w:vAlign w:val="center"/>
          </w:tcPr>
          <w:p w14:paraId="0F91735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00" w:type="dxa"/>
            <w:vMerge/>
            <w:shd w:val="clear" w:color="auto" w:fill="D9D9D9"/>
            <w:vAlign w:val="center"/>
          </w:tcPr>
          <w:p w14:paraId="5A01D67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7"/>
            <w:shd w:val="clear" w:color="auto" w:fill="D9D9D9"/>
            <w:vAlign w:val="center"/>
          </w:tcPr>
          <w:p w14:paraId="138DB6F4"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7E52436A" w14:textId="77777777">
        <w:trPr>
          <w:gridAfter w:val="2"/>
          <w:wAfter w:w="16" w:type="dxa"/>
          <w:trHeight w:val="234"/>
        </w:trPr>
        <w:tc>
          <w:tcPr>
            <w:tcW w:w="690" w:type="dxa"/>
            <w:vMerge/>
            <w:shd w:val="clear" w:color="auto" w:fill="auto"/>
            <w:vAlign w:val="center"/>
          </w:tcPr>
          <w:p w14:paraId="0F07523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val="restart"/>
            <w:shd w:val="clear" w:color="auto" w:fill="FFFFFF"/>
            <w:vAlign w:val="center"/>
          </w:tcPr>
          <w:p w14:paraId="26E954E2"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Министарство рударства и енергетике</w:t>
            </w:r>
          </w:p>
        </w:tc>
        <w:tc>
          <w:tcPr>
            <w:tcW w:w="4283" w:type="dxa"/>
            <w:vMerge w:val="restart"/>
            <w:shd w:val="clear" w:color="auto" w:fill="FFFFFF"/>
            <w:vAlign w:val="center"/>
          </w:tcPr>
          <w:p w14:paraId="606A1A39" w14:textId="77777777" w:rsidR="00A0251B" w:rsidRPr="00CC35F0" w:rsidRDefault="008D6506">
            <w:pPr>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Министарство финансија </w:t>
            </w:r>
          </w:p>
          <w:p w14:paraId="617CD86B" w14:textId="77777777" w:rsidR="00A0251B" w:rsidRPr="00CC35F0" w:rsidRDefault="008D6506">
            <w:pPr>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w:t>
            </w:r>
          </w:p>
          <w:p w14:paraId="0D87674D" w14:textId="77777777" w:rsidR="00A0251B" w:rsidRPr="00CC35F0" w:rsidRDefault="000E33E1">
            <w:pPr>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w:t>
            </w:r>
            <w:r w:rsidR="008D6506" w:rsidRPr="00CC35F0">
              <w:rPr>
                <w:rFonts w:ascii="Times New Roman" w:eastAsia="Times New Roman" w:hAnsi="Times New Roman"/>
                <w:color w:val="000000"/>
                <w:sz w:val="24"/>
                <w:szCs w:val="24"/>
                <w:lang w:val="sr-Cyrl-CS"/>
              </w:rPr>
              <w:t>радови Крагујевац, Београд, Ниш, Ваљево и Ужице</w:t>
            </w:r>
          </w:p>
          <w:p w14:paraId="1E92B411" w14:textId="77777777" w:rsidR="00A0251B" w:rsidRPr="00CC35F0" w:rsidRDefault="008D6506">
            <w:pPr>
              <w:spacing w:after="0"/>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Тела за процену усаглашености</w:t>
            </w:r>
          </w:p>
        </w:tc>
        <w:tc>
          <w:tcPr>
            <w:tcW w:w="1485" w:type="dxa"/>
            <w:shd w:val="clear" w:color="auto" w:fill="FFFFFF"/>
            <w:vAlign w:val="center"/>
          </w:tcPr>
          <w:p w14:paraId="7D12A16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10</w:t>
            </w:r>
          </w:p>
        </w:tc>
        <w:tc>
          <w:tcPr>
            <w:tcW w:w="1500" w:type="dxa"/>
            <w:vMerge w:val="restart"/>
            <w:shd w:val="clear" w:color="auto" w:fill="FFFFFF"/>
            <w:vAlign w:val="center"/>
          </w:tcPr>
          <w:p w14:paraId="4EC6D33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2,1</w:t>
            </w:r>
          </w:p>
        </w:tc>
        <w:tc>
          <w:tcPr>
            <w:tcW w:w="1374" w:type="dxa"/>
            <w:gridSpan w:val="2"/>
            <w:shd w:val="clear" w:color="auto" w:fill="FFFFFF"/>
            <w:vAlign w:val="center"/>
          </w:tcPr>
          <w:p w14:paraId="3CA1ED4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1,780</w:t>
            </w:r>
          </w:p>
        </w:tc>
        <w:tc>
          <w:tcPr>
            <w:tcW w:w="1414" w:type="dxa"/>
            <w:gridSpan w:val="3"/>
            <w:shd w:val="clear" w:color="auto" w:fill="FFFFFF"/>
            <w:vAlign w:val="center"/>
          </w:tcPr>
          <w:p w14:paraId="2B187FC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16,480</w:t>
            </w:r>
          </w:p>
        </w:tc>
        <w:tc>
          <w:tcPr>
            <w:tcW w:w="1415" w:type="dxa"/>
            <w:gridSpan w:val="2"/>
            <w:shd w:val="clear" w:color="auto" w:fill="FFFFFF"/>
            <w:vAlign w:val="center"/>
          </w:tcPr>
          <w:p w14:paraId="65EADDF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23,653</w:t>
            </w:r>
          </w:p>
        </w:tc>
      </w:tr>
      <w:tr w:rsidR="00A0251B" w:rsidRPr="00CC35F0" w14:paraId="285574EE" w14:textId="77777777">
        <w:trPr>
          <w:gridAfter w:val="2"/>
          <w:wAfter w:w="16" w:type="dxa"/>
          <w:trHeight w:val="237"/>
        </w:trPr>
        <w:tc>
          <w:tcPr>
            <w:tcW w:w="690" w:type="dxa"/>
            <w:vMerge/>
            <w:shd w:val="clear" w:color="auto" w:fill="auto"/>
            <w:vAlign w:val="center"/>
          </w:tcPr>
          <w:p w14:paraId="34F12EE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23A1DF7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14078A6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0054D8D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2.5</w:t>
            </w:r>
          </w:p>
        </w:tc>
        <w:tc>
          <w:tcPr>
            <w:tcW w:w="1500" w:type="dxa"/>
            <w:vMerge/>
            <w:shd w:val="clear" w:color="auto" w:fill="FFFFFF"/>
            <w:vAlign w:val="center"/>
          </w:tcPr>
          <w:p w14:paraId="520FD15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43DF3F5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1,734</w:t>
            </w:r>
          </w:p>
        </w:tc>
        <w:tc>
          <w:tcPr>
            <w:tcW w:w="1414" w:type="dxa"/>
            <w:gridSpan w:val="3"/>
            <w:shd w:val="clear" w:color="auto" w:fill="FFFFFF"/>
            <w:vAlign w:val="center"/>
          </w:tcPr>
          <w:p w14:paraId="668DC61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16,048</w:t>
            </w:r>
          </w:p>
        </w:tc>
        <w:tc>
          <w:tcPr>
            <w:tcW w:w="1415" w:type="dxa"/>
            <w:gridSpan w:val="2"/>
            <w:shd w:val="clear" w:color="auto" w:fill="FFFFFF"/>
            <w:vAlign w:val="center"/>
          </w:tcPr>
          <w:p w14:paraId="67F475B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23,028</w:t>
            </w:r>
          </w:p>
        </w:tc>
      </w:tr>
      <w:tr w:rsidR="00A0251B" w:rsidRPr="00CC35F0" w14:paraId="50CBC475" w14:textId="77777777">
        <w:trPr>
          <w:gridAfter w:val="2"/>
          <w:wAfter w:w="16" w:type="dxa"/>
          <w:trHeight w:val="114"/>
        </w:trPr>
        <w:tc>
          <w:tcPr>
            <w:tcW w:w="690" w:type="dxa"/>
            <w:vMerge/>
            <w:shd w:val="clear" w:color="auto" w:fill="auto"/>
            <w:vAlign w:val="center"/>
          </w:tcPr>
          <w:p w14:paraId="71739AC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7B06FAE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55D5162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6AC0086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VOC</w:t>
            </w:r>
          </w:p>
        </w:tc>
        <w:tc>
          <w:tcPr>
            <w:tcW w:w="1500" w:type="dxa"/>
            <w:vMerge/>
            <w:shd w:val="clear" w:color="auto" w:fill="FFFFFF"/>
            <w:vAlign w:val="center"/>
          </w:tcPr>
          <w:p w14:paraId="640FF5C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53554F6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0,393</w:t>
            </w:r>
          </w:p>
        </w:tc>
        <w:tc>
          <w:tcPr>
            <w:tcW w:w="1414" w:type="dxa"/>
            <w:gridSpan w:val="3"/>
            <w:shd w:val="clear" w:color="auto" w:fill="FFFFFF"/>
            <w:vAlign w:val="center"/>
          </w:tcPr>
          <w:p w14:paraId="0AD4EAE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10,861</w:t>
            </w:r>
          </w:p>
        </w:tc>
        <w:tc>
          <w:tcPr>
            <w:tcW w:w="1415" w:type="dxa"/>
            <w:gridSpan w:val="2"/>
            <w:shd w:val="clear" w:color="auto" w:fill="FFFFFF"/>
            <w:vAlign w:val="center"/>
          </w:tcPr>
          <w:p w14:paraId="254485B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15,505</w:t>
            </w:r>
          </w:p>
        </w:tc>
      </w:tr>
      <w:tr w:rsidR="00A0251B" w:rsidRPr="00CC35F0" w14:paraId="21E05298" w14:textId="77777777">
        <w:trPr>
          <w:gridAfter w:val="2"/>
          <w:wAfter w:w="16" w:type="dxa"/>
          <w:trHeight w:val="117"/>
        </w:trPr>
        <w:tc>
          <w:tcPr>
            <w:tcW w:w="690" w:type="dxa"/>
            <w:vMerge/>
            <w:shd w:val="clear" w:color="auto" w:fill="auto"/>
            <w:vAlign w:val="center"/>
          </w:tcPr>
          <w:p w14:paraId="343C8EB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123B4CD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07FF5F2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6AF0F6A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NOx</w:t>
            </w:r>
          </w:p>
        </w:tc>
        <w:tc>
          <w:tcPr>
            <w:tcW w:w="1500" w:type="dxa"/>
            <w:vMerge/>
            <w:shd w:val="clear" w:color="auto" w:fill="FFFFFF"/>
            <w:vAlign w:val="center"/>
          </w:tcPr>
          <w:p w14:paraId="3932A4E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66ED1C1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-0,059</w:t>
            </w:r>
          </w:p>
        </w:tc>
        <w:tc>
          <w:tcPr>
            <w:tcW w:w="1414" w:type="dxa"/>
            <w:gridSpan w:val="3"/>
            <w:shd w:val="clear" w:color="auto" w:fill="FFFFFF"/>
            <w:vAlign w:val="center"/>
          </w:tcPr>
          <w:p w14:paraId="315B86F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-0,641</w:t>
            </w:r>
          </w:p>
        </w:tc>
        <w:tc>
          <w:tcPr>
            <w:tcW w:w="1415" w:type="dxa"/>
            <w:gridSpan w:val="2"/>
            <w:shd w:val="clear" w:color="auto" w:fill="FFFFFF"/>
            <w:vAlign w:val="center"/>
          </w:tcPr>
          <w:p w14:paraId="1F552E5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-0,933</w:t>
            </w:r>
          </w:p>
        </w:tc>
      </w:tr>
      <w:tr w:rsidR="00A0251B" w:rsidRPr="00CC35F0" w14:paraId="29609C15" w14:textId="77777777">
        <w:trPr>
          <w:gridAfter w:val="2"/>
          <w:wAfter w:w="16" w:type="dxa"/>
          <w:trHeight w:val="135"/>
        </w:trPr>
        <w:tc>
          <w:tcPr>
            <w:tcW w:w="690" w:type="dxa"/>
            <w:vMerge/>
            <w:shd w:val="clear" w:color="auto" w:fill="auto"/>
            <w:vAlign w:val="center"/>
          </w:tcPr>
          <w:p w14:paraId="35CD5C8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2263493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55FC6FD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505C438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SO</w:t>
            </w:r>
            <w:r w:rsidRPr="00CC35F0">
              <w:rPr>
                <w:rFonts w:ascii="Times New Roman" w:eastAsia="Times New Roman" w:hAnsi="Times New Roman"/>
                <w:color w:val="000000"/>
                <w:sz w:val="24"/>
                <w:szCs w:val="24"/>
                <w:vertAlign w:val="subscript"/>
                <w:lang w:val="sr-Cyrl-CS"/>
              </w:rPr>
              <w:t>2</w:t>
            </w:r>
          </w:p>
        </w:tc>
        <w:tc>
          <w:tcPr>
            <w:tcW w:w="1500" w:type="dxa"/>
            <w:vMerge/>
            <w:shd w:val="clear" w:color="auto" w:fill="FFFFFF"/>
            <w:vAlign w:val="center"/>
          </w:tcPr>
          <w:p w14:paraId="7E98895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3CDA620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0,008</w:t>
            </w:r>
          </w:p>
        </w:tc>
        <w:tc>
          <w:tcPr>
            <w:tcW w:w="1414" w:type="dxa"/>
            <w:gridSpan w:val="3"/>
            <w:shd w:val="clear" w:color="auto" w:fill="FFFFFF"/>
            <w:vAlign w:val="center"/>
          </w:tcPr>
          <w:p w14:paraId="20F00EB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0,050</w:t>
            </w:r>
          </w:p>
        </w:tc>
        <w:tc>
          <w:tcPr>
            <w:tcW w:w="1415" w:type="dxa"/>
            <w:gridSpan w:val="2"/>
            <w:shd w:val="clear" w:color="auto" w:fill="FFFFFF"/>
            <w:vAlign w:val="center"/>
          </w:tcPr>
          <w:p w14:paraId="34728B8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0,053</w:t>
            </w:r>
          </w:p>
        </w:tc>
      </w:tr>
      <w:tr w:rsidR="00A0251B" w:rsidRPr="00CC35F0" w14:paraId="60AB1162" w14:textId="77777777">
        <w:trPr>
          <w:gridAfter w:val="2"/>
          <w:wAfter w:w="16" w:type="dxa"/>
          <w:trHeight w:val="34"/>
        </w:trPr>
        <w:tc>
          <w:tcPr>
            <w:tcW w:w="690" w:type="dxa"/>
            <w:vMerge/>
            <w:shd w:val="clear" w:color="auto" w:fill="auto"/>
            <w:vAlign w:val="center"/>
          </w:tcPr>
          <w:p w14:paraId="7A508EC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7F81FDC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38F25A0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85" w:type="dxa"/>
            <w:shd w:val="clear" w:color="auto" w:fill="FFFFFF"/>
            <w:vAlign w:val="center"/>
          </w:tcPr>
          <w:p w14:paraId="4475373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NH</w:t>
            </w:r>
            <w:r w:rsidRPr="00CC35F0">
              <w:rPr>
                <w:rFonts w:ascii="Times New Roman" w:eastAsia="Times New Roman" w:hAnsi="Times New Roman"/>
                <w:color w:val="000000"/>
                <w:sz w:val="24"/>
                <w:szCs w:val="24"/>
                <w:vertAlign w:val="subscript"/>
                <w:lang w:val="sr-Cyrl-CS"/>
              </w:rPr>
              <w:t>3</w:t>
            </w:r>
          </w:p>
        </w:tc>
        <w:tc>
          <w:tcPr>
            <w:tcW w:w="1500" w:type="dxa"/>
            <w:vMerge/>
            <w:shd w:val="clear" w:color="auto" w:fill="FFFFFF"/>
            <w:vAlign w:val="center"/>
          </w:tcPr>
          <w:p w14:paraId="5FD4A71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7C1B740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0,008</w:t>
            </w:r>
          </w:p>
        </w:tc>
        <w:tc>
          <w:tcPr>
            <w:tcW w:w="1414" w:type="dxa"/>
            <w:gridSpan w:val="3"/>
            <w:shd w:val="clear" w:color="auto" w:fill="FFFFFF"/>
            <w:vAlign w:val="center"/>
          </w:tcPr>
          <w:p w14:paraId="443EF36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0,050</w:t>
            </w:r>
          </w:p>
        </w:tc>
        <w:tc>
          <w:tcPr>
            <w:tcW w:w="1415" w:type="dxa"/>
            <w:gridSpan w:val="2"/>
            <w:shd w:val="clear" w:color="auto" w:fill="FFFFFF"/>
            <w:vAlign w:val="center"/>
          </w:tcPr>
          <w:p w14:paraId="3E0BAAF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0,053</w:t>
            </w:r>
          </w:p>
        </w:tc>
      </w:tr>
      <w:tr w:rsidR="00A0251B" w:rsidRPr="00CC35F0" w14:paraId="75524D73" w14:textId="77777777">
        <w:trPr>
          <w:trHeight w:val="442"/>
        </w:trPr>
        <w:tc>
          <w:tcPr>
            <w:tcW w:w="690" w:type="dxa"/>
            <w:shd w:val="clear" w:color="auto" w:fill="44546A"/>
            <w:vAlign w:val="center"/>
          </w:tcPr>
          <w:p w14:paraId="1DC6D144"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WAMA7</w:t>
            </w:r>
          </w:p>
        </w:tc>
        <w:tc>
          <w:tcPr>
            <w:tcW w:w="15018" w:type="dxa"/>
            <w:gridSpan w:val="13"/>
            <w:shd w:val="clear" w:color="auto" w:fill="44546A"/>
            <w:vAlign w:val="center"/>
          </w:tcPr>
          <w:p w14:paraId="6F56F06C"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Спровођење измењене Директиве 2009/30/EЗ о квалитету горива и Директиве 2016/802/EЗ о смањењу садржаја сумпора у одређеним течним горивима</w:t>
            </w:r>
          </w:p>
        </w:tc>
      </w:tr>
      <w:tr w:rsidR="00A0251B" w:rsidRPr="00CC35F0" w14:paraId="6EFB8C3B" w14:textId="77777777">
        <w:trPr>
          <w:trHeight w:val="212"/>
        </w:trPr>
        <w:tc>
          <w:tcPr>
            <w:tcW w:w="690" w:type="dxa"/>
            <w:vMerge w:val="restart"/>
            <w:shd w:val="clear" w:color="auto" w:fill="auto"/>
            <w:vAlign w:val="center"/>
          </w:tcPr>
          <w:p w14:paraId="71723C78"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8</w:t>
            </w:r>
          </w:p>
        </w:tc>
        <w:tc>
          <w:tcPr>
            <w:tcW w:w="15018" w:type="dxa"/>
            <w:gridSpan w:val="13"/>
            <w:shd w:val="clear" w:color="auto" w:fill="auto"/>
            <w:vAlign w:val="center"/>
          </w:tcPr>
          <w:p w14:paraId="4686C5FF"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w:t>
            </w:r>
            <w:r w:rsidRPr="00CC35F0">
              <w:rPr>
                <w:rFonts w:ascii="Times New Roman" w:eastAsia="Times New Roman" w:hAnsi="Times New Roman"/>
                <w:b/>
                <w:sz w:val="24"/>
                <w:szCs w:val="24"/>
                <w:lang w:val="sr-Cyrl-CS"/>
              </w:rPr>
              <w:t xml:space="preserve"> </w:t>
            </w:r>
          </w:p>
          <w:p w14:paraId="3B66B1F6"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6DC5FA8A"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5F29679B"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Директивом (ЕУ) 2016/802 Европског парламента и Савета од 11. маја 2016. године која се односи на смањење садржаја сумпора у неким течним горивима уведен је максимални садржај сумпора за одређена горива: уље за ложење 1%; гасно уље 0,1%; бродска горива 0,5%; бродска горива која се користе у пристаништима 0,1%.</w:t>
            </w:r>
          </w:p>
          <w:p w14:paraId="52789FAA"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Директива 2009/30/ЕЗ Европског парламента и Савета од 23. априла 2009. године о изменама Директиве 98/70/ЕЗ о спецификацијама бензина, дизела и гасног уља, којом се уводе механизми за праћење и смањење емисије гасова са ефектом стаклене баште и која мења Директиву Савета 1999/32/ЕЗ о спецификацијама горива коју користе пловила на унутрашњим пловним путевима, и која замењује Директиву 93/12/ЕЕЗ, примењује се на бензин, дизел и биогорива која се користе у друмском саобраћају и гасно уље које се користи за погон ТМ. Садржај сумпора у горивима за ТМ (укључујући покретну механизацију, пољопривредне и шумарске тракторе, као и пловила на унутрашњим пловним путевима и рекреативни пловни објекти) био је ограничен на 1000 ppm од 2008, односно на 10 ppm од 2011. године.</w:t>
            </w:r>
          </w:p>
          <w:p w14:paraId="78922E5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Мера подразумева ограничење концентрација сумпора у горивима која се користе у покретној ТМ која се користи у грађевинарству и индустрији, у пољопривреди и шумарству и у пловним објектима. Смањење садржаја сумпора у тешком гориву разматра се у индустрији и великим постројењима за сагоревање, али треба подсетити да су граничне вредности из Директиве о индустријским емисијама и Директиве о средњим постројењима за сагоревање строже од оних које се могу остварити коришћењем горива са 1 % сумпора.</w:t>
            </w:r>
          </w:p>
          <w:p w14:paraId="1B08F443"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Годином постизања потпуне усклађености за стационарна постројења са сагоревањем сматра се 2021. (завршетак инвестиције у рафинерији НИС), док ће бродска горива са садржајем сумпора мањим од 0,5% бити доступна за пловила до 2025. године.</w:t>
            </w:r>
          </w:p>
          <w:p w14:paraId="418F5F6B"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Бродска горива за унутрашњу пловидбу су већ усклађена са захтевима Директиве 98/70 која прописује услове за ову врсту горива. Потребно је још прописати квалитет и производњу бродских горива која се користе искључиво за пловидбу на мору. С обзиром на то да је Република Србија земља без излаза на море, након израде Специфичног плана за имплементацију Директиве 2016/802, закључено је да постоји потреба за прописивањем квалитета бродског горива, као и доношењем стандарда, акредитацијом метода и набавком опреме за утврђивање карактеристика бродских горива ради њиховог праћења, што је планирано за 2025. годину.</w:t>
            </w:r>
          </w:p>
          <w:p w14:paraId="344C64BD"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p w14:paraId="71C16A78"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Циљ у вези са ЕУ: </w:t>
            </w:r>
            <w:r w:rsidRPr="00CC35F0">
              <w:rPr>
                <w:rFonts w:ascii="Times New Roman" w:eastAsia="Times New Roman" w:hAnsi="Times New Roman"/>
                <w:sz w:val="24"/>
                <w:szCs w:val="24"/>
                <w:lang w:val="sr-Cyrl-CS"/>
              </w:rPr>
              <w:t xml:space="preserve"> </w:t>
            </w:r>
          </w:p>
          <w:p w14:paraId="241E6632"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 Остало: побољшање квалитета горива</w:t>
            </w:r>
          </w:p>
          <w:p w14:paraId="3D435585" w14:textId="77777777" w:rsidR="00A0251B" w:rsidRPr="00CC35F0" w:rsidRDefault="00A0251B">
            <w:pPr>
              <w:spacing w:after="0"/>
              <w:rPr>
                <w:rFonts w:ascii="Times New Roman" w:eastAsia="Times New Roman" w:hAnsi="Times New Roman"/>
                <w:b/>
                <w:sz w:val="24"/>
                <w:szCs w:val="24"/>
                <w:u w:val="single"/>
                <w:lang w:val="sr-Cyrl-CS"/>
              </w:rPr>
            </w:pPr>
          </w:p>
          <w:p w14:paraId="5B34A27C"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0D4A60B7"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у </w:t>
            </w:r>
            <w:r w:rsidR="008165D0"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 xml:space="preserve">Србији у циљу постизања усаглашености са Директивом ЕУ 2284/2016 </w:t>
            </w:r>
          </w:p>
          <w:p w14:paraId="796D1502"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Допринос побољшању квалитета ваздуха у </w:t>
            </w:r>
            <w:r w:rsidR="008165D0"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Србији</w:t>
            </w:r>
          </w:p>
          <w:p w14:paraId="68CBE755" w14:textId="77777777" w:rsidR="00A0251B" w:rsidRPr="00CC35F0" w:rsidRDefault="00A0251B">
            <w:pPr>
              <w:spacing w:after="0"/>
              <w:rPr>
                <w:rFonts w:ascii="Times New Roman" w:eastAsia="Times New Roman" w:hAnsi="Times New Roman"/>
                <w:b/>
                <w:i/>
                <w:sz w:val="24"/>
                <w:szCs w:val="24"/>
                <w:u w:val="single"/>
                <w:lang w:val="sr-Cyrl-CS"/>
              </w:rPr>
            </w:pPr>
          </w:p>
          <w:p w14:paraId="7176A096"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22A7D179" w14:textId="77777777">
        <w:trPr>
          <w:gridAfter w:val="2"/>
          <w:wAfter w:w="16" w:type="dxa"/>
          <w:trHeight w:val="385"/>
        </w:trPr>
        <w:tc>
          <w:tcPr>
            <w:tcW w:w="690" w:type="dxa"/>
            <w:vMerge/>
            <w:shd w:val="clear" w:color="auto" w:fill="auto"/>
            <w:vAlign w:val="center"/>
          </w:tcPr>
          <w:p w14:paraId="433FA97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7C54578C"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4AAF8D98"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85" w:type="dxa"/>
            <w:vMerge w:val="restart"/>
            <w:shd w:val="clear" w:color="auto" w:fill="D9D9D9"/>
            <w:vAlign w:val="center"/>
          </w:tcPr>
          <w:p w14:paraId="4BD7E43F"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500" w:type="dxa"/>
            <w:vMerge w:val="restart"/>
            <w:shd w:val="clear" w:color="auto" w:fill="D9D9D9"/>
            <w:vAlign w:val="center"/>
          </w:tcPr>
          <w:p w14:paraId="345C3189"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4203" w:type="dxa"/>
            <w:gridSpan w:val="7"/>
            <w:shd w:val="clear" w:color="auto" w:fill="D9D9D9"/>
            <w:vAlign w:val="center"/>
          </w:tcPr>
          <w:p w14:paraId="4FE516C8"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615A20B1" w14:textId="77777777">
        <w:trPr>
          <w:gridAfter w:val="2"/>
          <w:wAfter w:w="16" w:type="dxa"/>
          <w:trHeight w:val="385"/>
        </w:trPr>
        <w:tc>
          <w:tcPr>
            <w:tcW w:w="690" w:type="dxa"/>
            <w:vMerge/>
            <w:shd w:val="clear" w:color="auto" w:fill="auto"/>
            <w:vAlign w:val="center"/>
          </w:tcPr>
          <w:p w14:paraId="1B1BC82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13D9642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15E498B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85" w:type="dxa"/>
            <w:vMerge/>
            <w:shd w:val="clear" w:color="auto" w:fill="D9D9D9"/>
            <w:vAlign w:val="center"/>
          </w:tcPr>
          <w:p w14:paraId="7DC38F2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00" w:type="dxa"/>
            <w:vMerge/>
            <w:shd w:val="clear" w:color="auto" w:fill="D9D9D9"/>
            <w:vAlign w:val="center"/>
          </w:tcPr>
          <w:p w14:paraId="5258A45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7"/>
            <w:shd w:val="clear" w:color="auto" w:fill="D9D9D9"/>
            <w:vAlign w:val="center"/>
          </w:tcPr>
          <w:p w14:paraId="2DA656BB"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348489A5" w14:textId="77777777">
        <w:trPr>
          <w:gridAfter w:val="1"/>
          <w:wAfter w:w="6" w:type="dxa"/>
          <w:trHeight w:val="918"/>
        </w:trPr>
        <w:tc>
          <w:tcPr>
            <w:tcW w:w="690" w:type="dxa"/>
            <w:vMerge/>
            <w:shd w:val="clear" w:color="auto" w:fill="auto"/>
            <w:vAlign w:val="center"/>
          </w:tcPr>
          <w:p w14:paraId="59A5218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shd w:val="clear" w:color="auto" w:fill="FFFFFF"/>
            <w:vAlign w:val="center"/>
          </w:tcPr>
          <w:p w14:paraId="2F053D12"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рударства и енергетике</w:t>
            </w:r>
          </w:p>
        </w:tc>
        <w:tc>
          <w:tcPr>
            <w:tcW w:w="4283" w:type="dxa"/>
            <w:shd w:val="clear" w:color="auto" w:fill="FFFFFF"/>
            <w:vAlign w:val="center"/>
          </w:tcPr>
          <w:p w14:paraId="7704B85F" w14:textId="77777777" w:rsidR="00A0251B" w:rsidRPr="00CC35F0" w:rsidRDefault="0099032C">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МГСИ</w:t>
            </w:r>
            <w:r w:rsidR="008D6506" w:rsidRPr="00CC35F0">
              <w:rPr>
                <w:rFonts w:ascii="Times New Roman" w:eastAsia="Times New Roman" w:hAnsi="Times New Roman"/>
                <w:color w:val="000000"/>
                <w:sz w:val="24"/>
                <w:szCs w:val="24"/>
                <w:lang w:val="sr-Cyrl-CS"/>
              </w:rPr>
              <w:t xml:space="preserve"> (Сектор за водни саобраћај и безбедност пловидбе)</w:t>
            </w:r>
          </w:p>
          <w:p w14:paraId="0B2216BE"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Министарство финансија  </w:t>
            </w:r>
          </w:p>
          <w:p w14:paraId="35CF1ED0"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65DDD658"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унутрашње и спољне трговине</w:t>
            </w:r>
          </w:p>
        </w:tc>
        <w:tc>
          <w:tcPr>
            <w:tcW w:w="1485" w:type="dxa"/>
            <w:shd w:val="clear" w:color="auto" w:fill="FFFFFF"/>
            <w:vAlign w:val="center"/>
          </w:tcPr>
          <w:p w14:paraId="0A74E46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SO</w:t>
            </w:r>
            <w:r w:rsidRPr="00CC35F0">
              <w:rPr>
                <w:rFonts w:ascii="Times New Roman" w:eastAsia="Times New Roman" w:hAnsi="Times New Roman"/>
                <w:color w:val="000000"/>
                <w:sz w:val="24"/>
                <w:szCs w:val="24"/>
                <w:vertAlign w:val="subscript"/>
                <w:lang w:val="sr-Cyrl-CS"/>
              </w:rPr>
              <w:t>2</w:t>
            </w:r>
          </w:p>
        </w:tc>
        <w:tc>
          <w:tcPr>
            <w:tcW w:w="1500" w:type="dxa"/>
            <w:shd w:val="clear" w:color="auto" w:fill="FFFFFF"/>
            <w:vAlign w:val="center"/>
          </w:tcPr>
          <w:p w14:paraId="416C307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0,2</w:t>
            </w:r>
          </w:p>
        </w:tc>
        <w:tc>
          <w:tcPr>
            <w:tcW w:w="1434" w:type="dxa"/>
            <w:gridSpan w:val="3"/>
            <w:shd w:val="clear" w:color="auto" w:fill="FFFFFF"/>
            <w:vAlign w:val="center"/>
          </w:tcPr>
          <w:p w14:paraId="6E8C43A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0,24</w:t>
            </w:r>
          </w:p>
        </w:tc>
        <w:tc>
          <w:tcPr>
            <w:tcW w:w="1389" w:type="dxa"/>
            <w:gridSpan w:val="3"/>
            <w:shd w:val="clear" w:color="auto" w:fill="FFFFFF"/>
            <w:vAlign w:val="center"/>
          </w:tcPr>
          <w:p w14:paraId="160B881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0,24</w:t>
            </w:r>
          </w:p>
        </w:tc>
        <w:tc>
          <w:tcPr>
            <w:tcW w:w="1390" w:type="dxa"/>
            <w:gridSpan w:val="2"/>
            <w:shd w:val="clear" w:color="auto" w:fill="FFFFFF"/>
            <w:vAlign w:val="center"/>
          </w:tcPr>
          <w:p w14:paraId="537116C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0,26</w:t>
            </w:r>
          </w:p>
        </w:tc>
      </w:tr>
      <w:tr w:rsidR="00A0251B" w:rsidRPr="00CC35F0" w14:paraId="3AB3702C" w14:textId="77777777">
        <w:trPr>
          <w:trHeight w:val="442"/>
        </w:trPr>
        <w:tc>
          <w:tcPr>
            <w:tcW w:w="690" w:type="dxa"/>
            <w:shd w:val="clear" w:color="auto" w:fill="44546A"/>
            <w:vAlign w:val="center"/>
          </w:tcPr>
          <w:p w14:paraId="5BA14A3E"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 A8</w:t>
            </w:r>
          </w:p>
        </w:tc>
        <w:tc>
          <w:tcPr>
            <w:tcW w:w="15018" w:type="dxa"/>
            <w:gridSpan w:val="13"/>
            <w:shd w:val="clear" w:color="auto" w:fill="44546A"/>
            <w:vAlign w:val="center"/>
          </w:tcPr>
          <w:p w14:paraId="55AA1B6B" w14:textId="77777777" w:rsidR="00A0251B" w:rsidRPr="00CC35F0" w:rsidRDefault="008D6506">
            <w:pPr>
              <w:spacing w:after="0"/>
              <w:rPr>
                <w:rFonts w:ascii="Times New Roman" w:eastAsia="Times New Roman" w:hAnsi="Times New Roman"/>
                <w:b/>
                <w:color w:val="FFFFFF"/>
                <w:sz w:val="24"/>
                <w:szCs w:val="24"/>
                <w:u w:val="single"/>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Ограничавање емисија VOC спровођењем 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w:t>
            </w:r>
          </w:p>
          <w:p w14:paraId="79EAAB1D" w14:textId="77777777" w:rsidR="00A0251B" w:rsidRPr="00CC35F0" w:rsidRDefault="00A0251B">
            <w:pPr>
              <w:spacing w:after="0"/>
              <w:rPr>
                <w:rFonts w:ascii="Times New Roman" w:eastAsia="Times New Roman" w:hAnsi="Times New Roman"/>
                <w:color w:val="FFFFFF"/>
                <w:sz w:val="24"/>
                <w:szCs w:val="24"/>
                <w:lang w:val="sr-Cyrl-CS"/>
              </w:rPr>
            </w:pPr>
          </w:p>
        </w:tc>
      </w:tr>
      <w:tr w:rsidR="00A0251B" w:rsidRPr="00CC35F0" w14:paraId="3E2DD82F" w14:textId="77777777">
        <w:trPr>
          <w:trHeight w:val="212"/>
        </w:trPr>
        <w:tc>
          <w:tcPr>
            <w:tcW w:w="690" w:type="dxa"/>
            <w:vMerge w:val="restart"/>
            <w:shd w:val="clear" w:color="auto" w:fill="auto"/>
            <w:vAlign w:val="center"/>
          </w:tcPr>
          <w:p w14:paraId="10E30C8C"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9</w:t>
            </w:r>
          </w:p>
        </w:tc>
        <w:tc>
          <w:tcPr>
            <w:tcW w:w="15018" w:type="dxa"/>
            <w:gridSpan w:val="13"/>
            <w:shd w:val="clear" w:color="auto" w:fill="auto"/>
            <w:vAlign w:val="center"/>
          </w:tcPr>
          <w:p w14:paraId="7165120D"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w:t>
            </w:r>
          </w:p>
          <w:p w14:paraId="4D726998"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3949C336"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5DD2C40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мера има за циљ ограничавање емисија VOC из дистрибуције бензина са терминала, привремених резервоара и бензинских станица кроз примену захтева 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w:t>
            </w:r>
          </w:p>
          <w:p w14:paraId="79B769CE"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Емисије VOC се на терминалу ограничавају на неколико начина, на пример коришћењем резервоара са спољним плутајућим крововима са примарним и секундарним заптивкама и опреме за утовар и истакање дизајниране тако да се смање укупни годишњи губици испарљивих органских једињења у складу са захтевима Директиве ЕУ 94/63/ЕЗ. Истиснуте паре се враћају кроз водонепропусну везу до јединице за сакупљање паре ради регенерације на терминалу. </w:t>
            </w:r>
          </w:p>
          <w:p w14:paraId="0C62EA3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Покретни контејнери су дизајнирани и подешени тако да задржавају пару која се враћа из складишних инсталација. На нивоу бензинске пумпе, опрема за утовар и складиштење дизајнирана је тако да се смањују губици испарљивих органских једињења у складу са захтевима Директиве ЕУ 94/63/ЕЗ.</w:t>
            </w:r>
          </w:p>
          <w:p w14:paraId="49BF1212"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Сакупљање бензинске паре у другој фази укључује сакупљање испарења бензина истиснутих из резервоара за гориво у возилу током допуњавања резервоара и за пренос те бензинске паре до подземног складишта.</w:t>
            </w:r>
          </w:p>
          <w:p w14:paraId="4225263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Минимум ефикасности коју треба постићи прописана је двема поменутим директивама.</w:t>
            </w:r>
          </w:p>
          <w:p w14:paraId="2636DDA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Подразумева се да ће целокупан ланац дистрибуције бензина бити у складу са захтевима ове две директиве 2028. године како је описано у Специфичном плану за спровођење ове две директиве (верзија из августа 2021. године). </w:t>
            </w:r>
          </w:p>
          <w:p w14:paraId="21E102F7"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503B8E47"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Циљ у вези са ЕУ:</w:t>
            </w:r>
          </w:p>
          <w:p w14:paraId="17CE1DC0"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8 Остало: ограничавање емисија из дистрибуције бензина</w:t>
            </w:r>
          </w:p>
          <w:p w14:paraId="59580E10" w14:textId="77777777" w:rsidR="00A0251B" w:rsidRPr="00CC35F0" w:rsidRDefault="00A0251B">
            <w:pPr>
              <w:spacing w:after="0"/>
              <w:rPr>
                <w:rFonts w:ascii="Times New Roman" w:eastAsia="Times New Roman" w:hAnsi="Times New Roman"/>
                <w:sz w:val="24"/>
                <w:szCs w:val="24"/>
                <w:lang w:val="sr-Cyrl-CS"/>
              </w:rPr>
            </w:pPr>
          </w:p>
          <w:p w14:paraId="22206850"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504E7923"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Смањење укупних емисија VOC </w:t>
            </w:r>
            <w:r w:rsidR="006F08FE"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Србији  у циљу постизања усаглашености са Директивом</w:t>
            </w:r>
            <w:r w:rsidRPr="00CC35F0">
              <w:rPr>
                <w:rFonts w:ascii="Times New Roman" w:eastAsia="Times New Roman" w:hAnsi="Times New Roman"/>
                <w:i/>
                <w:sz w:val="24"/>
                <w:szCs w:val="24"/>
                <w:lang w:val="sr-Cyrl-CS"/>
              </w:rPr>
              <w:t xml:space="preserve"> </w:t>
            </w:r>
            <w:r w:rsidRPr="00CC35F0">
              <w:rPr>
                <w:rFonts w:ascii="Times New Roman" w:eastAsia="Times New Roman" w:hAnsi="Times New Roman"/>
                <w:sz w:val="24"/>
                <w:szCs w:val="24"/>
                <w:lang w:val="sr-Cyrl-CS"/>
              </w:rPr>
              <w:t>ЕУ</w:t>
            </w:r>
            <w:r w:rsidRPr="00CC35F0">
              <w:rPr>
                <w:rFonts w:ascii="Times New Roman" w:eastAsia="Times New Roman" w:hAnsi="Times New Roman"/>
                <w:i/>
                <w:sz w:val="24"/>
                <w:szCs w:val="24"/>
                <w:lang w:val="sr-Cyrl-CS"/>
              </w:rPr>
              <w:t xml:space="preserve"> </w:t>
            </w:r>
            <w:r w:rsidRPr="00CC35F0">
              <w:rPr>
                <w:rFonts w:ascii="Times New Roman" w:eastAsia="Times New Roman" w:hAnsi="Times New Roman"/>
                <w:sz w:val="24"/>
                <w:szCs w:val="24"/>
                <w:lang w:val="sr-Cyrl-CS"/>
              </w:rPr>
              <w:t>2284/2016</w:t>
            </w:r>
          </w:p>
          <w:p w14:paraId="6D8A16C5"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Допринос побољшању квалитета ваздуха у</w:t>
            </w:r>
            <w:r w:rsidR="006F08FE" w:rsidRPr="00CC35F0">
              <w:rPr>
                <w:rFonts w:ascii="Times New Roman" w:eastAsia="Times New Roman" w:hAnsi="Times New Roman"/>
                <w:sz w:val="24"/>
                <w:szCs w:val="24"/>
                <w:lang w:val="sr-Cyrl-CS"/>
              </w:rPr>
              <w:t xml:space="preserve"> Републици</w:t>
            </w:r>
            <w:r w:rsidRPr="00CC35F0">
              <w:rPr>
                <w:rFonts w:ascii="Times New Roman" w:eastAsia="Times New Roman" w:hAnsi="Times New Roman"/>
                <w:sz w:val="24"/>
                <w:szCs w:val="24"/>
                <w:lang w:val="sr-Cyrl-CS"/>
              </w:rPr>
              <w:t xml:space="preserve"> Србији</w:t>
            </w:r>
          </w:p>
          <w:p w14:paraId="65986259" w14:textId="77777777" w:rsidR="00A0251B" w:rsidRPr="00CC35F0" w:rsidRDefault="00A0251B">
            <w:pPr>
              <w:spacing w:after="0"/>
              <w:rPr>
                <w:rFonts w:ascii="Times New Roman" w:eastAsia="Times New Roman" w:hAnsi="Times New Roman"/>
                <w:b/>
                <w:i/>
                <w:sz w:val="24"/>
                <w:szCs w:val="24"/>
                <w:u w:val="single"/>
                <w:lang w:val="sr-Cyrl-CS"/>
              </w:rPr>
            </w:pPr>
          </w:p>
          <w:p w14:paraId="2201E7FF"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5EBAFC5E" w14:textId="77777777">
        <w:trPr>
          <w:gridAfter w:val="2"/>
          <w:wAfter w:w="16" w:type="dxa"/>
          <w:trHeight w:val="385"/>
        </w:trPr>
        <w:tc>
          <w:tcPr>
            <w:tcW w:w="690" w:type="dxa"/>
            <w:vMerge/>
            <w:shd w:val="clear" w:color="auto" w:fill="auto"/>
            <w:vAlign w:val="center"/>
          </w:tcPr>
          <w:p w14:paraId="7FCB65E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39113F29"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65B0E5A1"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85" w:type="dxa"/>
            <w:vMerge w:val="restart"/>
            <w:shd w:val="clear" w:color="auto" w:fill="D9D9D9"/>
            <w:vAlign w:val="center"/>
          </w:tcPr>
          <w:p w14:paraId="4E66343E"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500" w:type="dxa"/>
            <w:vMerge w:val="restart"/>
            <w:shd w:val="clear" w:color="auto" w:fill="D9D9D9"/>
            <w:vAlign w:val="center"/>
          </w:tcPr>
          <w:p w14:paraId="41EF17CC"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4203" w:type="dxa"/>
            <w:gridSpan w:val="7"/>
            <w:shd w:val="clear" w:color="auto" w:fill="D9D9D9"/>
            <w:vAlign w:val="center"/>
          </w:tcPr>
          <w:p w14:paraId="0C70CED2"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00921332" w14:textId="77777777">
        <w:trPr>
          <w:gridAfter w:val="2"/>
          <w:wAfter w:w="16" w:type="dxa"/>
          <w:trHeight w:val="385"/>
        </w:trPr>
        <w:tc>
          <w:tcPr>
            <w:tcW w:w="690" w:type="dxa"/>
            <w:vMerge/>
            <w:shd w:val="clear" w:color="auto" w:fill="auto"/>
            <w:vAlign w:val="center"/>
          </w:tcPr>
          <w:p w14:paraId="4670973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6864DBA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004AD5D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85" w:type="dxa"/>
            <w:vMerge/>
            <w:shd w:val="clear" w:color="auto" w:fill="D9D9D9"/>
            <w:vAlign w:val="center"/>
          </w:tcPr>
          <w:p w14:paraId="51FA092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00" w:type="dxa"/>
            <w:vMerge/>
            <w:shd w:val="clear" w:color="auto" w:fill="D9D9D9"/>
            <w:vAlign w:val="center"/>
          </w:tcPr>
          <w:p w14:paraId="003DB63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7"/>
            <w:shd w:val="clear" w:color="auto" w:fill="D9D9D9"/>
            <w:vAlign w:val="center"/>
          </w:tcPr>
          <w:p w14:paraId="5A8377A6"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3BBB3B5A" w14:textId="77777777">
        <w:trPr>
          <w:gridAfter w:val="2"/>
          <w:wAfter w:w="16" w:type="dxa"/>
          <w:trHeight w:val="473"/>
        </w:trPr>
        <w:tc>
          <w:tcPr>
            <w:tcW w:w="690" w:type="dxa"/>
            <w:vMerge/>
            <w:shd w:val="clear" w:color="auto" w:fill="auto"/>
            <w:vAlign w:val="center"/>
          </w:tcPr>
          <w:p w14:paraId="7EF718A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shd w:val="clear" w:color="auto" w:fill="FFFFFF"/>
            <w:vAlign w:val="center"/>
          </w:tcPr>
          <w:p w14:paraId="68791D4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МЗЖС </w:t>
            </w:r>
          </w:p>
        </w:tc>
        <w:tc>
          <w:tcPr>
            <w:tcW w:w="4283" w:type="dxa"/>
            <w:shd w:val="clear" w:color="auto" w:fill="FFFFFF"/>
            <w:vAlign w:val="center"/>
          </w:tcPr>
          <w:p w14:paraId="0964052F"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Министарство рударства и енергетике, АЗЖС  </w:t>
            </w:r>
          </w:p>
        </w:tc>
        <w:tc>
          <w:tcPr>
            <w:tcW w:w="1485" w:type="dxa"/>
            <w:shd w:val="clear" w:color="auto" w:fill="FFFFFF"/>
            <w:vAlign w:val="center"/>
          </w:tcPr>
          <w:p w14:paraId="5D2782E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VOC</w:t>
            </w:r>
          </w:p>
        </w:tc>
        <w:tc>
          <w:tcPr>
            <w:tcW w:w="1500" w:type="dxa"/>
            <w:shd w:val="clear" w:color="auto" w:fill="FFFFFF"/>
            <w:vAlign w:val="center"/>
          </w:tcPr>
          <w:p w14:paraId="4FD51BC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9,4</w:t>
            </w:r>
          </w:p>
        </w:tc>
        <w:tc>
          <w:tcPr>
            <w:tcW w:w="1330" w:type="dxa"/>
            <w:shd w:val="clear" w:color="auto" w:fill="FFFFFF"/>
            <w:vAlign w:val="center"/>
          </w:tcPr>
          <w:p w14:paraId="3D96740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0,118</w:t>
            </w:r>
          </w:p>
        </w:tc>
        <w:tc>
          <w:tcPr>
            <w:tcW w:w="1436" w:type="dxa"/>
            <w:gridSpan w:val="3"/>
            <w:shd w:val="clear" w:color="auto" w:fill="FFFFFF"/>
            <w:vAlign w:val="center"/>
          </w:tcPr>
          <w:p w14:paraId="4FEF3F1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0,657</w:t>
            </w:r>
          </w:p>
        </w:tc>
        <w:tc>
          <w:tcPr>
            <w:tcW w:w="1437" w:type="dxa"/>
            <w:gridSpan w:val="3"/>
            <w:shd w:val="clear" w:color="auto" w:fill="FFFFFF"/>
            <w:vAlign w:val="center"/>
          </w:tcPr>
          <w:p w14:paraId="28540E7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0,568</w:t>
            </w:r>
          </w:p>
        </w:tc>
      </w:tr>
    </w:tbl>
    <w:p w14:paraId="18E0C2EA" w14:textId="77777777" w:rsidR="00A0251B" w:rsidRPr="00CC35F0" w:rsidRDefault="00A0251B">
      <w:pPr>
        <w:rPr>
          <w:rFonts w:ascii="Times New Roman" w:eastAsia="Times New Roman" w:hAnsi="Times New Roman"/>
          <w:sz w:val="24"/>
          <w:szCs w:val="24"/>
          <w:lang w:val="sr-Cyrl-CS"/>
        </w:rPr>
      </w:pPr>
    </w:p>
    <w:tbl>
      <w:tblPr>
        <w:tblStyle w:val="ae"/>
        <w:tblW w:w="15708"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0"/>
        <w:gridCol w:w="3531"/>
        <w:gridCol w:w="4283"/>
        <w:gridCol w:w="1455"/>
        <w:gridCol w:w="1530"/>
        <w:gridCol w:w="1330"/>
        <w:gridCol w:w="44"/>
        <w:gridCol w:w="1392"/>
        <w:gridCol w:w="22"/>
        <w:gridCol w:w="1415"/>
        <w:gridCol w:w="16"/>
      </w:tblGrid>
      <w:tr w:rsidR="00A0251B" w:rsidRPr="00CC35F0" w14:paraId="4ABC5044" w14:textId="77777777">
        <w:trPr>
          <w:trHeight w:val="391"/>
        </w:trPr>
        <w:tc>
          <w:tcPr>
            <w:tcW w:w="15708" w:type="dxa"/>
            <w:gridSpan w:val="11"/>
            <w:shd w:val="clear" w:color="auto" w:fill="FFCC00"/>
            <w:vAlign w:val="center"/>
          </w:tcPr>
          <w:p w14:paraId="01A24EF9" w14:textId="77777777" w:rsidR="00A0251B" w:rsidRPr="00CC35F0" w:rsidRDefault="008D6506">
            <w:pPr>
              <w:spacing w:after="0"/>
              <w:jc w:val="lef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Посебни циљ 2: Смањење емисија загађујућих материја у ваздух и тешких метала из индустријских процеса и употребе производа кроз усаглашавање са BAT AELs</w:t>
            </w:r>
          </w:p>
        </w:tc>
      </w:tr>
      <w:tr w:rsidR="00A0251B" w:rsidRPr="00CC35F0" w14:paraId="1AB1A67E" w14:textId="77777777">
        <w:trPr>
          <w:trHeight w:val="442"/>
        </w:trPr>
        <w:tc>
          <w:tcPr>
            <w:tcW w:w="690" w:type="dxa"/>
            <w:shd w:val="clear" w:color="auto" w:fill="44546A"/>
            <w:vAlign w:val="center"/>
          </w:tcPr>
          <w:p w14:paraId="3560282E"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 C2</w:t>
            </w:r>
          </w:p>
          <w:p w14:paraId="44F24C18" w14:textId="77777777" w:rsidR="00A0251B" w:rsidRPr="00CC35F0" w:rsidRDefault="00A0251B">
            <w:pPr>
              <w:spacing w:after="0"/>
              <w:rPr>
                <w:rFonts w:ascii="Times New Roman" w:eastAsia="Times New Roman" w:hAnsi="Times New Roman"/>
                <w:color w:val="FFFFFF"/>
                <w:sz w:val="24"/>
                <w:szCs w:val="24"/>
                <w:lang w:val="sr-Cyrl-CS"/>
              </w:rPr>
            </w:pPr>
          </w:p>
        </w:tc>
        <w:tc>
          <w:tcPr>
            <w:tcW w:w="15018" w:type="dxa"/>
            <w:gridSpan w:val="10"/>
            <w:shd w:val="clear" w:color="auto" w:fill="44546A"/>
            <w:vAlign w:val="center"/>
          </w:tcPr>
          <w:p w14:paraId="1E5E1754"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Спровођење Поглавља II Директиве ЕУ о индустријским емисијама у индустријским процесима, узимајући у обзир средње и више BAT AELs, односно ниже нивое за производњу бакра и сумпорне киселине у Бору</w:t>
            </w:r>
          </w:p>
        </w:tc>
      </w:tr>
      <w:tr w:rsidR="00A0251B" w:rsidRPr="00CC35F0" w14:paraId="3C75D313" w14:textId="77777777">
        <w:trPr>
          <w:trHeight w:val="212"/>
        </w:trPr>
        <w:tc>
          <w:tcPr>
            <w:tcW w:w="690" w:type="dxa"/>
            <w:vMerge w:val="restart"/>
            <w:shd w:val="clear" w:color="auto" w:fill="auto"/>
            <w:vAlign w:val="center"/>
          </w:tcPr>
          <w:p w14:paraId="2C4CF35C"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10</w:t>
            </w:r>
          </w:p>
        </w:tc>
        <w:tc>
          <w:tcPr>
            <w:tcW w:w="15018" w:type="dxa"/>
            <w:gridSpan w:val="10"/>
            <w:shd w:val="clear" w:color="auto" w:fill="auto"/>
            <w:vAlign w:val="center"/>
          </w:tcPr>
          <w:p w14:paraId="1F20E41E"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w:t>
            </w:r>
          </w:p>
          <w:p w14:paraId="4BDC289E"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580F0772"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539D7648"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мера састоји се од спровођења Директиве 2010/75/EУ о индустријским емисија, нарочито Поглавља II за велика индустријска постројења из Прилога I. Поглавље II Директиве о индустријским емисијама захтева интегрисани приступ у уређивању одређених индустријских активности у односу на заштиту животне средине. То значи да се емисије у ваздух, воду (укључујући испуштање у канализацију) и земљиште, као и опсег њиховог утицаја на животну средину, морају разматрати заједно. Како би се постигао висок степен заштите животне средине у целости, утврђују се услови у дозволи, који се заснивају на најбољим доступним техникама.</w:t>
            </w:r>
          </w:p>
          <w:p w14:paraId="5ACF8823"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Поглавље II Директиве о индустријским емисијама захтева поштовање BAT AELs. Ови нивои емисија (</w:t>
            </w:r>
            <w:r w:rsidRPr="00CC35F0">
              <w:rPr>
                <w:rFonts w:ascii="Times New Roman" w:eastAsia="Times New Roman" w:hAnsi="Times New Roman"/>
                <w:i/>
                <w:sz w:val="24"/>
                <w:szCs w:val="24"/>
                <w:lang w:val="sr-Cyrl-CS"/>
              </w:rPr>
              <w:t>BAT AELs</w:t>
            </w:r>
            <w:r w:rsidRPr="00CC35F0">
              <w:rPr>
                <w:rFonts w:ascii="Times New Roman" w:eastAsia="Times New Roman" w:hAnsi="Times New Roman"/>
                <w:sz w:val="24"/>
                <w:szCs w:val="24"/>
                <w:lang w:val="sr-Cyrl-CS"/>
              </w:rPr>
              <w:t xml:space="preserve">) дефинисани су низом закључака о најбољим доступним техникама који се примењују у ЕУ. Када се постројењу издаје интегрисана дозвола, услови обухватају и </w:t>
            </w:r>
            <w:r w:rsidRPr="00CC35F0">
              <w:rPr>
                <w:rFonts w:ascii="Times New Roman" w:eastAsia="Times New Roman" w:hAnsi="Times New Roman"/>
                <w:sz w:val="24"/>
                <w:szCs w:val="24"/>
                <w:lang w:val="sr-Cyrl-CS"/>
              </w:rPr>
              <w:lastRenderedPageBreak/>
              <w:t xml:space="preserve">прописане граничне вредности емисије како би се осигурало да емисије из постројења остану у границама BAT AELs. Ова мера подразумева да граничне вредности емисије прописане за велика индустријска постројења и процесе омогућавају овим постројењима да поштују просечне вредности између горњих и доњих BAT AELs (у оквиру сценарија WAM A биле су само горње границе). Тачно одступање од средње вредности горњег и доњег нивоа BAT AELs треба проценити на нивоу појединачног постројења узимајући у обзир допринос постројења (рачунајући примарне и секундарне емисије) квалитету ваздуха и прекорачењима одређене загађујуће материје у ваздуху у зонама и агломерацијама.   </w:t>
            </w:r>
          </w:p>
          <w:p w14:paraId="66A69AB4"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Већина индустријских постројења биће усклађена са средњим нивоом BAT AELs од 2025. године, осим оних за које се траже прелазни периоди за спровођење до 2030. године, као што је објављено у Пројекту „ДИЕ Србија: Спровођење Директиве о индустријским емисијама”</w:t>
            </w:r>
            <w:r w:rsidRPr="00CC35F0">
              <w:rPr>
                <w:rFonts w:ascii="Times New Roman" w:eastAsia="Times New Roman" w:hAnsi="Times New Roman"/>
                <w:sz w:val="24"/>
                <w:szCs w:val="24"/>
                <w:vertAlign w:val="superscript"/>
                <w:lang w:val="sr-Cyrl-CS"/>
              </w:rPr>
              <w:footnoteReference w:id="38"/>
            </w:r>
            <w:r w:rsidRPr="00CC35F0">
              <w:rPr>
                <w:rFonts w:ascii="Times New Roman" w:eastAsia="Times New Roman" w:hAnsi="Times New Roman"/>
                <w:sz w:val="24"/>
                <w:szCs w:val="24"/>
                <w:lang w:val="sr-Cyrl-CS"/>
              </w:rPr>
              <w:t>; ЕУ је објавила одлуке о закључцима о најбољим доступним техникама у којима су наведени опсези BAT AEL за сваки индустријски сектор из ове директиве</w:t>
            </w:r>
            <w:r w:rsidRPr="00CC35F0">
              <w:rPr>
                <w:rFonts w:ascii="Times New Roman" w:eastAsia="Times New Roman" w:hAnsi="Times New Roman"/>
                <w:sz w:val="24"/>
                <w:szCs w:val="24"/>
                <w:vertAlign w:val="superscript"/>
                <w:lang w:val="sr-Cyrl-CS"/>
              </w:rPr>
              <w:footnoteReference w:id="39"/>
            </w:r>
            <w:r w:rsidRPr="00CC35F0">
              <w:rPr>
                <w:rFonts w:ascii="Times New Roman" w:eastAsia="Times New Roman" w:hAnsi="Times New Roman"/>
                <w:sz w:val="24"/>
                <w:szCs w:val="24"/>
                <w:lang w:val="sr-Cyrl-CS"/>
              </w:rPr>
              <w:t xml:space="preserve">.  </w:t>
            </w:r>
          </w:p>
          <w:p w14:paraId="2089CC2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Поред ове мере, разматра се прописивање строжих граничних вредности емисије за постројења у Бору, јер средње вредности AEL нису довољне да обезбеде усклађеност са граничним вредностима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тешке метале за прописан квалитет ваздуха у Бору. Ради усклађења са граничним вредностима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са циљним вредностима за тешке метале у амбијенталном ваздуху, граничне вредности за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 прашкасте материје морају се додатно снизити. То смањење може се остварити применом нижих вредности BAT AELs за топионицу бакра, и оне би износиле 50 mg/Nm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(опсег BAT AELs креће се од 50 до 500 mg/Nm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односно 100 mg/Nm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за постројење за производњу сумпорне киселине (опсег BAT AELs креће се од 30 до 680 mg/Nm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vertAlign w:val="superscript"/>
                <w:lang w:val="sr-Cyrl-CS"/>
              </w:rPr>
              <w:footnoteReference w:id="40"/>
            </w:r>
            <w:r w:rsidRPr="00CC35F0">
              <w:rPr>
                <w:rFonts w:ascii="Times New Roman" w:eastAsia="Times New Roman" w:hAnsi="Times New Roman"/>
                <w:sz w:val="24"/>
                <w:szCs w:val="24"/>
                <w:lang w:val="sr-Cyrl-CS"/>
              </w:rPr>
              <w:t xml:space="preserve"> и применом нижих вредности за прашкасте материје у складу са Табелом 3 Спроведене одлуке Комисије 2016/1032/ЕУ. </w:t>
            </w:r>
          </w:p>
          <w:p w14:paraId="6168AE35"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p w14:paraId="07F00525"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Циљ у вези са ЕУ: </w:t>
            </w:r>
          </w:p>
          <w:p w14:paraId="1E02006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Индустријски процеси: </w:t>
            </w:r>
          </w:p>
          <w:p w14:paraId="4DD676D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инсталација технологија за ублажавање ефеката,</w:t>
            </w:r>
          </w:p>
          <w:p w14:paraId="3798EC05" w14:textId="77777777" w:rsidR="00A0251B" w:rsidRPr="00CC35F0" w:rsidRDefault="008D6506">
            <w:pPr>
              <w:spacing w:after="0"/>
              <w:rPr>
                <w:rFonts w:ascii="Times New Roman" w:eastAsia="Times New Roman" w:hAnsi="Times New Roman"/>
                <w:i/>
                <w:sz w:val="24"/>
                <w:szCs w:val="24"/>
                <w:lang w:val="sr-Cyrl-CS"/>
              </w:rPr>
            </w:pPr>
            <w:r w:rsidRPr="00CC35F0">
              <w:rPr>
                <w:rFonts w:ascii="Times New Roman" w:eastAsia="Times New Roman" w:hAnsi="Times New Roman"/>
                <w:sz w:val="24"/>
                <w:szCs w:val="24"/>
                <w:lang w:val="sr-Cyrl-CS"/>
              </w:rPr>
              <w:t>- побољшана контрола ненамерних емисија из индустријских процеса.</w:t>
            </w:r>
          </w:p>
          <w:p w14:paraId="00A34939" w14:textId="77777777" w:rsidR="00A0251B" w:rsidRPr="00CC35F0" w:rsidRDefault="008D6506">
            <w:pPr>
              <w:spacing w:after="0"/>
              <w:rPr>
                <w:rFonts w:ascii="Times New Roman" w:eastAsia="Times New Roman" w:hAnsi="Times New Roman"/>
                <w:i/>
                <w:sz w:val="24"/>
                <w:szCs w:val="24"/>
                <w:lang w:val="sr-Cyrl-CS"/>
              </w:rPr>
            </w:pPr>
            <w:r w:rsidRPr="00CC35F0">
              <w:rPr>
                <w:rFonts w:ascii="Times New Roman" w:eastAsia="Times New Roman" w:hAnsi="Times New Roman"/>
                <w:i/>
                <w:sz w:val="24"/>
                <w:szCs w:val="24"/>
                <w:lang w:val="sr-Cyrl-CS"/>
              </w:rPr>
              <w:t> </w:t>
            </w:r>
          </w:p>
          <w:p w14:paraId="133CB52D"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1AFF2BEF"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4A4531B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Побољшање квалитета ваздуха у Србији како би се избегла прекорачења граничних вредности за квалитет ваздуха </w:t>
            </w:r>
          </w:p>
          <w:p w14:paraId="5B9169BF" w14:textId="77777777" w:rsidR="00A0251B" w:rsidRPr="00CC35F0" w:rsidRDefault="008D6506">
            <w:pPr>
              <w:spacing w:after="0"/>
              <w:rPr>
                <w:rFonts w:ascii="Times New Roman" w:eastAsia="Times New Roman" w:hAnsi="Times New Roman"/>
                <w:i/>
                <w:sz w:val="24"/>
                <w:szCs w:val="24"/>
                <w:lang w:val="sr-Cyrl-CS"/>
              </w:rPr>
            </w:pPr>
            <w:r w:rsidRPr="00CC35F0">
              <w:rPr>
                <w:rFonts w:ascii="Times New Roman" w:eastAsia="Times New Roman" w:hAnsi="Times New Roman"/>
                <w:i/>
                <w:sz w:val="24"/>
                <w:szCs w:val="24"/>
                <w:lang w:val="sr-Cyrl-CS"/>
              </w:rPr>
              <w:t> </w:t>
            </w:r>
          </w:p>
          <w:p w14:paraId="7492BD51"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lastRenderedPageBreak/>
              <w:t>Преговарачко поглавље: Поглавље 27 – Животна средина</w:t>
            </w:r>
          </w:p>
        </w:tc>
      </w:tr>
      <w:tr w:rsidR="00A0251B" w:rsidRPr="00CC35F0" w14:paraId="75987D27" w14:textId="77777777">
        <w:trPr>
          <w:gridAfter w:val="1"/>
          <w:wAfter w:w="16" w:type="dxa"/>
          <w:trHeight w:val="385"/>
        </w:trPr>
        <w:tc>
          <w:tcPr>
            <w:tcW w:w="690" w:type="dxa"/>
            <w:vMerge/>
            <w:shd w:val="clear" w:color="auto" w:fill="auto"/>
            <w:vAlign w:val="center"/>
          </w:tcPr>
          <w:p w14:paraId="0F2F431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232E86C1"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4AF45E13"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55" w:type="dxa"/>
            <w:vMerge w:val="restart"/>
            <w:shd w:val="clear" w:color="auto" w:fill="D9D9D9"/>
            <w:vAlign w:val="center"/>
          </w:tcPr>
          <w:p w14:paraId="1BC9CF14"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530" w:type="dxa"/>
            <w:vMerge w:val="restart"/>
            <w:shd w:val="clear" w:color="auto" w:fill="D9D9D9"/>
            <w:vAlign w:val="center"/>
          </w:tcPr>
          <w:p w14:paraId="2819F361"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4203" w:type="dxa"/>
            <w:gridSpan w:val="5"/>
            <w:shd w:val="clear" w:color="auto" w:fill="D9D9D9"/>
            <w:vAlign w:val="center"/>
          </w:tcPr>
          <w:p w14:paraId="069AA429"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34870E28" w14:textId="77777777">
        <w:trPr>
          <w:gridAfter w:val="1"/>
          <w:wAfter w:w="16" w:type="dxa"/>
          <w:trHeight w:val="385"/>
        </w:trPr>
        <w:tc>
          <w:tcPr>
            <w:tcW w:w="690" w:type="dxa"/>
            <w:vMerge/>
            <w:shd w:val="clear" w:color="auto" w:fill="auto"/>
            <w:vAlign w:val="center"/>
          </w:tcPr>
          <w:p w14:paraId="76062D3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66016E1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5FEA7EB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55" w:type="dxa"/>
            <w:vMerge/>
            <w:shd w:val="clear" w:color="auto" w:fill="D9D9D9"/>
            <w:vAlign w:val="center"/>
          </w:tcPr>
          <w:p w14:paraId="420B279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30" w:type="dxa"/>
            <w:vMerge/>
            <w:shd w:val="clear" w:color="auto" w:fill="D9D9D9"/>
            <w:vAlign w:val="center"/>
          </w:tcPr>
          <w:p w14:paraId="40F9A24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5"/>
            <w:shd w:val="clear" w:color="auto" w:fill="D9D9D9"/>
            <w:vAlign w:val="center"/>
          </w:tcPr>
          <w:p w14:paraId="43D3EF10"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62DD9A1D" w14:textId="77777777">
        <w:trPr>
          <w:gridAfter w:val="1"/>
          <w:wAfter w:w="16" w:type="dxa"/>
          <w:trHeight w:val="332"/>
        </w:trPr>
        <w:tc>
          <w:tcPr>
            <w:tcW w:w="690" w:type="dxa"/>
            <w:vMerge/>
            <w:shd w:val="clear" w:color="auto" w:fill="auto"/>
            <w:vAlign w:val="center"/>
          </w:tcPr>
          <w:p w14:paraId="3C36EA1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val="restart"/>
            <w:shd w:val="clear" w:color="auto" w:fill="FFFFFF"/>
            <w:vAlign w:val="center"/>
          </w:tcPr>
          <w:p w14:paraId="21BFAB8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МЗЖС: </w:t>
            </w:r>
          </w:p>
        </w:tc>
        <w:tc>
          <w:tcPr>
            <w:tcW w:w="4283" w:type="dxa"/>
            <w:vMerge w:val="restart"/>
            <w:shd w:val="clear" w:color="auto" w:fill="FFFFFF"/>
            <w:vAlign w:val="center"/>
          </w:tcPr>
          <w:p w14:paraId="512544B2"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Покрајински секретаријат за енергетику, грађевинарство и саобраћај и локалне самоуправе  </w:t>
            </w:r>
          </w:p>
          <w:p w14:paraId="1DC93FE6" w14:textId="77777777" w:rsidR="00A0251B" w:rsidRPr="00CC35F0" w:rsidRDefault="00C6170D">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АП</w:t>
            </w:r>
            <w:r w:rsidR="008D6506" w:rsidRPr="00CC35F0">
              <w:rPr>
                <w:rFonts w:ascii="Times New Roman" w:eastAsia="Times New Roman" w:hAnsi="Times New Roman"/>
                <w:sz w:val="24"/>
                <w:szCs w:val="24"/>
                <w:lang w:val="sr-Cyrl-CS"/>
              </w:rPr>
              <w:t xml:space="preserve"> Војводина </w:t>
            </w:r>
          </w:p>
        </w:tc>
        <w:tc>
          <w:tcPr>
            <w:tcW w:w="1455" w:type="dxa"/>
            <w:shd w:val="clear" w:color="auto" w:fill="FFFFFF"/>
            <w:vAlign w:val="center"/>
          </w:tcPr>
          <w:p w14:paraId="4CA52F3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NOx</w:t>
            </w:r>
          </w:p>
        </w:tc>
        <w:tc>
          <w:tcPr>
            <w:tcW w:w="1530" w:type="dxa"/>
            <w:shd w:val="clear" w:color="auto" w:fill="FFFFFF"/>
            <w:vAlign w:val="center"/>
          </w:tcPr>
          <w:p w14:paraId="7811814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2,68</w:t>
            </w:r>
          </w:p>
        </w:tc>
        <w:tc>
          <w:tcPr>
            <w:tcW w:w="1374" w:type="dxa"/>
            <w:gridSpan w:val="2"/>
            <w:shd w:val="clear" w:color="auto" w:fill="FFFFFF"/>
            <w:vAlign w:val="center"/>
          </w:tcPr>
          <w:p w14:paraId="5299B6B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0,6</w:t>
            </w:r>
          </w:p>
        </w:tc>
        <w:tc>
          <w:tcPr>
            <w:tcW w:w="1414" w:type="dxa"/>
            <w:gridSpan w:val="2"/>
            <w:shd w:val="clear" w:color="auto" w:fill="FFFFFF"/>
            <w:vAlign w:val="center"/>
          </w:tcPr>
          <w:p w14:paraId="6E038B9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2,4</w:t>
            </w:r>
          </w:p>
        </w:tc>
        <w:tc>
          <w:tcPr>
            <w:tcW w:w="1415" w:type="dxa"/>
            <w:shd w:val="clear" w:color="auto" w:fill="FFFFFF"/>
            <w:vAlign w:val="center"/>
          </w:tcPr>
          <w:p w14:paraId="190EABB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2,5</w:t>
            </w:r>
          </w:p>
        </w:tc>
      </w:tr>
      <w:tr w:rsidR="00A0251B" w:rsidRPr="00CC35F0" w14:paraId="1D93FF8E" w14:textId="77777777">
        <w:trPr>
          <w:gridAfter w:val="1"/>
          <w:wAfter w:w="16" w:type="dxa"/>
          <w:trHeight w:val="377"/>
        </w:trPr>
        <w:tc>
          <w:tcPr>
            <w:tcW w:w="690" w:type="dxa"/>
            <w:vMerge/>
            <w:shd w:val="clear" w:color="auto" w:fill="auto"/>
            <w:vAlign w:val="center"/>
          </w:tcPr>
          <w:p w14:paraId="6A6E2B3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1F7BDCC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6DD1A04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55" w:type="dxa"/>
            <w:shd w:val="clear" w:color="auto" w:fill="FFFFFF"/>
            <w:vAlign w:val="center"/>
          </w:tcPr>
          <w:p w14:paraId="1DFF73E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SO</w:t>
            </w:r>
            <w:r w:rsidRPr="00CC35F0">
              <w:rPr>
                <w:rFonts w:ascii="Times New Roman" w:eastAsia="Times New Roman" w:hAnsi="Times New Roman"/>
                <w:color w:val="000000"/>
                <w:sz w:val="24"/>
                <w:szCs w:val="24"/>
                <w:vertAlign w:val="subscript"/>
                <w:lang w:val="sr-Cyrl-CS"/>
              </w:rPr>
              <w:t>2</w:t>
            </w:r>
          </w:p>
        </w:tc>
        <w:tc>
          <w:tcPr>
            <w:tcW w:w="1530" w:type="dxa"/>
            <w:shd w:val="clear" w:color="auto" w:fill="FFFFFF"/>
            <w:vAlign w:val="center"/>
          </w:tcPr>
          <w:p w14:paraId="6C0F2FB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0,79</w:t>
            </w:r>
          </w:p>
        </w:tc>
        <w:tc>
          <w:tcPr>
            <w:tcW w:w="1374" w:type="dxa"/>
            <w:gridSpan w:val="2"/>
            <w:shd w:val="clear" w:color="auto" w:fill="FFFFFF"/>
            <w:vAlign w:val="center"/>
          </w:tcPr>
          <w:p w14:paraId="1DA6CA3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2,8</w:t>
            </w:r>
          </w:p>
        </w:tc>
        <w:tc>
          <w:tcPr>
            <w:tcW w:w="1414" w:type="dxa"/>
            <w:gridSpan w:val="2"/>
            <w:shd w:val="clear" w:color="auto" w:fill="FFFFFF"/>
            <w:vAlign w:val="center"/>
          </w:tcPr>
          <w:p w14:paraId="22A94DB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2,9</w:t>
            </w:r>
          </w:p>
        </w:tc>
        <w:tc>
          <w:tcPr>
            <w:tcW w:w="1415" w:type="dxa"/>
            <w:shd w:val="clear" w:color="auto" w:fill="FFFFFF"/>
            <w:vAlign w:val="center"/>
          </w:tcPr>
          <w:p w14:paraId="5417513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3,0</w:t>
            </w:r>
          </w:p>
        </w:tc>
      </w:tr>
      <w:tr w:rsidR="00A0251B" w:rsidRPr="00CC35F0" w14:paraId="292D9BD4" w14:textId="77777777">
        <w:trPr>
          <w:gridAfter w:val="1"/>
          <w:wAfter w:w="16" w:type="dxa"/>
          <w:trHeight w:val="411"/>
        </w:trPr>
        <w:tc>
          <w:tcPr>
            <w:tcW w:w="690" w:type="dxa"/>
            <w:vMerge/>
            <w:shd w:val="clear" w:color="auto" w:fill="auto"/>
            <w:vAlign w:val="center"/>
          </w:tcPr>
          <w:p w14:paraId="51BFAA2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40EE68A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15320FD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55" w:type="dxa"/>
            <w:shd w:val="clear" w:color="auto" w:fill="FFFFFF"/>
            <w:vAlign w:val="center"/>
          </w:tcPr>
          <w:p w14:paraId="3C96428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10</w:t>
            </w:r>
          </w:p>
        </w:tc>
        <w:tc>
          <w:tcPr>
            <w:tcW w:w="1530" w:type="dxa"/>
            <w:vMerge w:val="restart"/>
            <w:shd w:val="clear" w:color="auto" w:fill="FFFFFF"/>
            <w:vAlign w:val="center"/>
          </w:tcPr>
          <w:p w14:paraId="6B843C2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4,01</w:t>
            </w:r>
          </w:p>
        </w:tc>
        <w:tc>
          <w:tcPr>
            <w:tcW w:w="1374" w:type="dxa"/>
            <w:gridSpan w:val="2"/>
            <w:shd w:val="clear" w:color="auto" w:fill="FFFFFF"/>
            <w:vAlign w:val="center"/>
          </w:tcPr>
          <w:p w14:paraId="4B051DC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0,6</w:t>
            </w:r>
          </w:p>
        </w:tc>
        <w:tc>
          <w:tcPr>
            <w:tcW w:w="1414" w:type="dxa"/>
            <w:gridSpan w:val="2"/>
            <w:shd w:val="clear" w:color="auto" w:fill="FFFFFF"/>
            <w:vAlign w:val="center"/>
          </w:tcPr>
          <w:p w14:paraId="1E5350C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0,9</w:t>
            </w:r>
          </w:p>
        </w:tc>
        <w:tc>
          <w:tcPr>
            <w:tcW w:w="1415" w:type="dxa"/>
            <w:shd w:val="clear" w:color="auto" w:fill="FFFFFF"/>
            <w:vAlign w:val="center"/>
          </w:tcPr>
          <w:p w14:paraId="7D4DB53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1,0</w:t>
            </w:r>
          </w:p>
        </w:tc>
      </w:tr>
      <w:tr w:rsidR="00A0251B" w:rsidRPr="00CC35F0" w14:paraId="537E4CC4" w14:textId="77777777">
        <w:trPr>
          <w:gridAfter w:val="1"/>
          <w:wAfter w:w="16" w:type="dxa"/>
          <w:trHeight w:val="416"/>
        </w:trPr>
        <w:tc>
          <w:tcPr>
            <w:tcW w:w="690" w:type="dxa"/>
            <w:vMerge/>
            <w:shd w:val="clear" w:color="auto" w:fill="auto"/>
            <w:vAlign w:val="center"/>
          </w:tcPr>
          <w:p w14:paraId="55BFEB4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3EB300A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742BEC8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55" w:type="dxa"/>
            <w:shd w:val="clear" w:color="auto" w:fill="FFFFFF"/>
            <w:vAlign w:val="center"/>
          </w:tcPr>
          <w:p w14:paraId="541E51F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2.5</w:t>
            </w:r>
          </w:p>
        </w:tc>
        <w:tc>
          <w:tcPr>
            <w:tcW w:w="1530" w:type="dxa"/>
            <w:vMerge/>
            <w:shd w:val="clear" w:color="auto" w:fill="FFFFFF"/>
            <w:vAlign w:val="center"/>
          </w:tcPr>
          <w:p w14:paraId="2A3C011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374" w:type="dxa"/>
            <w:gridSpan w:val="2"/>
            <w:shd w:val="clear" w:color="auto" w:fill="FFFFFF"/>
            <w:vAlign w:val="center"/>
          </w:tcPr>
          <w:p w14:paraId="5B02D9A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0,4</w:t>
            </w:r>
          </w:p>
        </w:tc>
        <w:tc>
          <w:tcPr>
            <w:tcW w:w="1414" w:type="dxa"/>
            <w:gridSpan w:val="2"/>
            <w:shd w:val="clear" w:color="auto" w:fill="FFFFFF"/>
            <w:vAlign w:val="center"/>
          </w:tcPr>
          <w:p w14:paraId="1765812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0,6</w:t>
            </w:r>
          </w:p>
        </w:tc>
        <w:tc>
          <w:tcPr>
            <w:tcW w:w="1415" w:type="dxa"/>
            <w:shd w:val="clear" w:color="auto" w:fill="FFFFFF"/>
            <w:vAlign w:val="center"/>
          </w:tcPr>
          <w:p w14:paraId="2C18EE6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0,7</w:t>
            </w:r>
          </w:p>
        </w:tc>
      </w:tr>
      <w:tr w:rsidR="00A0251B" w:rsidRPr="00CC35F0" w14:paraId="0E9311F6" w14:textId="77777777">
        <w:trPr>
          <w:gridAfter w:val="1"/>
          <w:wAfter w:w="16" w:type="dxa"/>
          <w:trHeight w:val="432"/>
        </w:trPr>
        <w:tc>
          <w:tcPr>
            <w:tcW w:w="690" w:type="dxa"/>
            <w:vMerge/>
            <w:shd w:val="clear" w:color="auto" w:fill="auto"/>
            <w:vAlign w:val="center"/>
          </w:tcPr>
          <w:p w14:paraId="2F53DE4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3F8268C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08F9D21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455" w:type="dxa"/>
            <w:shd w:val="clear" w:color="auto" w:fill="FFFFFF"/>
            <w:vAlign w:val="center"/>
          </w:tcPr>
          <w:p w14:paraId="72FC85C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VOC</w:t>
            </w:r>
          </w:p>
        </w:tc>
        <w:tc>
          <w:tcPr>
            <w:tcW w:w="1530" w:type="dxa"/>
            <w:shd w:val="clear" w:color="auto" w:fill="FFFFFF"/>
            <w:vAlign w:val="center"/>
          </w:tcPr>
          <w:p w14:paraId="5CA4241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1,70</w:t>
            </w:r>
          </w:p>
        </w:tc>
        <w:tc>
          <w:tcPr>
            <w:tcW w:w="1374" w:type="dxa"/>
            <w:gridSpan w:val="2"/>
            <w:shd w:val="clear" w:color="auto" w:fill="FFFFFF"/>
            <w:vAlign w:val="center"/>
          </w:tcPr>
          <w:p w14:paraId="200869D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w:t>
            </w:r>
          </w:p>
        </w:tc>
        <w:tc>
          <w:tcPr>
            <w:tcW w:w="1414" w:type="dxa"/>
            <w:gridSpan w:val="2"/>
            <w:shd w:val="clear" w:color="auto" w:fill="FFFFFF"/>
            <w:vAlign w:val="center"/>
          </w:tcPr>
          <w:p w14:paraId="7DD0D90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w:t>
            </w:r>
          </w:p>
        </w:tc>
        <w:tc>
          <w:tcPr>
            <w:tcW w:w="1415" w:type="dxa"/>
            <w:shd w:val="clear" w:color="auto" w:fill="FFFFFF"/>
            <w:vAlign w:val="center"/>
          </w:tcPr>
          <w:p w14:paraId="5023F5A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w:t>
            </w:r>
          </w:p>
        </w:tc>
      </w:tr>
      <w:tr w:rsidR="00A0251B" w:rsidRPr="00CC35F0" w14:paraId="6DA86179" w14:textId="77777777">
        <w:trPr>
          <w:trHeight w:val="442"/>
        </w:trPr>
        <w:tc>
          <w:tcPr>
            <w:tcW w:w="690" w:type="dxa"/>
            <w:shd w:val="clear" w:color="auto" w:fill="44546A"/>
            <w:vAlign w:val="center"/>
          </w:tcPr>
          <w:p w14:paraId="3B24B022"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WAM-B6</w:t>
            </w:r>
          </w:p>
        </w:tc>
        <w:tc>
          <w:tcPr>
            <w:tcW w:w="15018" w:type="dxa"/>
            <w:gridSpan w:val="10"/>
            <w:shd w:val="clear" w:color="auto" w:fill="44546A"/>
            <w:vAlign w:val="center"/>
          </w:tcPr>
          <w:p w14:paraId="0985D0D0"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Спровођење Поглавља V Директиве о индустријским емисијама, Анекса VII за VOC или Поглавља 2 за постројења у којима потрошња растварача прелази 200 t годишње или 150 kg по часу</w:t>
            </w:r>
          </w:p>
        </w:tc>
      </w:tr>
      <w:tr w:rsidR="00A0251B" w:rsidRPr="00CC35F0" w14:paraId="156A4832" w14:textId="77777777">
        <w:trPr>
          <w:trHeight w:val="212"/>
        </w:trPr>
        <w:tc>
          <w:tcPr>
            <w:tcW w:w="690" w:type="dxa"/>
            <w:vMerge w:val="restart"/>
            <w:shd w:val="clear" w:color="auto" w:fill="auto"/>
            <w:vAlign w:val="center"/>
          </w:tcPr>
          <w:p w14:paraId="6FB05BB6"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11</w:t>
            </w:r>
          </w:p>
        </w:tc>
        <w:tc>
          <w:tcPr>
            <w:tcW w:w="15018" w:type="dxa"/>
            <w:gridSpan w:val="10"/>
            <w:shd w:val="clear" w:color="auto" w:fill="auto"/>
            <w:vAlign w:val="center"/>
          </w:tcPr>
          <w:p w14:paraId="5BBB3F97"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w:t>
            </w:r>
          </w:p>
          <w:p w14:paraId="3983620B"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0054FFD7"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57E7854A"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мера садржана је у примени Директиве 2010/75/ЕУ о индустријским емисијама, а посебно њеног Поглавља V o употреби растварача у одређеним активностима. Нека постројења троше више 200 t годишње или 150 kg по часу. У том случају примењује се Поглавље II, а тим постројењима се издаје интегрисана дозвола. То значи да се емисије у ваздух, воду (укључујући испуштање у канализацију) и земљиште, као и опсег њиховог утицаја на животну средину, морају разматрати заједно. Како би се постигао висок степен заштите животне средине у целости, утврђују се услови у дозволи, који се заснивају на најбољим доступним техникама.</w:t>
            </w:r>
          </w:p>
          <w:p w14:paraId="67F14BD6"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Поглавље II Директиве о индустријским емисијама захтева поштовање BAT AELs. Ови нивои емисија (BAT AELs) дефинисани су низом закључака о најбољим доступним техникама који се примењују у ЕУ. Недавно објављена Одлука Комисије о спровођењу (ЕУ) 2020/2009 од 22. јуна 2020. године, којом се утврђују закључци о најбољим расположивим техникама у складу са Директивом 2010/75/ЕУ Европског парламента и Савета о индустријским емисијама, који се односе на површинску обраду применом органских растварача, укључујући активности третмана дрвета и производа од дрвета хемикалијама, дефинишу BAT AELs за различите активности. Када се постројењу издаје интегрисана дозвола, услови обухватају и прописане граничне вредности емисије како би се осигурало да емисије из постројења остану у границама BAT AELs.  </w:t>
            </w:r>
          </w:p>
          <w:p w14:paraId="2EF744CF"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На остале инсталације, које троше до 200 t растварача годишње или 150 kg по часу, примењују се граничне вредности из Анекса V. Република Србија је донела Уредбу о граничним вредностима емисија загађујућих материја у ваздух из стационарних извора загађења, осим постројења за </w:t>
            </w:r>
            <w:r w:rsidRPr="00CC35F0">
              <w:rPr>
                <w:rFonts w:ascii="Times New Roman" w:eastAsia="Times New Roman" w:hAnsi="Times New Roman"/>
                <w:sz w:val="24"/>
                <w:szCs w:val="24"/>
                <w:lang w:val="sr-Cyrl-CS"/>
              </w:rPr>
              <w:lastRenderedPageBreak/>
              <w:t xml:space="preserve">сагоревање и Уредбу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w:t>
            </w:r>
            <w:r w:rsidR="00245677" w:rsidRPr="00CC35F0">
              <w:rPr>
                <w:rFonts w:ascii="Times New Roman" w:eastAsia="Times New Roman" w:hAnsi="Times New Roman"/>
                <w:sz w:val="24"/>
                <w:szCs w:val="24"/>
                <w:lang w:val="sr-Cyrl-CS"/>
              </w:rPr>
              <w:t>смањење емисија</w:t>
            </w:r>
            <w:r w:rsidRPr="00CC35F0">
              <w:rPr>
                <w:rFonts w:ascii="Times New Roman" w:eastAsia="Times New Roman" w:hAnsi="Times New Roman"/>
                <w:sz w:val="24"/>
                <w:szCs w:val="24"/>
                <w:lang w:val="sr-Cyrl-CS"/>
              </w:rPr>
              <w:t xml:space="preserve"> које су у складу са претходном Директивом ЕУ 1999/13/ЕЗ о ограничењима емисија испарљивих органских једињења из употребе органских растварача у одређеним активностима и постројењима. Ова уредба још није у потпуности спроведена.</w:t>
            </w:r>
          </w:p>
          <w:p w14:paraId="5F177A8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овом тренутку, Амбасада Краљевине Норвешке у Београду финансијски подржава спровођење пројекта за превазилажење овог недостатка. Период спровођења пројекта је 4 године, почев од 1. децембра 2018. године, закључно са 30. новембром 2022. Једна компонента пројекта обухвата следеће активности:</w:t>
            </w:r>
          </w:p>
          <w:p w14:paraId="22C4C29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Активност 1: Потпуна транспозиција Поглавља V Директиве о индустријским емисијама,</w:t>
            </w:r>
          </w:p>
          <w:p w14:paraId="716A1F7A"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Активност 2: Пројекат пр</w:t>
            </w:r>
            <w:r w:rsidR="00F774ED" w:rsidRPr="00CC35F0">
              <w:rPr>
                <w:rFonts w:ascii="Times New Roman" w:eastAsia="Times New Roman" w:hAnsi="Times New Roman"/>
                <w:sz w:val="24"/>
                <w:szCs w:val="24"/>
                <w:lang w:val="sr-Cyrl-CS"/>
              </w:rPr>
              <w:t xml:space="preserve">ужа техничку подршку надлежном министарству и </w:t>
            </w:r>
            <w:r w:rsidRPr="00CC35F0">
              <w:rPr>
                <w:rFonts w:ascii="Times New Roman" w:eastAsia="Times New Roman" w:hAnsi="Times New Roman"/>
                <w:sz w:val="24"/>
                <w:szCs w:val="24"/>
                <w:lang w:val="sr-Cyrl-CS"/>
              </w:rPr>
              <w:t>АЗЖС у спровођењу правног оквира припремљеног у оквиру Активности 1. Техничка подршка укључује припрему прелиминарне листе оператера, као и израду, тестирање и операционализацију система електронске регистрације и извештавања за субјекте класификоване као VOC оператери,</w:t>
            </w:r>
          </w:p>
          <w:p w14:paraId="0F46787E"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Активност 3: Јачање капацитета,</w:t>
            </w:r>
          </w:p>
          <w:p w14:paraId="1D894647"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Активност 4: Информисање и комуникација у вези са прописима о испарљивим органским једињењима.</w:t>
            </w:r>
          </w:p>
          <w:p w14:paraId="3659D6BA"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Мера разматра примену граничних вредности или BAT AELs до 2025. године.</w:t>
            </w:r>
          </w:p>
          <w:p w14:paraId="2F8F7B9B" w14:textId="77777777" w:rsidR="00A0251B" w:rsidRPr="00CC35F0" w:rsidRDefault="00A0251B">
            <w:pPr>
              <w:spacing w:after="0"/>
              <w:rPr>
                <w:rFonts w:ascii="Times New Roman" w:eastAsia="Times New Roman" w:hAnsi="Times New Roman"/>
                <w:sz w:val="24"/>
                <w:szCs w:val="24"/>
                <w:lang w:val="sr-Cyrl-CS"/>
              </w:rPr>
            </w:pPr>
          </w:p>
          <w:p w14:paraId="2E85C193"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Циљ у вези са ЕУ: </w:t>
            </w:r>
          </w:p>
          <w:p w14:paraId="5C5FFD3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 Индустријски процеси – инсталација технологија за ублажавање ефеката,</w:t>
            </w:r>
          </w:p>
          <w:p w14:paraId="69812401" w14:textId="77777777" w:rsidR="00A0251B" w:rsidRPr="00CC35F0" w:rsidRDefault="008D6506">
            <w:pPr>
              <w:spacing w:after="0"/>
              <w:rPr>
                <w:rFonts w:ascii="Times New Roman" w:eastAsia="Times New Roman" w:hAnsi="Times New Roman"/>
                <w:i/>
                <w:sz w:val="24"/>
                <w:szCs w:val="24"/>
                <w:lang w:val="sr-Cyrl-CS"/>
              </w:rPr>
            </w:pPr>
            <w:r w:rsidRPr="00CC35F0">
              <w:rPr>
                <w:rFonts w:ascii="Times New Roman" w:eastAsia="Times New Roman" w:hAnsi="Times New Roman"/>
                <w:sz w:val="24"/>
                <w:szCs w:val="24"/>
                <w:lang w:val="sr-Cyrl-CS"/>
              </w:rPr>
              <w:t>4. Индустријски процеси – побољшана контрола ненамерних емисија из индустријских процеса.</w:t>
            </w:r>
          </w:p>
          <w:p w14:paraId="1A4F2716" w14:textId="77777777" w:rsidR="00A0251B" w:rsidRPr="00CC35F0" w:rsidRDefault="00A0251B">
            <w:pPr>
              <w:spacing w:after="0"/>
              <w:rPr>
                <w:rFonts w:ascii="Times New Roman" w:eastAsia="Times New Roman" w:hAnsi="Times New Roman"/>
                <w:b/>
                <w:sz w:val="24"/>
                <w:szCs w:val="24"/>
                <w:u w:val="single"/>
                <w:lang w:val="sr-Cyrl-CS"/>
              </w:rPr>
            </w:pPr>
          </w:p>
          <w:p w14:paraId="699B3FF8"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03F20A27"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777C33B6"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Побољшање квалитета ваздуха у</w:t>
            </w:r>
            <w:r w:rsidR="00130822" w:rsidRPr="00CC35F0">
              <w:rPr>
                <w:rFonts w:ascii="Times New Roman" w:eastAsia="Times New Roman" w:hAnsi="Times New Roman"/>
                <w:sz w:val="24"/>
                <w:szCs w:val="24"/>
                <w:lang w:val="sr-Cyrl-CS"/>
              </w:rPr>
              <w:t xml:space="preserve"> Републици</w:t>
            </w:r>
            <w:r w:rsidRPr="00CC35F0">
              <w:rPr>
                <w:rFonts w:ascii="Times New Roman" w:eastAsia="Times New Roman" w:hAnsi="Times New Roman"/>
                <w:sz w:val="24"/>
                <w:szCs w:val="24"/>
                <w:lang w:val="sr-Cyrl-CS"/>
              </w:rPr>
              <w:t xml:space="preserve"> Србији како би се избегла прекорачења граничних вредности за квалитет ваздуха </w:t>
            </w:r>
          </w:p>
          <w:p w14:paraId="72D8BA23" w14:textId="77777777" w:rsidR="00A0251B" w:rsidRPr="00CC35F0" w:rsidRDefault="00A0251B">
            <w:pPr>
              <w:spacing w:after="0"/>
              <w:rPr>
                <w:rFonts w:ascii="Times New Roman" w:eastAsia="Times New Roman" w:hAnsi="Times New Roman"/>
                <w:sz w:val="24"/>
                <w:szCs w:val="24"/>
                <w:lang w:val="sr-Cyrl-CS"/>
              </w:rPr>
            </w:pPr>
          </w:p>
          <w:p w14:paraId="7F69B5A4"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13EA6F17" w14:textId="77777777">
        <w:trPr>
          <w:gridAfter w:val="1"/>
          <w:wAfter w:w="16" w:type="dxa"/>
          <w:trHeight w:val="385"/>
        </w:trPr>
        <w:tc>
          <w:tcPr>
            <w:tcW w:w="690" w:type="dxa"/>
            <w:vMerge/>
            <w:shd w:val="clear" w:color="auto" w:fill="auto"/>
            <w:vAlign w:val="center"/>
          </w:tcPr>
          <w:p w14:paraId="2960642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71EE2824"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5886EB55"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455" w:type="dxa"/>
            <w:vMerge w:val="restart"/>
            <w:shd w:val="clear" w:color="auto" w:fill="D9D9D9"/>
            <w:vAlign w:val="center"/>
          </w:tcPr>
          <w:p w14:paraId="4AFEF844"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530" w:type="dxa"/>
            <w:vMerge w:val="restart"/>
            <w:shd w:val="clear" w:color="auto" w:fill="D9D9D9"/>
            <w:vAlign w:val="center"/>
          </w:tcPr>
          <w:p w14:paraId="3287211F"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4203" w:type="dxa"/>
            <w:gridSpan w:val="5"/>
            <w:shd w:val="clear" w:color="auto" w:fill="D9D9D9"/>
            <w:vAlign w:val="center"/>
          </w:tcPr>
          <w:p w14:paraId="050E62A1"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44886D63" w14:textId="77777777">
        <w:trPr>
          <w:gridAfter w:val="1"/>
          <w:wAfter w:w="16" w:type="dxa"/>
          <w:trHeight w:val="385"/>
        </w:trPr>
        <w:tc>
          <w:tcPr>
            <w:tcW w:w="690" w:type="dxa"/>
            <w:vMerge/>
            <w:shd w:val="clear" w:color="auto" w:fill="auto"/>
            <w:vAlign w:val="center"/>
          </w:tcPr>
          <w:p w14:paraId="23B48C7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607D732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47B80C7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455" w:type="dxa"/>
            <w:vMerge/>
            <w:shd w:val="clear" w:color="auto" w:fill="D9D9D9"/>
            <w:vAlign w:val="center"/>
          </w:tcPr>
          <w:p w14:paraId="7AC314E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30" w:type="dxa"/>
            <w:vMerge/>
            <w:shd w:val="clear" w:color="auto" w:fill="D9D9D9"/>
            <w:vAlign w:val="center"/>
          </w:tcPr>
          <w:p w14:paraId="2905124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03" w:type="dxa"/>
            <w:gridSpan w:val="5"/>
            <w:shd w:val="clear" w:color="auto" w:fill="D9D9D9"/>
            <w:vAlign w:val="center"/>
          </w:tcPr>
          <w:p w14:paraId="429AB7C2"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70D791BB" w14:textId="77777777">
        <w:trPr>
          <w:gridAfter w:val="1"/>
          <w:wAfter w:w="16" w:type="dxa"/>
          <w:trHeight w:val="167"/>
        </w:trPr>
        <w:tc>
          <w:tcPr>
            <w:tcW w:w="690" w:type="dxa"/>
            <w:vMerge/>
            <w:shd w:val="clear" w:color="auto" w:fill="auto"/>
            <w:vAlign w:val="center"/>
          </w:tcPr>
          <w:p w14:paraId="40D9359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shd w:val="clear" w:color="auto" w:fill="FFFFFF"/>
            <w:vAlign w:val="center"/>
          </w:tcPr>
          <w:p w14:paraId="67EAF99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МЗЖС </w:t>
            </w:r>
          </w:p>
        </w:tc>
        <w:tc>
          <w:tcPr>
            <w:tcW w:w="4283" w:type="dxa"/>
            <w:shd w:val="clear" w:color="auto" w:fill="FFFFFF"/>
            <w:vAlign w:val="center"/>
          </w:tcPr>
          <w:p w14:paraId="3C76E89B"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Покрајински секретаријат за енергетику, грађевинарство и </w:t>
            </w:r>
            <w:r w:rsidRPr="00CC35F0">
              <w:rPr>
                <w:rFonts w:ascii="Times New Roman" w:eastAsia="Times New Roman" w:hAnsi="Times New Roman"/>
                <w:color w:val="000000"/>
                <w:sz w:val="24"/>
                <w:szCs w:val="24"/>
                <w:lang w:val="sr-Cyrl-CS"/>
              </w:rPr>
              <w:lastRenderedPageBreak/>
              <w:t>саобраћај и локалне самоуправе, АЗЖС</w:t>
            </w:r>
          </w:p>
        </w:tc>
        <w:tc>
          <w:tcPr>
            <w:tcW w:w="1455" w:type="dxa"/>
            <w:shd w:val="clear" w:color="auto" w:fill="FFFFFF"/>
            <w:vAlign w:val="center"/>
          </w:tcPr>
          <w:p w14:paraId="38C663B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VOC</w:t>
            </w:r>
          </w:p>
        </w:tc>
        <w:tc>
          <w:tcPr>
            <w:tcW w:w="1530" w:type="dxa"/>
            <w:shd w:val="clear" w:color="auto" w:fill="FFFFFF"/>
            <w:vAlign w:val="center"/>
          </w:tcPr>
          <w:p w14:paraId="2DEC426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1,22</w:t>
            </w:r>
          </w:p>
        </w:tc>
        <w:tc>
          <w:tcPr>
            <w:tcW w:w="1330" w:type="dxa"/>
            <w:shd w:val="clear" w:color="auto" w:fill="FFFFFF"/>
            <w:vAlign w:val="center"/>
          </w:tcPr>
          <w:p w14:paraId="5BBCBBA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4,21</w:t>
            </w:r>
          </w:p>
        </w:tc>
        <w:tc>
          <w:tcPr>
            <w:tcW w:w="1436" w:type="dxa"/>
            <w:gridSpan w:val="2"/>
            <w:shd w:val="clear" w:color="auto" w:fill="FFFFFF"/>
            <w:vAlign w:val="center"/>
          </w:tcPr>
          <w:p w14:paraId="72785CD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4,15</w:t>
            </w:r>
          </w:p>
        </w:tc>
        <w:tc>
          <w:tcPr>
            <w:tcW w:w="1437" w:type="dxa"/>
            <w:gridSpan w:val="2"/>
            <w:shd w:val="clear" w:color="auto" w:fill="FFFFFF"/>
            <w:vAlign w:val="center"/>
          </w:tcPr>
          <w:p w14:paraId="0E8DCBF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4,10</w:t>
            </w:r>
          </w:p>
        </w:tc>
      </w:tr>
    </w:tbl>
    <w:p w14:paraId="18FEB78F" w14:textId="77777777" w:rsidR="00A0251B" w:rsidRPr="00CC35F0" w:rsidRDefault="00A0251B">
      <w:pPr>
        <w:rPr>
          <w:rFonts w:ascii="Times New Roman" w:eastAsia="Times New Roman" w:hAnsi="Times New Roman"/>
          <w:sz w:val="24"/>
          <w:szCs w:val="24"/>
          <w:lang w:val="sr-Cyrl-CS"/>
        </w:rPr>
      </w:pPr>
    </w:p>
    <w:tbl>
      <w:tblPr>
        <w:tblStyle w:val="af"/>
        <w:tblW w:w="15735"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0"/>
        <w:gridCol w:w="3531"/>
        <w:gridCol w:w="4283"/>
        <w:gridCol w:w="1561"/>
        <w:gridCol w:w="1843"/>
        <w:gridCol w:w="905"/>
        <w:gridCol w:w="44"/>
        <w:gridCol w:w="1392"/>
        <w:gridCol w:w="22"/>
        <w:gridCol w:w="1464"/>
      </w:tblGrid>
      <w:tr w:rsidR="00A0251B" w:rsidRPr="00CC35F0" w14:paraId="406D31A5" w14:textId="77777777">
        <w:trPr>
          <w:trHeight w:val="391"/>
        </w:trPr>
        <w:tc>
          <w:tcPr>
            <w:tcW w:w="15735" w:type="dxa"/>
            <w:gridSpan w:val="10"/>
            <w:shd w:val="clear" w:color="auto" w:fill="FFCC00"/>
            <w:vAlign w:val="center"/>
          </w:tcPr>
          <w:p w14:paraId="7ED4AFE7" w14:textId="77777777" w:rsidR="00A0251B" w:rsidRPr="00CC35F0" w:rsidRDefault="008D6506">
            <w:pPr>
              <w:spacing w:after="0"/>
              <w:jc w:val="lef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Посебни циљ 3: Смањење емисија NH</w:t>
            </w:r>
            <w:r w:rsidRPr="00CC35F0">
              <w:rPr>
                <w:rFonts w:ascii="Times New Roman" w:eastAsia="Times New Roman" w:hAnsi="Times New Roman"/>
                <w:b/>
                <w:sz w:val="24"/>
                <w:szCs w:val="24"/>
                <w:vertAlign w:val="subscript"/>
                <w:lang w:val="sr-Cyrl-CS"/>
              </w:rPr>
              <w:t>3</w:t>
            </w:r>
            <w:r w:rsidRPr="00CC35F0">
              <w:rPr>
                <w:rFonts w:ascii="Times New Roman" w:eastAsia="Times New Roman" w:hAnsi="Times New Roman"/>
                <w:b/>
                <w:sz w:val="24"/>
                <w:szCs w:val="24"/>
                <w:lang w:val="sr-Cyrl-CS"/>
              </w:rPr>
              <w:t xml:space="preserve"> из сектора пољопривреде за 20,5% у поређењу са 2015. годином</w:t>
            </w:r>
          </w:p>
        </w:tc>
      </w:tr>
      <w:tr w:rsidR="00A0251B" w:rsidRPr="00CC35F0" w14:paraId="4ADF6E68" w14:textId="77777777">
        <w:trPr>
          <w:trHeight w:val="442"/>
        </w:trPr>
        <w:tc>
          <w:tcPr>
            <w:tcW w:w="690" w:type="dxa"/>
            <w:shd w:val="clear" w:color="auto" w:fill="44546A"/>
            <w:vAlign w:val="center"/>
          </w:tcPr>
          <w:p w14:paraId="3816632E"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WAM-B9</w:t>
            </w:r>
          </w:p>
        </w:tc>
        <w:tc>
          <w:tcPr>
            <w:tcW w:w="15045" w:type="dxa"/>
            <w:gridSpan w:val="9"/>
            <w:shd w:val="clear" w:color="auto" w:fill="44546A"/>
            <w:vAlign w:val="center"/>
          </w:tcPr>
          <w:p w14:paraId="4DE7A630"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Спровођење најбоље праксе у складиштењу течног стајњака</w:t>
            </w:r>
          </w:p>
        </w:tc>
      </w:tr>
      <w:tr w:rsidR="00A0251B" w:rsidRPr="00CC35F0" w14:paraId="38FD1B11" w14:textId="77777777">
        <w:trPr>
          <w:trHeight w:val="212"/>
        </w:trPr>
        <w:tc>
          <w:tcPr>
            <w:tcW w:w="690" w:type="dxa"/>
            <w:vMerge w:val="restart"/>
            <w:shd w:val="clear" w:color="auto" w:fill="auto"/>
            <w:vAlign w:val="center"/>
          </w:tcPr>
          <w:p w14:paraId="789B65FE"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12</w:t>
            </w:r>
          </w:p>
        </w:tc>
        <w:tc>
          <w:tcPr>
            <w:tcW w:w="15045" w:type="dxa"/>
            <w:gridSpan w:val="9"/>
            <w:shd w:val="clear" w:color="auto" w:fill="auto"/>
            <w:vAlign w:val="center"/>
          </w:tcPr>
          <w:p w14:paraId="7CA4B5C9"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едукативна, информативна</w:t>
            </w:r>
          </w:p>
          <w:p w14:paraId="55DECB3E"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5F27E0AA"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17E2BD1E"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Ова мера има за циљ покривање складишта стајњака посебним покривачем (фарме свиња) или природном кором (фарме говеда).</w:t>
            </w:r>
          </w:p>
          <w:p w14:paraId="707DD5D4"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 складишта течног стајњака са фарми свиња могу се инсталирати флексибилни покривачи, чиме се емисије смањују за 60%. Ова мера се односи на фарме свиња које су у обавези прибављања интегрисане дозволе.</w:t>
            </w:r>
          </w:p>
          <w:p w14:paraId="26810D1E"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Што се тиче складишта течног стајњака са фарми говеда, претпоставља се да ускладиштени стајњак развије природну површинску кору, која представља ефикасан покров и смањује емисије за 40%. Важно је напоменути да ће кора настати само ако је садржај суве материја довољно висок (&gt; 7%) и ако се мешање стајњака може свести на минимум. Кора треба да покрије целу површину складишта. Складиште треба пунити одоздо како се кора не би разбила. Ефикасност коре зависи од тога у коликом проценту прекрива површину стајњака, што зависи од њене дебљине, целости и трајања. Ова мера се односи само на стајњак са фарми за узгој крава музарa.</w:t>
            </w:r>
          </w:p>
          <w:p w14:paraId="3FE10F57"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Циљна вредност за спровођење ове мере је да се осигура да до 2030. године 1,9% складишта свињског стајњака буде покривено покретним покривачима, односно да 3,3% складишта стајњака са фарми крава музара буде покривено природном кором.</w:t>
            </w:r>
          </w:p>
          <w:p w14:paraId="38165579"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 </w:t>
            </w:r>
          </w:p>
          <w:p w14:paraId="4BD9C6C4"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b/>
                <w:sz w:val="24"/>
                <w:szCs w:val="24"/>
                <w:u w:val="single"/>
                <w:lang w:val="sr-Cyrl-CS"/>
              </w:rPr>
              <w:t>Циљ у вези са ЕУ</w:t>
            </w:r>
            <w:r w:rsidRPr="00CC35F0">
              <w:rPr>
                <w:rFonts w:ascii="Times New Roman" w:eastAsia="Times New Roman" w:hAnsi="Times New Roman"/>
                <w:b/>
                <w:sz w:val="24"/>
                <w:szCs w:val="24"/>
                <w:lang w:val="sr-Cyrl-CS"/>
              </w:rPr>
              <w:t>:</w:t>
            </w:r>
            <w:r w:rsidRPr="00CC35F0">
              <w:rPr>
                <w:rFonts w:ascii="Times New Roman" w:eastAsia="Times New Roman" w:hAnsi="Times New Roman"/>
                <w:sz w:val="24"/>
                <w:szCs w:val="24"/>
                <w:lang w:val="sr-Cyrl-CS"/>
              </w:rPr>
              <w:t xml:space="preserve"> </w:t>
            </w:r>
          </w:p>
          <w:p w14:paraId="7CAB35CD"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Пољопривреда – побољшани системи управљања отпадом животињског порекла;</w:t>
            </w:r>
          </w:p>
          <w:p w14:paraId="4F3BE931"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486DD00C"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37D32EA2"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3BB0C143"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 xml:space="preserve">Побољшање квалитета ваздуха у </w:t>
            </w:r>
            <w:r w:rsidR="00802209"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Србији како би се избегла прекорачења граничних вредности за квалитет ваздуха (мање секундарних суспендованих честица)</w:t>
            </w:r>
          </w:p>
          <w:p w14:paraId="06F2FAF7" w14:textId="77777777" w:rsidR="00A0251B" w:rsidRPr="00CC35F0" w:rsidRDefault="00A0251B">
            <w:pPr>
              <w:spacing w:after="0"/>
              <w:jc w:val="left"/>
              <w:rPr>
                <w:rFonts w:ascii="Times New Roman" w:eastAsia="Times New Roman" w:hAnsi="Times New Roman"/>
                <w:sz w:val="24"/>
                <w:szCs w:val="24"/>
                <w:lang w:val="sr-Cyrl-CS"/>
              </w:rPr>
            </w:pPr>
          </w:p>
          <w:p w14:paraId="32927E1E"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6BFC3CE1" w14:textId="77777777">
        <w:trPr>
          <w:trHeight w:val="385"/>
        </w:trPr>
        <w:tc>
          <w:tcPr>
            <w:tcW w:w="690" w:type="dxa"/>
            <w:vMerge/>
            <w:shd w:val="clear" w:color="auto" w:fill="auto"/>
            <w:vAlign w:val="center"/>
          </w:tcPr>
          <w:p w14:paraId="610430A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78CBF39F"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434E235B"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561" w:type="dxa"/>
            <w:vMerge w:val="restart"/>
            <w:shd w:val="clear" w:color="auto" w:fill="D9D9D9"/>
            <w:vAlign w:val="center"/>
          </w:tcPr>
          <w:p w14:paraId="27AF38FF"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843" w:type="dxa"/>
            <w:vMerge w:val="restart"/>
            <w:shd w:val="clear" w:color="auto" w:fill="D9D9D9"/>
            <w:vAlign w:val="center"/>
          </w:tcPr>
          <w:p w14:paraId="082A4770"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3827" w:type="dxa"/>
            <w:gridSpan w:val="5"/>
            <w:shd w:val="clear" w:color="auto" w:fill="D9D9D9"/>
            <w:vAlign w:val="center"/>
          </w:tcPr>
          <w:p w14:paraId="59033B06"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5E5CCD7F" w14:textId="77777777">
        <w:trPr>
          <w:trHeight w:val="385"/>
        </w:trPr>
        <w:tc>
          <w:tcPr>
            <w:tcW w:w="690" w:type="dxa"/>
            <w:vMerge/>
            <w:shd w:val="clear" w:color="auto" w:fill="auto"/>
            <w:vAlign w:val="center"/>
          </w:tcPr>
          <w:p w14:paraId="46B86C9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2C29AEA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561DE41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61" w:type="dxa"/>
            <w:vMerge/>
            <w:shd w:val="clear" w:color="auto" w:fill="D9D9D9"/>
            <w:vAlign w:val="center"/>
          </w:tcPr>
          <w:p w14:paraId="53C3C1E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843" w:type="dxa"/>
            <w:vMerge/>
            <w:shd w:val="clear" w:color="auto" w:fill="D9D9D9"/>
            <w:vAlign w:val="center"/>
          </w:tcPr>
          <w:p w14:paraId="17F3D28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827" w:type="dxa"/>
            <w:gridSpan w:val="5"/>
            <w:shd w:val="clear" w:color="auto" w:fill="D9D9D9"/>
            <w:vAlign w:val="center"/>
          </w:tcPr>
          <w:p w14:paraId="7FE063AC"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1683A59E" w14:textId="77777777">
        <w:trPr>
          <w:trHeight w:val="417"/>
        </w:trPr>
        <w:tc>
          <w:tcPr>
            <w:tcW w:w="690" w:type="dxa"/>
            <w:vMerge/>
            <w:shd w:val="clear" w:color="auto" w:fill="auto"/>
            <w:vAlign w:val="center"/>
          </w:tcPr>
          <w:p w14:paraId="29445F7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shd w:val="clear" w:color="auto" w:fill="FFFFFF"/>
            <w:vAlign w:val="center"/>
          </w:tcPr>
          <w:p w14:paraId="3F0F72BC"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p>
        </w:tc>
        <w:tc>
          <w:tcPr>
            <w:tcW w:w="4283" w:type="dxa"/>
            <w:shd w:val="clear" w:color="auto" w:fill="FFFFFF"/>
            <w:vAlign w:val="center"/>
          </w:tcPr>
          <w:p w14:paraId="4EB15E9A"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05871EA7" w14:textId="77777777" w:rsidR="00A0251B" w:rsidRPr="00CC35F0" w:rsidRDefault="00BB1F24">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АП</w:t>
            </w:r>
            <w:r w:rsidR="008D6506" w:rsidRPr="00CC35F0">
              <w:rPr>
                <w:rFonts w:ascii="Times New Roman" w:eastAsia="Times New Roman" w:hAnsi="Times New Roman"/>
                <w:color w:val="000000"/>
                <w:sz w:val="24"/>
                <w:szCs w:val="24"/>
                <w:lang w:val="sr-Cyrl-CS"/>
              </w:rPr>
              <w:t xml:space="preserve"> Војводина </w:t>
            </w:r>
          </w:p>
          <w:p w14:paraId="2BAFA4F1"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j</w:t>
            </w:r>
            <w:r w:rsidRPr="00CC35F0">
              <w:rPr>
                <w:rFonts w:ascii="Times New Roman" w:eastAsia="Times New Roman" w:hAnsi="Times New Roman"/>
                <w:color w:val="000000"/>
                <w:sz w:val="24"/>
                <w:szCs w:val="24"/>
                <w:lang w:val="sr-Cyrl-CS"/>
              </w:rPr>
              <w:t xml:space="preserve">единице локалне самоуправе, АЗЖС, Институт за примену науке у пољопривреди, Саветодавне пољопривредне службе </w:t>
            </w:r>
          </w:p>
        </w:tc>
        <w:tc>
          <w:tcPr>
            <w:tcW w:w="1561" w:type="dxa"/>
            <w:shd w:val="clear" w:color="auto" w:fill="FFFFFF"/>
            <w:vAlign w:val="center"/>
          </w:tcPr>
          <w:p w14:paraId="0C5774D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NH</w:t>
            </w:r>
            <w:r w:rsidRPr="00CC35F0">
              <w:rPr>
                <w:rFonts w:ascii="Times New Roman" w:eastAsia="Times New Roman" w:hAnsi="Times New Roman"/>
                <w:color w:val="000000"/>
                <w:sz w:val="24"/>
                <w:szCs w:val="24"/>
                <w:vertAlign w:val="subscript"/>
                <w:lang w:val="sr-Cyrl-CS"/>
              </w:rPr>
              <w:t>3</w:t>
            </w:r>
          </w:p>
        </w:tc>
        <w:tc>
          <w:tcPr>
            <w:tcW w:w="1843" w:type="dxa"/>
            <w:shd w:val="clear" w:color="auto" w:fill="FFFFFF"/>
            <w:vAlign w:val="center"/>
          </w:tcPr>
          <w:p w14:paraId="122A13E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2,7</w:t>
            </w:r>
          </w:p>
        </w:tc>
        <w:tc>
          <w:tcPr>
            <w:tcW w:w="905" w:type="dxa"/>
            <w:shd w:val="clear" w:color="auto" w:fill="FFFFFF"/>
            <w:vAlign w:val="center"/>
          </w:tcPr>
          <w:p w14:paraId="734B514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0,02</w:t>
            </w:r>
          </w:p>
        </w:tc>
        <w:tc>
          <w:tcPr>
            <w:tcW w:w="1436" w:type="dxa"/>
            <w:gridSpan w:val="2"/>
            <w:shd w:val="clear" w:color="auto" w:fill="FFFFFF"/>
            <w:vAlign w:val="center"/>
          </w:tcPr>
          <w:p w14:paraId="2B7AC78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0,03</w:t>
            </w:r>
          </w:p>
        </w:tc>
        <w:tc>
          <w:tcPr>
            <w:tcW w:w="1486" w:type="dxa"/>
            <w:gridSpan w:val="2"/>
            <w:shd w:val="clear" w:color="auto" w:fill="FFFFFF"/>
            <w:vAlign w:val="center"/>
          </w:tcPr>
          <w:p w14:paraId="20451D5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0,05</w:t>
            </w:r>
          </w:p>
        </w:tc>
      </w:tr>
      <w:tr w:rsidR="00A0251B" w:rsidRPr="00CC35F0" w14:paraId="01E0748B" w14:textId="77777777">
        <w:trPr>
          <w:trHeight w:val="442"/>
        </w:trPr>
        <w:tc>
          <w:tcPr>
            <w:tcW w:w="690" w:type="dxa"/>
            <w:shd w:val="clear" w:color="auto" w:fill="44546A"/>
            <w:vAlign w:val="center"/>
          </w:tcPr>
          <w:p w14:paraId="53756069"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WAM-B8</w:t>
            </w:r>
          </w:p>
        </w:tc>
        <w:tc>
          <w:tcPr>
            <w:tcW w:w="15045" w:type="dxa"/>
            <w:gridSpan w:val="9"/>
            <w:shd w:val="clear" w:color="auto" w:fill="44546A"/>
            <w:vAlign w:val="center"/>
          </w:tcPr>
          <w:p w14:paraId="590076F5"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Замена ђубрива на бази урее ђубривима на бази амонијум-нитрата</w:t>
            </w:r>
          </w:p>
        </w:tc>
      </w:tr>
      <w:tr w:rsidR="00A0251B" w:rsidRPr="00CC35F0" w14:paraId="29514A56" w14:textId="77777777">
        <w:trPr>
          <w:trHeight w:val="212"/>
        </w:trPr>
        <w:tc>
          <w:tcPr>
            <w:tcW w:w="690" w:type="dxa"/>
            <w:vMerge w:val="restart"/>
            <w:shd w:val="clear" w:color="auto" w:fill="auto"/>
            <w:vAlign w:val="center"/>
          </w:tcPr>
          <w:p w14:paraId="1AE39C50" w14:textId="77777777" w:rsidR="00A0251B" w:rsidRPr="00CC35F0" w:rsidRDefault="008D6506">
            <w:pPr>
              <w:spacing w:after="0"/>
              <w:jc w:val="center"/>
              <w:rPr>
                <w:rFonts w:ascii="Times New Roman" w:eastAsia="Times New Roman" w:hAnsi="Times New Roman"/>
                <w:b/>
                <w:color w:val="000000"/>
                <w:sz w:val="24"/>
                <w:szCs w:val="24"/>
                <w:lang w:val="sr-Cyrl-CS"/>
              </w:rPr>
            </w:pPr>
            <w:bookmarkStart w:id="79" w:name="_heading=h.3vac5uf" w:colFirst="0" w:colLast="0"/>
            <w:bookmarkEnd w:id="79"/>
            <w:r w:rsidRPr="00CC35F0">
              <w:rPr>
                <w:rFonts w:ascii="Times New Roman" w:eastAsia="Times New Roman" w:hAnsi="Times New Roman"/>
                <w:b/>
                <w:color w:val="000000"/>
                <w:sz w:val="24"/>
                <w:szCs w:val="24"/>
                <w:lang w:val="sr-Cyrl-CS"/>
              </w:rPr>
              <w:t>13</w:t>
            </w:r>
          </w:p>
        </w:tc>
        <w:tc>
          <w:tcPr>
            <w:tcW w:w="15045" w:type="dxa"/>
            <w:gridSpan w:val="9"/>
            <w:shd w:val="clear" w:color="auto" w:fill="auto"/>
            <w:vAlign w:val="center"/>
          </w:tcPr>
          <w:p w14:paraId="28F07C29"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едукативна, информативна</w:t>
            </w:r>
          </w:p>
          <w:p w14:paraId="2CD80C3C"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775A1D61"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57260C4C"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из ђубрива на бази урее (типично 5%–40% азота се изгуби кроз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много су више од оних које емитују ђубрива на бази амонијум-нитрата (типично 0,5%–5% азота се губи кроз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Прелазак са ђубрива на бази урее на она на бази амонијум-нитрата је прилично лак начин за смањење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а ефикасност смањења емисија креће се око 90%. </w:t>
            </w:r>
          </w:p>
          <w:p w14:paraId="69B29566"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 Србији се користе само ђубрива на бази урее, нема ђубрива на бази азота. </w:t>
            </w:r>
          </w:p>
          <w:p w14:paraId="031A6970"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Овом мером циља се смањење удела урее у мешавини минералног азотног ђубрива, коју замењује амонијум-нитрат. До 2030. године, удео урее у укупном минералном азотном ђубриву треба да падне на 21,6%, док би удео амонијум-нитрата у укупном минералном азотном ђубриву у истом периоду порастао на 57,8%.</w:t>
            </w:r>
          </w:p>
          <w:p w14:paraId="274B9913" w14:textId="77777777" w:rsidR="00A0251B" w:rsidRPr="00CC35F0" w:rsidRDefault="00A0251B">
            <w:pPr>
              <w:spacing w:after="0"/>
              <w:rPr>
                <w:rFonts w:ascii="Times New Roman" w:eastAsia="Times New Roman" w:hAnsi="Times New Roman"/>
                <w:b/>
                <w:sz w:val="24"/>
                <w:szCs w:val="24"/>
                <w:u w:val="single"/>
                <w:lang w:val="sr-Cyrl-CS"/>
              </w:rPr>
            </w:pPr>
          </w:p>
          <w:p w14:paraId="1A3C27E7"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b/>
                <w:sz w:val="24"/>
                <w:szCs w:val="24"/>
                <w:u w:val="single"/>
                <w:lang w:val="sr-Cyrl-CS"/>
              </w:rPr>
              <w:t>Циљ у вези са ЕУ</w:t>
            </w:r>
            <w:r w:rsidRPr="00CC35F0">
              <w:rPr>
                <w:rFonts w:ascii="Times New Roman" w:eastAsia="Times New Roman" w:hAnsi="Times New Roman"/>
                <w:b/>
                <w:sz w:val="24"/>
                <w:szCs w:val="24"/>
                <w:lang w:val="sr-Cyrl-CS"/>
              </w:rPr>
              <w:t>:</w:t>
            </w:r>
            <w:r w:rsidRPr="00CC35F0">
              <w:rPr>
                <w:rFonts w:ascii="Times New Roman" w:eastAsia="Times New Roman" w:hAnsi="Times New Roman"/>
                <w:sz w:val="24"/>
                <w:szCs w:val="24"/>
                <w:lang w:val="sr-Cyrl-CS"/>
              </w:rPr>
              <w:t xml:space="preserve"> </w:t>
            </w:r>
          </w:p>
          <w:p w14:paraId="10D383AA"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Пољопривреда – коришћење нискоемисионог ђубрива/стајњака на обрадивом земљишту и пашњацима</w:t>
            </w:r>
          </w:p>
          <w:p w14:paraId="1D6ED3D2"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3FC0E892"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66A6F53D"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2E1B1AF3" w14:textId="77777777" w:rsidR="00A0251B" w:rsidRPr="00CC35F0" w:rsidRDefault="008D6506">
            <w:pPr>
              <w:spacing w:after="0"/>
              <w:jc w:val="left"/>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 xml:space="preserve">Побољшање квалитета ваздуха у </w:t>
            </w:r>
            <w:r w:rsidR="004A4FF5"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Србији како би се избегла прекорачења граничних вредности за квалитет ваздуха (мање секундарних суспендованих честица)</w:t>
            </w:r>
          </w:p>
          <w:p w14:paraId="60E5A46E" w14:textId="77777777" w:rsidR="00A0251B" w:rsidRPr="00CC35F0" w:rsidRDefault="00A0251B">
            <w:pPr>
              <w:spacing w:after="0"/>
              <w:jc w:val="left"/>
              <w:rPr>
                <w:rFonts w:ascii="Times New Roman" w:eastAsia="Times New Roman" w:hAnsi="Times New Roman"/>
                <w:sz w:val="24"/>
                <w:szCs w:val="24"/>
                <w:lang w:val="sr-Cyrl-CS"/>
              </w:rPr>
            </w:pPr>
          </w:p>
          <w:p w14:paraId="64E20D17"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p w14:paraId="4F1D123B" w14:textId="77777777" w:rsidR="00A0251B" w:rsidRPr="00CC35F0" w:rsidRDefault="00A0251B">
            <w:pPr>
              <w:spacing w:after="0"/>
              <w:rPr>
                <w:rFonts w:ascii="Times New Roman" w:eastAsia="Times New Roman" w:hAnsi="Times New Roman"/>
                <w:b/>
                <w:i/>
                <w:sz w:val="24"/>
                <w:szCs w:val="24"/>
                <w:u w:val="single"/>
                <w:lang w:val="sr-Cyrl-CS"/>
              </w:rPr>
            </w:pPr>
          </w:p>
        </w:tc>
      </w:tr>
      <w:tr w:rsidR="00A0251B" w:rsidRPr="00CC35F0" w14:paraId="1A7FB9E6" w14:textId="77777777">
        <w:trPr>
          <w:trHeight w:val="385"/>
        </w:trPr>
        <w:tc>
          <w:tcPr>
            <w:tcW w:w="690" w:type="dxa"/>
            <w:vMerge/>
            <w:shd w:val="clear" w:color="auto" w:fill="auto"/>
            <w:vAlign w:val="center"/>
          </w:tcPr>
          <w:p w14:paraId="2E9D841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6BE1E8DB"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54AF0CB9"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561" w:type="dxa"/>
            <w:vMerge w:val="restart"/>
            <w:shd w:val="clear" w:color="auto" w:fill="D9D9D9"/>
            <w:vAlign w:val="center"/>
          </w:tcPr>
          <w:p w14:paraId="5A87F617"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843" w:type="dxa"/>
            <w:vMerge w:val="restart"/>
            <w:shd w:val="clear" w:color="auto" w:fill="D9D9D9"/>
            <w:vAlign w:val="center"/>
          </w:tcPr>
          <w:p w14:paraId="2CF8A4E0"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3827" w:type="dxa"/>
            <w:gridSpan w:val="5"/>
            <w:shd w:val="clear" w:color="auto" w:fill="D9D9D9"/>
            <w:vAlign w:val="center"/>
          </w:tcPr>
          <w:p w14:paraId="59D9FB04"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6E476955" w14:textId="77777777">
        <w:trPr>
          <w:trHeight w:val="385"/>
        </w:trPr>
        <w:tc>
          <w:tcPr>
            <w:tcW w:w="690" w:type="dxa"/>
            <w:vMerge/>
            <w:shd w:val="clear" w:color="auto" w:fill="auto"/>
            <w:vAlign w:val="center"/>
          </w:tcPr>
          <w:p w14:paraId="310B602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1C75A45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682DAEE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61" w:type="dxa"/>
            <w:vMerge/>
            <w:shd w:val="clear" w:color="auto" w:fill="D9D9D9"/>
            <w:vAlign w:val="center"/>
          </w:tcPr>
          <w:p w14:paraId="3B9CFC2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843" w:type="dxa"/>
            <w:vMerge/>
            <w:shd w:val="clear" w:color="auto" w:fill="D9D9D9"/>
            <w:vAlign w:val="center"/>
          </w:tcPr>
          <w:p w14:paraId="10829BF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827" w:type="dxa"/>
            <w:gridSpan w:val="5"/>
            <w:shd w:val="clear" w:color="auto" w:fill="D9D9D9"/>
            <w:vAlign w:val="center"/>
          </w:tcPr>
          <w:p w14:paraId="7DA64238"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5A2F099E" w14:textId="77777777">
        <w:trPr>
          <w:trHeight w:val="405"/>
        </w:trPr>
        <w:tc>
          <w:tcPr>
            <w:tcW w:w="690" w:type="dxa"/>
            <w:vMerge/>
            <w:shd w:val="clear" w:color="auto" w:fill="auto"/>
            <w:vAlign w:val="center"/>
          </w:tcPr>
          <w:p w14:paraId="44A0DFF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shd w:val="clear" w:color="auto" w:fill="FFFFFF"/>
            <w:vAlign w:val="center"/>
          </w:tcPr>
          <w:p w14:paraId="6ABD94FF"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r w:rsidR="00927304" w:rsidRPr="00CC35F0">
              <w:rPr>
                <w:rFonts w:ascii="Times New Roman" w:eastAsia="Times New Roman" w:hAnsi="Times New Roman"/>
                <w:color w:val="000000"/>
                <w:sz w:val="24"/>
                <w:szCs w:val="24"/>
                <w:lang w:val="sr-Cyrl-CS"/>
              </w:rPr>
              <w:t>,</w:t>
            </w:r>
          </w:p>
          <w:p w14:paraId="0609DB4C"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(за фарме које подлежу обавези прибављања интегрисане дозволе)</w:t>
            </w:r>
          </w:p>
        </w:tc>
        <w:tc>
          <w:tcPr>
            <w:tcW w:w="4283" w:type="dxa"/>
            <w:shd w:val="clear" w:color="auto" w:fill="FFFFFF"/>
            <w:vAlign w:val="center"/>
          </w:tcPr>
          <w:p w14:paraId="432EB239"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Пољопривредне </w:t>
            </w:r>
            <w:r w:rsidR="00847036" w:rsidRPr="00CC35F0">
              <w:rPr>
                <w:rFonts w:ascii="Times New Roman" w:eastAsia="Times New Roman" w:hAnsi="Times New Roman"/>
                <w:color w:val="000000"/>
                <w:sz w:val="24"/>
                <w:szCs w:val="24"/>
                <w:lang w:val="sr-Cyrl-CS"/>
              </w:rPr>
              <w:t xml:space="preserve">стручне и </w:t>
            </w:r>
            <w:r w:rsidRPr="00CC35F0">
              <w:rPr>
                <w:rFonts w:ascii="Times New Roman" w:eastAsia="Times New Roman" w:hAnsi="Times New Roman"/>
                <w:color w:val="000000"/>
                <w:sz w:val="24"/>
                <w:szCs w:val="24"/>
                <w:lang w:val="sr-Cyrl-CS"/>
              </w:rPr>
              <w:t xml:space="preserve">саветодавне службе, Управа за аграрна плаћања, </w:t>
            </w:r>
            <w:r w:rsidRPr="00CC35F0">
              <w:rPr>
                <w:rFonts w:ascii="Times New Roman" w:eastAsia="Times New Roman" w:hAnsi="Times New Roman"/>
                <w:sz w:val="24"/>
                <w:szCs w:val="24"/>
                <w:lang w:val="sr-Cyrl-CS"/>
              </w:rPr>
              <w:t>Управа за пољопривредно земљиште, Привредна комора Србије,</w:t>
            </w:r>
            <w:r w:rsidRPr="00CC35F0">
              <w:rPr>
                <w:rFonts w:ascii="Times New Roman" w:eastAsia="Times New Roman" w:hAnsi="Times New Roman"/>
                <w:color w:val="000000"/>
                <w:sz w:val="24"/>
                <w:szCs w:val="24"/>
                <w:lang w:val="sr-Cyrl-CS"/>
              </w:rPr>
              <w:t xml:space="preserve"> пољопривредници, Институт за примену науке у пољопривреди и Управа за заштиту биља</w:t>
            </w:r>
          </w:p>
        </w:tc>
        <w:tc>
          <w:tcPr>
            <w:tcW w:w="1561" w:type="dxa"/>
            <w:shd w:val="clear" w:color="auto" w:fill="FFFFFF"/>
            <w:vAlign w:val="center"/>
          </w:tcPr>
          <w:p w14:paraId="717816B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NH</w:t>
            </w:r>
            <w:r w:rsidRPr="00CC35F0">
              <w:rPr>
                <w:rFonts w:ascii="Times New Roman" w:eastAsia="Times New Roman" w:hAnsi="Times New Roman"/>
                <w:color w:val="000000"/>
                <w:sz w:val="24"/>
                <w:szCs w:val="24"/>
                <w:vertAlign w:val="subscript"/>
                <w:lang w:val="sr-Cyrl-CS"/>
              </w:rPr>
              <w:t>3</w:t>
            </w:r>
          </w:p>
        </w:tc>
        <w:tc>
          <w:tcPr>
            <w:tcW w:w="1843" w:type="dxa"/>
            <w:shd w:val="clear" w:color="auto" w:fill="FFFFFF"/>
            <w:vAlign w:val="center"/>
          </w:tcPr>
          <w:p w14:paraId="270C347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0,76</w:t>
            </w:r>
          </w:p>
        </w:tc>
        <w:tc>
          <w:tcPr>
            <w:tcW w:w="905" w:type="dxa"/>
            <w:shd w:val="clear" w:color="auto" w:fill="FFFFFF"/>
            <w:vAlign w:val="center"/>
          </w:tcPr>
          <w:p w14:paraId="1A446AF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3,80</w:t>
            </w:r>
          </w:p>
        </w:tc>
        <w:tc>
          <w:tcPr>
            <w:tcW w:w="1436" w:type="dxa"/>
            <w:gridSpan w:val="2"/>
            <w:shd w:val="clear" w:color="auto" w:fill="FFFFFF"/>
            <w:vAlign w:val="center"/>
          </w:tcPr>
          <w:p w14:paraId="4DC7EA4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6,56</w:t>
            </w:r>
          </w:p>
        </w:tc>
        <w:tc>
          <w:tcPr>
            <w:tcW w:w="1486" w:type="dxa"/>
            <w:gridSpan w:val="2"/>
            <w:shd w:val="clear" w:color="auto" w:fill="FFFFFF"/>
            <w:vAlign w:val="center"/>
          </w:tcPr>
          <w:p w14:paraId="0974A01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7,15</w:t>
            </w:r>
          </w:p>
        </w:tc>
      </w:tr>
      <w:tr w:rsidR="00A0251B" w:rsidRPr="00CC35F0" w14:paraId="7420A296" w14:textId="77777777">
        <w:trPr>
          <w:trHeight w:val="442"/>
        </w:trPr>
        <w:tc>
          <w:tcPr>
            <w:tcW w:w="690" w:type="dxa"/>
            <w:shd w:val="clear" w:color="auto" w:fill="44546A"/>
            <w:vAlign w:val="center"/>
          </w:tcPr>
          <w:p w14:paraId="5990DC1F"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 A11</w:t>
            </w:r>
          </w:p>
        </w:tc>
        <w:tc>
          <w:tcPr>
            <w:tcW w:w="15045" w:type="dxa"/>
            <w:gridSpan w:val="9"/>
            <w:shd w:val="clear" w:color="auto" w:fill="44546A"/>
            <w:vAlign w:val="center"/>
          </w:tcPr>
          <w:p w14:paraId="2559766B"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Увођење најбоље праксе приликом растурања и наношења чврстог стајњака на земљиште бржом инкорпорацијом стајњака у земљиште</w:t>
            </w:r>
          </w:p>
        </w:tc>
      </w:tr>
      <w:tr w:rsidR="00A0251B" w:rsidRPr="00CC35F0" w14:paraId="431857F6" w14:textId="77777777">
        <w:trPr>
          <w:trHeight w:val="212"/>
        </w:trPr>
        <w:tc>
          <w:tcPr>
            <w:tcW w:w="690" w:type="dxa"/>
            <w:vMerge w:val="restart"/>
            <w:shd w:val="clear" w:color="auto" w:fill="auto"/>
            <w:vAlign w:val="center"/>
          </w:tcPr>
          <w:p w14:paraId="230A4BC8"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14</w:t>
            </w:r>
          </w:p>
        </w:tc>
        <w:tc>
          <w:tcPr>
            <w:tcW w:w="15045" w:type="dxa"/>
            <w:gridSpan w:val="9"/>
            <w:shd w:val="clear" w:color="auto" w:fill="auto"/>
            <w:vAlign w:val="center"/>
          </w:tcPr>
          <w:p w14:paraId="5D09F1B9"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едукативна, информативна</w:t>
            </w:r>
          </w:p>
          <w:p w14:paraId="618B3DA4"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35C8AAF3"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6E52F51B"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Брзом инкорпорацијом чврстог стајњака (у року од 4, 12 и 24 сата) смањују се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приликом ђубрења. Што краће одлагање инкорпорације, то већи степен смањења емисија. </w:t>
            </w:r>
          </w:p>
          <w:p w14:paraId="7F91FBEC"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 ђубриво са фарми за узгој свиња и фарми за узгој живине, ова мера има за циљ развој брзе инкорпорације у року од 4 и 12 сати.</w:t>
            </w:r>
          </w:p>
          <w:p w14:paraId="1E7A9B53"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Односи се на фарме које подлежу обавези издавања интегрисане дозволе, али и на део других фарми свиња и живине које нису обухваћене прописима о интегрисаном спречавању и контроли загађивања животне средине.</w:t>
            </w:r>
          </w:p>
          <w:p w14:paraId="60A58C1A"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 стајњак са фарми за узгој говеда, ова мера има за циљ постизање брзе инкорпорације у року од 4, 12 и 24 сата.</w:t>
            </w:r>
          </w:p>
          <w:p w14:paraId="49FCB030" w14:textId="77777777" w:rsidR="00A0251B" w:rsidRPr="00CC35F0" w:rsidRDefault="00A0251B">
            <w:pPr>
              <w:spacing w:after="0"/>
              <w:rPr>
                <w:rFonts w:ascii="Times New Roman" w:eastAsia="Times New Roman" w:hAnsi="Times New Roman"/>
                <w:b/>
                <w:sz w:val="24"/>
                <w:szCs w:val="24"/>
                <w:u w:val="single"/>
                <w:lang w:val="sr-Cyrl-CS"/>
              </w:rPr>
            </w:pPr>
          </w:p>
          <w:p w14:paraId="7E000D1B"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b/>
                <w:sz w:val="24"/>
                <w:szCs w:val="24"/>
                <w:u w:val="single"/>
                <w:lang w:val="sr-Cyrl-CS"/>
              </w:rPr>
              <w:t>Циљ у вези са ЕУ</w:t>
            </w:r>
            <w:r w:rsidRPr="00CC35F0">
              <w:rPr>
                <w:rFonts w:ascii="Times New Roman" w:eastAsia="Times New Roman" w:hAnsi="Times New Roman"/>
                <w:b/>
                <w:sz w:val="24"/>
                <w:szCs w:val="24"/>
                <w:lang w:val="sr-Cyrl-CS"/>
              </w:rPr>
              <w:t>:</w:t>
            </w:r>
            <w:r w:rsidRPr="00CC35F0">
              <w:rPr>
                <w:rFonts w:ascii="Times New Roman" w:eastAsia="Times New Roman" w:hAnsi="Times New Roman"/>
                <w:sz w:val="24"/>
                <w:szCs w:val="24"/>
                <w:lang w:val="sr-Cyrl-CS"/>
              </w:rPr>
              <w:t xml:space="preserve"> </w:t>
            </w:r>
          </w:p>
          <w:p w14:paraId="6303C5AF"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Пољопривреда – коришћење нискоемисионог ђубрива/стајњака на обрадивом земљишту и пашњацима</w:t>
            </w:r>
          </w:p>
          <w:p w14:paraId="22C3B49A"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48F42C3F"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5A523E7B"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Смањење укупних емисија Републике Србије у циљу усаглашавања са Директивом ЕУ 2284/2016</w:t>
            </w:r>
          </w:p>
          <w:p w14:paraId="2033ED78"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Побољшање квалитета ваздуха у </w:t>
            </w:r>
            <w:r w:rsidR="002B364D"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 xml:space="preserve">Србији како би се избегла прекорачења граничних вредности за квалитет ваздуха </w:t>
            </w:r>
          </w:p>
          <w:p w14:paraId="0329E6F2"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p w14:paraId="798D76ED"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038188F6" w14:textId="77777777">
        <w:trPr>
          <w:trHeight w:val="385"/>
        </w:trPr>
        <w:tc>
          <w:tcPr>
            <w:tcW w:w="690" w:type="dxa"/>
            <w:vMerge/>
            <w:shd w:val="clear" w:color="auto" w:fill="auto"/>
            <w:vAlign w:val="center"/>
          </w:tcPr>
          <w:p w14:paraId="17F35E7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6E7CF7B7"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4B380F8E"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561" w:type="dxa"/>
            <w:vMerge w:val="restart"/>
            <w:shd w:val="clear" w:color="auto" w:fill="D9D9D9"/>
            <w:vAlign w:val="center"/>
          </w:tcPr>
          <w:p w14:paraId="40B99FF7"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843" w:type="dxa"/>
            <w:vMerge w:val="restart"/>
            <w:shd w:val="clear" w:color="auto" w:fill="D9D9D9"/>
            <w:vAlign w:val="center"/>
          </w:tcPr>
          <w:p w14:paraId="2C3A975B"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3827" w:type="dxa"/>
            <w:gridSpan w:val="5"/>
            <w:shd w:val="clear" w:color="auto" w:fill="D9D9D9"/>
            <w:vAlign w:val="center"/>
          </w:tcPr>
          <w:p w14:paraId="5ECD429E"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31402D7E" w14:textId="77777777">
        <w:trPr>
          <w:trHeight w:val="385"/>
        </w:trPr>
        <w:tc>
          <w:tcPr>
            <w:tcW w:w="690" w:type="dxa"/>
            <w:vMerge/>
            <w:shd w:val="clear" w:color="auto" w:fill="auto"/>
            <w:vAlign w:val="center"/>
          </w:tcPr>
          <w:p w14:paraId="1B6FE58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2EC4A98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49A7AEA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61" w:type="dxa"/>
            <w:vMerge/>
            <w:shd w:val="clear" w:color="auto" w:fill="D9D9D9"/>
            <w:vAlign w:val="center"/>
          </w:tcPr>
          <w:p w14:paraId="40E5038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843" w:type="dxa"/>
            <w:vMerge/>
            <w:shd w:val="clear" w:color="auto" w:fill="D9D9D9"/>
            <w:vAlign w:val="center"/>
          </w:tcPr>
          <w:p w14:paraId="2CC451D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827" w:type="dxa"/>
            <w:gridSpan w:val="5"/>
            <w:shd w:val="clear" w:color="auto" w:fill="D9D9D9"/>
            <w:vAlign w:val="center"/>
          </w:tcPr>
          <w:p w14:paraId="0284871E"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5C2635A8" w14:textId="77777777">
        <w:trPr>
          <w:trHeight w:val="616"/>
        </w:trPr>
        <w:tc>
          <w:tcPr>
            <w:tcW w:w="690" w:type="dxa"/>
            <w:vMerge/>
            <w:shd w:val="clear" w:color="auto" w:fill="auto"/>
            <w:vAlign w:val="center"/>
          </w:tcPr>
          <w:p w14:paraId="061DF8F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shd w:val="clear" w:color="auto" w:fill="FFFFFF"/>
            <w:vAlign w:val="center"/>
          </w:tcPr>
          <w:p w14:paraId="46E5036E"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p>
          <w:p w14:paraId="5AC17BC9"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(за фарме којима се издаје интегрисана дозвола)</w:t>
            </w:r>
          </w:p>
        </w:tc>
        <w:tc>
          <w:tcPr>
            <w:tcW w:w="4283" w:type="dxa"/>
            <w:shd w:val="clear" w:color="auto" w:fill="FFFFFF"/>
            <w:vAlign w:val="center"/>
          </w:tcPr>
          <w:p w14:paraId="4BB6AC47"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Пољопривредне </w:t>
            </w:r>
            <w:r w:rsidR="00847036" w:rsidRPr="00CC35F0">
              <w:rPr>
                <w:rFonts w:ascii="Times New Roman" w:eastAsia="Times New Roman" w:hAnsi="Times New Roman"/>
                <w:color w:val="000000"/>
                <w:sz w:val="24"/>
                <w:szCs w:val="24"/>
                <w:lang w:val="sr-Cyrl-CS"/>
              </w:rPr>
              <w:t xml:space="preserve">стручне и </w:t>
            </w:r>
            <w:r w:rsidRPr="00CC35F0">
              <w:rPr>
                <w:rFonts w:ascii="Times New Roman" w:eastAsia="Times New Roman" w:hAnsi="Times New Roman"/>
                <w:color w:val="000000"/>
                <w:sz w:val="24"/>
                <w:szCs w:val="24"/>
                <w:lang w:val="sr-Cyrl-CS"/>
              </w:rPr>
              <w:t xml:space="preserve">саветодавне службе, Управа за аграрна плаћања, </w:t>
            </w:r>
            <w:r w:rsidRPr="00CC35F0">
              <w:rPr>
                <w:rFonts w:ascii="Times New Roman" w:eastAsia="Times New Roman" w:hAnsi="Times New Roman"/>
                <w:sz w:val="24"/>
                <w:szCs w:val="24"/>
                <w:lang w:val="sr-Cyrl-CS"/>
              </w:rPr>
              <w:t>Управа за пољопривредно земљиште, Привредна комора Србије,</w:t>
            </w:r>
            <w:r w:rsidRPr="00CC35F0">
              <w:rPr>
                <w:rFonts w:ascii="Times New Roman" w:eastAsia="Times New Roman" w:hAnsi="Times New Roman"/>
                <w:color w:val="000000"/>
                <w:sz w:val="24"/>
                <w:szCs w:val="24"/>
                <w:lang w:val="sr-Cyrl-CS"/>
              </w:rPr>
              <w:t xml:space="preserve"> пољопривредници, Институт за примену науке у пољопривреди</w:t>
            </w:r>
          </w:p>
        </w:tc>
        <w:tc>
          <w:tcPr>
            <w:tcW w:w="1561" w:type="dxa"/>
            <w:shd w:val="clear" w:color="auto" w:fill="FFFFFF"/>
            <w:vAlign w:val="center"/>
          </w:tcPr>
          <w:p w14:paraId="39FC0CF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NH</w:t>
            </w:r>
            <w:r w:rsidRPr="00CC35F0">
              <w:rPr>
                <w:rFonts w:ascii="Times New Roman" w:eastAsia="Times New Roman" w:hAnsi="Times New Roman"/>
                <w:color w:val="000000"/>
                <w:sz w:val="24"/>
                <w:szCs w:val="24"/>
                <w:vertAlign w:val="subscript"/>
                <w:lang w:val="sr-Cyrl-CS"/>
              </w:rPr>
              <w:t>3</w:t>
            </w:r>
          </w:p>
        </w:tc>
        <w:tc>
          <w:tcPr>
            <w:tcW w:w="1843" w:type="dxa"/>
            <w:shd w:val="clear" w:color="auto" w:fill="FFFFFF"/>
            <w:vAlign w:val="center"/>
          </w:tcPr>
          <w:p w14:paraId="158A2C2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3,09</w:t>
            </w:r>
          </w:p>
        </w:tc>
        <w:tc>
          <w:tcPr>
            <w:tcW w:w="905" w:type="dxa"/>
            <w:shd w:val="clear" w:color="auto" w:fill="FFFFFF"/>
            <w:vAlign w:val="center"/>
          </w:tcPr>
          <w:p w14:paraId="70CCDED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0,45</w:t>
            </w:r>
          </w:p>
        </w:tc>
        <w:tc>
          <w:tcPr>
            <w:tcW w:w="1436" w:type="dxa"/>
            <w:gridSpan w:val="2"/>
            <w:shd w:val="clear" w:color="auto" w:fill="FFFFFF"/>
            <w:vAlign w:val="center"/>
          </w:tcPr>
          <w:p w14:paraId="7E8E801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0,76</w:t>
            </w:r>
          </w:p>
        </w:tc>
        <w:tc>
          <w:tcPr>
            <w:tcW w:w="1486" w:type="dxa"/>
            <w:gridSpan w:val="2"/>
            <w:shd w:val="clear" w:color="auto" w:fill="FFFFFF"/>
            <w:vAlign w:val="center"/>
          </w:tcPr>
          <w:p w14:paraId="3BD4574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1,04</w:t>
            </w:r>
          </w:p>
        </w:tc>
      </w:tr>
      <w:tr w:rsidR="00A0251B" w:rsidRPr="00CC35F0" w14:paraId="05A30A17" w14:textId="77777777">
        <w:trPr>
          <w:trHeight w:val="442"/>
        </w:trPr>
        <w:tc>
          <w:tcPr>
            <w:tcW w:w="690" w:type="dxa"/>
            <w:shd w:val="clear" w:color="auto" w:fill="44546A"/>
            <w:vAlign w:val="center"/>
          </w:tcPr>
          <w:p w14:paraId="40E56491"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 B7.</w:t>
            </w:r>
          </w:p>
        </w:tc>
        <w:tc>
          <w:tcPr>
            <w:tcW w:w="15045" w:type="dxa"/>
            <w:gridSpan w:val="9"/>
            <w:shd w:val="clear" w:color="auto" w:fill="44546A"/>
            <w:vAlign w:val="center"/>
          </w:tcPr>
          <w:p w14:paraId="3B4FF627"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Увођење најбоље праксе у активности растурања течног стајњака са фарми свиња и говеда</w:t>
            </w:r>
          </w:p>
        </w:tc>
      </w:tr>
      <w:tr w:rsidR="00A0251B" w:rsidRPr="00CC35F0" w14:paraId="1B1B101F" w14:textId="77777777">
        <w:trPr>
          <w:trHeight w:val="212"/>
        </w:trPr>
        <w:tc>
          <w:tcPr>
            <w:tcW w:w="690" w:type="dxa"/>
            <w:vMerge w:val="restart"/>
            <w:shd w:val="clear" w:color="auto" w:fill="auto"/>
            <w:vAlign w:val="center"/>
          </w:tcPr>
          <w:p w14:paraId="5AC6D89D"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15</w:t>
            </w:r>
          </w:p>
        </w:tc>
        <w:tc>
          <w:tcPr>
            <w:tcW w:w="15045" w:type="dxa"/>
            <w:gridSpan w:val="9"/>
            <w:shd w:val="clear" w:color="auto" w:fill="auto"/>
            <w:vAlign w:val="center"/>
          </w:tcPr>
          <w:p w14:paraId="1970EB16"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контрола загађења на извору</w:t>
            </w:r>
            <w:r w:rsidRPr="00CC35F0">
              <w:rPr>
                <w:rFonts w:ascii="Times New Roman" w:eastAsia="Times New Roman" w:hAnsi="Times New Roman"/>
                <w:b/>
                <w:sz w:val="24"/>
                <w:szCs w:val="24"/>
                <w:lang w:val="sr-Cyrl-CS"/>
              </w:rPr>
              <w:t xml:space="preserve"> </w:t>
            </w:r>
          </w:p>
          <w:p w14:paraId="1BF75BA0"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7B82B82D"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60E0993F"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 би се смањиле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из активности ђубрења, постоје системи за наношење течног стајњака применом метода наношења на одређену површину или убризгавања у поређењу са традиционалним површинским растурањем. У кодексу UNECE процењује се да ове методе наношења обично смањују емисију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за око 80% (убризгавање), 30% до 60% (папучица) или 30% (црево).</w:t>
            </w:r>
          </w:p>
          <w:p w14:paraId="2363EC5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Поред тога, брза инкорпорација (у року од 4 и 12 сати) смањује емисију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при ђубрењу површина. Што краће одлагање инкорпорације, то већи степен смањења емисија.</w:t>
            </w:r>
          </w:p>
          <w:p w14:paraId="4B6D9E84"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Растурање стајњака уз ниске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може бити део опште стратегије пољопривредника за побољшање управљања азотом, чиме се побољшава ефикасност, односно смањују трошкови, или повећавају приходи од жетве. </w:t>
            </w:r>
          </w:p>
          <w:p w14:paraId="4767058B"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мера има за циљ развоја праксе наношења свињског или сточног течног стајњака убризгавањем или помоћу црева, након чега следи инкорпорација у року од 4 и 12 сати. Односи се на фарме које подлежу обавези издавања интегрисане дозволе, али и на део других фарми свиња.</w:t>
            </w:r>
          </w:p>
          <w:p w14:paraId="564C8C4C" w14:textId="77777777" w:rsidR="00A0251B" w:rsidRPr="00CC35F0" w:rsidRDefault="00A0251B">
            <w:pPr>
              <w:spacing w:after="0"/>
              <w:rPr>
                <w:rFonts w:ascii="Times New Roman" w:eastAsia="Times New Roman" w:hAnsi="Times New Roman"/>
                <w:b/>
                <w:sz w:val="24"/>
                <w:szCs w:val="24"/>
                <w:u w:val="single"/>
                <w:lang w:val="sr-Cyrl-CS"/>
              </w:rPr>
            </w:pPr>
          </w:p>
          <w:p w14:paraId="51AF218A"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b/>
                <w:sz w:val="24"/>
                <w:szCs w:val="24"/>
                <w:u w:val="single"/>
                <w:lang w:val="sr-Cyrl-CS"/>
              </w:rPr>
              <w:t>Циљ у вези са ЕУ</w:t>
            </w:r>
            <w:r w:rsidRPr="00CC35F0">
              <w:rPr>
                <w:rFonts w:ascii="Times New Roman" w:eastAsia="Times New Roman" w:hAnsi="Times New Roman"/>
                <w:b/>
                <w:sz w:val="24"/>
                <w:szCs w:val="24"/>
                <w:lang w:val="sr-Cyrl-CS"/>
              </w:rPr>
              <w:t>:</w:t>
            </w:r>
            <w:r w:rsidRPr="00CC35F0">
              <w:rPr>
                <w:rFonts w:ascii="Times New Roman" w:eastAsia="Times New Roman" w:hAnsi="Times New Roman"/>
                <w:sz w:val="24"/>
                <w:szCs w:val="24"/>
                <w:lang w:val="sr-Cyrl-CS"/>
              </w:rPr>
              <w:t xml:space="preserve"> </w:t>
            </w:r>
          </w:p>
          <w:p w14:paraId="46A6947B"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lastRenderedPageBreak/>
              <w:t>Пољопривреда – коришћење нискоемисионог ђубрива/стајњака на обрадивом земљишту и пашњацима</w:t>
            </w:r>
          </w:p>
          <w:p w14:paraId="7F9B1B5B"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7C7568BE"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3F403670"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1D753271" w14:textId="77777777" w:rsidR="00A0251B" w:rsidRPr="00CC35F0" w:rsidRDefault="008D6506">
            <w:pPr>
              <w:spacing w:after="0"/>
              <w:jc w:val="left"/>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Побољшање квалитета ваздуха у Србији како би се избегла прекорачења граничних вредности за квалитет ваздуха (мање секундарних суспендованих честица)</w:t>
            </w:r>
          </w:p>
          <w:p w14:paraId="341CE507" w14:textId="77777777" w:rsidR="00A0251B" w:rsidRPr="00CC35F0" w:rsidRDefault="00A0251B">
            <w:pPr>
              <w:spacing w:after="0"/>
              <w:jc w:val="left"/>
              <w:rPr>
                <w:rFonts w:ascii="Times New Roman" w:eastAsia="Times New Roman" w:hAnsi="Times New Roman"/>
                <w:sz w:val="24"/>
                <w:szCs w:val="24"/>
                <w:lang w:val="sr-Cyrl-CS"/>
              </w:rPr>
            </w:pPr>
          </w:p>
          <w:p w14:paraId="538B1E6D"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52AF38CA" w14:textId="77777777">
        <w:trPr>
          <w:trHeight w:val="385"/>
        </w:trPr>
        <w:tc>
          <w:tcPr>
            <w:tcW w:w="690" w:type="dxa"/>
            <w:vMerge/>
            <w:shd w:val="clear" w:color="auto" w:fill="auto"/>
            <w:vAlign w:val="center"/>
          </w:tcPr>
          <w:p w14:paraId="7846248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35F4B393"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0799E88B"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561" w:type="dxa"/>
            <w:vMerge w:val="restart"/>
            <w:shd w:val="clear" w:color="auto" w:fill="D9D9D9"/>
            <w:vAlign w:val="center"/>
          </w:tcPr>
          <w:p w14:paraId="367AE3AE"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843" w:type="dxa"/>
            <w:vMerge w:val="restart"/>
            <w:shd w:val="clear" w:color="auto" w:fill="D9D9D9"/>
            <w:vAlign w:val="center"/>
          </w:tcPr>
          <w:p w14:paraId="237D531E"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3827" w:type="dxa"/>
            <w:gridSpan w:val="5"/>
            <w:shd w:val="clear" w:color="auto" w:fill="D9D9D9"/>
            <w:vAlign w:val="center"/>
          </w:tcPr>
          <w:p w14:paraId="19EA75A0"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09046396" w14:textId="77777777">
        <w:trPr>
          <w:trHeight w:val="385"/>
        </w:trPr>
        <w:tc>
          <w:tcPr>
            <w:tcW w:w="690" w:type="dxa"/>
            <w:vMerge/>
            <w:shd w:val="clear" w:color="auto" w:fill="auto"/>
            <w:vAlign w:val="center"/>
          </w:tcPr>
          <w:p w14:paraId="27228A0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731616E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317A102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61" w:type="dxa"/>
            <w:vMerge/>
            <w:shd w:val="clear" w:color="auto" w:fill="D9D9D9"/>
            <w:vAlign w:val="center"/>
          </w:tcPr>
          <w:p w14:paraId="32CBBA9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843" w:type="dxa"/>
            <w:vMerge/>
            <w:shd w:val="clear" w:color="auto" w:fill="D9D9D9"/>
            <w:vAlign w:val="center"/>
          </w:tcPr>
          <w:p w14:paraId="4CC2BCD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827" w:type="dxa"/>
            <w:gridSpan w:val="5"/>
            <w:shd w:val="clear" w:color="auto" w:fill="D9D9D9"/>
            <w:vAlign w:val="center"/>
          </w:tcPr>
          <w:p w14:paraId="65D3CA4A"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7AE80E18" w14:textId="77777777">
        <w:trPr>
          <w:trHeight w:val="43"/>
        </w:trPr>
        <w:tc>
          <w:tcPr>
            <w:tcW w:w="690" w:type="dxa"/>
            <w:vMerge/>
            <w:shd w:val="clear" w:color="auto" w:fill="auto"/>
            <w:vAlign w:val="center"/>
          </w:tcPr>
          <w:p w14:paraId="086D17C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shd w:val="clear" w:color="auto" w:fill="FFFFFF"/>
            <w:vAlign w:val="center"/>
          </w:tcPr>
          <w:p w14:paraId="5C362687"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p>
          <w:p w14:paraId="2470DED6"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w:t>
            </w:r>
            <w:r w:rsidRPr="00CC35F0">
              <w:rPr>
                <w:rFonts w:ascii="Times New Roman" w:eastAsia="Times New Roman" w:hAnsi="Times New Roman"/>
                <w:sz w:val="24"/>
                <w:szCs w:val="24"/>
                <w:lang w:val="sr-Cyrl-CS"/>
              </w:rPr>
              <w:t>за фарме којима се издаје интегрисана дозвола</w:t>
            </w:r>
            <w:r w:rsidRPr="00CC35F0">
              <w:rPr>
                <w:rFonts w:ascii="Times New Roman" w:eastAsia="Times New Roman" w:hAnsi="Times New Roman"/>
                <w:color w:val="000000"/>
                <w:sz w:val="24"/>
                <w:szCs w:val="24"/>
                <w:lang w:val="sr-Cyrl-CS"/>
              </w:rPr>
              <w:t>)</w:t>
            </w:r>
          </w:p>
        </w:tc>
        <w:tc>
          <w:tcPr>
            <w:tcW w:w="4283" w:type="dxa"/>
            <w:shd w:val="clear" w:color="auto" w:fill="FFFFFF"/>
            <w:vAlign w:val="center"/>
          </w:tcPr>
          <w:p w14:paraId="192190C2"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Пољопривредне </w:t>
            </w:r>
            <w:r w:rsidR="00847036" w:rsidRPr="00CC35F0">
              <w:rPr>
                <w:rFonts w:ascii="Times New Roman" w:eastAsia="Times New Roman" w:hAnsi="Times New Roman"/>
                <w:color w:val="000000"/>
                <w:sz w:val="24"/>
                <w:szCs w:val="24"/>
                <w:lang w:val="sr-Cyrl-CS"/>
              </w:rPr>
              <w:t xml:space="preserve">стручне и </w:t>
            </w:r>
            <w:r w:rsidRPr="00CC35F0">
              <w:rPr>
                <w:rFonts w:ascii="Times New Roman" w:eastAsia="Times New Roman" w:hAnsi="Times New Roman"/>
                <w:color w:val="000000"/>
                <w:sz w:val="24"/>
                <w:szCs w:val="24"/>
                <w:lang w:val="sr-Cyrl-CS"/>
              </w:rPr>
              <w:t xml:space="preserve">саветодавне службе, Управа за аграрна плаћања, </w:t>
            </w:r>
            <w:r w:rsidRPr="00CC35F0">
              <w:rPr>
                <w:rFonts w:ascii="Times New Roman" w:eastAsia="Times New Roman" w:hAnsi="Times New Roman"/>
                <w:sz w:val="24"/>
                <w:szCs w:val="24"/>
                <w:lang w:val="sr-Cyrl-CS"/>
              </w:rPr>
              <w:t>Управа за пољопривредно земљиште, Привредна комора Србије,</w:t>
            </w:r>
            <w:r w:rsidRPr="00CC35F0">
              <w:rPr>
                <w:rFonts w:ascii="Times New Roman" w:eastAsia="Times New Roman" w:hAnsi="Times New Roman"/>
                <w:color w:val="000000"/>
                <w:sz w:val="24"/>
                <w:szCs w:val="24"/>
                <w:lang w:val="sr-Cyrl-CS"/>
              </w:rPr>
              <w:t xml:space="preserve"> пољопривредници, Институт за примену науке у пољопривреди и Републичка дирекција за воде</w:t>
            </w:r>
          </w:p>
        </w:tc>
        <w:tc>
          <w:tcPr>
            <w:tcW w:w="1561" w:type="dxa"/>
            <w:shd w:val="clear" w:color="auto" w:fill="FFFFFF"/>
            <w:vAlign w:val="center"/>
          </w:tcPr>
          <w:p w14:paraId="37BB343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NH</w:t>
            </w:r>
            <w:r w:rsidRPr="00CC35F0">
              <w:rPr>
                <w:rFonts w:ascii="Times New Roman" w:eastAsia="Times New Roman" w:hAnsi="Times New Roman"/>
                <w:color w:val="000000"/>
                <w:sz w:val="24"/>
                <w:szCs w:val="24"/>
                <w:vertAlign w:val="subscript"/>
                <w:lang w:val="sr-Cyrl-CS"/>
              </w:rPr>
              <w:t>3</w:t>
            </w:r>
          </w:p>
        </w:tc>
        <w:tc>
          <w:tcPr>
            <w:tcW w:w="1843" w:type="dxa"/>
            <w:shd w:val="clear" w:color="auto" w:fill="FFFFFF"/>
            <w:vAlign w:val="center"/>
          </w:tcPr>
          <w:p w14:paraId="23CF4F1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1,30</w:t>
            </w:r>
          </w:p>
        </w:tc>
        <w:tc>
          <w:tcPr>
            <w:tcW w:w="905" w:type="dxa"/>
            <w:shd w:val="clear" w:color="auto" w:fill="FFFFFF"/>
            <w:vAlign w:val="center"/>
          </w:tcPr>
          <w:p w14:paraId="6319094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1,20</w:t>
            </w:r>
          </w:p>
        </w:tc>
        <w:tc>
          <w:tcPr>
            <w:tcW w:w="1436" w:type="dxa"/>
            <w:gridSpan w:val="2"/>
            <w:shd w:val="clear" w:color="auto" w:fill="FFFFFF"/>
            <w:vAlign w:val="center"/>
          </w:tcPr>
          <w:p w14:paraId="5285DB4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2,01</w:t>
            </w:r>
          </w:p>
        </w:tc>
        <w:tc>
          <w:tcPr>
            <w:tcW w:w="1486" w:type="dxa"/>
            <w:gridSpan w:val="2"/>
            <w:shd w:val="clear" w:color="auto" w:fill="FFFFFF"/>
            <w:vAlign w:val="center"/>
          </w:tcPr>
          <w:p w14:paraId="743A47F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2,72</w:t>
            </w:r>
          </w:p>
        </w:tc>
      </w:tr>
      <w:tr w:rsidR="00A0251B" w:rsidRPr="00CC35F0" w14:paraId="5237CCDA" w14:textId="77777777">
        <w:trPr>
          <w:trHeight w:val="442"/>
        </w:trPr>
        <w:tc>
          <w:tcPr>
            <w:tcW w:w="690" w:type="dxa"/>
            <w:shd w:val="clear" w:color="auto" w:fill="44546A"/>
            <w:vAlign w:val="center"/>
          </w:tcPr>
          <w:p w14:paraId="3371ABA0"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WAM-C3</w:t>
            </w:r>
          </w:p>
        </w:tc>
        <w:tc>
          <w:tcPr>
            <w:tcW w:w="15045" w:type="dxa"/>
            <w:gridSpan w:val="9"/>
            <w:shd w:val="clear" w:color="auto" w:fill="44546A"/>
            <w:vAlign w:val="center"/>
          </w:tcPr>
          <w:p w14:paraId="2AD1EB2C"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Ограничавање спаљивања остатака из пољопривреде (0% 2030. године)</w:t>
            </w:r>
          </w:p>
        </w:tc>
      </w:tr>
      <w:tr w:rsidR="00A0251B" w:rsidRPr="00CC35F0" w14:paraId="121A5628" w14:textId="77777777">
        <w:trPr>
          <w:trHeight w:val="212"/>
        </w:trPr>
        <w:tc>
          <w:tcPr>
            <w:tcW w:w="690" w:type="dxa"/>
            <w:vMerge w:val="restart"/>
            <w:shd w:val="clear" w:color="auto" w:fill="auto"/>
            <w:vAlign w:val="center"/>
          </w:tcPr>
          <w:p w14:paraId="41BAA72E"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16</w:t>
            </w:r>
          </w:p>
        </w:tc>
        <w:tc>
          <w:tcPr>
            <w:tcW w:w="15045" w:type="dxa"/>
            <w:gridSpan w:val="9"/>
            <w:shd w:val="clear" w:color="auto" w:fill="auto"/>
            <w:vAlign w:val="center"/>
          </w:tcPr>
          <w:p w14:paraId="30AC5D57"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Врста мере: регулаторна</w:t>
            </w:r>
            <w:r w:rsidRPr="00CC35F0">
              <w:rPr>
                <w:rFonts w:ascii="Times New Roman" w:eastAsia="Times New Roman" w:hAnsi="Times New Roman"/>
                <w:b/>
                <w:sz w:val="24"/>
                <w:szCs w:val="24"/>
                <w:lang w:val="sr-Cyrl-CS"/>
              </w:rPr>
              <w:t xml:space="preserve"> </w:t>
            </w:r>
          </w:p>
          <w:p w14:paraId="5F858CF9"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217E1968"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 xml:space="preserve">Опис мере: </w:t>
            </w:r>
          </w:p>
          <w:p w14:paraId="7DA1624D"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 мера има за циљ развој праксе инкорпорације остатака из пољопривреде у земљиште уместо спаљивања истих. Спаљивање остатака из пољопривреде на отвореном је у Србији ограничено законом, али се практикује и толерише упркос забрани прописаном Законом о пољопривредном земљишту и Законом о заштити од пожара. Спаљивање остатака из пољопривреде на отвореном емитује све загађујуће материје, али су у центру пажње углавном емисије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w:t>
            </w:r>
          </w:p>
          <w:p w14:paraId="334514AA"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Вишеструке су користи од инкорпорације остатака из пољопривреде у земљиште (на пример: хранљиве материје попут угљеника и азота које се враћају у земљиште).</w:t>
            </w:r>
          </w:p>
          <w:p w14:paraId="7C369EC9"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w:t>
            </w:r>
          </w:p>
          <w:p w14:paraId="56768DD6"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b/>
                <w:sz w:val="24"/>
                <w:szCs w:val="24"/>
                <w:u w:val="single"/>
                <w:lang w:val="sr-Cyrl-CS"/>
              </w:rPr>
              <w:t>Циљ у вези са ЕУ</w:t>
            </w:r>
            <w:r w:rsidRPr="00CC35F0">
              <w:rPr>
                <w:rFonts w:ascii="Times New Roman" w:eastAsia="Times New Roman" w:hAnsi="Times New Roman"/>
                <w:b/>
                <w:sz w:val="24"/>
                <w:szCs w:val="24"/>
                <w:lang w:val="sr-Cyrl-CS"/>
              </w:rPr>
              <w:t>:</w:t>
            </w:r>
            <w:r w:rsidRPr="00CC35F0">
              <w:rPr>
                <w:rFonts w:ascii="Times New Roman" w:eastAsia="Times New Roman" w:hAnsi="Times New Roman"/>
                <w:sz w:val="24"/>
                <w:szCs w:val="24"/>
                <w:lang w:val="sr-Cyrl-CS"/>
              </w:rPr>
              <w:t xml:space="preserve"> </w:t>
            </w:r>
          </w:p>
          <w:p w14:paraId="1D2C3EA9"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 xml:space="preserve">Пољопривреда – остала пољопривреда </w:t>
            </w:r>
          </w:p>
          <w:p w14:paraId="456C8CCC" w14:textId="77777777" w:rsidR="00A0251B" w:rsidRPr="00CC35F0" w:rsidRDefault="00A0251B">
            <w:pPr>
              <w:spacing w:after="0"/>
              <w:rPr>
                <w:rFonts w:ascii="Times New Roman" w:eastAsia="Times New Roman" w:hAnsi="Times New Roman"/>
                <w:b/>
                <w:sz w:val="24"/>
                <w:szCs w:val="24"/>
                <w:lang w:val="sr-Cyrl-CS"/>
              </w:rPr>
            </w:pPr>
          </w:p>
          <w:p w14:paraId="706238CF"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032A6114"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укупних емисија Републике Србије у циљу усаглашавања са Директивом ЕУ 2284/2016</w:t>
            </w:r>
          </w:p>
          <w:p w14:paraId="0BDAE3C2" w14:textId="77777777" w:rsidR="00A0251B" w:rsidRPr="00CC35F0" w:rsidRDefault="008D6506">
            <w:pPr>
              <w:spacing w:after="0"/>
              <w:jc w:val="left"/>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Побољшање квалитета ваздуха у Србији како би се избегла прекорачења граничних вредности за квалитет ваздуха (мање секундарних суспендованих честица)</w:t>
            </w:r>
          </w:p>
          <w:p w14:paraId="67603263" w14:textId="77777777" w:rsidR="00A0251B" w:rsidRPr="00CC35F0" w:rsidRDefault="00A0251B">
            <w:pPr>
              <w:spacing w:after="0"/>
              <w:rPr>
                <w:rFonts w:ascii="Times New Roman" w:eastAsia="Times New Roman" w:hAnsi="Times New Roman"/>
                <w:b/>
                <w:sz w:val="24"/>
                <w:szCs w:val="24"/>
                <w:u w:val="single"/>
                <w:lang w:val="sr-Cyrl-CS"/>
              </w:rPr>
            </w:pPr>
          </w:p>
          <w:p w14:paraId="7079F78A"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tc>
      </w:tr>
      <w:tr w:rsidR="00A0251B" w:rsidRPr="00CC35F0" w14:paraId="59042F4D" w14:textId="77777777">
        <w:trPr>
          <w:trHeight w:val="385"/>
        </w:trPr>
        <w:tc>
          <w:tcPr>
            <w:tcW w:w="690" w:type="dxa"/>
            <w:vMerge/>
            <w:shd w:val="clear" w:color="auto" w:fill="auto"/>
            <w:vAlign w:val="center"/>
          </w:tcPr>
          <w:p w14:paraId="1767FB1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0B18BB43"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4ED4B043"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561" w:type="dxa"/>
            <w:vMerge w:val="restart"/>
            <w:shd w:val="clear" w:color="auto" w:fill="D9D9D9"/>
            <w:vAlign w:val="center"/>
          </w:tcPr>
          <w:p w14:paraId="507AD9A6"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843" w:type="dxa"/>
            <w:vMerge w:val="restart"/>
            <w:shd w:val="clear" w:color="auto" w:fill="D9D9D9"/>
            <w:vAlign w:val="center"/>
          </w:tcPr>
          <w:p w14:paraId="13FC90F2"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3827" w:type="dxa"/>
            <w:gridSpan w:val="5"/>
            <w:shd w:val="clear" w:color="auto" w:fill="D9D9D9"/>
            <w:vAlign w:val="center"/>
          </w:tcPr>
          <w:p w14:paraId="5B514D02"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01605D3B" w14:textId="77777777">
        <w:trPr>
          <w:trHeight w:val="385"/>
        </w:trPr>
        <w:tc>
          <w:tcPr>
            <w:tcW w:w="690" w:type="dxa"/>
            <w:vMerge/>
            <w:shd w:val="clear" w:color="auto" w:fill="auto"/>
            <w:vAlign w:val="center"/>
          </w:tcPr>
          <w:p w14:paraId="1097743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1D513FC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5107EC0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61" w:type="dxa"/>
            <w:vMerge/>
            <w:shd w:val="clear" w:color="auto" w:fill="D9D9D9"/>
            <w:vAlign w:val="center"/>
          </w:tcPr>
          <w:p w14:paraId="37F6169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843" w:type="dxa"/>
            <w:vMerge/>
            <w:shd w:val="clear" w:color="auto" w:fill="D9D9D9"/>
            <w:vAlign w:val="center"/>
          </w:tcPr>
          <w:p w14:paraId="76CC8C9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827" w:type="dxa"/>
            <w:gridSpan w:val="5"/>
            <w:shd w:val="clear" w:color="auto" w:fill="D9D9D9"/>
            <w:vAlign w:val="center"/>
          </w:tcPr>
          <w:p w14:paraId="203A8DD8"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0B44ECD5" w14:textId="77777777">
        <w:trPr>
          <w:trHeight w:val="322"/>
        </w:trPr>
        <w:tc>
          <w:tcPr>
            <w:tcW w:w="690" w:type="dxa"/>
            <w:vMerge/>
            <w:shd w:val="clear" w:color="auto" w:fill="auto"/>
            <w:vAlign w:val="center"/>
          </w:tcPr>
          <w:p w14:paraId="68E5580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val="restart"/>
            <w:shd w:val="clear" w:color="auto" w:fill="FFFFFF"/>
            <w:vAlign w:val="center"/>
          </w:tcPr>
          <w:p w14:paraId="416EFC34"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p>
        </w:tc>
        <w:tc>
          <w:tcPr>
            <w:tcW w:w="4283" w:type="dxa"/>
            <w:vMerge w:val="restart"/>
            <w:shd w:val="clear" w:color="auto" w:fill="FFFFFF"/>
            <w:vAlign w:val="center"/>
          </w:tcPr>
          <w:p w14:paraId="59CE3F44"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унутрашњих послова</w:t>
            </w:r>
          </w:p>
          <w:p w14:paraId="585DEE84"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Јединице локалне самоуправе</w:t>
            </w:r>
          </w:p>
        </w:tc>
        <w:tc>
          <w:tcPr>
            <w:tcW w:w="1561" w:type="dxa"/>
            <w:shd w:val="clear" w:color="auto" w:fill="FFFFFF"/>
            <w:vAlign w:val="center"/>
          </w:tcPr>
          <w:p w14:paraId="26941D7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NOx</w:t>
            </w:r>
          </w:p>
        </w:tc>
        <w:tc>
          <w:tcPr>
            <w:tcW w:w="1843" w:type="dxa"/>
            <w:vMerge w:val="restart"/>
            <w:shd w:val="clear" w:color="auto" w:fill="FFFFFF"/>
            <w:vAlign w:val="center"/>
          </w:tcPr>
          <w:p w14:paraId="1B3C0E9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1,17</w:t>
            </w:r>
          </w:p>
        </w:tc>
        <w:tc>
          <w:tcPr>
            <w:tcW w:w="949" w:type="dxa"/>
            <w:gridSpan w:val="2"/>
            <w:shd w:val="clear" w:color="auto" w:fill="FFFFFF"/>
            <w:vAlign w:val="center"/>
          </w:tcPr>
          <w:p w14:paraId="6A0889F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1,245</w:t>
            </w:r>
          </w:p>
        </w:tc>
        <w:tc>
          <w:tcPr>
            <w:tcW w:w="1414" w:type="dxa"/>
            <w:gridSpan w:val="2"/>
            <w:shd w:val="clear" w:color="auto" w:fill="FFFFFF"/>
            <w:vAlign w:val="center"/>
          </w:tcPr>
          <w:p w14:paraId="64A119F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2,490</w:t>
            </w:r>
          </w:p>
        </w:tc>
        <w:tc>
          <w:tcPr>
            <w:tcW w:w="1464" w:type="dxa"/>
            <w:shd w:val="clear" w:color="auto" w:fill="FFFFFF"/>
            <w:vAlign w:val="center"/>
          </w:tcPr>
          <w:p w14:paraId="136E587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2,586</w:t>
            </w:r>
          </w:p>
        </w:tc>
      </w:tr>
      <w:tr w:rsidR="00A0251B" w:rsidRPr="00CC35F0" w14:paraId="57753712" w14:textId="77777777">
        <w:trPr>
          <w:trHeight w:val="289"/>
        </w:trPr>
        <w:tc>
          <w:tcPr>
            <w:tcW w:w="690" w:type="dxa"/>
            <w:vMerge/>
            <w:shd w:val="clear" w:color="auto" w:fill="auto"/>
            <w:vAlign w:val="center"/>
          </w:tcPr>
          <w:p w14:paraId="6E3E56C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68951C3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3B683BB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561" w:type="dxa"/>
            <w:shd w:val="clear" w:color="auto" w:fill="FFFFFF"/>
            <w:vAlign w:val="center"/>
          </w:tcPr>
          <w:p w14:paraId="28C82EE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SO</w:t>
            </w:r>
            <w:r w:rsidRPr="00CC35F0">
              <w:rPr>
                <w:rFonts w:ascii="Times New Roman" w:eastAsia="Times New Roman" w:hAnsi="Times New Roman"/>
                <w:color w:val="000000"/>
                <w:sz w:val="24"/>
                <w:szCs w:val="24"/>
                <w:vertAlign w:val="subscript"/>
                <w:lang w:val="sr-Cyrl-CS"/>
              </w:rPr>
              <w:t>2</w:t>
            </w:r>
          </w:p>
        </w:tc>
        <w:tc>
          <w:tcPr>
            <w:tcW w:w="1843" w:type="dxa"/>
            <w:vMerge/>
            <w:shd w:val="clear" w:color="auto" w:fill="FFFFFF"/>
            <w:vAlign w:val="center"/>
          </w:tcPr>
          <w:p w14:paraId="22BD2A9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949" w:type="dxa"/>
            <w:gridSpan w:val="2"/>
            <w:shd w:val="clear" w:color="auto" w:fill="FFFFFF"/>
            <w:vAlign w:val="center"/>
          </w:tcPr>
          <w:p w14:paraId="4E16C8C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0,169</w:t>
            </w:r>
          </w:p>
        </w:tc>
        <w:tc>
          <w:tcPr>
            <w:tcW w:w="1414" w:type="dxa"/>
            <w:gridSpan w:val="2"/>
            <w:shd w:val="clear" w:color="auto" w:fill="FFFFFF"/>
            <w:vAlign w:val="center"/>
          </w:tcPr>
          <w:p w14:paraId="5B224F4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0,338</w:t>
            </w:r>
          </w:p>
        </w:tc>
        <w:tc>
          <w:tcPr>
            <w:tcW w:w="1464" w:type="dxa"/>
            <w:shd w:val="clear" w:color="auto" w:fill="FFFFFF"/>
            <w:vAlign w:val="center"/>
          </w:tcPr>
          <w:p w14:paraId="4E48BC8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0,351</w:t>
            </w:r>
          </w:p>
        </w:tc>
      </w:tr>
      <w:tr w:rsidR="00A0251B" w:rsidRPr="00CC35F0" w14:paraId="008B5D87" w14:textId="77777777">
        <w:trPr>
          <w:trHeight w:val="277"/>
        </w:trPr>
        <w:tc>
          <w:tcPr>
            <w:tcW w:w="690" w:type="dxa"/>
            <w:vMerge/>
            <w:shd w:val="clear" w:color="auto" w:fill="auto"/>
            <w:vAlign w:val="center"/>
          </w:tcPr>
          <w:p w14:paraId="46CE97F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7EA7A95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0117DEE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561" w:type="dxa"/>
            <w:shd w:val="clear" w:color="auto" w:fill="FFFFFF"/>
            <w:vAlign w:val="center"/>
          </w:tcPr>
          <w:p w14:paraId="0BCDE57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10</w:t>
            </w:r>
          </w:p>
        </w:tc>
        <w:tc>
          <w:tcPr>
            <w:tcW w:w="1843" w:type="dxa"/>
            <w:vMerge/>
            <w:shd w:val="clear" w:color="auto" w:fill="FFFFFF"/>
            <w:vAlign w:val="center"/>
          </w:tcPr>
          <w:p w14:paraId="74E8882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949" w:type="dxa"/>
            <w:gridSpan w:val="2"/>
            <w:shd w:val="clear" w:color="auto" w:fill="FFFFFF"/>
            <w:vAlign w:val="center"/>
          </w:tcPr>
          <w:p w14:paraId="17BD276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4,008</w:t>
            </w:r>
          </w:p>
        </w:tc>
        <w:tc>
          <w:tcPr>
            <w:tcW w:w="1414" w:type="dxa"/>
            <w:gridSpan w:val="2"/>
            <w:shd w:val="clear" w:color="auto" w:fill="FFFFFF"/>
            <w:vAlign w:val="center"/>
          </w:tcPr>
          <w:p w14:paraId="4E9DCF8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8,017</w:t>
            </w:r>
          </w:p>
        </w:tc>
        <w:tc>
          <w:tcPr>
            <w:tcW w:w="1464" w:type="dxa"/>
            <w:shd w:val="clear" w:color="auto" w:fill="FFFFFF"/>
            <w:vAlign w:val="center"/>
          </w:tcPr>
          <w:p w14:paraId="172EFC2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8,325</w:t>
            </w:r>
          </w:p>
        </w:tc>
      </w:tr>
      <w:tr w:rsidR="00A0251B" w:rsidRPr="00CC35F0" w14:paraId="323B2344" w14:textId="77777777">
        <w:trPr>
          <w:trHeight w:val="267"/>
        </w:trPr>
        <w:tc>
          <w:tcPr>
            <w:tcW w:w="690" w:type="dxa"/>
            <w:vMerge/>
            <w:shd w:val="clear" w:color="auto" w:fill="auto"/>
            <w:vAlign w:val="center"/>
          </w:tcPr>
          <w:p w14:paraId="7D8FA7DB"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0B27760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03E76DC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561" w:type="dxa"/>
            <w:shd w:val="clear" w:color="auto" w:fill="FFFFFF"/>
            <w:vAlign w:val="center"/>
          </w:tcPr>
          <w:p w14:paraId="606ACAC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2.5</w:t>
            </w:r>
          </w:p>
        </w:tc>
        <w:tc>
          <w:tcPr>
            <w:tcW w:w="1843" w:type="dxa"/>
            <w:vMerge/>
            <w:shd w:val="clear" w:color="auto" w:fill="FFFFFF"/>
            <w:vAlign w:val="center"/>
          </w:tcPr>
          <w:p w14:paraId="7BF1EE3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949" w:type="dxa"/>
            <w:gridSpan w:val="2"/>
            <w:shd w:val="clear" w:color="auto" w:fill="FFFFFF"/>
            <w:vAlign w:val="center"/>
          </w:tcPr>
          <w:p w14:paraId="0B4C771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3,864</w:t>
            </w:r>
          </w:p>
        </w:tc>
        <w:tc>
          <w:tcPr>
            <w:tcW w:w="1414" w:type="dxa"/>
            <w:gridSpan w:val="2"/>
            <w:shd w:val="clear" w:color="auto" w:fill="FFFFFF"/>
            <w:vAlign w:val="center"/>
          </w:tcPr>
          <w:p w14:paraId="0F828A2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7,729</w:t>
            </w:r>
          </w:p>
        </w:tc>
        <w:tc>
          <w:tcPr>
            <w:tcW w:w="1464" w:type="dxa"/>
            <w:shd w:val="clear" w:color="auto" w:fill="FFFFFF"/>
            <w:vAlign w:val="center"/>
          </w:tcPr>
          <w:p w14:paraId="1DFA9BE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8,026</w:t>
            </w:r>
          </w:p>
        </w:tc>
      </w:tr>
      <w:tr w:rsidR="00A0251B" w:rsidRPr="00CC35F0" w14:paraId="5DBC7BCC" w14:textId="77777777">
        <w:trPr>
          <w:trHeight w:val="285"/>
        </w:trPr>
        <w:tc>
          <w:tcPr>
            <w:tcW w:w="690" w:type="dxa"/>
            <w:vMerge/>
            <w:shd w:val="clear" w:color="auto" w:fill="auto"/>
            <w:vAlign w:val="center"/>
          </w:tcPr>
          <w:p w14:paraId="21C4AC5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111447C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521212F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561" w:type="dxa"/>
            <w:shd w:val="clear" w:color="auto" w:fill="FFFFFF"/>
            <w:vAlign w:val="center"/>
          </w:tcPr>
          <w:p w14:paraId="1A6DF1E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VOC</w:t>
            </w:r>
          </w:p>
        </w:tc>
        <w:tc>
          <w:tcPr>
            <w:tcW w:w="1843" w:type="dxa"/>
            <w:vMerge/>
            <w:shd w:val="clear" w:color="auto" w:fill="FFFFFF"/>
            <w:vAlign w:val="center"/>
          </w:tcPr>
          <w:p w14:paraId="06E728C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949" w:type="dxa"/>
            <w:gridSpan w:val="2"/>
            <w:shd w:val="clear" w:color="auto" w:fill="FFFFFF"/>
            <w:vAlign w:val="center"/>
          </w:tcPr>
          <w:p w14:paraId="6D13402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2,451</w:t>
            </w:r>
          </w:p>
        </w:tc>
        <w:tc>
          <w:tcPr>
            <w:tcW w:w="1414" w:type="dxa"/>
            <w:gridSpan w:val="2"/>
            <w:shd w:val="clear" w:color="auto" w:fill="FFFFFF"/>
            <w:vAlign w:val="center"/>
          </w:tcPr>
          <w:p w14:paraId="1691731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4,902</w:t>
            </w:r>
          </w:p>
        </w:tc>
        <w:tc>
          <w:tcPr>
            <w:tcW w:w="1464" w:type="dxa"/>
            <w:shd w:val="clear" w:color="auto" w:fill="FFFFFF"/>
            <w:vAlign w:val="center"/>
          </w:tcPr>
          <w:p w14:paraId="64F9C9B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5,090</w:t>
            </w:r>
          </w:p>
        </w:tc>
      </w:tr>
      <w:tr w:rsidR="00A0251B" w:rsidRPr="00CC35F0" w14:paraId="2B4E769E" w14:textId="77777777">
        <w:trPr>
          <w:trHeight w:val="261"/>
        </w:trPr>
        <w:tc>
          <w:tcPr>
            <w:tcW w:w="690" w:type="dxa"/>
            <w:vMerge/>
            <w:shd w:val="clear" w:color="auto" w:fill="auto"/>
            <w:vAlign w:val="center"/>
          </w:tcPr>
          <w:p w14:paraId="22E626C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3531" w:type="dxa"/>
            <w:vMerge/>
            <w:shd w:val="clear" w:color="auto" w:fill="FFFFFF"/>
            <w:vAlign w:val="center"/>
          </w:tcPr>
          <w:p w14:paraId="726AD98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4283" w:type="dxa"/>
            <w:vMerge/>
            <w:shd w:val="clear" w:color="auto" w:fill="FFFFFF"/>
            <w:vAlign w:val="center"/>
          </w:tcPr>
          <w:p w14:paraId="0827776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1561" w:type="dxa"/>
            <w:shd w:val="clear" w:color="auto" w:fill="FFFFFF"/>
            <w:vAlign w:val="center"/>
          </w:tcPr>
          <w:p w14:paraId="6D1C1A7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NH</w:t>
            </w:r>
            <w:r w:rsidRPr="00CC35F0">
              <w:rPr>
                <w:rFonts w:ascii="Times New Roman" w:eastAsia="Times New Roman" w:hAnsi="Times New Roman"/>
                <w:color w:val="000000"/>
                <w:sz w:val="24"/>
                <w:szCs w:val="24"/>
                <w:vertAlign w:val="subscript"/>
                <w:lang w:val="sr-Cyrl-CS"/>
              </w:rPr>
              <w:t>3</w:t>
            </w:r>
          </w:p>
        </w:tc>
        <w:tc>
          <w:tcPr>
            <w:tcW w:w="1843" w:type="dxa"/>
            <w:vMerge/>
            <w:shd w:val="clear" w:color="auto" w:fill="FFFFFF"/>
            <w:vAlign w:val="center"/>
          </w:tcPr>
          <w:p w14:paraId="6A2FE04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949" w:type="dxa"/>
            <w:gridSpan w:val="2"/>
            <w:shd w:val="clear" w:color="auto" w:fill="FFFFFF"/>
            <w:vAlign w:val="center"/>
          </w:tcPr>
          <w:p w14:paraId="49BB113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1,576</w:t>
            </w:r>
          </w:p>
        </w:tc>
        <w:tc>
          <w:tcPr>
            <w:tcW w:w="1414" w:type="dxa"/>
            <w:gridSpan w:val="2"/>
            <w:shd w:val="clear" w:color="auto" w:fill="FFFFFF"/>
            <w:vAlign w:val="center"/>
          </w:tcPr>
          <w:p w14:paraId="2890C25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3,152</w:t>
            </w:r>
          </w:p>
        </w:tc>
        <w:tc>
          <w:tcPr>
            <w:tcW w:w="1464" w:type="dxa"/>
            <w:shd w:val="clear" w:color="auto" w:fill="FFFFFF"/>
            <w:vAlign w:val="center"/>
          </w:tcPr>
          <w:p w14:paraId="547BC55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3,273</w:t>
            </w:r>
          </w:p>
        </w:tc>
      </w:tr>
    </w:tbl>
    <w:p w14:paraId="7C296755" w14:textId="77777777" w:rsidR="00A0251B" w:rsidRPr="00CC35F0" w:rsidRDefault="00A0251B">
      <w:pPr>
        <w:rPr>
          <w:rFonts w:ascii="Times New Roman" w:eastAsia="Times New Roman" w:hAnsi="Times New Roman"/>
          <w:sz w:val="24"/>
          <w:szCs w:val="24"/>
          <w:lang w:val="sr-Cyrl-CS"/>
        </w:rPr>
      </w:pPr>
    </w:p>
    <w:p w14:paraId="5B6E2336" w14:textId="77777777" w:rsidR="00A0251B" w:rsidRPr="00CC35F0" w:rsidRDefault="00A0251B">
      <w:pPr>
        <w:rPr>
          <w:rFonts w:ascii="Times New Roman" w:eastAsia="Times New Roman" w:hAnsi="Times New Roman"/>
          <w:sz w:val="24"/>
          <w:szCs w:val="24"/>
          <w:lang w:val="sr-Cyrl-CS"/>
        </w:rPr>
      </w:pPr>
    </w:p>
    <w:tbl>
      <w:tblPr>
        <w:tblStyle w:val="af0"/>
        <w:tblW w:w="15735"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0"/>
        <w:gridCol w:w="3531"/>
        <w:gridCol w:w="4283"/>
        <w:gridCol w:w="1561"/>
        <w:gridCol w:w="1843"/>
        <w:gridCol w:w="905"/>
        <w:gridCol w:w="1436"/>
        <w:gridCol w:w="1486"/>
      </w:tblGrid>
      <w:tr w:rsidR="00A0251B" w:rsidRPr="00CC35F0" w14:paraId="43B96336" w14:textId="77777777">
        <w:trPr>
          <w:trHeight w:val="391"/>
        </w:trPr>
        <w:tc>
          <w:tcPr>
            <w:tcW w:w="15735" w:type="dxa"/>
            <w:gridSpan w:val="8"/>
            <w:shd w:val="clear" w:color="auto" w:fill="FFCC00"/>
            <w:vAlign w:val="center"/>
          </w:tcPr>
          <w:p w14:paraId="2B49A7DC" w14:textId="77777777" w:rsidR="00A0251B" w:rsidRPr="00CC35F0" w:rsidRDefault="008D6506">
            <w:pPr>
              <w:spacing w:after="0"/>
              <w:jc w:val="lef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Посебни циљ 4: Промоција преласка на чист ваздух за све</w:t>
            </w:r>
          </w:p>
        </w:tc>
      </w:tr>
      <w:tr w:rsidR="00A0251B" w:rsidRPr="00CC35F0" w14:paraId="26572E44" w14:textId="77777777">
        <w:trPr>
          <w:trHeight w:val="442"/>
        </w:trPr>
        <w:tc>
          <w:tcPr>
            <w:tcW w:w="690" w:type="dxa"/>
            <w:shd w:val="clear" w:color="auto" w:fill="44546A"/>
            <w:vAlign w:val="center"/>
          </w:tcPr>
          <w:p w14:paraId="3A1FE29D" w14:textId="77777777" w:rsidR="00A0251B" w:rsidRPr="00CC35F0" w:rsidRDefault="008D6506">
            <w:pPr>
              <w:spacing w:after="0"/>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WAM-C4</w:t>
            </w:r>
          </w:p>
        </w:tc>
        <w:tc>
          <w:tcPr>
            <w:tcW w:w="15045" w:type="dxa"/>
            <w:gridSpan w:val="7"/>
            <w:shd w:val="clear" w:color="auto" w:fill="44546A"/>
            <w:vAlign w:val="center"/>
          </w:tcPr>
          <w:p w14:paraId="74456C43" w14:textId="77777777" w:rsidR="00A0251B" w:rsidRPr="00CC35F0" w:rsidRDefault="008D6506">
            <w:pPr>
              <w:spacing w:after="0"/>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Назив мере/политике: </w:t>
            </w:r>
            <w:r w:rsidRPr="00CC35F0">
              <w:rPr>
                <w:rFonts w:ascii="Times New Roman" w:eastAsia="Times New Roman" w:hAnsi="Times New Roman"/>
                <w:b/>
                <w:color w:val="FFFFFF"/>
                <w:sz w:val="24"/>
                <w:szCs w:val="24"/>
                <w:u w:val="single"/>
                <w:lang w:val="sr-Cyrl-CS"/>
              </w:rPr>
              <w:t>Едукација о заштити и квалитету ваздуха, обука за спровођење најбоље праксе и подизање свести</w:t>
            </w:r>
          </w:p>
        </w:tc>
      </w:tr>
      <w:tr w:rsidR="00A0251B" w:rsidRPr="00CC35F0" w14:paraId="3F60C41B" w14:textId="77777777">
        <w:trPr>
          <w:trHeight w:val="212"/>
        </w:trPr>
        <w:tc>
          <w:tcPr>
            <w:tcW w:w="690" w:type="dxa"/>
            <w:vMerge w:val="restart"/>
            <w:shd w:val="clear" w:color="auto" w:fill="auto"/>
            <w:vAlign w:val="center"/>
          </w:tcPr>
          <w:p w14:paraId="7996BE24" w14:textId="77777777" w:rsidR="00A0251B" w:rsidRPr="00CC35F0" w:rsidRDefault="008D6506">
            <w:pPr>
              <w:spacing w:after="0"/>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17</w:t>
            </w:r>
          </w:p>
        </w:tc>
        <w:tc>
          <w:tcPr>
            <w:tcW w:w="15045" w:type="dxa"/>
            <w:gridSpan w:val="7"/>
            <w:shd w:val="clear" w:color="auto" w:fill="auto"/>
            <w:vAlign w:val="center"/>
          </w:tcPr>
          <w:p w14:paraId="27096A4F"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u w:val="single"/>
                <w:lang w:val="sr-Cyrl-CS"/>
              </w:rPr>
              <w:t>Врста мере: информативна, едукативна</w:t>
            </w:r>
          </w:p>
          <w:p w14:paraId="2F401CA9" w14:textId="77777777" w:rsidR="00A0251B" w:rsidRPr="00CC35F0" w:rsidRDefault="00A0251B">
            <w:pPr>
              <w:spacing w:after="0"/>
              <w:rPr>
                <w:rFonts w:ascii="Times New Roman" w:eastAsia="Times New Roman" w:hAnsi="Times New Roman"/>
                <w:b/>
                <w:sz w:val="24"/>
                <w:szCs w:val="24"/>
                <w:u w:val="single"/>
                <w:lang w:val="sr-Cyrl-CS"/>
              </w:rPr>
            </w:pPr>
          </w:p>
          <w:p w14:paraId="49984F9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b/>
                <w:color w:val="000000"/>
                <w:sz w:val="24"/>
                <w:szCs w:val="24"/>
                <w:u w:val="single"/>
                <w:lang w:val="sr-Cyrl-CS"/>
              </w:rPr>
              <w:t>Опис мере</w:t>
            </w:r>
            <w:r w:rsidRPr="00CC35F0">
              <w:rPr>
                <w:rFonts w:ascii="Times New Roman" w:eastAsia="Times New Roman" w:hAnsi="Times New Roman"/>
                <w:color w:val="000000"/>
                <w:sz w:val="24"/>
                <w:szCs w:val="24"/>
                <w:lang w:val="sr-Cyrl-CS"/>
              </w:rPr>
              <w:t>:</w:t>
            </w:r>
            <w:r w:rsidRPr="00CC35F0">
              <w:rPr>
                <w:rFonts w:ascii="Times New Roman" w:eastAsia="Times New Roman" w:hAnsi="Times New Roman"/>
                <w:sz w:val="24"/>
                <w:szCs w:val="24"/>
                <w:lang w:val="sr-Cyrl-CS"/>
              </w:rPr>
              <w:t xml:space="preserve"> </w:t>
            </w:r>
          </w:p>
          <w:p w14:paraId="73315526" w14:textId="77777777" w:rsidR="00A0251B" w:rsidRPr="00CC35F0" w:rsidRDefault="008D6506">
            <w:pPr>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Борба против загађења ваздуха у понашању свих актера у друштву: од доносилаца одлука на највишем нивоу у јавном и приватном сектору, до свакодневних образаца потрошње. Промена се најбоље спроводи мешавином стимулативних радњи, које се ефикасно могу реализовати кроз активности едукације, изградње капацитета и подизања свести.</w:t>
            </w:r>
          </w:p>
          <w:p w14:paraId="469C8D16" w14:textId="77777777" w:rsidR="00A0251B" w:rsidRPr="00CC35F0" w:rsidRDefault="008D6506">
            <w:pPr>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мера обухваћених овим акционим планом и постизање општих и посебних циљева наведених у Програму повећаће активности, посебно у енергетским услугама за домаћинства (замена система грејања, замена старих котлова, набавка уређаја</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који задовољавају услове Еко-дизајна и чистија технолошка решења).</w:t>
            </w:r>
          </w:p>
          <w:p w14:paraId="7EDD6F9D" w14:textId="77777777" w:rsidR="00A0251B" w:rsidRPr="00CC35F0" w:rsidRDefault="008D6506">
            <w:pPr>
              <w:spacing w:after="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Предложене промотивне активности обухватају као минимум следеће области:</w:t>
            </w:r>
          </w:p>
          <w:p w14:paraId="100FC616" w14:textId="77777777" w:rsidR="00A0251B" w:rsidRPr="00CC35F0" w:rsidRDefault="008D6506" w:rsidP="00382EC6">
            <w:pPr>
              <w:numPr>
                <w:ilvl w:val="0"/>
                <w:numId w:val="9"/>
              </w:num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Едукација: реализација пројеката </w:t>
            </w:r>
            <w:r w:rsidRPr="00CC35F0">
              <w:rPr>
                <w:rFonts w:ascii="Times New Roman" w:eastAsia="Times New Roman" w:hAnsi="Times New Roman"/>
                <w:sz w:val="24"/>
                <w:szCs w:val="24"/>
                <w:lang w:val="sr-Cyrl-CS"/>
              </w:rPr>
              <w:t>о заштити животне средине и квалитету ваздуха и улога деце у њеном очувању.</w:t>
            </w:r>
          </w:p>
          <w:p w14:paraId="482EEAC5" w14:textId="77777777" w:rsidR="00A0251B" w:rsidRPr="00CC35F0" w:rsidRDefault="008D6506" w:rsidP="00382EC6">
            <w:pPr>
              <w:numPr>
                <w:ilvl w:val="0"/>
                <w:numId w:val="9"/>
              </w:num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Изградња капацитета, кампање за подизање свести и саветовање домаћинстава о правилној употреби уређаја на чврста горива, процена садржаја влаге у дрвној биомаси.</w:t>
            </w:r>
          </w:p>
          <w:p w14:paraId="4AF16AEC" w14:textId="77777777" w:rsidR="00A0251B" w:rsidRPr="00CC35F0" w:rsidRDefault="008D6506" w:rsidP="00382EC6">
            <w:pPr>
              <w:numPr>
                <w:ilvl w:val="0"/>
                <w:numId w:val="9"/>
              </w:num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Успостављање покретног демонстрационог центра (или еквивалента) за размену знања о правилној употреби биомасе у малим грејним телима и котловима.</w:t>
            </w:r>
          </w:p>
          <w:p w14:paraId="2A9FB408" w14:textId="77777777" w:rsidR="00A0251B" w:rsidRPr="00CC35F0" w:rsidRDefault="008D6506" w:rsidP="00382EC6">
            <w:pPr>
              <w:numPr>
                <w:ilvl w:val="0"/>
                <w:numId w:val="9"/>
              </w:num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Подизање свести и образовање пољопривредника о примени добрих пракси за смањење емисија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спречавање прекомерног уноса азота и заштиту подземних вода.</w:t>
            </w:r>
          </w:p>
          <w:p w14:paraId="4BCA57A5" w14:textId="77777777" w:rsidR="00A0251B" w:rsidRPr="00CC35F0" w:rsidRDefault="008D6506" w:rsidP="00382EC6">
            <w:pPr>
              <w:numPr>
                <w:ilvl w:val="0"/>
                <w:numId w:val="9"/>
              </w:num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Остале активности подизања свести имају за циљ допирање до што ширег круга јавности, са фокусом на кључне аспекте/понашање које може допринети спровођењу мера из овог програма.</w:t>
            </w:r>
          </w:p>
          <w:p w14:paraId="2C912C62" w14:textId="77777777" w:rsidR="00A0251B" w:rsidRPr="00CC35F0" w:rsidRDefault="008D6506" w:rsidP="00382EC6">
            <w:pPr>
              <w:numPr>
                <w:ilvl w:val="0"/>
                <w:numId w:val="9"/>
              </w:num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Кампање за подизање свести за стимулисање постепеног укидања старих загађујућих технологија и замене чистом енергијом.</w:t>
            </w:r>
          </w:p>
          <w:p w14:paraId="58608477" w14:textId="77777777" w:rsidR="00A0251B" w:rsidRPr="00CC35F0" w:rsidRDefault="00A0251B">
            <w:pPr>
              <w:spacing w:after="0"/>
              <w:rPr>
                <w:rFonts w:ascii="Times New Roman" w:eastAsia="Times New Roman" w:hAnsi="Times New Roman"/>
                <w:b/>
                <w:sz w:val="24"/>
                <w:szCs w:val="24"/>
                <w:u w:val="single"/>
                <w:lang w:val="sr-Cyrl-CS"/>
              </w:rPr>
            </w:pPr>
          </w:p>
          <w:p w14:paraId="09C6B368"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b/>
                <w:sz w:val="24"/>
                <w:szCs w:val="24"/>
                <w:u w:val="single"/>
                <w:lang w:val="sr-Cyrl-CS"/>
              </w:rPr>
              <w:t>Циљ у вези са ЕУ</w:t>
            </w:r>
            <w:r w:rsidRPr="00CC35F0">
              <w:rPr>
                <w:rFonts w:ascii="Times New Roman" w:eastAsia="Times New Roman" w:hAnsi="Times New Roman"/>
                <w:b/>
                <w:sz w:val="24"/>
                <w:szCs w:val="24"/>
                <w:lang w:val="sr-Cyrl-CS"/>
              </w:rPr>
              <w:t>:</w:t>
            </w:r>
            <w:r w:rsidRPr="00CC35F0">
              <w:rPr>
                <w:rFonts w:ascii="Times New Roman" w:eastAsia="Times New Roman" w:hAnsi="Times New Roman"/>
                <w:sz w:val="24"/>
                <w:szCs w:val="24"/>
                <w:lang w:val="sr-Cyrl-CS"/>
              </w:rPr>
              <w:t xml:space="preserve"> </w:t>
            </w:r>
          </w:p>
          <w:p w14:paraId="26DD5F05"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sz w:val="24"/>
                <w:szCs w:val="24"/>
                <w:lang w:val="sr-Cyrl-CS"/>
              </w:rPr>
              <w:t>Остало – активности подизања свести;</w:t>
            </w:r>
          </w:p>
          <w:p w14:paraId="15930C2D" w14:textId="77777777" w:rsidR="00A0251B" w:rsidRPr="00CC35F0" w:rsidRDefault="008D6506">
            <w:pPr>
              <w:spacing w:after="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p w14:paraId="4546C728" w14:textId="77777777" w:rsidR="00A0251B" w:rsidRPr="00CC35F0" w:rsidRDefault="008D6506">
            <w:pPr>
              <w:spacing w:after="0"/>
              <w:rPr>
                <w:rFonts w:ascii="Times New Roman" w:eastAsia="Times New Roman" w:hAnsi="Times New Roman"/>
                <w:b/>
                <w:i/>
                <w:sz w:val="24"/>
                <w:szCs w:val="24"/>
                <w:u w:val="single"/>
                <w:lang w:val="sr-Cyrl-CS"/>
              </w:rPr>
            </w:pPr>
            <w:r w:rsidRPr="00CC35F0">
              <w:rPr>
                <w:rFonts w:ascii="Times New Roman" w:eastAsia="Times New Roman" w:hAnsi="Times New Roman"/>
                <w:b/>
                <w:i/>
                <w:sz w:val="24"/>
                <w:szCs w:val="24"/>
                <w:u w:val="single"/>
                <w:lang w:val="sr-Cyrl-CS"/>
              </w:rPr>
              <w:t xml:space="preserve">Додатни ефекти мере: </w:t>
            </w:r>
          </w:p>
          <w:p w14:paraId="475314D6"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Побољшање енергетске ефикасности у потрошњи финалне енергије</w:t>
            </w:r>
          </w:p>
          <w:p w14:paraId="59531E46"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емисија гасова са ефектом стаклене баште</w:t>
            </w:r>
          </w:p>
          <w:p w14:paraId="64BD36AC" w14:textId="77777777" w:rsidR="00A0251B" w:rsidRPr="00CC35F0" w:rsidRDefault="00A0251B">
            <w:pPr>
              <w:spacing w:after="0"/>
              <w:jc w:val="left"/>
              <w:rPr>
                <w:rFonts w:ascii="Times New Roman" w:eastAsia="Times New Roman" w:hAnsi="Times New Roman"/>
                <w:sz w:val="24"/>
                <w:szCs w:val="24"/>
                <w:lang w:val="sr-Cyrl-CS"/>
              </w:rPr>
            </w:pPr>
          </w:p>
          <w:p w14:paraId="49E75D1E" w14:textId="77777777" w:rsidR="00A0251B" w:rsidRPr="00CC35F0" w:rsidRDefault="008D6506">
            <w:pPr>
              <w:spacing w:after="0"/>
              <w:rPr>
                <w:rFonts w:ascii="Times New Roman" w:eastAsia="Times New Roman" w:hAnsi="Times New Roman"/>
                <w:b/>
                <w:sz w:val="24"/>
                <w:szCs w:val="24"/>
                <w:u w:val="single"/>
                <w:lang w:val="sr-Cyrl-CS"/>
              </w:rPr>
            </w:pPr>
            <w:r w:rsidRPr="00CC35F0">
              <w:rPr>
                <w:rFonts w:ascii="Times New Roman" w:eastAsia="Times New Roman" w:hAnsi="Times New Roman"/>
                <w:b/>
                <w:sz w:val="24"/>
                <w:szCs w:val="24"/>
                <w:u w:val="single"/>
                <w:lang w:val="sr-Cyrl-CS"/>
              </w:rPr>
              <w:t>Преговарачко поглавље: Поглавље 27 – Животна средина</w:t>
            </w:r>
          </w:p>
          <w:p w14:paraId="4BEC32AC" w14:textId="77777777" w:rsidR="00A0251B" w:rsidRPr="00CC35F0" w:rsidRDefault="00A0251B">
            <w:pPr>
              <w:spacing w:after="0"/>
              <w:rPr>
                <w:rFonts w:ascii="Times New Roman" w:eastAsia="Times New Roman" w:hAnsi="Times New Roman"/>
                <w:b/>
                <w:i/>
                <w:sz w:val="24"/>
                <w:szCs w:val="24"/>
                <w:u w:val="single"/>
                <w:lang w:val="sr-Cyrl-CS"/>
              </w:rPr>
            </w:pPr>
          </w:p>
        </w:tc>
      </w:tr>
      <w:tr w:rsidR="00A0251B" w:rsidRPr="00CC35F0" w14:paraId="16FD0156" w14:textId="77777777">
        <w:trPr>
          <w:trHeight w:val="385"/>
        </w:trPr>
        <w:tc>
          <w:tcPr>
            <w:tcW w:w="690" w:type="dxa"/>
            <w:vMerge/>
            <w:shd w:val="clear" w:color="auto" w:fill="auto"/>
            <w:vAlign w:val="center"/>
          </w:tcPr>
          <w:p w14:paraId="7E500E8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i/>
                <w:sz w:val="24"/>
                <w:szCs w:val="24"/>
                <w:u w:val="single"/>
                <w:lang w:val="sr-Cyrl-CS"/>
              </w:rPr>
            </w:pPr>
          </w:p>
        </w:tc>
        <w:tc>
          <w:tcPr>
            <w:tcW w:w="3531" w:type="dxa"/>
            <w:vMerge w:val="restart"/>
            <w:shd w:val="clear" w:color="auto" w:fill="D9D9D9"/>
            <w:vAlign w:val="center"/>
          </w:tcPr>
          <w:p w14:paraId="604B5A1D"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Носилац мере</w:t>
            </w:r>
          </w:p>
        </w:tc>
        <w:tc>
          <w:tcPr>
            <w:tcW w:w="4283" w:type="dxa"/>
            <w:vMerge w:val="restart"/>
            <w:shd w:val="clear" w:color="auto" w:fill="D9D9D9"/>
            <w:vAlign w:val="center"/>
          </w:tcPr>
          <w:p w14:paraId="45CD068B"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Партнер у спровођењу мере</w:t>
            </w:r>
          </w:p>
        </w:tc>
        <w:tc>
          <w:tcPr>
            <w:tcW w:w="1561" w:type="dxa"/>
            <w:vMerge w:val="restart"/>
            <w:shd w:val="clear" w:color="auto" w:fill="D9D9D9"/>
            <w:vAlign w:val="center"/>
          </w:tcPr>
          <w:p w14:paraId="6580CD93"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Кључна загађујућа материја у ваздуху</w:t>
            </w:r>
          </w:p>
        </w:tc>
        <w:tc>
          <w:tcPr>
            <w:tcW w:w="1843" w:type="dxa"/>
            <w:vMerge w:val="restart"/>
            <w:shd w:val="clear" w:color="auto" w:fill="D9D9D9"/>
            <w:vAlign w:val="center"/>
          </w:tcPr>
          <w:p w14:paraId="195B5A65"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Исплативост [€/kg (загађујуће материје)]</w:t>
            </w:r>
          </w:p>
        </w:tc>
        <w:tc>
          <w:tcPr>
            <w:tcW w:w="3827" w:type="dxa"/>
            <w:gridSpan w:val="3"/>
            <w:shd w:val="clear" w:color="auto" w:fill="D9D9D9"/>
            <w:vAlign w:val="center"/>
          </w:tcPr>
          <w:p w14:paraId="60A78DEF"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Избегнуте емисије 2025, 2030. и 2035. године</w:t>
            </w:r>
          </w:p>
        </w:tc>
      </w:tr>
      <w:tr w:rsidR="00A0251B" w:rsidRPr="00CC35F0" w14:paraId="66B3FC26" w14:textId="77777777">
        <w:trPr>
          <w:trHeight w:val="385"/>
        </w:trPr>
        <w:tc>
          <w:tcPr>
            <w:tcW w:w="690" w:type="dxa"/>
            <w:vMerge/>
            <w:shd w:val="clear" w:color="auto" w:fill="auto"/>
            <w:vAlign w:val="center"/>
          </w:tcPr>
          <w:p w14:paraId="03290F3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vMerge/>
            <w:shd w:val="clear" w:color="auto" w:fill="D9D9D9"/>
            <w:vAlign w:val="center"/>
          </w:tcPr>
          <w:p w14:paraId="59399C0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4283" w:type="dxa"/>
            <w:vMerge/>
            <w:shd w:val="clear" w:color="auto" w:fill="D9D9D9"/>
            <w:vAlign w:val="center"/>
          </w:tcPr>
          <w:p w14:paraId="12248E3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561" w:type="dxa"/>
            <w:vMerge/>
            <w:shd w:val="clear" w:color="auto" w:fill="D9D9D9"/>
            <w:vAlign w:val="center"/>
          </w:tcPr>
          <w:p w14:paraId="1F70CF9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843" w:type="dxa"/>
            <w:vMerge/>
            <w:shd w:val="clear" w:color="auto" w:fill="D9D9D9"/>
            <w:vAlign w:val="center"/>
          </w:tcPr>
          <w:p w14:paraId="45D988A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827" w:type="dxa"/>
            <w:gridSpan w:val="3"/>
            <w:shd w:val="clear" w:color="auto" w:fill="D9D9D9"/>
            <w:vAlign w:val="center"/>
          </w:tcPr>
          <w:p w14:paraId="455B9D72"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[kt [загађујуће материје]]</w:t>
            </w:r>
          </w:p>
        </w:tc>
      </w:tr>
      <w:tr w:rsidR="00A0251B" w:rsidRPr="00CC35F0" w14:paraId="532E4D8A" w14:textId="77777777">
        <w:trPr>
          <w:trHeight w:val="1630"/>
        </w:trPr>
        <w:tc>
          <w:tcPr>
            <w:tcW w:w="690" w:type="dxa"/>
            <w:vMerge/>
            <w:shd w:val="clear" w:color="auto" w:fill="auto"/>
            <w:vAlign w:val="center"/>
          </w:tcPr>
          <w:p w14:paraId="21DD209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3531" w:type="dxa"/>
            <w:shd w:val="clear" w:color="auto" w:fill="FFFFFF"/>
            <w:vAlign w:val="center"/>
          </w:tcPr>
          <w:p w14:paraId="3B36F739"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tc>
        <w:tc>
          <w:tcPr>
            <w:tcW w:w="4283" w:type="dxa"/>
            <w:shd w:val="clear" w:color="auto" w:fill="FFFFFF"/>
            <w:vAlign w:val="center"/>
          </w:tcPr>
          <w:p w14:paraId="46B7276A" w14:textId="77777777" w:rsidR="00A0251B" w:rsidRPr="00CC35F0" w:rsidRDefault="008D6506">
            <w:pPr>
              <w:spacing w:after="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просвете, Министарство здравља, јединице локалне</w:t>
            </w:r>
            <w:r w:rsidR="00177885" w:rsidRPr="00CC35F0">
              <w:rPr>
                <w:rFonts w:ascii="Times New Roman" w:eastAsia="Times New Roman" w:hAnsi="Times New Roman"/>
                <w:color w:val="000000"/>
                <w:sz w:val="24"/>
                <w:szCs w:val="24"/>
                <w:lang w:val="sr-Cyrl-CS"/>
              </w:rPr>
              <w:t xml:space="preserve"> самоуправе, АП Војводина, </w:t>
            </w:r>
            <w:r w:rsidRPr="00CC35F0">
              <w:rPr>
                <w:rFonts w:ascii="Times New Roman" w:eastAsia="Times New Roman" w:hAnsi="Times New Roman"/>
                <w:color w:val="000000"/>
                <w:sz w:val="24"/>
                <w:szCs w:val="24"/>
                <w:lang w:val="sr-Cyrl-CS"/>
              </w:rPr>
              <w:t xml:space="preserve">АЗЖС, </w:t>
            </w:r>
            <w:r w:rsidRPr="00CC35F0">
              <w:rPr>
                <w:rFonts w:ascii="Times New Roman" w:eastAsia="Times New Roman" w:hAnsi="Times New Roman"/>
                <w:sz w:val="24"/>
                <w:szCs w:val="24"/>
                <w:lang w:val="sr-Cyrl-CS"/>
              </w:rPr>
              <w:t>Привредна комора Србије, истраживачке установе</w:t>
            </w:r>
          </w:p>
        </w:tc>
        <w:tc>
          <w:tcPr>
            <w:tcW w:w="1561" w:type="dxa"/>
            <w:shd w:val="clear" w:color="auto" w:fill="FFFFFF"/>
            <w:vAlign w:val="center"/>
          </w:tcPr>
          <w:p w14:paraId="7B6FE1F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PM</w:t>
            </w:r>
            <w:r w:rsidRPr="00CC35F0">
              <w:rPr>
                <w:rFonts w:ascii="Times New Roman" w:eastAsia="Times New Roman" w:hAnsi="Times New Roman"/>
                <w:color w:val="000000"/>
                <w:sz w:val="24"/>
                <w:szCs w:val="24"/>
                <w:vertAlign w:val="subscript"/>
                <w:lang w:val="sr-Cyrl-CS"/>
              </w:rPr>
              <w:t>10</w:t>
            </w:r>
            <w:r w:rsidRPr="00CC35F0">
              <w:rPr>
                <w:rFonts w:ascii="Times New Roman" w:eastAsia="Times New Roman" w:hAnsi="Times New Roman"/>
                <w:color w:val="000000"/>
                <w:sz w:val="24"/>
                <w:szCs w:val="24"/>
                <w:lang w:val="sr-Cyrl-CS"/>
              </w:rPr>
              <w:t>, PM</w:t>
            </w:r>
            <w:r w:rsidRPr="00CC35F0">
              <w:rPr>
                <w:rFonts w:ascii="Times New Roman" w:eastAsia="Times New Roman" w:hAnsi="Times New Roman"/>
                <w:color w:val="000000"/>
                <w:sz w:val="24"/>
                <w:szCs w:val="24"/>
                <w:vertAlign w:val="subscript"/>
                <w:lang w:val="sr-Cyrl-CS"/>
              </w:rPr>
              <w:t>2.5</w:t>
            </w:r>
            <w:r w:rsidRPr="00CC35F0">
              <w:rPr>
                <w:rFonts w:ascii="Times New Roman" w:eastAsia="Times New Roman" w:hAnsi="Times New Roman"/>
                <w:color w:val="000000"/>
                <w:sz w:val="24"/>
                <w:szCs w:val="24"/>
                <w:lang w:val="sr-Cyrl-CS"/>
              </w:rPr>
              <w:t>,, NOx</w:t>
            </w:r>
          </w:p>
        </w:tc>
        <w:tc>
          <w:tcPr>
            <w:tcW w:w="1843" w:type="dxa"/>
            <w:shd w:val="clear" w:color="auto" w:fill="FFFFFF"/>
            <w:vAlign w:val="center"/>
          </w:tcPr>
          <w:p w14:paraId="0E3C1C5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н/а</w:t>
            </w:r>
          </w:p>
        </w:tc>
        <w:tc>
          <w:tcPr>
            <w:tcW w:w="905" w:type="dxa"/>
            <w:shd w:val="clear" w:color="auto" w:fill="FFFFFF"/>
            <w:vAlign w:val="center"/>
          </w:tcPr>
          <w:p w14:paraId="33171EC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н/а</w:t>
            </w:r>
          </w:p>
        </w:tc>
        <w:tc>
          <w:tcPr>
            <w:tcW w:w="1436" w:type="dxa"/>
            <w:shd w:val="clear" w:color="auto" w:fill="FFFFFF"/>
            <w:vAlign w:val="center"/>
          </w:tcPr>
          <w:p w14:paraId="1904797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н/а</w:t>
            </w:r>
          </w:p>
        </w:tc>
        <w:tc>
          <w:tcPr>
            <w:tcW w:w="1486" w:type="dxa"/>
            <w:shd w:val="clear" w:color="auto" w:fill="FFFFFF"/>
            <w:vAlign w:val="center"/>
          </w:tcPr>
          <w:p w14:paraId="5BB53E9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н/а</w:t>
            </w:r>
          </w:p>
        </w:tc>
      </w:tr>
    </w:tbl>
    <w:p w14:paraId="3261938E" w14:textId="77777777" w:rsidR="00A0251B" w:rsidRPr="00CC35F0" w:rsidRDefault="00A0251B">
      <w:pPr>
        <w:rPr>
          <w:rFonts w:ascii="Times New Roman" w:eastAsia="Times New Roman" w:hAnsi="Times New Roman"/>
          <w:i/>
          <w:sz w:val="24"/>
          <w:szCs w:val="24"/>
          <w:lang w:val="sr-Cyrl-CS"/>
        </w:rPr>
        <w:sectPr w:rsidR="00A0251B" w:rsidRPr="00CC35F0">
          <w:headerReference w:type="default" r:id="rId44"/>
          <w:footerReference w:type="default" r:id="rId45"/>
          <w:pgSz w:w="16817" w:h="11901" w:orient="landscape"/>
          <w:pgMar w:top="1418" w:right="862" w:bottom="1134" w:left="1418" w:header="142" w:footer="367" w:gutter="0"/>
          <w:cols w:space="720"/>
        </w:sectPr>
      </w:pPr>
    </w:p>
    <w:p w14:paraId="6466820E" w14:textId="77777777" w:rsidR="00A0251B" w:rsidRPr="00CC35F0" w:rsidRDefault="00A0251B">
      <w:pPr>
        <w:rPr>
          <w:rFonts w:ascii="Times New Roman" w:eastAsia="Times New Roman" w:hAnsi="Times New Roman"/>
          <w:sz w:val="24"/>
          <w:szCs w:val="24"/>
          <w:lang w:val="sr-Cyrl-CS"/>
        </w:rPr>
      </w:pPr>
    </w:p>
    <w:p w14:paraId="4B983A43" w14:textId="77777777" w:rsidR="00A0251B" w:rsidRPr="00CC35F0" w:rsidRDefault="008D6506" w:rsidP="00753F3D">
      <w:pPr>
        <w:pStyle w:val="Heading2"/>
        <w:numPr>
          <w:ilvl w:val="1"/>
          <w:numId w:val="3"/>
        </w:numPr>
        <w:rPr>
          <w:rFonts w:ascii="Times New Roman" w:eastAsia="Times New Roman" w:hAnsi="Times New Roman"/>
          <w:i/>
          <w:lang w:val="sr-Cyrl-CS"/>
        </w:rPr>
      </w:pPr>
      <w:bookmarkStart w:id="80" w:name="_heading=h.2afmg28" w:colFirst="0" w:colLast="0"/>
      <w:bookmarkEnd w:id="80"/>
      <w:r w:rsidRPr="00CC35F0">
        <w:rPr>
          <w:rFonts w:ascii="Times New Roman" w:eastAsia="Times New Roman" w:hAnsi="Times New Roman"/>
          <w:lang w:val="sr-Cyrl-CS"/>
        </w:rPr>
        <w:t>Трошкови, финансирање и временски оквири за спровођење мера и активности до 2030. године</w:t>
      </w:r>
      <w:r w:rsidRPr="00CC35F0">
        <w:rPr>
          <w:rFonts w:ascii="Times New Roman" w:eastAsia="Times New Roman" w:hAnsi="Times New Roman"/>
          <w:i/>
          <w:lang w:val="sr-Cyrl-CS"/>
        </w:rPr>
        <w:t xml:space="preserve"> </w:t>
      </w:r>
    </w:p>
    <w:p w14:paraId="29FFFAC0" w14:textId="77777777" w:rsidR="00A0251B" w:rsidRPr="00CC35F0" w:rsidRDefault="008D6506">
      <w:pPr>
        <w:pStyle w:val="Heading3"/>
        <w:numPr>
          <w:ilvl w:val="2"/>
          <w:numId w:val="3"/>
        </w:numPr>
        <w:rPr>
          <w:rFonts w:ascii="Times New Roman" w:eastAsia="Times New Roman" w:hAnsi="Times New Roman"/>
          <w:sz w:val="24"/>
          <w:lang w:val="sr-Cyrl-CS"/>
        </w:rPr>
      </w:pPr>
      <w:bookmarkStart w:id="81" w:name="_heading=h.pkwqa1" w:colFirst="0" w:colLast="0"/>
      <w:bookmarkEnd w:id="81"/>
      <w:r w:rsidRPr="00CC35F0">
        <w:rPr>
          <w:rFonts w:ascii="Times New Roman" w:eastAsia="Times New Roman" w:hAnsi="Times New Roman"/>
          <w:sz w:val="24"/>
          <w:lang w:val="sr-Cyrl-CS"/>
        </w:rPr>
        <w:t xml:space="preserve">Трошкови спровођења </w:t>
      </w:r>
    </w:p>
    <w:p w14:paraId="5C436C7E" w14:textId="77777777" w:rsidR="00A0251B" w:rsidRPr="00CC35F0" w:rsidRDefault="00A21949" w:rsidP="00AE702E">
      <w:pPr>
        <w:ind w:firstLine="720"/>
        <w:rPr>
          <w:rFonts w:ascii="Times New Roman" w:eastAsia="Times New Roman" w:hAnsi="Times New Roman"/>
          <w:sz w:val="24"/>
          <w:szCs w:val="24"/>
          <w:lang w:val="sr-Cyrl-CS"/>
        </w:rPr>
      </w:pPr>
      <w:bookmarkStart w:id="82" w:name="_heading=h.39kk8xu" w:colFirst="0" w:colLast="0"/>
      <w:bookmarkEnd w:id="82"/>
      <w:r>
        <w:rPr>
          <w:rFonts w:ascii="Times New Roman" w:eastAsia="Times New Roman" w:hAnsi="Times New Roman"/>
          <w:sz w:val="24"/>
          <w:szCs w:val="24"/>
          <w:lang w:val="sr-Cyrl-CS"/>
        </w:rPr>
        <w:t>У поређењу са сценари</w:t>
      </w:r>
      <w:r w:rsidR="008D6506" w:rsidRPr="00CC35F0">
        <w:rPr>
          <w:rFonts w:ascii="Times New Roman" w:eastAsia="Times New Roman" w:hAnsi="Times New Roman"/>
          <w:sz w:val="24"/>
          <w:szCs w:val="24"/>
          <w:lang w:val="sr-Cyrl-CS"/>
        </w:rPr>
        <w:t>ом са постојећим мерама, мере предложене овим програмом изискују додатна улагања у различитим секторима. Ти додатни инвестициони трошкови процењени су на 2595 милиона евра у периоду 2022-2030. године.</w:t>
      </w:r>
    </w:p>
    <w:p w14:paraId="21A60853" w14:textId="77777777" w:rsidR="00A0251B" w:rsidRPr="00CC35F0" w:rsidRDefault="008D6506" w:rsidP="00AE702E">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Поменуте додатне инвестиционе трошкове заједно ће сносити потрошачи/домаћинства (на пример, приликом куповине ефикаснијих и мање загађујућих аутомобила и грејних тела, или променом енергента за огрев), инвеститори, нпр. јавна или приватна предузећа и пољопривредници (нове технологије на крају циклуса за испуњење BAT AELs, нове технике складиштења стајњака) и држава. Будући да мере за постизање утврђених циљева не захтевају инвестициона улагања од државе, планирано је да се из државног буџета допринесе финансирању мера које ће углавном спроводити потрошачи</w:t>
      </w:r>
      <w:r w:rsidRPr="00CC35F0">
        <w:rPr>
          <w:rFonts w:ascii="Times New Roman" w:eastAsia="Times New Roman" w:hAnsi="Times New Roman"/>
          <w:sz w:val="24"/>
          <w:szCs w:val="24"/>
          <w:vertAlign w:val="superscript"/>
          <w:lang w:val="sr-Cyrl-CS"/>
        </w:rPr>
        <w:footnoteReference w:id="41"/>
      </w:r>
      <w:r w:rsidRPr="00CC35F0">
        <w:rPr>
          <w:rFonts w:ascii="Times New Roman" w:eastAsia="Times New Roman" w:hAnsi="Times New Roman"/>
          <w:sz w:val="24"/>
          <w:szCs w:val="24"/>
          <w:lang w:val="sr-Cyrl-CS"/>
        </w:rPr>
        <w:t>. Предвиђено је да потрошачи сносе 75,2% инвестиционих трошкова, а инвеститори преосталих 24,8%.</w:t>
      </w:r>
    </w:p>
    <w:p w14:paraId="799A16DD" w14:textId="77777777" w:rsidR="00A0251B" w:rsidRPr="00CC35F0" w:rsidRDefault="008D6506" w:rsidP="00AE702E">
      <w:pPr>
        <w:spacing w:after="0"/>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Од укупног износа инвестиционих трошкова, 90,4% или 2346 милиона евра ће се определити за спровођење мера из Посебног циља 1 (од чега 394,4 милиона евра или 16,8% треба да покрију инвеститори), 195,6 милиона евра (6,6%) се опредељује за спровођење Посебног циља 2 (у целости покривају инвеститори) и 52,7 милиона евра (1,8%) намењено је за спровођење мера из Посебног циља 3 (у целости покривају инвеститори – пољопривредници).</w:t>
      </w:r>
    </w:p>
    <w:p w14:paraId="276C1DC3" w14:textId="77777777" w:rsidR="00A0251B" w:rsidRPr="00CC35F0" w:rsidRDefault="00A0251B">
      <w:pPr>
        <w:spacing w:after="0"/>
        <w:rPr>
          <w:rFonts w:ascii="Times New Roman" w:eastAsia="Times New Roman" w:hAnsi="Times New Roman"/>
          <w:sz w:val="24"/>
          <w:szCs w:val="24"/>
          <w:lang w:val="sr-Cyrl-CS"/>
        </w:rPr>
      </w:pPr>
    </w:p>
    <w:p w14:paraId="79BE96E1"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58633BFF" wp14:editId="72018578">
            <wp:extent cx="5494020" cy="2275205"/>
            <wp:effectExtent l="0" t="0" r="0" b="0"/>
            <wp:docPr id="54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6"/>
                    <a:srcRect/>
                    <a:stretch>
                      <a:fillRect/>
                    </a:stretch>
                  </pic:blipFill>
                  <pic:spPr>
                    <a:xfrm>
                      <a:off x="0" y="0"/>
                      <a:ext cx="5494020" cy="2275205"/>
                    </a:xfrm>
                    <a:prstGeom prst="rect">
                      <a:avLst/>
                    </a:prstGeom>
                    <a:ln/>
                  </pic:spPr>
                </pic:pic>
              </a:graphicData>
            </a:graphic>
          </wp:inline>
        </w:drawing>
      </w:r>
    </w:p>
    <w:p w14:paraId="1FAF3C29" w14:textId="77777777" w:rsidR="00A0251B" w:rsidRPr="00CC35F0" w:rsidRDefault="00A0251B">
      <w:pPr>
        <w:spacing w:after="0"/>
        <w:rPr>
          <w:rFonts w:ascii="Times New Roman" w:eastAsia="Times New Roman" w:hAnsi="Times New Roman"/>
          <w:sz w:val="24"/>
          <w:szCs w:val="24"/>
          <w:lang w:val="sr-Cyrl-CS"/>
        </w:rPr>
      </w:pPr>
    </w:p>
    <w:p w14:paraId="20A3C5A4" w14:textId="77777777" w:rsidR="00A0251B" w:rsidRPr="00CC35F0" w:rsidRDefault="008D6506">
      <w:pPr>
        <w:keepNext/>
        <w:pBdr>
          <w:top w:val="nil"/>
          <w:left w:val="nil"/>
          <w:bottom w:val="nil"/>
          <w:right w:val="nil"/>
          <w:between w:val="nil"/>
        </w:pBdr>
        <w:tabs>
          <w:tab w:val="left" w:pos="8010"/>
        </w:tabs>
        <w:spacing w:before="120" w:after="60"/>
        <w:ind w:left="1134" w:hanging="1134"/>
        <w:rPr>
          <w:rFonts w:ascii="Times New Roman" w:eastAsia="Times New Roman" w:hAnsi="Times New Roman"/>
          <w:b/>
          <w:color w:val="000000"/>
          <w:sz w:val="24"/>
          <w:szCs w:val="24"/>
          <w:lang w:val="sr-Cyrl-CS"/>
        </w:rPr>
      </w:pPr>
      <w:bookmarkStart w:id="83" w:name="_heading=h.1opuj5n" w:colFirst="0" w:colLast="0"/>
      <w:bookmarkEnd w:id="83"/>
      <w:r w:rsidRPr="00CC35F0">
        <w:rPr>
          <w:rFonts w:ascii="Times New Roman" w:eastAsia="Times New Roman" w:hAnsi="Times New Roman"/>
          <w:b/>
          <w:color w:val="000000"/>
          <w:sz w:val="24"/>
          <w:szCs w:val="24"/>
          <w:lang w:val="sr-Cyrl-CS"/>
        </w:rPr>
        <w:t>Слика 26: Подела инвестиционих трошкова у периоду 2022-2030. године</w:t>
      </w:r>
    </w:p>
    <w:p w14:paraId="45E1E8C3" w14:textId="77777777" w:rsidR="00A0251B" w:rsidRPr="00CC35F0" w:rsidRDefault="008D6506" w:rsidP="00AE702E">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Држава ће имати додатну улогу у спровођењу мера из Програма кроз дефинисање регулаторних, фискалних и подстицајних шема. У овом контексту, држава сматра тренутне приходе од принципа </w:t>
      </w:r>
      <w:r w:rsidRPr="00CC35F0">
        <w:rPr>
          <w:rFonts w:ascii="Times New Roman" w:eastAsia="Times New Roman" w:hAnsi="Times New Roman"/>
          <w:i/>
          <w:sz w:val="24"/>
          <w:szCs w:val="24"/>
          <w:lang w:val="sr-Cyrl-CS"/>
        </w:rPr>
        <w:t>загађивач плаћа</w:t>
      </w:r>
      <w:r w:rsidRPr="00CC35F0">
        <w:rPr>
          <w:rFonts w:ascii="Times New Roman" w:eastAsia="Times New Roman" w:hAnsi="Times New Roman"/>
          <w:sz w:val="24"/>
          <w:szCs w:val="24"/>
          <w:vertAlign w:val="superscript"/>
          <w:lang w:val="sr-Cyrl-CS"/>
        </w:rPr>
        <w:footnoteReference w:id="42"/>
      </w:r>
      <w:r w:rsidRPr="00CC35F0">
        <w:rPr>
          <w:rFonts w:ascii="Times New Roman" w:eastAsia="Times New Roman" w:hAnsi="Times New Roman"/>
          <w:sz w:val="24"/>
          <w:szCs w:val="24"/>
          <w:lang w:val="sr-Cyrl-CS"/>
        </w:rPr>
        <w:t xml:space="preserve"> важним извором финансирања државних подстицаја. Међутим, очекује се да ће овај извор средстава пресушити до 2030. године због спровођења Националног плана за смањење емисија, па је стога потребно размотрити алтернативне приступе засноване на истом принципу.</w:t>
      </w:r>
    </w:p>
    <w:p w14:paraId="06AB65EC" w14:textId="77777777" w:rsidR="00A0251B" w:rsidRPr="00CC35F0" w:rsidRDefault="008D6506" w:rsidP="00AE702E">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Сва средства из буџета предвиђена за реализацију активн</w:t>
      </w:r>
      <w:r w:rsidR="000965FC" w:rsidRPr="00CC35F0">
        <w:rPr>
          <w:rFonts w:ascii="Times New Roman" w:eastAsia="Times New Roman" w:hAnsi="Times New Roman"/>
          <w:sz w:val="24"/>
          <w:szCs w:val="24"/>
          <w:lang w:val="sr-Cyrl-CS"/>
        </w:rPr>
        <w:t>ости у пратећем А</w:t>
      </w:r>
      <w:r w:rsidRPr="00CC35F0">
        <w:rPr>
          <w:rFonts w:ascii="Times New Roman" w:eastAsia="Times New Roman" w:hAnsi="Times New Roman"/>
          <w:sz w:val="24"/>
          <w:szCs w:val="24"/>
          <w:lang w:val="sr-Cyrl-CS"/>
        </w:rPr>
        <w:t>кционом плану за период од 2022. до 2026. године, планирана су у оквиру предвиђених лимита који је одредило Министарство финансија за све буџетске кориснике.</w:t>
      </w:r>
    </w:p>
    <w:p w14:paraId="7871C37B" w14:textId="77777777" w:rsidR="00A0251B" w:rsidRPr="00CC35F0" w:rsidRDefault="008D6506" w:rsidP="00753F3D">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 одређени број мера  процењени су трошкови, али средства нису јасно опредељена, те ће након усвајања Програма поступити даљем планирању извора финансирања ових мера.</w:t>
      </w:r>
    </w:p>
    <w:p w14:paraId="3F654117" w14:textId="77777777" w:rsidR="00A0251B" w:rsidRPr="00CC35F0" w:rsidRDefault="008D6506" w:rsidP="00AE702E">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Посебни циљ 1</w:t>
      </w:r>
    </w:p>
    <w:p w14:paraId="2A7EEF7D" w14:textId="77777777" w:rsidR="00A0251B" w:rsidRPr="00CC35F0" w:rsidRDefault="008D6506" w:rsidP="00AE702E">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За спровођење мера у оквиру Посебног циља 1 биће потребно додатних 2346,3 милиона евра (90,4% укупних инвестиционих трошкова) до 2030. године, од чега би требало уложити додатних 1243,4 милиона евра (кумулативно до 2030. године) у обнављање возног парка, с циљем </w:t>
      </w:r>
      <w:r w:rsidRPr="00CC35F0">
        <w:rPr>
          <w:rFonts w:ascii="Times New Roman" w:eastAsia="Times New Roman" w:hAnsi="Times New Roman"/>
          <w:sz w:val="24"/>
          <w:szCs w:val="24"/>
          <w:lang w:val="sr-Cyrl-CS"/>
        </w:rPr>
        <w:lastRenderedPageBreak/>
        <w:t xml:space="preserve">увођења виших EURO стандарда за половна возила која се први пут региструју у </w:t>
      </w:r>
      <w:r w:rsidR="006A1D7F"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 xml:space="preserve">Србији. Очекује се улагање додатних 453,1 милиона евра у виду финансијских подстицаја за шеме дерегистрације и отпремања возила која највише загађују у рециклажне центре, будући да ова возила треба заменити возилима која задовољавају најмање Euro 5 или неки од виших стандарда. За додатну замену котлова и пећи уређајима који задовољавају захтеве еко-дизајна укључујући и уградњу топлотних пумпи у Крагујевцу, Нишу, Ваљеву Ужицу и Београду, која је подржана субвенцијама, потребно је инвестирати 476,9 милиона евра. Највише средстава од инвеститора биће потребно за испуњавање минималних Euro стандарда за увезена возила (теретна возила и аутобуси), с обзиром да ће додатни инвестициони трошкови за ове активности износити 140,6 милиона евра. Поред тога, усаглашавање средњих постројења за сагоревање са Директивом о индустријским емисијама изискује додатних 115,8 милиона евра инвестиција, док ће трошкови спровођења преосталих мера, на пример, Поглавља II Директиве ЕУ о индустријским емисијама за велика постројења за сагоревање уз уважавање средње вредности горњих и доњих нивоа BAT AELs, спровођење граничних вредности у најмањим постројењима за сагоревање (мања од 1 MW), затим захтева који се односе на ограничења емисије гасовитих и прашкастих загађујућих материја за радне машине, као и за мере за ограничавање емисија VOC из складиштења и дистрибуције нафтних деривата износити преосталих 138,0 милиона евра.   </w:t>
      </w:r>
    </w:p>
    <w:p w14:paraId="62B669F9" w14:textId="77777777" w:rsidR="00A0251B" w:rsidRPr="00CC35F0" w:rsidRDefault="008D6506" w:rsidP="00AE702E">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Посебни циљ 2</w:t>
      </w:r>
    </w:p>
    <w:p w14:paraId="0B0C4DF3" w14:textId="77777777" w:rsidR="00A0251B" w:rsidRPr="00CC35F0" w:rsidRDefault="008D6506" w:rsidP="00AE702E">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Спровођење мера у оквиру Посебног циља 2 ће до 2030. године захтевати додатних 195,6 милиона евра, од чега ће 125,4 милиона евра бити потребно за поштовање ограничења VOC из употребе растварача у одређеним постројењима уз спровођење Поглавља II Директиве ЕУ о индустријским емисијама у индустријским процесима, узимајући у обзир средњу вредност горњих и доњих нивоа BAT AELs. Остварење нижих нивоа у погонима за производњу бакра и сумпорне киселине у Бору захтеваће 70,2 милиона евра кумулативних инвестиција у периоду 2022-2030. године.</w:t>
      </w:r>
    </w:p>
    <w:p w14:paraId="72172A9B" w14:textId="77777777" w:rsidR="00A0251B" w:rsidRPr="00CC35F0" w:rsidRDefault="008D6506" w:rsidP="00AE702E">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Посебни циљ 3</w:t>
      </w:r>
    </w:p>
    <w:p w14:paraId="7DCA7983" w14:textId="77777777" w:rsidR="00A0251B" w:rsidRPr="00CC35F0" w:rsidRDefault="008D6506" w:rsidP="006B2D9E">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Инвестициони трошкови за спровођење пољопривредних мера у оквиру Посебног циља 3 ће до 2030. године износити 57,2 милиона евра, а највећи део трошкова (46,2 милиона евра) одлази на ограничење спаљивања остатака из пољопривреде на отвореном, што се може постићи унапређењем пољопривредне механизације, применом добрих пракси и строжом контролом и надзором, док је преосталих 5,7 милиона евра инвестиционих трошкова намењено увођењу најбољих пракси у растурању свињског и сточног стајњака.</w:t>
      </w:r>
    </w:p>
    <w:p w14:paraId="5BA48482" w14:textId="77777777" w:rsidR="00A0251B" w:rsidRPr="00CC35F0" w:rsidRDefault="008D6506">
      <w:pPr>
        <w:keepNext/>
        <w:pBdr>
          <w:top w:val="nil"/>
          <w:left w:val="nil"/>
          <w:bottom w:val="nil"/>
          <w:right w:val="nil"/>
          <w:between w:val="nil"/>
        </w:pBdr>
        <w:spacing w:before="120" w:after="60"/>
        <w:ind w:left="1134" w:hanging="1134"/>
        <w:rPr>
          <w:rFonts w:ascii="Times New Roman" w:eastAsia="Times New Roman" w:hAnsi="Times New Roman"/>
          <w:b/>
          <w:color w:val="000000"/>
          <w:sz w:val="24"/>
          <w:szCs w:val="24"/>
          <w:lang w:val="sr-Cyrl-CS"/>
        </w:rPr>
      </w:pPr>
      <w:bookmarkStart w:id="84" w:name="_heading=h.48pi1tg" w:colFirst="0" w:colLast="0"/>
      <w:bookmarkEnd w:id="84"/>
      <w:r w:rsidRPr="00CC35F0">
        <w:rPr>
          <w:rFonts w:ascii="Times New Roman" w:eastAsia="Times New Roman" w:hAnsi="Times New Roman"/>
          <w:b/>
          <w:color w:val="000000"/>
          <w:sz w:val="24"/>
          <w:szCs w:val="24"/>
          <w:lang w:val="sr-Cyrl-CS"/>
        </w:rPr>
        <w:lastRenderedPageBreak/>
        <w:t>Слика 27: Подела додатних инвестиционих трошкова (%) за сценарио WAM C у периоду 2022-2030. године</w:t>
      </w:r>
    </w:p>
    <w:p w14:paraId="517C5B0C" w14:textId="77777777" w:rsidR="00A0251B" w:rsidRPr="00CC35F0" w:rsidRDefault="008D6506">
      <w:pPr>
        <w:spacing w:after="180"/>
        <w:jc w:val="left"/>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3F6A32A5" wp14:editId="6825CD10">
            <wp:extent cx="5420360" cy="4359910"/>
            <wp:effectExtent l="0" t="0" r="0" b="0"/>
            <wp:docPr id="54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7"/>
                    <a:srcRect/>
                    <a:stretch>
                      <a:fillRect/>
                    </a:stretch>
                  </pic:blipFill>
                  <pic:spPr>
                    <a:xfrm>
                      <a:off x="0" y="0"/>
                      <a:ext cx="5420360" cy="4359910"/>
                    </a:xfrm>
                    <a:prstGeom prst="rect">
                      <a:avLst/>
                    </a:prstGeom>
                    <a:ln/>
                  </pic:spPr>
                </pic:pic>
              </a:graphicData>
            </a:graphic>
          </wp:inline>
        </w:drawing>
      </w:r>
    </w:p>
    <w:p w14:paraId="2ABDC3D0" w14:textId="77777777" w:rsidR="00A0251B" w:rsidRPr="00CC35F0" w:rsidRDefault="00A0251B">
      <w:pPr>
        <w:spacing w:after="0"/>
        <w:rPr>
          <w:rFonts w:ascii="Times New Roman" w:eastAsia="Times New Roman" w:hAnsi="Times New Roman"/>
          <w:sz w:val="24"/>
          <w:szCs w:val="24"/>
          <w:lang w:val="sr-Cyrl-CS"/>
        </w:rPr>
      </w:pPr>
    </w:p>
    <w:p w14:paraId="4D0DBDFB" w14:textId="77777777" w:rsidR="00A0251B" w:rsidRPr="00CC35F0" w:rsidRDefault="008D6506">
      <w:pPr>
        <w:pStyle w:val="Heading3"/>
        <w:numPr>
          <w:ilvl w:val="2"/>
          <w:numId w:val="3"/>
        </w:numPr>
        <w:rPr>
          <w:rFonts w:ascii="Times New Roman" w:eastAsia="Times New Roman" w:hAnsi="Times New Roman"/>
          <w:sz w:val="24"/>
          <w:lang w:val="sr-Cyrl-CS"/>
        </w:rPr>
      </w:pPr>
      <w:bookmarkStart w:id="85" w:name="_heading=h.2nusc19" w:colFirst="0" w:colLast="0"/>
      <w:bookmarkEnd w:id="85"/>
      <w:r w:rsidRPr="00CC35F0">
        <w:rPr>
          <w:rFonts w:ascii="Times New Roman" w:eastAsia="Times New Roman" w:hAnsi="Times New Roman"/>
          <w:sz w:val="24"/>
          <w:lang w:val="sr-Cyrl-CS"/>
        </w:rPr>
        <w:t>Потребна средства за финансијску подршку спровођењу мера</w:t>
      </w:r>
    </w:p>
    <w:p w14:paraId="233E2199" w14:textId="77777777" w:rsidR="00A0251B" w:rsidRPr="00CC35F0" w:rsidRDefault="008D6506" w:rsidP="00F8787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Две главне мере примарно усмерене на емисије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и NO</w:t>
      </w:r>
      <w:r w:rsidRPr="00CC35F0">
        <w:rPr>
          <w:rFonts w:ascii="Times New Roman" w:eastAsia="Times New Roman" w:hAnsi="Times New Roman"/>
          <w:sz w:val="24"/>
          <w:szCs w:val="24"/>
          <w:vertAlign w:val="subscript"/>
          <w:lang w:val="sr-Cyrl-CS"/>
        </w:rPr>
        <w:t>x</w:t>
      </w:r>
      <w:r w:rsidRPr="00CC35F0">
        <w:rPr>
          <w:rFonts w:ascii="Times New Roman" w:eastAsia="Times New Roman" w:hAnsi="Times New Roman"/>
          <w:sz w:val="24"/>
          <w:szCs w:val="24"/>
          <w:lang w:val="sr-Cyrl-CS"/>
        </w:rPr>
        <w:t xml:space="preserve"> предвиђају субвенције, јер природна замена старе технологије новом дуже траје, што би угрозило визију овог програма. Поред тога, старе технологије у неким случајевима треба заменити одређеним зеленим технологијама без директних емисија загађујућих материја у ваздух (нпр. топлотне пумпе), како би се остварили општи и посебни циљеви </w:t>
      </w:r>
      <w:r w:rsidRPr="00CC35F0">
        <w:rPr>
          <w:rFonts w:ascii="Times New Roman" w:eastAsia="Times New Roman" w:hAnsi="Times New Roman"/>
          <w:sz w:val="24"/>
          <w:szCs w:val="24"/>
          <w:lang w:val="sr-Cyrl-CS"/>
        </w:rPr>
        <w:lastRenderedPageBreak/>
        <w:t xml:space="preserve">Програма. То се може постићи обезбеђивањем циљних субвенција. Финансијски подстицаји за спровођење сценарија WAM C приказани су у </w:t>
      </w:r>
      <w:r w:rsidRPr="00CC35F0">
        <w:rPr>
          <w:rFonts w:ascii="Times New Roman" w:eastAsia="Times New Roman" w:hAnsi="Times New Roman"/>
          <w:b/>
          <w:sz w:val="24"/>
          <w:szCs w:val="24"/>
          <w:lang w:val="sr-Cyrl-CS"/>
        </w:rPr>
        <w:t>Табели 7-4</w:t>
      </w:r>
      <w:r w:rsidRPr="00CC35F0">
        <w:rPr>
          <w:rFonts w:ascii="Times New Roman" w:eastAsia="Times New Roman" w:hAnsi="Times New Roman"/>
          <w:sz w:val="24"/>
          <w:szCs w:val="24"/>
          <w:lang w:val="sr-Cyrl-CS"/>
        </w:rPr>
        <w:t xml:space="preserve"> у наставку.</w:t>
      </w:r>
    </w:p>
    <w:p w14:paraId="219BB523" w14:textId="77777777" w:rsidR="00A0251B" w:rsidRPr="00CC35F0" w:rsidRDefault="008D6506">
      <w:pPr>
        <w:spacing w:after="0"/>
        <w:rPr>
          <w:rFonts w:ascii="Times New Roman" w:eastAsia="Times New Roman" w:hAnsi="Times New Roman"/>
          <w:b/>
          <w:sz w:val="24"/>
          <w:szCs w:val="24"/>
          <w:lang w:val="sr-Cyrl-CS"/>
        </w:rPr>
      </w:pPr>
      <w:bookmarkStart w:id="86" w:name="_heading=h.1302m92" w:colFirst="0" w:colLast="0"/>
      <w:bookmarkEnd w:id="86"/>
      <w:r w:rsidRPr="00CC35F0">
        <w:rPr>
          <w:rFonts w:ascii="Times New Roman" w:eastAsia="Times New Roman" w:hAnsi="Times New Roman"/>
          <w:b/>
          <w:sz w:val="24"/>
          <w:szCs w:val="24"/>
          <w:lang w:val="sr-Cyrl-CS"/>
        </w:rPr>
        <w:t xml:space="preserve">Табела 7-4 Финансијски подстицаји потребни за спровођење сценарија WAM C </w:t>
      </w:r>
    </w:p>
    <w:p w14:paraId="6D80CF49" w14:textId="77777777" w:rsidR="00A80DC6" w:rsidRPr="00CC35F0" w:rsidRDefault="00A80DC6">
      <w:pPr>
        <w:spacing w:after="0"/>
        <w:rPr>
          <w:rFonts w:ascii="Times New Roman" w:eastAsia="Times New Roman" w:hAnsi="Times New Roman"/>
          <w:b/>
          <w:i/>
          <w:color w:val="FF0000"/>
          <w:sz w:val="24"/>
          <w:szCs w:val="24"/>
          <w:lang w:val="sr-Cyrl-CS"/>
        </w:rPr>
      </w:pPr>
    </w:p>
    <w:tbl>
      <w:tblPr>
        <w:tblStyle w:val="af1"/>
        <w:tblW w:w="9493" w:type="dxa"/>
        <w:tblInd w:w="-5" w:type="dxa"/>
        <w:tblLayout w:type="fixed"/>
        <w:tblLook w:val="0400" w:firstRow="0" w:lastRow="0" w:firstColumn="0" w:lastColumn="0" w:noHBand="0" w:noVBand="1"/>
      </w:tblPr>
      <w:tblGrid>
        <w:gridCol w:w="960"/>
        <w:gridCol w:w="1155"/>
        <w:gridCol w:w="5535"/>
        <w:gridCol w:w="1843"/>
      </w:tblGrid>
      <w:tr w:rsidR="00A0251B" w:rsidRPr="00CC35F0" w14:paraId="103935AB" w14:textId="77777777">
        <w:trPr>
          <w:trHeight w:val="45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DCE6F1"/>
            <w:vAlign w:val="center"/>
          </w:tcPr>
          <w:p w14:paraId="019D1FFB"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Бр.</w:t>
            </w:r>
          </w:p>
        </w:tc>
        <w:tc>
          <w:tcPr>
            <w:tcW w:w="1155" w:type="dxa"/>
            <w:vMerge w:val="restart"/>
            <w:tcBorders>
              <w:top w:val="single" w:sz="4" w:space="0" w:color="000000"/>
              <w:left w:val="single" w:sz="4" w:space="0" w:color="000000"/>
              <w:bottom w:val="single" w:sz="4" w:space="0" w:color="000000"/>
              <w:right w:val="single" w:sz="4" w:space="0" w:color="000000"/>
            </w:tcBorders>
            <w:shd w:val="clear" w:color="auto" w:fill="DCE6F1"/>
            <w:vAlign w:val="center"/>
          </w:tcPr>
          <w:p w14:paraId="03E0886D"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Посебни циљ</w:t>
            </w:r>
          </w:p>
        </w:tc>
        <w:tc>
          <w:tcPr>
            <w:tcW w:w="5535" w:type="dxa"/>
            <w:vMerge w:val="restart"/>
            <w:tcBorders>
              <w:top w:val="single" w:sz="4" w:space="0" w:color="000000"/>
              <w:left w:val="single" w:sz="4" w:space="0" w:color="000000"/>
              <w:bottom w:val="single" w:sz="4" w:space="0" w:color="000000"/>
              <w:right w:val="single" w:sz="4" w:space="0" w:color="000000"/>
            </w:tcBorders>
            <w:shd w:val="clear" w:color="auto" w:fill="DCE6F1"/>
            <w:vAlign w:val="center"/>
          </w:tcPr>
          <w:p w14:paraId="57DE5F77"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DCE6F1"/>
            <w:vAlign w:val="bottom"/>
          </w:tcPr>
          <w:p w14:paraId="09014177"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Потребни финансијски подстицаји у периоду 2022-2030. године [милиони евра]</w:t>
            </w:r>
          </w:p>
        </w:tc>
      </w:tr>
      <w:tr w:rsidR="00A0251B" w:rsidRPr="00CC35F0" w14:paraId="099D486E"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DCE6F1"/>
            <w:vAlign w:val="center"/>
          </w:tcPr>
          <w:p w14:paraId="7DCCA6E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155" w:type="dxa"/>
            <w:vMerge/>
            <w:tcBorders>
              <w:top w:val="single" w:sz="4" w:space="0" w:color="000000"/>
              <w:left w:val="single" w:sz="4" w:space="0" w:color="000000"/>
              <w:bottom w:val="single" w:sz="4" w:space="0" w:color="000000"/>
              <w:right w:val="single" w:sz="4" w:space="0" w:color="000000"/>
            </w:tcBorders>
            <w:shd w:val="clear" w:color="auto" w:fill="DCE6F1"/>
            <w:vAlign w:val="center"/>
          </w:tcPr>
          <w:p w14:paraId="2F2AE3B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5535" w:type="dxa"/>
            <w:vMerge/>
            <w:tcBorders>
              <w:top w:val="single" w:sz="4" w:space="0" w:color="000000"/>
              <w:left w:val="single" w:sz="4" w:space="0" w:color="000000"/>
              <w:bottom w:val="single" w:sz="4" w:space="0" w:color="000000"/>
              <w:right w:val="single" w:sz="4" w:space="0" w:color="000000"/>
            </w:tcBorders>
            <w:shd w:val="clear" w:color="auto" w:fill="DCE6F1"/>
            <w:vAlign w:val="center"/>
          </w:tcPr>
          <w:p w14:paraId="1B6E1B7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DCE6F1"/>
            <w:vAlign w:val="bottom"/>
          </w:tcPr>
          <w:p w14:paraId="6A20DBC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r>
      <w:tr w:rsidR="00A0251B" w:rsidRPr="00CC35F0" w14:paraId="2B75631F" w14:textId="77777777">
        <w:trPr>
          <w:trHeight w:val="715"/>
        </w:trPr>
        <w:tc>
          <w:tcPr>
            <w:tcW w:w="960" w:type="dxa"/>
            <w:tcBorders>
              <w:top w:val="nil"/>
              <w:left w:val="single" w:sz="4" w:space="0" w:color="000000"/>
              <w:bottom w:val="single" w:sz="4" w:space="0" w:color="000000"/>
              <w:right w:val="single" w:sz="4" w:space="0" w:color="000000"/>
            </w:tcBorders>
            <w:shd w:val="clear" w:color="auto" w:fill="auto"/>
            <w:vAlign w:val="center"/>
          </w:tcPr>
          <w:p w14:paraId="71F04839"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p>
        </w:tc>
        <w:tc>
          <w:tcPr>
            <w:tcW w:w="1155" w:type="dxa"/>
            <w:tcBorders>
              <w:top w:val="nil"/>
              <w:left w:val="nil"/>
              <w:bottom w:val="single" w:sz="4" w:space="0" w:color="000000"/>
              <w:right w:val="single" w:sz="4" w:space="0" w:color="000000"/>
            </w:tcBorders>
            <w:shd w:val="clear" w:color="auto" w:fill="auto"/>
            <w:vAlign w:val="center"/>
          </w:tcPr>
          <w:p w14:paraId="2A0FAF9D"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S.O.1</w:t>
            </w:r>
          </w:p>
        </w:tc>
        <w:tc>
          <w:tcPr>
            <w:tcW w:w="5535" w:type="dxa"/>
            <w:tcBorders>
              <w:top w:val="nil"/>
              <w:left w:val="nil"/>
              <w:bottom w:val="single" w:sz="4" w:space="0" w:color="000000"/>
              <w:right w:val="single" w:sz="4" w:space="0" w:color="000000"/>
            </w:tcBorders>
            <w:shd w:val="clear" w:color="auto" w:fill="auto"/>
            <w:vAlign w:val="center"/>
          </w:tcPr>
          <w:p w14:paraId="36D0EC15"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Додатна обнова возног парка финансијским подстицајима за дерегистрацију/отпремање најстаријих Euro 1, 2 и 3 путничких дизел аутомобила и теретних возила (изузев N3), и EURO I, II и III дизел аутобуса у рециклажне центре.</w:t>
            </w:r>
          </w:p>
        </w:tc>
        <w:tc>
          <w:tcPr>
            <w:tcW w:w="1843" w:type="dxa"/>
            <w:tcBorders>
              <w:top w:val="single" w:sz="4" w:space="0" w:color="000000"/>
              <w:left w:val="nil"/>
              <w:bottom w:val="single" w:sz="4" w:space="0" w:color="000000"/>
              <w:right w:val="single" w:sz="4" w:space="0" w:color="000000"/>
            </w:tcBorders>
            <w:shd w:val="clear" w:color="auto" w:fill="auto"/>
            <w:vAlign w:val="center"/>
          </w:tcPr>
          <w:p w14:paraId="07FDB78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159</w:t>
            </w:r>
          </w:p>
        </w:tc>
      </w:tr>
      <w:tr w:rsidR="00A0251B" w:rsidRPr="00CC35F0" w14:paraId="25F80EC8" w14:textId="77777777">
        <w:trPr>
          <w:trHeight w:val="910"/>
        </w:trPr>
        <w:tc>
          <w:tcPr>
            <w:tcW w:w="960" w:type="dxa"/>
            <w:tcBorders>
              <w:top w:val="nil"/>
              <w:left w:val="single" w:sz="4" w:space="0" w:color="000000"/>
              <w:bottom w:val="single" w:sz="4" w:space="0" w:color="000000"/>
              <w:right w:val="single" w:sz="4" w:space="0" w:color="000000"/>
            </w:tcBorders>
            <w:shd w:val="clear" w:color="auto" w:fill="auto"/>
            <w:vAlign w:val="center"/>
          </w:tcPr>
          <w:p w14:paraId="516869E3"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w:t>
            </w:r>
          </w:p>
        </w:tc>
        <w:tc>
          <w:tcPr>
            <w:tcW w:w="1155" w:type="dxa"/>
            <w:tcBorders>
              <w:top w:val="nil"/>
              <w:left w:val="nil"/>
              <w:bottom w:val="single" w:sz="4" w:space="0" w:color="000000"/>
              <w:right w:val="single" w:sz="4" w:space="0" w:color="000000"/>
            </w:tcBorders>
            <w:shd w:val="clear" w:color="auto" w:fill="auto"/>
            <w:vAlign w:val="center"/>
          </w:tcPr>
          <w:p w14:paraId="2DB30A33"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S.O.1</w:t>
            </w:r>
          </w:p>
        </w:tc>
        <w:tc>
          <w:tcPr>
            <w:tcW w:w="5535" w:type="dxa"/>
            <w:tcBorders>
              <w:top w:val="nil"/>
              <w:left w:val="nil"/>
              <w:bottom w:val="single" w:sz="4" w:space="0" w:color="000000"/>
              <w:right w:val="single" w:sz="4" w:space="0" w:color="000000"/>
            </w:tcBorders>
            <w:shd w:val="clear" w:color="auto" w:fill="auto"/>
            <w:vAlign w:val="center"/>
          </w:tcPr>
          <w:p w14:paraId="489B0D1C" w14:textId="77777777" w:rsidR="00A0251B" w:rsidRPr="00CC35F0" w:rsidRDefault="008D6506">
            <w:pPr>
              <w:spacing w:after="0" w:line="240" w:lineRule="auto"/>
              <w:rPr>
                <w:rFonts w:ascii="Times New Roman" w:eastAsia="Times New Roman" w:hAnsi="Times New Roman"/>
                <w:sz w:val="24"/>
                <w:szCs w:val="24"/>
                <w:highlight w:val="cyan"/>
                <w:lang w:val="sr-Cyrl-CS"/>
              </w:rPr>
            </w:pPr>
            <w:r w:rsidRPr="00CC35F0">
              <w:rPr>
                <w:rFonts w:ascii="Times New Roman" w:eastAsia="Times New Roman" w:hAnsi="Times New Roman"/>
                <w:sz w:val="24"/>
                <w:szCs w:val="24"/>
                <w:lang w:val="sr-Cyrl-CS"/>
              </w:rPr>
              <w:t>Бржа  замена постојећих уређаја за грејање у домаћинствима  новим уређајима који испуњавају захтеве Директиве о еко-дизајну уз финансијске подстицаје и уз већи проценат замене у градовима Крагујевац, Београд, Ниш, Ваљево и Ужице.</w:t>
            </w:r>
          </w:p>
        </w:tc>
        <w:tc>
          <w:tcPr>
            <w:tcW w:w="1843" w:type="dxa"/>
            <w:tcBorders>
              <w:top w:val="single" w:sz="4" w:space="0" w:color="000000"/>
              <w:left w:val="nil"/>
              <w:bottom w:val="single" w:sz="4" w:space="0" w:color="000000"/>
              <w:right w:val="single" w:sz="4" w:space="0" w:color="000000"/>
            </w:tcBorders>
            <w:shd w:val="clear" w:color="auto" w:fill="auto"/>
            <w:vAlign w:val="center"/>
          </w:tcPr>
          <w:p w14:paraId="7F52C90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258</w:t>
            </w:r>
          </w:p>
        </w:tc>
      </w:tr>
      <w:tr w:rsidR="00A0251B" w:rsidRPr="00CC35F0" w14:paraId="0FEA3DE2" w14:textId="77777777">
        <w:trPr>
          <w:trHeight w:val="358"/>
        </w:trPr>
        <w:tc>
          <w:tcPr>
            <w:tcW w:w="960" w:type="dxa"/>
            <w:tcBorders>
              <w:top w:val="single" w:sz="4" w:space="0" w:color="000000"/>
              <w:left w:val="single" w:sz="4" w:space="0" w:color="000000"/>
              <w:bottom w:val="single" w:sz="4" w:space="0" w:color="000000"/>
            </w:tcBorders>
            <w:shd w:val="clear" w:color="auto" w:fill="auto"/>
            <w:vAlign w:val="center"/>
          </w:tcPr>
          <w:p w14:paraId="385BC953" w14:textId="77777777" w:rsidR="00A0251B" w:rsidRPr="00CC35F0" w:rsidRDefault="00A0251B">
            <w:pPr>
              <w:spacing w:after="0" w:line="240" w:lineRule="auto"/>
              <w:jc w:val="center"/>
              <w:rPr>
                <w:rFonts w:ascii="Times New Roman" w:eastAsia="Times New Roman" w:hAnsi="Times New Roman"/>
                <w:sz w:val="24"/>
                <w:szCs w:val="24"/>
                <w:lang w:val="sr-Cyrl-CS"/>
              </w:rPr>
            </w:pPr>
          </w:p>
        </w:tc>
        <w:tc>
          <w:tcPr>
            <w:tcW w:w="1155" w:type="dxa"/>
            <w:tcBorders>
              <w:top w:val="single" w:sz="4" w:space="0" w:color="000000"/>
              <w:bottom w:val="single" w:sz="4" w:space="0" w:color="000000"/>
              <w:right w:val="single" w:sz="4" w:space="0" w:color="000000"/>
            </w:tcBorders>
            <w:shd w:val="clear" w:color="auto" w:fill="auto"/>
            <w:vAlign w:val="center"/>
          </w:tcPr>
          <w:p w14:paraId="3447579C" w14:textId="77777777" w:rsidR="00A0251B" w:rsidRPr="00CC35F0" w:rsidRDefault="00A0251B">
            <w:pPr>
              <w:spacing w:after="0" w:line="240" w:lineRule="auto"/>
              <w:jc w:val="center"/>
              <w:rPr>
                <w:rFonts w:ascii="Times New Roman" w:eastAsia="Times New Roman" w:hAnsi="Times New Roman"/>
                <w:b/>
                <w:sz w:val="24"/>
                <w:szCs w:val="24"/>
                <w:lang w:val="sr-Cyrl-CS"/>
              </w:rPr>
            </w:pPr>
          </w:p>
        </w:tc>
        <w:tc>
          <w:tcPr>
            <w:tcW w:w="55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F8C913" w14:textId="77777777" w:rsidR="00A0251B" w:rsidRPr="00CC35F0" w:rsidRDefault="008D6506">
            <w:pPr>
              <w:spacing w:after="0" w:line="240" w:lineRule="auto"/>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1843" w:type="dxa"/>
            <w:tcBorders>
              <w:top w:val="single" w:sz="4" w:space="0" w:color="000000"/>
              <w:left w:val="nil"/>
              <w:bottom w:val="single" w:sz="4" w:space="0" w:color="000000"/>
              <w:right w:val="single" w:sz="4" w:space="0" w:color="000000"/>
            </w:tcBorders>
            <w:shd w:val="clear" w:color="auto" w:fill="auto"/>
            <w:vAlign w:val="center"/>
          </w:tcPr>
          <w:p w14:paraId="7646A9BA"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417</w:t>
            </w:r>
          </w:p>
        </w:tc>
      </w:tr>
    </w:tbl>
    <w:p w14:paraId="2854BD94" w14:textId="77777777" w:rsidR="00A0251B" w:rsidRPr="00CC35F0" w:rsidRDefault="008D6506" w:rsidP="00F87870">
      <w:pPr>
        <w:spacing w:before="240"/>
        <w:ind w:firstLine="720"/>
        <w:rPr>
          <w:rFonts w:ascii="Times New Roman" w:eastAsia="Times New Roman" w:hAnsi="Times New Roman"/>
          <w:sz w:val="24"/>
          <w:szCs w:val="24"/>
          <w:lang w:val="sr-Cyrl-CS"/>
        </w:rPr>
      </w:pPr>
      <w:bookmarkStart w:id="87" w:name="_heading=h.3mzq4wv" w:colFirst="0" w:colLast="0"/>
      <w:bookmarkEnd w:id="87"/>
      <w:r w:rsidRPr="00CC35F0">
        <w:rPr>
          <w:rFonts w:ascii="Times New Roman" w:eastAsia="Times New Roman" w:hAnsi="Times New Roman"/>
          <w:sz w:val="24"/>
          <w:szCs w:val="24"/>
          <w:lang w:val="sr-Cyrl-CS"/>
        </w:rPr>
        <w:t xml:space="preserve">Укупно се предвиђа да ће кумулативна подстицајна средства додељена потрошачима у периоду 2022-2030. године достићи 417 милиона евра, од чега 62% (258,4 од 417 милиона евра) иде за додатну замену постојећих уређаја за грејање у домаћинствима новим који испуњавају захтеве еко-дизајна и топлотним пумпама. Поред тога, треба осигурати да ће пет градова који се сматрају црним тачкама загађења суспендованим честицама имати довољно расположивих средстава за финансијске подстицаје у износима датим у </w:t>
      </w:r>
      <w:r w:rsidRPr="00CC35F0">
        <w:rPr>
          <w:rFonts w:ascii="Times New Roman" w:eastAsia="Times New Roman" w:hAnsi="Times New Roman"/>
          <w:b/>
          <w:sz w:val="24"/>
          <w:szCs w:val="24"/>
          <w:lang w:val="sr-Cyrl-CS"/>
        </w:rPr>
        <w:t>Табели 7-5</w:t>
      </w:r>
      <w:r w:rsidRPr="00CC35F0">
        <w:rPr>
          <w:rFonts w:ascii="Times New Roman" w:eastAsia="Times New Roman" w:hAnsi="Times New Roman"/>
          <w:sz w:val="24"/>
          <w:szCs w:val="24"/>
          <w:lang w:val="sr-Cyrl-CS"/>
        </w:rPr>
        <w:t>.</w:t>
      </w:r>
    </w:p>
    <w:p w14:paraId="55F98C43" w14:textId="77777777" w:rsidR="00A0251B" w:rsidRPr="00CC35F0" w:rsidRDefault="008D6506">
      <w:pPr>
        <w:spacing w:after="0"/>
        <w:rPr>
          <w:rFonts w:ascii="Times New Roman" w:eastAsia="Times New Roman" w:hAnsi="Times New Roman"/>
          <w:b/>
          <w:i/>
          <w:sz w:val="24"/>
          <w:szCs w:val="24"/>
          <w:lang w:val="sr-Cyrl-CS"/>
        </w:rPr>
      </w:pPr>
      <w:bookmarkStart w:id="88" w:name="_heading=h.2250f4o" w:colFirst="0" w:colLast="0"/>
      <w:bookmarkEnd w:id="88"/>
      <w:r w:rsidRPr="00CC35F0">
        <w:rPr>
          <w:rFonts w:ascii="Times New Roman" w:eastAsia="Times New Roman" w:hAnsi="Times New Roman"/>
          <w:b/>
          <w:sz w:val="24"/>
          <w:szCs w:val="24"/>
          <w:lang w:val="sr-Cyrl-CS"/>
        </w:rPr>
        <w:t xml:space="preserve">Табела 7-5 Кумулативни финансијски подстицаји потребни за одређену зону и агломерацију </w:t>
      </w:r>
    </w:p>
    <w:tbl>
      <w:tblPr>
        <w:tblStyle w:val="af2"/>
        <w:tblW w:w="56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40"/>
        <w:gridCol w:w="1825"/>
      </w:tblGrid>
      <w:tr w:rsidR="00A0251B" w:rsidRPr="00CC35F0" w14:paraId="2163D448" w14:textId="77777777">
        <w:trPr>
          <w:trHeight w:val="290"/>
          <w:tblHeader/>
          <w:jc w:val="center"/>
        </w:trPr>
        <w:tc>
          <w:tcPr>
            <w:tcW w:w="3840" w:type="dxa"/>
            <w:shd w:val="clear" w:color="auto" w:fill="DEEBF6"/>
            <w:vAlign w:val="center"/>
          </w:tcPr>
          <w:p w14:paraId="6186DAB4" w14:textId="77777777" w:rsidR="00A0251B" w:rsidRPr="00CC35F0" w:rsidRDefault="008D6506">
            <w:pPr>
              <w:spacing w:after="0" w:line="240" w:lineRule="auto"/>
              <w:jc w:val="center"/>
              <w:rPr>
                <w:rFonts w:ascii="Times New Roman" w:eastAsia="Times New Roman" w:hAnsi="Times New Roman"/>
                <w:sz w:val="24"/>
                <w:szCs w:val="24"/>
                <w:lang w:val="sr-Cyrl-CS"/>
              </w:rPr>
            </w:pPr>
            <w:bookmarkStart w:id="89" w:name="_heading=h.haapch" w:colFirst="0" w:colLast="0"/>
            <w:bookmarkEnd w:id="89"/>
            <w:r w:rsidRPr="00CC35F0">
              <w:rPr>
                <w:rFonts w:ascii="Times New Roman" w:eastAsia="Times New Roman" w:hAnsi="Times New Roman"/>
                <w:sz w:val="24"/>
                <w:szCs w:val="24"/>
                <w:lang w:val="sr-Cyrl-CS"/>
              </w:rPr>
              <w:lastRenderedPageBreak/>
              <w:t>Зона / Агломерација</w:t>
            </w:r>
          </w:p>
        </w:tc>
        <w:tc>
          <w:tcPr>
            <w:tcW w:w="1825" w:type="dxa"/>
            <w:shd w:val="clear" w:color="auto" w:fill="DEEBF6"/>
            <w:vAlign w:val="center"/>
          </w:tcPr>
          <w:p w14:paraId="0D81089B"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Минимални финансијски подстицаји</w:t>
            </w:r>
          </w:p>
          <w:p w14:paraId="2A33D44A" w14:textId="77777777" w:rsidR="00A0251B" w:rsidRPr="00CC35F0" w:rsidRDefault="00A00C7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r w:rsidR="008D6506" w:rsidRPr="00CC35F0">
              <w:rPr>
                <w:rFonts w:ascii="Times New Roman" w:eastAsia="Times New Roman" w:hAnsi="Times New Roman"/>
                <w:sz w:val="24"/>
                <w:szCs w:val="24"/>
                <w:lang w:val="sr-Cyrl-CS"/>
              </w:rPr>
              <w:t>милиони евра</w:t>
            </w:r>
            <w:r w:rsidRPr="00CC35F0">
              <w:rPr>
                <w:rFonts w:ascii="Times New Roman" w:eastAsia="Times New Roman" w:hAnsi="Times New Roman"/>
                <w:sz w:val="24"/>
                <w:szCs w:val="24"/>
                <w:lang w:val="sr-Cyrl-CS"/>
              </w:rPr>
              <w:t>)</w:t>
            </w:r>
          </w:p>
        </w:tc>
      </w:tr>
      <w:tr w:rsidR="00A0251B" w:rsidRPr="00CC35F0" w14:paraId="60B8E36A" w14:textId="77777777">
        <w:trPr>
          <w:trHeight w:val="260"/>
          <w:jc w:val="center"/>
        </w:trPr>
        <w:tc>
          <w:tcPr>
            <w:tcW w:w="3840" w:type="dxa"/>
            <w:shd w:val="clear" w:color="auto" w:fill="auto"/>
            <w:vAlign w:val="bottom"/>
          </w:tcPr>
          <w:p w14:paraId="0DD386E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Крагујевац</w:t>
            </w:r>
          </w:p>
        </w:tc>
        <w:tc>
          <w:tcPr>
            <w:tcW w:w="1825" w:type="dxa"/>
            <w:shd w:val="clear" w:color="auto" w:fill="auto"/>
            <w:vAlign w:val="bottom"/>
          </w:tcPr>
          <w:p w14:paraId="06EA2C7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5,6</w:t>
            </w:r>
          </w:p>
        </w:tc>
      </w:tr>
      <w:tr w:rsidR="00A0251B" w:rsidRPr="00CC35F0" w14:paraId="07703B70" w14:textId="77777777">
        <w:trPr>
          <w:trHeight w:val="260"/>
          <w:jc w:val="center"/>
        </w:trPr>
        <w:tc>
          <w:tcPr>
            <w:tcW w:w="3840" w:type="dxa"/>
            <w:shd w:val="clear" w:color="auto" w:fill="auto"/>
            <w:vAlign w:val="bottom"/>
          </w:tcPr>
          <w:p w14:paraId="2FF941F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Београд</w:t>
            </w:r>
          </w:p>
        </w:tc>
        <w:tc>
          <w:tcPr>
            <w:tcW w:w="1825" w:type="dxa"/>
            <w:shd w:val="clear" w:color="auto" w:fill="auto"/>
            <w:vAlign w:val="bottom"/>
          </w:tcPr>
          <w:p w14:paraId="086435C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39,6</w:t>
            </w:r>
          </w:p>
        </w:tc>
      </w:tr>
      <w:tr w:rsidR="00A0251B" w:rsidRPr="00CC35F0" w14:paraId="6E28D14D" w14:textId="77777777">
        <w:trPr>
          <w:trHeight w:val="260"/>
          <w:jc w:val="center"/>
        </w:trPr>
        <w:tc>
          <w:tcPr>
            <w:tcW w:w="3840" w:type="dxa"/>
            <w:shd w:val="clear" w:color="auto" w:fill="auto"/>
            <w:vAlign w:val="bottom"/>
          </w:tcPr>
          <w:p w14:paraId="77A4DB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Ниш</w:t>
            </w:r>
          </w:p>
        </w:tc>
        <w:tc>
          <w:tcPr>
            <w:tcW w:w="1825" w:type="dxa"/>
            <w:shd w:val="clear" w:color="auto" w:fill="auto"/>
            <w:vAlign w:val="bottom"/>
          </w:tcPr>
          <w:p w14:paraId="0A94165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25,9</w:t>
            </w:r>
          </w:p>
        </w:tc>
      </w:tr>
      <w:tr w:rsidR="00A0251B" w:rsidRPr="00CC35F0" w14:paraId="13699220" w14:textId="77777777">
        <w:trPr>
          <w:trHeight w:val="290"/>
          <w:jc w:val="center"/>
        </w:trPr>
        <w:tc>
          <w:tcPr>
            <w:tcW w:w="3840" w:type="dxa"/>
            <w:shd w:val="clear" w:color="auto" w:fill="auto"/>
            <w:vAlign w:val="bottom"/>
          </w:tcPr>
          <w:p w14:paraId="2EF279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Ваљево </w:t>
            </w:r>
          </w:p>
        </w:tc>
        <w:tc>
          <w:tcPr>
            <w:tcW w:w="1825" w:type="dxa"/>
            <w:shd w:val="clear" w:color="auto" w:fill="auto"/>
            <w:vAlign w:val="bottom"/>
          </w:tcPr>
          <w:p w14:paraId="273766A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13,9</w:t>
            </w:r>
          </w:p>
        </w:tc>
      </w:tr>
      <w:tr w:rsidR="00A0251B" w:rsidRPr="00CC35F0" w14:paraId="442C2A21" w14:textId="77777777">
        <w:trPr>
          <w:trHeight w:val="260"/>
          <w:jc w:val="center"/>
        </w:trPr>
        <w:tc>
          <w:tcPr>
            <w:tcW w:w="3840" w:type="dxa"/>
            <w:shd w:val="clear" w:color="auto" w:fill="auto"/>
            <w:vAlign w:val="bottom"/>
          </w:tcPr>
          <w:p w14:paraId="5417825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Ужице</w:t>
            </w:r>
          </w:p>
        </w:tc>
        <w:tc>
          <w:tcPr>
            <w:tcW w:w="1825" w:type="dxa"/>
            <w:shd w:val="clear" w:color="auto" w:fill="auto"/>
            <w:vAlign w:val="bottom"/>
          </w:tcPr>
          <w:p w14:paraId="24F0C7C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13,6</w:t>
            </w:r>
          </w:p>
        </w:tc>
      </w:tr>
      <w:tr w:rsidR="00A0251B" w:rsidRPr="00CC35F0" w14:paraId="558D7492" w14:textId="77777777">
        <w:trPr>
          <w:trHeight w:val="260"/>
          <w:jc w:val="center"/>
        </w:trPr>
        <w:tc>
          <w:tcPr>
            <w:tcW w:w="3840" w:type="dxa"/>
            <w:shd w:val="clear" w:color="auto" w:fill="auto"/>
            <w:vAlign w:val="bottom"/>
          </w:tcPr>
          <w:p w14:paraId="6D5906DB" w14:textId="77777777" w:rsidR="00A0251B" w:rsidRPr="00CC35F0" w:rsidRDefault="0047199A">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Република </w:t>
            </w:r>
            <w:r w:rsidR="008D6506" w:rsidRPr="00CC35F0">
              <w:rPr>
                <w:rFonts w:ascii="Times New Roman" w:eastAsia="Times New Roman" w:hAnsi="Times New Roman"/>
                <w:sz w:val="24"/>
                <w:szCs w:val="24"/>
                <w:lang w:val="sr-Cyrl-CS"/>
              </w:rPr>
              <w:t>Србија</w:t>
            </w:r>
          </w:p>
        </w:tc>
        <w:tc>
          <w:tcPr>
            <w:tcW w:w="1825" w:type="dxa"/>
            <w:shd w:val="clear" w:color="auto" w:fill="auto"/>
            <w:vAlign w:val="bottom"/>
          </w:tcPr>
          <w:p w14:paraId="0B68FBB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159,8</w:t>
            </w:r>
          </w:p>
        </w:tc>
      </w:tr>
      <w:tr w:rsidR="00A0251B" w:rsidRPr="00CC35F0" w14:paraId="6F33742C" w14:textId="77777777">
        <w:trPr>
          <w:trHeight w:val="260"/>
          <w:jc w:val="center"/>
        </w:trPr>
        <w:tc>
          <w:tcPr>
            <w:tcW w:w="3840" w:type="dxa"/>
            <w:shd w:val="clear" w:color="auto" w:fill="auto"/>
            <w:vAlign w:val="bottom"/>
          </w:tcPr>
          <w:p w14:paraId="2EBDDDC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1825" w:type="dxa"/>
            <w:shd w:val="clear" w:color="auto" w:fill="auto"/>
            <w:vAlign w:val="bottom"/>
          </w:tcPr>
          <w:p w14:paraId="44F1115A"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258,4</w:t>
            </w:r>
          </w:p>
        </w:tc>
      </w:tr>
    </w:tbl>
    <w:p w14:paraId="23FCAAF5" w14:textId="77777777" w:rsidR="00A0251B" w:rsidRPr="00CC35F0" w:rsidRDefault="00A0251B">
      <w:pPr>
        <w:rPr>
          <w:rFonts w:ascii="Times New Roman" w:eastAsia="Times New Roman" w:hAnsi="Times New Roman"/>
          <w:sz w:val="24"/>
          <w:szCs w:val="24"/>
          <w:lang w:val="sr-Cyrl-CS"/>
        </w:rPr>
      </w:pPr>
    </w:p>
    <w:p w14:paraId="2F372CEE" w14:textId="77777777" w:rsidR="00A0251B" w:rsidRPr="00CC35F0" w:rsidRDefault="008D6506">
      <w:pPr>
        <w:pStyle w:val="Heading3"/>
        <w:numPr>
          <w:ilvl w:val="2"/>
          <w:numId w:val="3"/>
        </w:numPr>
        <w:rPr>
          <w:rFonts w:ascii="Times New Roman" w:eastAsia="Times New Roman" w:hAnsi="Times New Roman"/>
          <w:sz w:val="24"/>
          <w:lang w:val="sr-Cyrl-CS"/>
        </w:rPr>
      </w:pPr>
      <w:bookmarkStart w:id="90" w:name="_heading=h.319y80a" w:colFirst="0" w:colLast="0"/>
      <w:bookmarkEnd w:id="90"/>
      <w:r w:rsidRPr="00CC35F0">
        <w:rPr>
          <w:rFonts w:ascii="Times New Roman" w:eastAsia="Times New Roman" w:hAnsi="Times New Roman"/>
          <w:sz w:val="24"/>
          <w:lang w:val="sr-Cyrl-CS"/>
        </w:rPr>
        <w:t>Модели финансирања Програма</w:t>
      </w:r>
    </w:p>
    <w:p w14:paraId="72C37B94" w14:textId="77777777" w:rsidR="00A0251B" w:rsidRPr="00CC35F0" w:rsidRDefault="008D6506" w:rsidP="00F8787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 следећим одељцима описани су неки од модела финансирања спровођења Програма. </w:t>
      </w:r>
    </w:p>
    <w:p w14:paraId="5068C3CB" w14:textId="77777777" w:rsidR="00A0251B" w:rsidRPr="00CC35F0" w:rsidRDefault="008D6506">
      <w:pPr>
        <w:pStyle w:val="Heading4"/>
        <w:numPr>
          <w:ilvl w:val="3"/>
          <w:numId w:val="3"/>
        </w:numPr>
        <w:rPr>
          <w:rFonts w:ascii="Times New Roman" w:hAnsi="Times New Roman"/>
          <w:sz w:val="24"/>
          <w:lang w:val="sr-Cyrl-CS"/>
        </w:rPr>
      </w:pPr>
      <w:bookmarkStart w:id="91" w:name="_heading=h.1gf8i83" w:colFirst="0" w:colLast="0"/>
      <w:bookmarkEnd w:id="91"/>
      <w:r w:rsidRPr="00CC35F0">
        <w:rPr>
          <w:rFonts w:ascii="Times New Roman" w:hAnsi="Times New Roman"/>
          <w:sz w:val="24"/>
          <w:lang w:val="sr-Cyrl-CS"/>
        </w:rPr>
        <w:t>Принцип загађивач плаћа</w:t>
      </w:r>
    </w:p>
    <w:p w14:paraId="5E2C134B" w14:textId="77777777" w:rsidR="00A0251B" w:rsidRPr="00CC35F0" w:rsidRDefault="008D6506" w:rsidP="00F8787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Принцип </w:t>
      </w:r>
      <w:r w:rsidRPr="00CC35F0">
        <w:rPr>
          <w:rFonts w:ascii="Times New Roman" w:eastAsia="Times New Roman" w:hAnsi="Times New Roman"/>
          <w:i/>
          <w:sz w:val="24"/>
          <w:szCs w:val="24"/>
          <w:lang w:val="sr-Cyrl-CS"/>
        </w:rPr>
        <w:t>загађивач плаћа</w:t>
      </w:r>
      <w:r w:rsidRPr="00CC35F0">
        <w:rPr>
          <w:rFonts w:ascii="Times New Roman" w:eastAsia="Times New Roman" w:hAnsi="Times New Roman"/>
          <w:sz w:val="24"/>
          <w:szCs w:val="24"/>
          <w:lang w:val="sr-Cyrl-CS"/>
        </w:rPr>
        <w:t xml:space="preserve"> утврђен је Споразумом о функционисању Европске уније (члан 191(2) Споразума) и он представља доминантан концепт у борби против климатских промена и финансирању дугорочних одрживих смањења емисија. Овај принцип помаже потрошачима да препознају прави трошак ствари. </w:t>
      </w:r>
    </w:p>
    <w:p w14:paraId="5BED0833" w14:textId="77777777" w:rsidR="00A0251B" w:rsidRPr="00CC35F0" w:rsidRDefault="008D6506" w:rsidP="00F87870">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За финансирање овог програма разматране су две опције принципа </w:t>
      </w:r>
      <w:r w:rsidRPr="00CC35F0">
        <w:rPr>
          <w:rFonts w:ascii="Times New Roman" w:eastAsia="Times New Roman" w:hAnsi="Times New Roman"/>
          <w:i/>
          <w:sz w:val="24"/>
          <w:szCs w:val="24"/>
          <w:lang w:val="sr-Cyrl-CS"/>
        </w:rPr>
        <w:t>загађивач плаћа</w:t>
      </w:r>
      <w:r w:rsidRPr="00CC35F0">
        <w:rPr>
          <w:rFonts w:ascii="Times New Roman" w:eastAsia="Times New Roman" w:hAnsi="Times New Roman"/>
          <w:sz w:val="24"/>
          <w:szCs w:val="24"/>
          <w:lang w:val="sr-Cyrl-CS"/>
        </w:rPr>
        <w:t>:</w:t>
      </w:r>
    </w:p>
    <w:p w14:paraId="2F607235" w14:textId="77777777" w:rsidR="00A0251B" w:rsidRPr="00CC35F0" w:rsidRDefault="008D6506" w:rsidP="00382EC6">
      <w:pPr>
        <w:numPr>
          <w:ilvl w:val="0"/>
          <w:numId w:val="18"/>
        </w:num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b/>
          <w:color w:val="000000"/>
          <w:sz w:val="24"/>
          <w:szCs w:val="24"/>
          <w:lang w:val="sr-Cyrl-CS"/>
        </w:rPr>
        <w:t xml:space="preserve">Коришћење средстава наплаћених на основу </w:t>
      </w:r>
      <w:r w:rsidRPr="00CC35F0">
        <w:rPr>
          <w:rFonts w:ascii="Times New Roman" w:eastAsia="Times New Roman" w:hAnsi="Times New Roman"/>
          <w:color w:val="000000"/>
          <w:sz w:val="24"/>
          <w:szCs w:val="24"/>
          <w:lang w:val="sr-Cyrl-CS"/>
        </w:rPr>
        <w:t xml:space="preserve">Закона о накнадама за коришћење јавних добара („Службени гласник РС”, бр. </w:t>
      </w:r>
      <w:r w:rsidRPr="00CC35F0">
        <w:rPr>
          <w:rFonts w:ascii="Times New Roman" w:eastAsia="Times New Roman" w:hAnsi="Times New Roman"/>
          <w:color w:val="333333"/>
          <w:sz w:val="24"/>
          <w:szCs w:val="24"/>
          <w:highlight w:val="white"/>
          <w:lang w:val="sr-Cyrl-CS"/>
        </w:rPr>
        <w:t>95/18 и 49/19).</w:t>
      </w:r>
    </w:p>
    <w:p w14:paraId="220A2164" w14:textId="77777777" w:rsidR="00A0251B" w:rsidRPr="00CC35F0" w:rsidRDefault="008D6506" w:rsidP="00F87870">
      <w:pPr>
        <w:spacing w:after="0"/>
        <w:ind w:firstLine="284"/>
        <w:rPr>
          <w:rFonts w:ascii="Times New Roman" w:eastAsia="Times New Roman" w:hAnsi="Times New Roman"/>
          <w:sz w:val="24"/>
          <w:szCs w:val="24"/>
          <w:lang w:val="sr-Cyrl-CS"/>
        </w:rPr>
      </w:pPr>
      <w:bookmarkStart w:id="92" w:name="_heading=h.40ew0vw" w:colFirst="0" w:colLast="0"/>
      <w:bookmarkEnd w:id="92"/>
      <w:r w:rsidRPr="00CC35F0">
        <w:rPr>
          <w:rFonts w:ascii="Times New Roman" w:eastAsia="Times New Roman" w:hAnsi="Times New Roman"/>
          <w:sz w:val="24"/>
          <w:szCs w:val="24"/>
          <w:lang w:val="sr-Cyrl-CS"/>
        </w:rPr>
        <w:t>У складу са правилима о државној помоћи, приходе од накнада треба користити за финансирање ПиМ овог програма, и то за:</w:t>
      </w:r>
    </w:p>
    <w:p w14:paraId="79AFAD66" w14:textId="77777777" w:rsidR="00A0251B" w:rsidRPr="00CC35F0" w:rsidRDefault="008D6506" w:rsidP="00382EC6">
      <w:pPr>
        <w:numPr>
          <w:ilvl w:val="0"/>
          <w:numId w:val="37"/>
        </w:numPr>
        <w:pBdr>
          <w:top w:val="nil"/>
          <w:left w:val="nil"/>
          <w:bottom w:val="nil"/>
          <w:right w:val="nil"/>
          <w:between w:val="nil"/>
        </w:pBdr>
        <w:tabs>
          <w:tab w:val="left" w:pos="567"/>
        </w:tabs>
        <w:spacing w:after="0" w:line="240" w:lineRule="auto"/>
        <w:ind w:left="0" w:firstLine="285"/>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финансијске подстицаје за убрзавање замене постојећих уређаја за грејање у домаћинствима новим који испуњавају захтеве </w:t>
      </w:r>
      <w:r w:rsidR="00EA1746" w:rsidRPr="00CC35F0">
        <w:rPr>
          <w:rFonts w:ascii="Times New Roman" w:eastAsia="Times New Roman" w:hAnsi="Times New Roman"/>
          <w:color w:val="000000"/>
          <w:sz w:val="24"/>
          <w:szCs w:val="24"/>
          <w:lang w:val="sr-Cyrl-CS"/>
        </w:rPr>
        <w:t>еко-дизајна и топлотним пумпама;</w:t>
      </w:r>
    </w:p>
    <w:p w14:paraId="639C2B79" w14:textId="77777777" w:rsidR="00A0251B" w:rsidRPr="00CC35F0" w:rsidRDefault="008D6506" w:rsidP="00382EC6">
      <w:pPr>
        <w:numPr>
          <w:ilvl w:val="0"/>
          <w:numId w:val="37"/>
        </w:numPr>
        <w:pBdr>
          <w:top w:val="nil"/>
          <w:left w:val="nil"/>
          <w:bottom w:val="nil"/>
          <w:right w:val="nil"/>
          <w:between w:val="nil"/>
        </w:pBdr>
        <w:tabs>
          <w:tab w:val="left" w:pos="426"/>
        </w:tabs>
        <w:spacing w:after="0" w:line="240" w:lineRule="auto"/>
        <w:ind w:left="0" w:firstLine="285"/>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контролу и надзор поштовања граничних вредности у најмањим постројењима за сагоревање (до 1 MW) у складу са домаћом Уредбом о граничним вредностима емисије загађујућих материја у ваздух из постројења за сагоревање.</w:t>
      </w:r>
    </w:p>
    <w:p w14:paraId="793C9FE3" w14:textId="77777777" w:rsidR="00A0251B" w:rsidRPr="00CC35F0" w:rsidRDefault="008D6506" w:rsidP="00F87870">
      <w:pPr>
        <w:ind w:firstLine="644"/>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Укупна вредност годишње убраних средстава од накнада (52 милиона евра), на основу </w:t>
      </w:r>
      <w:r w:rsidR="00F24CEB" w:rsidRPr="00CC35F0">
        <w:rPr>
          <w:rFonts w:ascii="Times New Roman" w:eastAsia="Times New Roman" w:hAnsi="Times New Roman"/>
          <w:sz w:val="24"/>
          <w:szCs w:val="24"/>
          <w:lang w:val="sr-Cyrl-CS"/>
        </w:rPr>
        <w:t>Закона о накнадама за коришћење јавних добара</w:t>
      </w:r>
      <w:r w:rsidRPr="00CC35F0">
        <w:rPr>
          <w:rFonts w:ascii="Times New Roman" w:eastAsia="Times New Roman" w:hAnsi="Times New Roman"/>
          <w:sz w:val="24"/>
          <w:szCs w:val="24"/>
          <w:lang w:val="sr-Cyrl-CS"/>
        </w:rPr>
        <w:t>,</w:t>
      </w:r>
      <w:r w:rsidR="00C7290D"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 xml:space="preserve">ће се према очекивањима смањивати после 2025. године, када се очекује да већина мера ублажавања из Националног програма за смањење емисије буде окончана. Међутим, очекује се да кумулативни раст прихода </w:t>
      </w:r>
      <w:r w:rsidRPr="00CC35F0">
        <w:rPr>
          <w:rFonts w:ascii="Times New Roman" w:eastAsia="Times New Roman" w:hAnsi="Times New Roman"/>
          <w:b/>
          <w:sz w:val="24"/>
          <w:szCs w:val="24"/>
          <w:lang w:val="sr-Cyrl-CS"/>
        </w:rPr>
        <w:t xml:space="preserve">достигне суму и до 300 милиона евра </w:t>
      </w:r>
      <w:r w:rsidRPr="00CC35F0">
        <w:rPr>
          <w:rFonts w:ascii="Times New Roman" w:eastAsia="Times New Roman" w:hAnsi="Times New Roman"/>
          <w:sz w:val="24"/>
          <w:szCs w:val="24"/>
          <w:lang w:val="sr-Cyrl-CS"/>
        </w:rPr>
        <w:t>у периоду 2022-2030. године.</w:t>
      </w:r>
    </w:p>
    <w:p w14:paraId="25CECCFD" w14:textId="77777777" w:rsidR="00A0251B" w:rsidRPr="00CC35F0" w:rsidRDefault="008D6506">
      <w:pPr>
        <w:spacing w:after="0"/>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0D38D8F3" wp14:editId="58E79899">
            <wp:extent cx="4457700" cy="2819400"/>
            <wp:effectExtent l="0" t="0" r="0" b="0"/>
            <wp:docPr id="54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8"/>
                    <a:srcRect/>
                    <a:stretch>
                      <a:fillRect/>
                    </a:stretch>
                  </pic:blipFill>
                  <pic:spPr>
                    <a:xfrm>
                      <a:off x="0" y="0"/>
                      <a:ext cx="4457700" cy="2819400"/>
                    </a:xfrm>
                    <a:prstGeom prst="rect">
                      <a:avLst/>
                    </a:prstGeom>
                    <a:ln/>
                  </pic:spPr>
                </pic:pic>
              </a:graphicData>
            </a:graphic>
          </wp:inline>
        </w:drawing>
      </w:r>
      <w:r w:rsidRPr="00CC35F0">
        <w:rPr>
          <w:noProof/>
          <w:lang w:val="sr-Cyrl-RS" w:eastAsia="sr-Cyrl-RS"/>
        </w:rPr>
        <mc:AlternateContent>
          <mc:Choice Requires="wps">
            <w:drawing>
              <wp:anchor distT="0" distB="0" distL="114300" distR="114300" simplePos="0" relativeHeight="251658240" behindDoc="0" locked="0" layoutInCell="1" hidden="0" allowOverlap="1" wp14:anchorId="47D619DF" wp14:editId="7BAB5640">
                <wp:simplePos x="0" y="0"/>
                <wp:positionH relativeFrom="column">
                  <wp:posOffset>698500</wp:posOffset>
                </wp:positionH>
                <wp:positionV relativeFrom="paragraph">
                  <wp:posOffset>1231900</wp:posOffset>
                </wp:positionV>
                <wp:extent cx="444198" cy="1272066"/>
                <wp:effectExtent l="0" t="0" r="0" b="0"/>
                <wp:wrapNone/>
                <wp:docPr id="543" name="Freeform 543"/>
                <wp:cNvGraphicFramePr/>
                <a:graphic xmlns:a="http://schemas.openxmlformats.org/drawingml/2006/main">
                  <a:graphicData uri="http://schemas.microsoft.com/office/word/2010/wordprocessingShape">
                    <wps:wsp>
                      <wps:cNvSpPr/>
                      <wps:spPr>
                        <a:xfrm rot="-5400000">
                          <a:off x="4714729" y="3562664"/>
                          <a:ext cx="1262542" cy="434673"/>
                        </a:xfrm>
                        <a:custGeom>
                          <a:avLst/>
                          <a:gdLst/>
                          <a:ahLst/>
                          <a:cxnLst/>
                          <a:rect l="l" t="t" r="r" b="b"/>
                          <a:pathLst>
                            <a:path w="120000" h="120000" extrusionOk="0">
                              <a:moveTo>
                                <a:pt x="0" y="0"/>
                              </a:moveTo>
                              <a:lnTo>
                                <a:pt x="120000" y="0"/>
                              </a:lnTo>
                              <a:lnTo>
                                <a:pt x="120000" y="120000"/>
                              </a:lnTo>
                              <a:lnTo>
                                <a:pt x="0" y="120000"/>
                              </a:lnTo>
                              <a:close/>
                            </a:path>
                            <a:path w="120000" h="120000" fill="none" extrusionOk="0">
                              <a:moveTo>
                                <a:pt x="580" y="65814"/>
                              </a:moveTo>
                              <a:lnTo>
                                <a:pt x="54054" y="195324"/>
                              </a:lnTo>
                            </a:path>
                          </a:pathLst>
                        </a:custGeom>
                        <a:noFill/>
                        <a:ln>
                          <a:noFill/>
                        </a:ln>
                      </wps:spPr>
                      <wps:txbx>
                        <w:txbxContent>
                          <w:p w14:paraId="37BE7840" w14:textId="77777777" w:rsidR="00697062" w:rsidRDefault="00697062">
                            <w:pPr>
                              <w:spacing w:line="258" w:lineRule="auto"/>
                              <w:jc w:val="center"/>
                              <w:textDirection w:val="btLr"/>
                            </w:pPr>
                            <w:r>
                              <w:rPr>
                                <w:rFonts w:ascii="Arial Narrow" w:eastAsia="Arial Narrow" w:hAnsi="Arial Narrow" w:cs="Arial Narrow"/>
                                <w:color w:val="000000"/>
                                <w:sz w:val="16"/>
                              </w:rPr>
                              <w:t>Додатна замена кућних грејних тела</w:t>
                            </w:r>
                          </w:p>
                        </w:txbxContent>
                      </wps:txbx>
                      <wps:bodyPr spcFirstLastPara="1" wrap="square" lIns="91425" tIns="45700" rIns="91425" bIns="45700" anchor="ctr" anchorCtr="0">
                        <a:noAutofit/>
                      </wps:bodyPr>
                    </wps:wsp>
                  </a:graphicData>
                </a:graphic>
              </wp:anchor>
            </w:drawing>
          </mc:Choice>
          <mc:Fallback>
            <w:pict>
              <v:shape w14:anchorId="392D362B" id="Freeform 543" o:spid="_x0000_s1026" style="position:absolute;left:0;text-align:left;margin-left:55pt;margin-top:97pt;width:35pt;height:100.15pt;rotation:-90;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" adj="-11796480,,5400" path="m,l120000,r,120000l,120000,,xem580,65814nfl54054,195324e" filled="f" stroked="f">
                <v:stroke joinstyle="miter"/>
                <v:formulas/>
                <v:path arrowok="t" o:extrusionok="f" o:connecttype="custom" textboxrect="0,0,120000,120000"/>
                <v:textbox inset="2.53958mm,1.2694mm,2.53958mm,1.2694mm">
                  <w:txbxContent>
                    <w:p w:rsidR="00697062" w:rsidRDefault="00697062">
                      <w:pPr>
                        <w:spacing w:line="258" w:lineRule="auto"/>
                        <w:jc w:val="center"/>
                        <w:textDirection w:val="btLr"/>
                      </w:pPr>
                      <w:r>
                        <w:rPr>
                          <w:rFonts w:ascii="Arial Narrow" w:eastAsia="Arial Narrow" w:hAnsi="Arial Narrow" w:cs="Arial Narrow"/>
                          <w:color w:val="000000"/>
                          <w:sz w:val="16"/>
                        </w:rPr>
                        <w:t>Додатна замена кућних грејних тела</w:t>
                      </w:r>
                    </w:p>
                  </w:txbxContent>
                </v:textbox>
              </v:shape>
            </w:pict>
          </mc:Fallback>
        </mc:AlternateContent>
      </w:r>
      <w:r w:rsidRPr="00CC35F0">
        <w:rPr>
          <w:noProof/>
          <w:lang w:val="sr-Cyrl-RS" w:eastAsia="sr-Cyrl-RS"/>
        </w:rPr>
        <mc:AlternateContent>
          <mc:Choice Requires="wps">
            <w:drawing>
              <wp:anchor distT="0" distB="0" distL="114300" distR="114300" simplePos="0" relativeHeight="251659264" behindDoc="0" locked="0" layoutInCell="1" hidden="0" allowOverlap="1" wp14:anchorId="7718D812" wp14:editId="0F263070">
                <wp:simplePos x="0" y="0"/>
                <wp:positionH relativeFrom="column">
                  <wp:posOffset>546100</wp:posOffset>
                </wp:positionH>
                <wp:positionV relativeFrom="paragraph">
                  <wp:posOffset>419100</wp:posOffset>
                </wp:positionV>
                <wp:extent cx="640547" cy="969075"/>
                <wp:effectExtent l="0" t="0" r="0" b="0"/>
                <wp:wrapNone/>
                <wp:docPr id="542" name="Freeform 542"/>
                <wp:cNvGraphicFramePr/>
                <a:graphic xmlns:a="http://schemas.openxmlformats.org/drawingml/2006/main">
                  <a:graphicData uri="http://schemas.microsoft.com/office/word/2010/wordprocessingShape">
                    <wps:wsp>
                      <wps:cNvSpPr/>
                      <wps:spPr>
                        <a:xfrm rot="-5400000">
                          <a:off x="4866225" y="3464489"/>
                          <a:ext cx="959550" cy="631022"/>
                        </a:xfrm>
                        <a:custGeom>
                          <a:avLst/>
                          <a:gdLst/>
                          <a:ahLst/>
                          <a:cxnLst/>
                          <a:rect l="l" t="t" r="r" b="b"/>
                          <a:pathLst>
                            <a:path w="120000" h="120000" extrusionOk="0">
                              <a:moveTo>
                                <a:pt x="0" y="0"/>
                              </a:moveTo>
                              <a:lnTo>
                                <a:pt x="120000" y="0"/>
                              </a:lnTo>
                              <a:lnTo>
                                <a:pt x="120000" y="120000"/>
                              </a:lnTo>
                              <a:lnTo>
                                <a:pt x="0" y="120000"/>
                              </a:lnTo>
                              <a:close/>
                            </a:path>
                            <a:path w="120000" h="120000" fill="none" extrusionOk="0">
                              <a:moveTo>
                                <a:pt x="580" y="65814"/>
                              </a:moveTo>
                              <a:lnTo>
                                <a:pt x="54054" y="195324"/>
                              </a:lnTo>
                            </a:path>
                          </a:pathLst>
                        </a:custGeom>
                        <a:noFill/>
                        <a:ln>
                          <a:noFill/>
                        </a:ln>
                      </wps:spPr>
                      <wps:txbx>
                        <w:txbxContent>
                          <w:p w14:paraId="2E6A13D6" w14:textId="77777777" w:rsidR="00697062" w:rsidRDefault="00697062">
                            <w:pPr>
                              <w:spacing w:line="258" w:lineRule="auto"/>
                              <w:jc w:val="center"/>
                              <w:textDirection w:val="btLr"/>
                            </w:pPr>
                            <w:r>
                              <w:rPr>
                                <w:rFonts w:ascii="Arial Narrow" w:eastAsia="Arial Narrow" w:hAnsi="Arial Narrow" w:cs="Arial Narrow"/>
                                <w:color w:val="000000"/>
                                <w:sz w:val="16"/>
                              </w:rPr>
                              <w:t>Додатна обнова возног парка од финансијских подстицаја</w:t>
                            </w:r>
                          </w:p>
                        </w:txbxContent>
                      </wps:txbx>
                      <wps:bodyPr spcFirstLastPara="1" wrap="square" lIns="91425" tIns="45700" rIns="91425" bIns="45700" anchor="ctr" anchorCtr="0">
                        <a:noAutofit/>
                      </wps:bodyPr>
                    </wps:wsp>
                  </a:graphicData>
                </a:graphic>
              </wp:anchor>
            </w:drawing>
          </mc:Choice>
          <mc:Fallback>
            <w:pict>
              <v:shape w14:anchorId="5D77E759" id="Freeform 542" o:spid="_x0000_s1027" style="position:absolute;left:0;text-align:left;margin-left:43pt;margin-top:33pt;width:50.45pt;height:76.3pt;rotation:-90;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" adj="-11796480,,5400" path="m,l120000,r,120000l,120000,,xem580,65814nfl54054,195324e" filled="f" stroked="f">
                <v:stroke joinstyle="miter"/>
                <v:formulas/>
                <v:path arrowok="t" o:extrusionok="f" o:connecttype="custom" textboxrect="0,0,120000,120000"/>
                <v:textbox inset="2.53958mm,1.2694mm,2.53958mm,1.2694mm">
                  <w:txbxContent>
                    <w:p w:rsidR="00697062" w:rsidRDefault="00697062">
                      <w:pPr>
                        <w:spacing w:line="258" w:lineRule="auto"/>
                        <w:jc w:val="center"/>
                        <w:textDirection w:val="btLr"/>
                      </w:pPr>
                      <w:r>
                        <w:rPr>
                          <w:rFonts w:ascii="Arial Narrow" w:eastAsia="Arial Narrow" w:hAnsi="Arial Narrow" w:cs="Arial Narrow"/>
                          <w:color w:val="000000"/>
                          <w:sz w:val="16"/>
                        </w:rPr>
                        <w:t>Додатна обнова возног парка од финансијских подстицаја</w:t>
                      </w:r>
                    </w:p>
                  </w:txbxContent>
                </v:textbox>
              </v:shape>
            </w:pict>
          </mc:Fallback>
        </mc:AlternateContent>
      </w:r>
    </w:p>
    <w:p w14:paraId="099AD3C4" w14:textId="77777777" w:rsidR="00A0251B" w:rsidRPr="00CC35F0" w:rsidRDefault="00A0251B">
      <w:pPr>
        <w:spacing w:after="0"/>
        <w:rPr>
          <w:rFonts w:ascii="Times New Roman" w:eastAsia="Times New Roman" w:hAnsi="Times New Roman"/>
          <w:sz w:val="24"/>
          <w:szCs w:val="24"/>
          <w:lang w:val="sr-Cyrl-CS"/>
        </w:rPr>
      </w:pPr>
    </w:p>
    <w:p w14:paraId="13BAAF1E" w14:textId="77777777" w:rsidR="00A0251B" w:rsidRPr="00CC35F0" w:rsidRDefault="008D6506">
      <w:pPr>
        <w:keepNext/>
        <w:pBdr>
          <w:top w:val="nil"/>
          <w:left w:val="nil"/>
          <w:bottom w:val="nil"/>
          <w:right w:val="nil"/>
          <w:between w:val="nil"/>
        </w:pBdr>
        <w:spacing w:after="60"/>
        <w:ind w:left="993" w:hanging="993"/>
        <w:rPr>
          <w:rFonts w:ascii="Times New Roman" w:eastAsia="Times New Roman" w:hAnsi="Times New Roman"/>
          <w:b/>
          <w:color w:val="000000"/>
          <w:sz w:val="24"/>
          <w:szCs w:val="24"/>
          <w:lang w:val="sr-Cyrl-CS"/>
        </w:rPr>
      </w:pPr>
      <w:bookmarkStart w:id="93" w:name="_heading=h.2fk6b3p" w:colFirst="0" w:colLast="0"/>
      <w:bookmarkEnd w:id="93"/>
      <w:r w:rsidRPr="00CC35F0">
        <w:rPr>
          <w:rFonts w:ascii="Times New Roman" w:eastAsia="Times New Roman" w:hAnsi="Times New Roman"/>
          <w:b/>
          <w:color w:val="000000"/>
          <w:sz w:val="24"/>
          <w:szCs w:val="24"/>
          <w:lang w:val="sr-Cyrl-CS"/>
        </w:rPr>
        <w:t xml:space="preserve">Слика 28: Финансијски подстицаји за спровођење сценарија WAM C наспрам очекиваних прихода доступних из актуелног механизма заснованог на принципу „загађивач плаћа” </w:t>
      </w:r>
    </w:p>
    <w:p w14:paraId="7BDCCC1D" w14:textId="77777777" w:rsidR="00A0251B" w:rsidRPr="00CC35F0" w:rsidRDefault="008D6506" w:rsidP="00F87870">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Да би се обезбедило одрживо финансирање спровођења сценарија WAM C, потребно је најмање 117 милиона евра, који се евентуално могу обезбедити из јавних средстава или проширења принципа </w:t>
      </w:r>
      <w:r w:rsidRPr="00CC35F0">
        <w:rPr>
          <w:rFonts w:ascii="Times New Roman" w:eastAsia="Times New Roman" w:hAnsi="Times New Roman"/>
          <w:i/>
          <w:sz w:val="24"/>
          <w:szCs w:val="24"/>
          <w:lang w:val="sr-Cyrl-CS"/>
        </w:rPr>
        <w:t xml:space="preserve">загађивач плаћа </w:t>
      </w:r>
      <w:r w:rsidRPr="00CC35F0">
        <w:rPr>
          <w:rFonts w:ascii="Times New Roman" w:eastAsia="Times New Roman" w:hAnsi="Times New Roman"/>
          <w:sz w:val="24"/>
          <w:szCs w:val="24"/>
          <w:lang w:val="sr-Cyrl-CS"/>
        </w:rPr>
        <w:t>на категорије које тренутно нису обухваћене овим принципом, као што је сектор друмског саобраћаја.</w:t>
      </w:r>
    </w:p>
    <w:p w14:paraId="608F79E8" w14:textId="77777777" w:rsidR="00A0251B" w:rsidRPr="00CC35F0" w:rsidRDefault="008D6506" w:rsidP="00382EC6">
      <w:pPr>
        <w:numPr>
          <w:ilvl w:val="0"/>
          <w:numId w:val="18"/>
        </w:numPr>
        <w:pBdr>
          <w:top w:val="nil"/>
          <w:left w:val="nil"/>
          <w:bottom w:val="nil"/>
          <w:right w:val="nil"/>
          <w:between w:val="nil"/>
        </w:pBdr>
        <w:tabs>
          <w:tab w:val="left" w:pos="3825"/>
        </w:tabs>
        <w:spacing w:before="120" w:line="240" w:lineRule="auto"/>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Спровођење накнада за загађење животне средине на возила </w:t>
      </w:r>
    </w:p>
    <w:p w14:paraId="7B449F68" w14:textId="77777777" w:rsidR="00A0251B" w:rsidRPr="00CC35F0" w:rsidRDefault="008D6506" w:rsidP="00F87870">
      <w:pPr>
        <w:ind w:firstLine="360"/>
        <w:rPr>
          <w:rFonts w:ascii="Times New Roman" w:eastAsia="Times New Roman" w:hAnsi="Times New Roman"/>
          <w:sz w:val="24"/>
          <w:szCs w:val="24"/>
          <w:lang w:val="sr-Cyrl-CS"/>
        </w:rPr>
      </w:pPr>
      <w:bookmarkStart w:id="94" w:name="_heading=h.upglbi" w:colFirst="0" w:colLast="0"/>
      <w:bookmarkEnd w:id="94"/>
      <w:r w:rsidRPr="00CC35F0">
        <w:rPr>
          <w:rFonts w:ascii="Times New Roman" w:eastAsia="Times New Roman" w:hAnsi="Times New Roman"/>
          <w:sz w:val="24"/>
          <w:szCs w:val="24"/>
          <w:lang w:val="sr-Cyrl-CS"/>
        </w:rPr>
        <w:t>Спровођење накнада за загађење животне средине може се у принципу постепено уводити у сектор друмског саобраћаја, имајући у виду убрзану обнову возног парка и знатан удео трошкова у подстицајима (38,1%) за спровођење сценарија WAM C.</w:t>
      </w:r>
    </w:p>
    <w:p w14:paraId="12A448BA" w14:textId="77777777" w:rsidR="00A0251B" w:rsidRPr="00CC35F0" w:rsidRDefault="008D6506" w:rsidP="00F87870">
      <w:pPr>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Европској унији већ се увелико користе две опције накнада на ос</w:t>
      </w:r>
      <w:r w:rsidR="00F87870" w:rsidRPr="00CC35F0">
        <w:rPr>
          <w:rFonts w:ascii="Times New Roman" w:eastAsia="Times New Roman" w:hAnsi="Times New Roman"/>
          <w:sz w:val="24"/>
          <w:szCs w:val="24"/>
          <w:lang w:val="sr-Cyrl-CS"/>
        </w:rPr>
        <w:t>нову утицаја на животну средину:</w:t>
      </w:r>
    </w:p>
    <w:p w14:paraId="4386C96F" w14:textId="77777777" w:rsidR="00A0251B" w:rsidRPr="00CC35F0" w:rsidRDefault="006E3D93" w:rsidP="00382EC6">
      <w:pPr>
        <w:numPr>
          <w:ilvl w:val="1"/>
          <w:numId w:val="20"/>
        </w:num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w:t>
      </w:r>
      <w:r w:rsidR="008D6506" w:rsidRPr="00CC35F0">
        <w:rPr>
          <w:rFonts w:ascii="Times New Roman" w:eastAsia="Times New Roman" w:hAnsi="Times New Roman"/>
          <w:color w:val="000000"/>
          <w:sz w:val="24"/>
          <w:szCs w:val="24"/>
          <w:lang w:val="sr-Cyrl-CS"/>
        </w:rPr>
        <w:t>акнаде које се примењују приликом прве регистрације возила у земљи</w:t>
      </w:r>
      <w:r w:rsidR="008D6506" w:rsidRPr="00CC35F0">
        <w:rPr>
          <w:rFonts w:ascii="Times New Roman" w:eastAsia="Times New Roman" w:hAnsi="Times New Roman"/>
          <w:color w:val="000000"/>
          <w:sz w:val="24"/>
          <w:szCs w:val="24"/>
          <w:vertAlign w:val="superscript"/>
          <w:lang w:val="sr-Cyrl-CS"/>
        </w:rPr>
        <w:footnoteReference w:id="43"/>
      </w:r>
      <w:r w:rsidR="00011E57" w:rsidRPr="00CC35F0">
        <w:rPr>
          <w:rFonts w:ascii="Times New Roman" w:eastAsia="Times New Roman" w:hAnsi="Times New Roman"/>
          <w:color w:val="000000"/>
          <w:sz w:val="24"/>
          <w:szCs w:val="24"/>
          <w:lang w:val="sr-Cyrl-CS"/>
        </w:rPr>
        <w:t>;</w:t>
      </w:r>
    </w:p>
    <w:p w14:paraId="24EA7434" w14:textId="77777777" w:rsidR="00A0251B" w:rsidRPr="00CC35F0" w:rsidRDefault="006E3D93" w:rsidP="00382EC6">
      <w:pPr>
        <w:pStyle w:val="ListParagraph"/>
        <w:numPr>
          <w:ilvl w:val="1"/>
          <w:numId w:val="20"/>
        </w:numPr>
        <w:pBdr>
          <w:top w:val="nil"/>
          <w:left w:val="nil"/>
          <w:bottom w:val="nil"/>
          <w:right w:val="nil"/>
          <w:between w:val="nil"/>
        </w:pBdr>
        <w:tabs>
          <w:tab w:val="clear" w:pos="3825"/>
          <w:tab w:val="left" w:pos="1276"/>
        </w:tabs>
        <w:ind w:left="0" w:firstLine="1080"/>
        <w:rPr>
          <w:rFonts w:ascii="Times New Roman" w:hAnsi="Times New Roman"/>
          <w:color w:val="000000"/>
          <w:sz w:val="24"/>
          <w:szCs w:val="24"/>
          <w:lang w:val="sr-Cyrl-CS"/>
        </w:rPr>
      </w:pPr>
      <w:r w:rsidRPr="00CC35F0">
        <w:rPr>
          <w:rFonts w:ascii="Times New Roman" w:hAnsi="Times New Roman"/>
          <w:color w:val="000000"/>
          <w:sz w:val="24"/>
          <w:szCs w:val="24"/>
          <w:lang w:val="sr-Cyrl-CS"/>
        </w:rPr>
        <w:lastRenderedPageBreak/>
        <w:t>г</w:t>
      </w:r>
      <w:r w:rsidR="008D6506" w:rsidRPr="00CC35F0">
        <w:rPr>
          <w:rFonts w:ascii="Times New Roman" w:hAnsi="Times New Roman"/>
          <w:color w:val="000000"/>
          <w:sz w:val="24"/>
          <w:szCs w:val="24"/>
          <w:lang w:val="sr-Cyrl-CS"/>
        </w:rPr>
        <w:t>одишња накнада која се наплаћује приликом регистрације возила сваке године.</w:t>
      </w:r>
    </w:p>
    <w:p w14:paraId="5178B04D" w14:textId="77777777" w:rsidR="00A0251B" w:rsidRPr="00CC35F0" w:rsidRDefault="008D6506" w:rsidP="00010F0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Ове две опције могу се разматрати одвојено или у комбинацији. </w:t>
      </w:r>
    </w:p>
    <w:p w14:paraId="1E1069C5" w14:textId="77777777" w:rsidR="00A0251B" w:rsidRPr="00CC35F0" w:rsidRDefault="008D6506" w:rsidP="00010F0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Могући начин да се премости јаз од 117 милиона евра, колико недостаје средстава, стање путничких аутомобила у односу на заштиту животне средине требало би обрачунавати на следећи начин: ако се примењује наплата годишње накнаде на дизел путничке аутомобиле на основу емисија суспендованих честица према стандардима EURO, где се на 1g/km наплаћује накнада од 441 евра, што би захтевало додатно рангирање трошкова од 88 евра годишње по дизел аутомобилу од пре увођења стандарда EURO, 44 евра годишње за EURO 3 дизел аутомобил, до 2 евра годишње за EURO 6 дизел аутомобил. Годишњи приход од примене таквог механизма би 2023. године био на нивоу од 32,3 милиона евра, са тенденцијом пада на 5,3 милиона евра 2030. године.</w:t>
      </w:r>
    </w:p>
    <w:p w14:paraId="76B65E57" w14:textId="77777777" w:rsidR="00A0251B" w:rsidRPr="00CC35F0" w:rsidRDefault="008D6506" w:rsidP="00A54F88">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Једна од опција била би пуно покриће потребних субвенција (159 милиона евра) за спровођење ове мере кроз наплату накнада за загађење животне средине од путничких возила. У том случају, за 1 g суспендованих честица би требало обрачунавати накнаду у износу од 600 евра годишње, што би од власника EURO 3 путничког возила значило додатних 60 евра годишње, власнике EURO 4 – 30, а за власнике EURO 5 – 15 евра годишње. Овим приступом би се 2023. године остварило 43,9 милиона евра додатних прихода, односно 7,3 милиона евра 2030. године.</w:t>
      </w:r>
    </w:p>
    <w:p w14:paraId="4D4E1D26" w14:textId="77777777" w:rsidR="00A0251B" w:rsidRPr="00CC35F0" w:rsidRDefault="008D6506" w:rsidP="00A54F88">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Овај приступ се такође може комбиновати код путничких аутомобила и у погледу специфичних емисија NOx. У том случају, основа за обрачун би се проширила на сва путничка возила (са моторима са унутрашњим сагоревањем). Ако би се за емисије NOx обрачунавала накнада од 40 евра и за PM у износу од 165 евра, власници дизел аутомобила би требало да плате додатних 71 евро, односно 4 евра годишње додатне накнаде у зависности од EURO стандарда њиховог аутомобила, док би власници аутомобила на бензин или ТНГ требало да плаћају између 40 евра и 2,5 евра годишње додатне накнаде, како би се сакупило 159 милиона евра прихода у периоду 2023-2030. године.</w:t>
      </w:r>
    </w:p>
    <w:p w14:paraId="48C12A39" w14:textId="77777777" w:rsidR="00A0251B" w:rsidRPr="00CC35F0" w:rsidRDefault="00A0251B">
      <w:pPr>
        <w:rPr>
          <w:rFonts w:ascii="Times New Roman" w:eastAsia="Times New Roman" w:hAnsi="Times New Roman"/>
          <w:sz w:val="24"/>
          <w:szCs w:val="24"/>
          <w:lang w:val="sr-Cyrl-CS"/>
        </w:rPr>
      </w:pPr>
    </w:p>
    <w:p w14:paraId="357DAA5E" w14:textId="77777777" w:rsidR="00A0251B" w:rsidRPr="00CC35F0" w:rsidRDefault="008D6506">
      <w:pPr>
        <w:pStyle w:val="Heading4"/>
        <w:numPr>
          <w:ilvl w:val="3"/>
          <w:numId w:val="3"/>
        </w:numPr>
        <w:rPr>
          <w:rFonts w:ascii="Times New Roman" w:hAnsi="Times New Roman"/>
          <w:sz w:val="24"/>
          <w:lang w:val="sr-Cyrl-CS"/>
        </w:rPr>
      </w:pPr>
      <w:bookmarkStart w:id="95" w:name="_heading=h.3ep43zb" w:colFirst="0" w:colLast="0"/>
      <w:bookmarkEnd w:id="95"/>
      <w:r w:rsidRPr="00CC35F0">
        <w:rPr>
          <w:rFonts w:ascii="Times New Roman" w:hAnsi="Times New Roman"/>
          <w:sz w:val="24"/>
          <w:lang w:val="sr-Cyrl-CS"/>
        </w:rPr>
        <w:t>Финансирање из јавног сектора</w:t>
      </w:r>
    </w:p>
    <w:p w14:paraId="30FDB3F0" w14:textId="77777777" w:rsidR="00A0251B" w:rsidRPr="00CC35F0" w:rsidRDefault="008D6506" w:rsidP="00A54F88">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Јавно финансирање је катализатор за спровођење Програма, а самим тим и дугорочног преласка до чистог ваздуха за све у </w:t>
      </w:r>
      <w:r w:rsidR="00DA6E02"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Србији. Као катализатор, јавна средства неће директно финансирати спровођење и неће нужно бити највећи извор средстава за финансирање сваке мере. Јавне финансије могу обезбедити почетна средства за мобилизацију других извора финансирања, на пример, из приватног сектора или од међународних партнера, попут ЕУ, Светске банке или других билатералних и мултилатералних организација.</w:t>
      </w:r>
    </w:p>
    <w:p w14:paraId="0FECC539" w14:textId="77777777" w:rsidR="00A0251B" w:rsidRPr="00CC35F0" w:rsidRDefault="008D6506" w:rsidP="00A54F88">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 обзиром да мере у вези са енергетском ефикасношћу, преласком на нискоугљеничну економију и активности у оквиру Зелене агенде доприносе побољшању квалитета ваздуха, сва ова средства могу се сматрати изворима који доприносе постизању општег циља овог програма. Расположива буџетска средства за финансирање мера за обезбеђивање чистог амбијенталног ваздуха, побољшање понора угљеника и за смањење емисија, као и наменски буџети опредељени 2020. године су:</w:t>
      </w:r>
    </w:p>
    <w:p w14:paraId="0956D6AE" w14:textId="77777777" w:rsidR="00A0251B" w:rsidRPr="00CC35F0" w:rsidRDefault="008D6506" w:rsidP="00382EC6">
      <w:pPr>
        <w:numPr>
          <w:ilvl w:val="0"/>
          <w:numId w:val="21"/>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Буџетски фонд за енергетску ефикасност (500,5 милиона динара)</w:t>
      </w:r>
      <w:r w:rsidR="00B57D1E" w:rsidRPr="00CC35F0">
        <w:rPr>
          <w:rFonts w:ascii="Times New Roman" w:eastAsia="Times New Roman" w:hAnsi="Times New Roman"/>
          <w:color w:val="000000"/>
          <w:sz w:val="24"/>
          <w:szCs w:val="24"/>
          <w:lang w:val="sr-Cyrl-CS"/>
        </w:rPr>
        <w:t>;</w:t>
      </w:r>
    </w:p>
    <w:p w14:paraId="637682D0" w14:textId="77777777" w:rsidR="00A0251B" w:rsidRPr="00CC35F0" w:rsidRDefault="008D6506" w:rsidP="00382EC6">
      <w:pPr>
        <w:numPr>
          <w:ilvl w:val="0"/>
          <w:numId w:val="21"/>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Зелени фонд (4343 милиона динара)</w:t>
      </w:r>
      <w:r w:rsidR="00B57D1E" w:rsidRPr="00CC35F0">
        <w:rPr>
          <w:rFonts w:ascii="Times New Roman" w:eastAsia="Times New Roman" w:hAnsi="Times New Roman"/>
          <w:color w:val="000000"/>
          <w:sz w:val="24"/>
          <w:szCs w:val="24"/>
          <w:lang w:val="sr-Cyrl-CS"/>
        </w:rPr>
        <w:t>.</w:t>
      </w:r>
    </w:p>
    <w:p w14:paraId="548548D7" w14:textId="77777777" w:rsidR="00A0251B" w:rsidRPr="00CC35F0" w:rsidRDefault="008D6506" w:rsidP="00D04174">
      <w:pPr>
        <w:ind w:left="60"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расположива средства у 2020. години износила су 4843,5 милијарди динара, дакле око 41 милион евра, што тренутно представља само мали део (9,8%) потребних средстава.</w:t>
      </w:r>
    </w:p>
    <w:p w14:paraId="184853CC" w14:textId="77777777" w:rsidR="00A0251B" w:rsidRPr="00CC35F0" w:rsidRDefault="008D6506" w:rsidP="00D04174">
      <w:pPr>
        <w:ind w:left="60"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Можда буде потребно надоградити и поједноставити ове инструменте, како би се осигурало ефикасно управљање приходима који ће се тек убирати, као и њихов благовремени пласман за подршку спровођењу мера из овог програма.</w:t>
      </w:r>
    </w:p>
    <w:p w14:paraId="29C37DF8" w14:textId="77777777" w:rsidR="00A0251B" w:rsidRPr="00CC35F0" w:rsidRDefault="008D6506">
      <w:pPr>
        <w:pStyle w:val="Heading4"/>
        <w:numPr>
          <w:ilvl w:val="3"/>
          <w:numId w:val="3"/>
        </w:numPr>
        <w:rPr>
          <w:rFonts w:ascii="Times New Roman" w:hAnsi="Times New Roman"/>
          <w:sz w:val="24"/>
          <w:lang w:val="sr-Cyrl-CS"/>
        </w:rPr>
      </w:pPr>
      <w:bookmarkStart w:id="96" w:name="_heading=h.1tuee74" w:colFirst="0" w:colLast="0"/>
      <w:bookmarkEnd w:id="96"/>
      <w:r w:rsidRPr="00CC35F0">
        <w:rPr>
          <w:rFonts w:ascii="Times New Roman" w:hAnsi="Times New Roman"/>
          <w:sz w:val="24"/>
          <w:lang w:val="sr-Cyrl-CS"/>
        </w:rPr>
        <w:t>Финансирање из приватног сектора</w:t>
      </w:r>
    </w:p>
    <w:p w14:paraId="4BC46A29" w14:textId="77777777" w:rsidR="00A0251B" w:rsidRPr="00CC35F0" w:rsidRDefault="008D6506" w:rsidP="00D0417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Приватни сектор, укључујући компаније у власништву државе, преузеће део потребних инвестиција како би се повећала енергетска ефикасност, смањила емисија гасова са ефектом стаклене баште и самим тим смањиле емисије загађујућих материја у ваздух. Да би се подржале и промовисале такве инвестиције из приватног сектора, развијен је комплет инструмената „зелених финансија”, који су доступни на европском нивоу, а очекује се да ће бити доступни и заинтересованим странама у </w:t>
      </w:r>
      <w:r w:rsidR="00242421" w:rsidRPr="00CC35F0">
        <w:rPr>
          <w:rFonts w:ascii="Times New Roman" w:eastAsia="Times New Roman" w:hAnsi="Times New Roman"/>
          <w:sz w:val="24"/>
          <w:szCs w:val="24"/>
          <w:lang w:val="sr-Cyrl-CS"/>
        </w:rPr>
        <w:t xml:space="preserve">Републици </w:t>
      </w:r>
      <w:r w:rsidRPr="00CC35F0">
        <w:rPr>
          <w:rFonts w:ascii="Times New Roman" w:eastAsia="Times New Roman" w:hAnsi="Times New Roman"/>
          <w:sz w:val="24"/>
          <w:szCs w:val="24"/>
          <w:lang w:val="sr-Cyrl-CS"/>
        </w:rPr>
        <w:t>Србији. Такви инструменти укључују: зелене обвезнице; зелене кредите; одрживе инвестиционе фондове; средства за ублажавање утицаја / инвестиције за ублажавање утицаја и комбиновано финансирање.</w:t>
      </w:r>
    </w:p>
    <w:p w14:paraId="49298348" w14:textId="77777777" w:rsidR="00A0251B" w:rsidRPr="00CC35F0" w:rsidRDefault="008D6506">
      <w:pPr>
        <w:pStyle w:val="Heading4"/>
        <w:numPr>
          <w:ilvl w:val="3"/>
          <w:numId w:val="3"/>
        </w:numPr>
        <w:rPr>
          <w:rFonts w:ascii="Times New Roman" w:hAnsi="Times New Roman"/>
          <w:sz w:val="24"/>
          <w:lang w:val="sr-Cyrl-CS"/>
        </w:rPr>
      </w:pPr>
      <w:bookmarkStart w:id="97" w:name="_heading=h.4du1wux" w:colFirst="0" w:colLast="0"/>
      <w:bookmarkEnd w:id="97"/>
      <w:r w:rsidRPr="00CC35F0">
        <w:rPr>
          <w:rFonts w:ascii="Times New Roman" w:hAnsi="Times New Roman"/>
          <w:sz w:val="24"/>
          <w:lang w:val="sr-Cyrl-CS"/>
        </w:rPr>
        <w:t>Финансирање из међународних средстава</w:t>
      </w:r>
    </w:p>
    <w:p w14:paraId="589E3992" w14:textId="77777777" w:rsidR="00A0251B" w:rsidRPr="00CC35F0" w:rsidRDefault="008D6506" w:rsidP="00D04174">
      <w:pPr>
        <w:ind w:firstLine="720"/>
        <w:rPr>
          <w:rFonts w:ascii="Times New Roman" w:eastAsia="Times New Roman" w:hAnsi="Times New Roman"/>
          <w:b/>
          <w:i/>
          <w:sz w:val="24"/>
          <w:szCs w:val="24"/>
          <w:lang w:val="sr-Cyrl-CS"/>
        </w:rPr>
      </w:pPr>
      <w:r w:rsidRPr="00CC35F0">
        <w:rPr>
          <w:rFonts w:ascii="Times New Roman" w:eastAsia="Times New Roman" w:hAnsi="Times New Roman"/>
          <w:b/>
          <w:i/>
          <w:sz w:val="24"/>
          <w:szCs w:val="24"/>
          <w:lang w:val="sr-Cyrl-CS"/>
        </w:rPr>
        <w:t>Средства ЕУ</w:t>
      </w:r>
    </w:p>
    <w:p w14:paraId="49137CC4" w14:textId="77777777" w:rsidR="00A0251B" w:rsidRPr="00CC35F0" w:rsidRDefault="008D6506" w:rsidP="00D0417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Кључни извори финансирања из ЕУ у сврху приближавања привреде слабије развијених регија, запошљавања, социјалне инклузије и доброг управљања, пољопривреде, регионалног и урбанистичког развоја, истраживања, иновација и модернизације и одрживог развоја су:</w:t>
      </w:r>
    </w:p>
    <w:p w14:paraId="0BA6462B"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Инструмент претприступне помоћи ЕУ-ИПА,</w:t>
      </w:r>
    </w:p>
    <w:p w14:paraId="04DEA6BB"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Твининг програм ЕУ,</w:t>
      </w:r>
    </w:p>
    <w:p w14:paraId="6CAF15DE"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i/>
          <w:color w:val="000000"/>
          <w:sz w:val="24"/>
          <w:szCs w:val="24"/>
          <w:lang w:val="sr-Cyrl-CS"/>
        </w:rPr>
        <w:t>IPARD</w:t>
      </w:r>
      <w:r w:rsidRPr="00CC35F0">
        <w:rPr>
          <w:rFonts w:ascii="Times New Roman" w:eastAsia="Times New Roman" w:hAnsi="Times New Roman"/>
          <w:color w:val="000000"/>
          <w:sz w:val="24"/>
          <w:szCs w:val="24"/>
          <w:lang w:val="sr-Cyrl-CS"/>
        </w:rPr>
        <w:t xml:space="preserve"> (до приступања) након приступања,</w:t>
      </w:r>
    </w:p>
    <w:p w14:paraId="13E6DFDC" w14:textId="77777777" w:rsidR="00A0251B" w:rsidRPr="00CC35F0" w:rsidRDefault="008D6506" w:rsidP="00382EC6">
      <w:pPr>
        <w:numPr>
          <w:ilvl w:val="1"/>
          <w:numId w:val="16"/>
        </w:numPr>
        <w:pBdr>
          <w:top w:val="nil"/>
          <w:left w:val="nil"/>
          <w:bottom w:val="nil"/>
          <w:right w:val="nil"/>
          <w:between w:val="nil"/>
        </w:pBdr>
        <w:tabs>
          <w:tab w:val="left" w:pos="3825"/>
        </w:tabs>
        <w:spacing w:before="120"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Европски гарантни фонд за пољопривреду (</w:t>
      </w:r>
      <w:r w:rsidRPr="00CC35F0">
        <w:rPr>
          <w:rFonts w:ascii="Times New Roman" w:eastAsia="Times New Roman" w:hAnsi="Times New Roman"/>
          <w:i/>
          <w:color w:val="000000"/>
          <w:sz w:val="24"/>
          <w:szCs w:val="24"/>
          <w:lang w:val="sr-Cyrl-CS"/>
        </w:rPr>
        <w:t>EAGF</w:t>
      </w:r>
      <w:r w:rsidRPr="00CC35F0">
        <w:rPr>
          <w:rFonts w:ascii="Times New Roman" w:eastAsia="Times New Roman" w:hAnsi="Times New Roman"/>
          <w:color w:val="000000"/>
          <w:sz w:val="24"/>
          <w:szCs w:val="24"/>
          <w:lang w:val="sr-Cyrl-CS"/>
        </w:rPr>
        <w:t>),</w:t>
      </w:r>
    </w:p>
    <w:p w14:paraId="1B26B84A" w14:textId="77777777" w:rsidR="00A0251B" w:rsidRPr="00CC35F0" w:rsidRDefault="008D6506" w:rsidP="00382EC6">
      <w:pPr>
        <w:numPr>
          <w:ilvl w:val="1"/>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Европски пољопривредни фонд за рурални развој (</w:t>
      </w:r>
      <w:r w:rsidRPr="00CC35F0">
        <w:rPr>
          <w:rFonts w:ascii="Times New Roman" w:eastAsia="Times New Roman" w:hAnsi="Times New Roman"/>
          <w:i/>
          <w:color w:val="000000"/>
          <w:sz w:val="24"/>
          <w:szCs w:val="24"/>
          <w:lang w:val="sr-Cyrl-CS"/>
        </w:rPr>
        <w:t>EAFRD</w:t>
      </w:r>
      <w:r w:rsidRPr="00CC35F0">
        <w:rPr>
          <w:rFonts w:ascii="Times New Roman" w:eastAsia="Times New Roman" w:hAnsi="Times New Roman"/>
          <w:color w:val="000000"/>
          <w:sz w:val="24"/>
          <w:szCs w:val="24"/>
          <w:lang w:val="sr-Cyrl-CS"/>
        </w:rPr>
        <w:t>) – регионални и урбанистички развој,</w:t>
      </w:r>
    </w:p>
    <w:p w14:paraId="3778BFA8"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i/>
          <w:color w:val="000000"/>
          <w:sz w:val="24"/>
          <w:szCs w:val="24"/>
          <w:lang w:val="sr-Cyrl-CS"/>
        </w:rPr>
        <w:t>LIFE</w:t>
      </w:r>
      <w:r w:rsidRPr="00CC35F0">
        <w:rPr>
          <w:rFonts w:ascii="Times New Roman" w:eastAsia="Times New Roman" w:hAnsi="Times New Roman"/>
          <w:color w:val="000000"/>
          <w:sz w:val="24"/>
          <w:szCs w:val="24"/>
          <w:lang w:val="sr-Cyrl-CS"/>
        </w:rPr>
        <w:t xml:space="preserve"> стратешки интегрисани пројекти и пројекти стратешке природе,</w:t>
      </w:r>
    </w:p>
    <w:p w14:paraId="2E5D6287"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Програми територијалне сарадње ЕУ (</w:t>
      </w:r>
      <w:r w:rsidRPr="00CC35F0">
        <w:rPr>
          <w:rFonts w:ascii="Times New Roman" w:eastAsia="Times New Roman" w:hAnsi="Times New Roman"/>
          <w:i/>
          <w:color w:val="000000"/>
          <w:sz w:val="24"/>
          <w:szCs w:val="24"/>
          <w:lang w:val="sr-Cyrl-CS"/>
        </w:rPr>
        <w:t>INTERREG</w:t>
      </w:r>
      <w:r w:rsidRPr="00CC35F0">
        <w:rPr>
          <w:rFonts w:ascii="Times New Roman" w:eastAsia="Times New Roman" w:hAnsi="Times New Roman"/>
          <w:color w:val="000000"/>
          <w:sz w:val="24"/>
          <w:szCs w:val="24"/>
          <w:lang w:val="sr-Cyrl-CS"/>
        </w:rPr>
        <w:t>),</w:t>
      </w:r>
    </w:p>
    <w:p w14:paraId="4F99AE5B"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b/>
          <w:i/>
          <w:color w:val="000000"/>
          <w:sz w:val="24"/>
          <w:szCs w:val="24"/>
          <w:lang w:val="sr-Cyrl-CS"/>
        </w:rPr>
      </w:pPr>
      <w:r w:rsidRPr="00CC35F0">
        <w:rPr>
          <w:rFonts w:ascii="Times New Roman" w:eastAsia="Times New Roman" w:hAnsi="Times New Roman"/>
          <w:i/>
          <w:color w:val="000000"/>
          <w:sz w:val="24"/>
          <w:szCs w:val="24"/>
          <w:lang w:val="sr-Cyrl-CS"/>
        </w:rPr>
        <w:t>Horizon 2020 / Horizon Europe</w:t>
      </w:r>
      <w:r w:rsidR="00242421" w:rsidRPr="00CC35F0">
        <w:rPr>
          <w:rFonts w:ascii="Times New Roman" w:eastAsia="Times New Roman" w:hAnsi="Times New Roman"/>
          <w:i/>
          <w:color w:val="000000"/>
          <w:sz w:val="24"/>
          <w:szCs w:val="24"/>
          <w:lang w:val="sr-Cyrl-CS"/>
        </w:rPr>
        <w:t>.</w:t>
      </w:r>
    </w:p>
    <w:p w14:paraId="55C2C6AD" w14:textId="77777777" w:rsidR="00A0251B" w:rsidRPr="00CC35F0" w:rsidRDefault="00A0251B">
      <w:pPr>
        <w:pBdr>
          <w:top w:val="nil"/>
          <w:left w:val="nil"/>
          <w:bottom w:val="nil"/>
          <w:right w:val="nil"/>
          <w:between w:val="nil"/>
        </w:pBdr>
        <w:tabs>
          <w:tab w:val="left" w:pos="3825"/>
        </w:tabs>
        <w:spacing w:after="0" w:line="240" w:lineRule="auto"/>
        <w:ind w:left="720"/>
        <w:rPr>
          <w:rFonts w:ascii="Times New Roman" w:eastAsia="Times New Roman" w:hAnsi="Times New Roman"/>
          <w:color w:val="000000"/>
          <w:sz w:val="24"/>
          <w:szCs w:val="24"/>
          <w:lang w:val="sr-Cyrl-CS"/>
        </w:rPr>
      </w:pPr>
    </w:p>
    <w:p w14:paraId="2C4CD116" w14:textId="77777777" w:rsidR="00A0251B" w:rsidRPr="00CC35F0" w:rsidRDefault="008D6506" w:rsidP="00D04174">
      <w:pPr>
        <w:ind w:firstLine="360"/>
        <w:rPr>
          <w:rFonts w:ascii="Times New Roman" w:eastAsia="Times New Roman" w:hAnsi="Times New Roman"/>
          <w:b/>
          <w:i/>
          <w:sz w:val="24"/>
          <w:szCs w:val="24"/>
          <w:lang w:val="sr-Cyrl-CS"/>
        </w:rPr>
      </w:pPr>
      <w:r w:rsidRPr="00CC35F0">
        <w:rPr>
          <w:rFonts w:ascii="Times New Roman" w:eastAsia="Times New Roman" w:hAnsi="Times New Roman"/>
          <w:b/>
          <w:i/>
          <w:sz w:val="24"/>
          <w:szCs w:val="24"/>
          <w:lang w:val="sr-Cyrl-CS"/>
        </w:rPr>
        <w:t>Билатерални и мултилатерални фондови и партнери</w:t>
      </w:r>
    </w:p>
    <w:p w14:paraId="19FE0499" w14:textId="77777777" w:rsidR="00A0251B" w:rsidRPr="00CC35F0" w:rsidRDefault="008D6506" w:rsidP="00D04174">
      <w:pPr>
        <w:spacing w:after="0"/>
        <w:ind w:firstLine="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Кључни извори за билатерално и мултилатерално финансирање у </w:t>
      </w:r>
      <w:r w:rsidR="00A011C1" w:rsidRPr="00CC35F0">
        <w:rPr>
          <w:rFonts w:ascii="Times New Roman" w:eastAsia="Times New Roman" w:hAnsi="Times New Roman"/>
          <w:sz w:val="24"/>
          <w:szCs w:val="24"/>
          <w:lang w:val="sr-Cyrl-CS"/>
        </w:rPr>
        <w:t xml:space="preserve">Републици </w:t>
      </w:r>
      <w:r w:rsidR="00242421" w:rsidRPr="00CC35F0">
        <w:rPr>
          <w:rFonts w:ascii="Times New Roman" w:eastAsia="Times New Roman" w:hAnsi="Times New Roman"/>
          <w:sz w:val="24"/>
          <w:szCs w:val="24"/>
          <w:lang w:val="sr-Cyrl-CS"/>
        </w:rPr>
        <w:t>Србији су:</w:t>
      </w:r>
    </w:p>
    <w:p w14:paraId="41031F9F"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Светска банка</w:t>
      </w:r>
      <w:r w:rsidR="00242421" w:rsidRPr="00CC35F0">
        <w:rPr>
          <w:rFonts w:ascii="Times New Roman" w:eastAsia="Times New Roman" w:hAnsi="Times New Roman"/>
          <w:color w:val="000000"/>
          <w:sz w:val="24"/>
          <w:szCs w:val="24"/>
          <w:lang w:val="sr-Cyrl-CS"/>
        </w:rPr>
        <w:t>;</w:t>
      </w:r>
    </w:p>
    <w:p w14:paraId="2FE0FFE3"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Европска инвестициона банка (</w:t>
      </w:r>
      <w:r w:rsidRPr="00CC35F0">
        <w:rPr>
          <w:rFonts w:ascii="Times New Roman" w:eastAsia="Times New Roman" w:hAnsi="Times New Roman"/>
          <w:i/>
          <w:color w:val="000000"/>
          <w:sz w:val="24"/>
          <w:szCs w:val="24"/>
          <w:lang w:val="sr-Cyrl-CS"/>
        </w:rPr>
        <w:t>EIB</w:t>
      </w:r>
      <w:r w:rsidRPr="00CC35F0">
        <w:rPr>
          <w:rFonts w:ascii="Times New Roman" w:eastAsia="Times New Roman" w:hAnsi="Times New Roman"/>
          <w:color w:val="000000"/>
          <w:sz w:val="24"/>
          <w:szCs w:val="24"/>
          <w:lang w:val="sr-Cyrl-CS"/>
        </w:rPr>
        <w:t>)</w:t>
      </w:r>
      <w:r w:rsidR="00242421" w:rsidRPr="00CC35F0">
        <w:rPr>
          <w:rFonts w:ascii="Times New Roman" w:eastAsia="Times New Roman" w:hAnsi="Times New Roman"/>
          <w:color w:val="000000"/>
          <w:sz w:val="24"/>
          <w:szCs w:val="24"/>
          <w:lang w:val="sr-Cyrl-CS"/>
        </w:rPr>
        <w:t>;</w:t>
      </w:r>
    </w:p>
    <w:p w14:paraId="65C57B3C"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Европска банка за обнову и развој (</w:t>
      </w:r>
      <w:r w:rsidRPr="00CC35F0">
        <w:rPr>
          <w:rFonts w:ascii="Times New Roman" w:eastAsia="Times New Roman" w:hAnsi="Times New Roman"/>
          <w:i/>
          <w:color w:val="000000"/>
          <w:sz w:val="24"/>
          <w:szCs w:val="24"/>
          <w:lang w:val="sr-Cyrl-CS"/>
        </w:rPr>
        <w:t>EBRD</w:t>
      </w:r>
      <w:r w:rsidRPr="00CC35F0">
        <w:rPr>
          <w:rFonts w:ascii="Times New Roman" w:eastAsia="Times New Roman" w:hAnsi="Times New Roman"/>
          <w:color w:val="000000"/>
          <w:sz w:val="24"/>
          <w:szCs w:val="24"/>
          <w:lang w:val="sr-Cyrl-CS"/>
        </w:rPr>
        <w:t>)</w:t>
      </w:r>
      <w:r w:rsidR="00242421" w:rsidRPr="00CC35F0">
        <w:rPr>
          <w:rFonts w:ascii="Times New Roman" w:eastAsia="Times New Roman" w:hAnsi="Times New Roman"/>
          <w:color w:val="000000"/>
          <w:sz w:val="24"/>
          <w:szCs w:val="24"/>
          <w:lang w:val="sr-Cyrl-CS"/>
        </w:rPr>
        <w:t>;</w:t>
      </w:r>
    </w:p>
    <w:p w14:paraId="6415897B"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Развојна банка Савета Европе (</w:t>
      </w:r>
      <w:r w:rsidRPr="00CC35F0">
        <w:rPr>
          <w:rFonts w:ascii="Times New Roman" w:eastAsia="Times New Roman" w:hAnsi="Times New Roman"/>
          <w:i/>
          <w:color w:val="000000"/>
          <w:sz w:val="24"/>
          <w:szCs w:val="24"/>
          <w:lang w:val="sr-Cyrl-CS"/>
        </w:rPr>
        <w:t>CEB</w:t>
      </w:r>
      <w:r w:rsidRPr="00CC35F0">
        <w:rPr>
          <w:rFonts w:ascii="Times New Roman" w:eastAsia="Times New Roman" w:hAnsi="Times New Roman"/>
          <w:color w:val="000000"/>
          <w:sz w:val="24"/>
          <w:szCs w:val="24"/>
          <w:lang w:val="sr-Cyrl-CS"/>
        </w:rPr>
        <w:t>)</w:t>
      </w:r>
      <w:r w:rsidR="00242421" w:rsidRPr="00CC35F0">
        <w:rPr>
          <w:rFonts w:ascii="Times New Roman" w:eastAsia="Times New Roman" w:hAnsi="Times New Roman"/>
          <w:color w:val="000000"/>
          <w:sz w:val="24"/>
          <w:szCs w:val="24"/>
          <w:lang w:val="sr-Cyrl-CS"/>
        </w:rPr>
        <w:t>;</w:t>
      </w:r>
    </w:p>
    <w:p w14:paraId="294827F9"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i/>
          <w:color w:val="000000"/>
          <w:sz w:val="24"/>
          <w:szCs w:val="24"/>
          <w:lang w:val="sr-Cyrl-CS"/>
        </w:rPr>
        <w:t>KFW</w:t>
      </w:r>
      <w:r w:rsidRPr="00CC35F0">
        <w:rPr>
          <w:rFonts w:ascii="Times New Roman" w:eastAsia="Times New Roman" w:hAnsi="Times New Roman"/>
          <w:color w:val="000000"/>
          <w:sz w:val="24"/>
          <w:szCs w:val="24"/>
          <w:lang w:val="sr-Cyrl-CS"/>
        </w:rPr>
        <w:t xml:space="preserve"> (Немачка развојна банка)</w:t>
      </w:r>
      <w:r w:rsidR="00242421" w:rsidRPr="00CC35F0">
        <w:rPr>
          <w:rFonts w:ascii="Times New Roman" w:eastAsia="Times New Roman" w:hAnsi="Times New Roman"/>
          <w:color w:val="000000"/>
          <w:sz w:val="24"/>
          <w:szCs w:val="24"/>
          <w:lang w:val="sr-Cyrl-CS"/>
        </w:rPr>
        <w:t>;</w:t>
      </w:r>
    </w:p>
    <w:p w14:paraId="503251B3" w14:textId="77777777" w:rsidR="00A0251B" w:rsidRPr="00CC35F0" w:rsidRDefault="008D6506" w:rsidP="00382EC6">
      <w:pPr>
        <w:numPr>
          <w:ilvl w:val="0"/>
          <w:numId w:val="16"/>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i/>
          <w:color w:val="000000"/>
          <w:sz w:val="24"/>
          <w:szCs w:val="24"/>
          <w:lang w:val="sr-Cyrl-CS"/>
        </w:rPr>
        <w:t>AFD</w:t>
      </w:r>
      <w:r w:rsidRPr="00CC35F0">
        <w:rPr>
          <w:rFonts w:ascii="Times New Roman" w:eastAsia="Times New Roman" w:hAnsi="Times New Roman"/>
          <w:color w:val="000000"/>
          <w:sz w:val="24"/>
          <w:szCs w:val="24"/>
          <w:lang w:val="sr-Cyrl-CS"/>
        </w:rPr>
        <w:t xml:space="preserve"> (Француска развојна агенција)</w:t>
      </w:r>
      <w:r w:rsidR="00242421" w:rsidRPr="00CC35F0">
        <w:rPr>
          <w:rFonts w:ascii="Times New Roman" w:eastAsia="Times New Roman" w:hAnsi="Times New Roman"/>
          <w:color w:val="000000"/>
          <w:sz w:val="24"/>
          <w:szCs w:val="24"/>
          <w:lang w:val="sr-Cyrl-CS"/>
        </w:rPr>
        <w:t>.</w:t>
      </w:r>
    </w:p>
    <w:p w14:paraId="35751C7D" w14:textId="77777777" w:rsidR="00A2784B" w:rsidRPr="00CC35F0" w:rsidRDefault="008D6506" w:rsidP="00A2784B">
      <w:pPr>
        <w:ind w:firstLine="360"/>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 xml:space="preserve">Детаљан приказ трошкова, средстава и временског распореда спровођења мера и активности до 2030. године приказан је у </w:t>
      </w:r>
      <w:r w:rsidRPr="00CC35F0">
        <w:rPr>
          <w:rFonts w:ascii="Times New Roman" w:eastAsia="Times New Roman" w:hAnsi="Times New Roman"/>
          <w:b/>
          <w:sz w:val="24"/>
          <w:szCs w:val="24"/>
          <w:lang w:val="sr-Cyrl-CS"/>
        </w:rPr>
        <w:t>Табели 7-6</w:t>
      </w:r>
      <w:r w:rsidR="00A2784B" w:rsidRPr="00CC35F0">
        <w:rPr>
          <w:rFonts w:ascii="Times New Roman" w:eastAsia="Times New Roman" w:hAnsi="Times New Roman"/>
          <w:b/>
          <w:sz w:val="24"/>
          <w:szCs w:val="24"/>
          <w:lang w:val="sr-Cyrl-CS"/>
        </w:rPr>
        <w:t>.</w:t>
      </w:r>
      <w:bookmarkStart w:id="98" w:name="_heading=h.2szc72q" w:colFirst="0" w:colLast="0"/>
      <w:bookmarkEnd w:id="98"/>
    </w:p>
    <w:p w14:paraId="68D2C6CB" w14:textId="77777777" w:rsidR="00A0251B" w:rsidRPr="00CC35F0" w:rsidRDefault="008D6506" w:rsidP="00A2784B">
      <w:pPr>
        <w:ind w:firstLine="360"/>
        <w:rPr>
          <w:rFonts w:ascii="Times New Roman" w:eastAsia="Times New Roman" w:hAnsi="Times New Roman"/>
          <w:b/>
          <w:sz w:val="24"/>
          <w:szCs w:val="24"/>
          <w:lang w:val="sr-Cyrl-CS"/>
        </w:rPr>
      </w:pPr>
      <w:r w:rsidRPr="00CC35F0">
        <w:rPr>
          <w:rFonts w:ascii="Times New Roman" w:eastAsia="Times New Roman" w:hAnsi="Times New Roman"/>
          <w:b/>
          <w:i/>
          <w:sz w:val="24"/>
          <w:szCs w:val="24"/>
          <w:lang w:val="sr-Cyrl-CS"/>
        </w:rPr>
        <w:t>Табела 7-6:</w:t>
      </w:r>
      <w:r w:rsidRPr="00CC35F0">
        <w:rPr>
          <w:rFonts w:ascii="Times New Roman" w:eastAsia="Times New Roman" w:hAnsi="Times New Roman"/>
          <w:b/>
          <w:sz w:val="24"/>
          <w:szCs w:val="24"/>
          <w:lang w:val="sr-Cyrl-CS"/>
        </w:rPr>
        <w:t xml:space="preserve"> Детаљан табеларни приказ трошкова, средстава и временског оквира за спровођење мера и активности до 2030. године</w:t>
      </w:r>
    </w:p>
    <w:tbl>
      <w:tblPr>
        <w:tblStyle w:val="af3"/>
        <w:tblW w:w="15735"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
        <w:gridCol w:w="5672"/>
        <w:gridCol w:w="1106"/>
        <w:gridCol w:w="769"/>
        <w:gridCol w:w="676"/>
        <w:gridCol w:w="884"/>
        <w:gridCol w:w="551"/>
        <w:gridCol w:w="810"/>
        <w:gridCol w:w="1171"/>
        <w:gridCol w:w="2865"/>
        <w:gridCol w:w="665"/>
      </w:tblGrid>
      <w:tr w:rsidR="00A0251B" w:rsidRPr="00CC35F0" w14:paraId="0A93AA85" w14:textId="77777777" w:rsidTr="00B14BBF">
        <w:trPr>
          <w:tblHeader/>
        </w:trPr>
        <w:tc>
          <w:tcPr>
            <w:tcW w:w="566" w:type="dxa"/>
            <w:vMerge w:val="restart"/>
            <w:shd w:val="clear" w:color="auto" w:fill="44546A"/>
            <w:vAlign w:val="center"/>
          </w:tcPr>
          <w:p w14:paraId="79213C59" w14:textId="77777777" w:rsidR="00A0251B" w:rsidRPr="00CC35F0" w:rsidRDefault="008D6506">
            <w:pPr>
              <w:spacing w:after="0" w:line="240" w:lineRule="auto"/>
              <w:ind w:left="-103" w:right="-98"/>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Бр.</w:t>
            </w:r>
          </w:p>
        </w:tc>
        <w:tc>
          <w:tcPr>
            <w:tcW w:w="5672" w:type="dxa"/>
            <w:vMerge w:val="restart"/>
            <w:shd w:val="clear" w:color="auto" w:fill="44546A"/>
            <w:vAlign w:val="center"/>
          </w:tcPr>
          <w:p w14:paraId="0B152409" w14:textId="77777777" w:rsidR="00A0251B" w:rsidRPr="00CC35F0" w:rsidRDefault="008D6506">
            <w:pPr>
              <w:spacing w:after="0" w:line="240" w:lineRule="auto"/>
              <w:ind w:left="-107" w:right="-110"/>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Назив мере/активности</w:t>
            </w:r>
          </w:p>
        </w:tc>
        <w:tc>
          <w:tcPr>
            <w:tcW w:w="2551" w:type="dxa"/>
            <w:gridSpan w:val="3"/>
            <w:vMerge w:val="restart"/>
            <w:shd w:val="clear" w:color="auto" w:fill="44546A"/>
            <w:vAlign w:val="center"/>
          </w:tcPr>
          <w:p w14:paraId="451430EE" w14:textId="77777777" w:rsidR="00A0251B" w:rsidRPr="00CC35F0" w:rsidRDefault="008D6506">
            <w:pPr>
              <w:spacing w:after="0"/>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Инвестициони трошкови</w:t>
            </w:r>
            <w:r w:rsidRPr="00CC35F0">
              <w:rPr>
                <w:rFonts w:ascii="Times New Roman" w:eastAsia="Times New Roman" w:hAnsi="Times New Roman"/>
                <w:color w:val="FFFFFF"/>
                <w:sz w:val="24"/>
                <w:szCs w:val="24"/>
                <w:vertAlign w:val="superscript"/>
                <w:lang w:val="sr-Cyrl-CS"/>
              </w:rPr>
              <w:footnoteReference w:id="44"/>
            </w:r>
          </w:p>
          <w:p w14:paraId="32A5F520" w14:textId="77777777" w:rsidR="00A0251B" w:rsidRPr="00CC35F0" w:rsidRDefault="008D6506">
            <w:pPr>
              <w:spacing w:after="0" w:line="240" w:lineRule="auto"/>
              <w:jc w:val="center"/>
              <w:rPr>
                <w:rFonts w:ascii="Times New Roman" w:eastAsia="Times New Roman" w:hAnsi="Times New Roman"/>
                <w:color w:val="FFFFFF"/>
                <w:sz w:val="24"/>
                <w:szCs w:val="24"/>
                <w:u w:val="single"/>
                <w:lang w:val="sr-Cyrl-CS"/>
              </w:rPr>
            </w:pPr>
            <w:r w:rsidRPr="00CC35F0">
              <w:rPr>
                <w:rFonts w:ascii="Times New Roman" w:eastAsia="Times New Roman" w:hAnsi="Times New Roman"/>
                <w:color w:val="FFFFFF"/>
                <w:sz w:val="24"/>
                <w:szCs w:val="24"/>
                <w:lang w:val="sr-Cyrl-CS"/>
              </w:rPr>
              <w:t>[милиони евра]</w:t>
            </w:r>
          </w:p>
        </w:tc>
        <w:tc>
          <w:tcPr>
            <w:tcW w:w="884" w:type="dxa"/>
            <w:vMerge w:val="restart"/>
            <w:shd w:val="clear" w:color="auto" w:fill="44546A"/>
          </w:tcPr>
          <w:p w14:paraId="23B99E39" w14:textId="77777777" w:rsidR="00A31DFA" w:rsidRDefault="008D6506">
            <w:pPr>
              <w:spacing w:after="0"/>
              <w:ind w:left="-131" w:right="-86"/>
              <w:jc w:val="center"/>
              <w:rPr>
                <w:rFonts w:ascii="Times New Roman" w:eastAsia="Times New Roman" w:hAnsi="Times New Roman"/>
                <w:color w:val="FFFFFF"/>
                <w:sz w:val="24"/>
                <w:szCs w:val="24"/>
                <w:lang w:val="sr-Cyrl-CS"/>
              </w:rPr>
            </w:pPr>
            <w:bookmarkStart w:id="100" w:name="_heading=h.184mhaj" w:colFirst="0" w:colLast="0"/>
            <w:bookmarkEnd w:id="100"/>
            <w:r w:rsidRPr="00CC35F0">
              <w:rPr>
                <w:rFonts w:ascii="Times New Roman" w:eastAsia="Times New Roman" w:hAnsi="Times New Roman"/>
                <w:color w:val="FFFFFF"/>
                <w:sz w:val="24"/>
                <w:szCs w:val="24"/>
                <w:lang w:val="sr-Cyrl-CS"/>
              </w:rPr>
              <w:t>Дода</w:t>
            </w:r>
          </w:p>
          <w:p w14:paraId="22F7C321" w14:textId="77777777" w:rsidR="00A31DFA" w:rsidRDefault="008D6506">
            <w:pPr>
              <w:spacing w:after="0"/>
              <w:ind w:left="-131" w:right="-8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тни буџет</w:t>
            </w:r>
          </w:p>
          <w:p w14:paraId="16059B56" w14:textId="77777777" w:rsidR="00A0251B" w:rsidRPr="00CC35F0" w:rsidRDefault="008D6506">
            <w:pPr>
              <w:spacing w:after="0"/>
              <w:ind w:left="-131" w:right="-86"/>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FFFFFF"/>
                <w:sz w:val="24"/>
                <w:szCs w:val="24"/>
                <w:lang w:val="sr-Cyrl-CS"/>
              </w:rPr>
              <w:t>ски приходи</w:t>
            </w:r>
            <w:r w:rsidRPr="00CC35F0">
              <w:rPr>
                <w:rFonts w:ascii="Times New Roman" w:eastAsia="Times New Roman" w:hAnsi="Times New Roman"/>
                <w:color w:val="FFFFFF"/>
                <w:sz w:val="24"/>
                <w:szCs w:val="24"/>
                <w:vertAlign w:val="superscript"/>
                <w:lang w:val="sr-Cyrl-CS"/>
              </w:rPr>
              <w:footnoteReference w:id="45"/>
            </w:r>
          </w:p>
          <w:p w14:paraId="7024FD9E" w14:textId="77777777" w:rsidR="00A0251B" w:rsidRPr="00CC35F0" w:rsidRDefault="008D6506">
            <w:pPr>
              <w:spacing w:after="0" w:line="240" w:lineRule="auto"/>
              <w:ind w:left="-131" w:right="-86"/>
              <w:jc w:val="center"/>
              <w:rPr>
                <w:rFonts w:ascii="Times New Roman" w:eastAsia="Times New Roman" w:hAnsi="Times New Roman"/>
                <w:color w:val="FFFFFF"/>
                <w:sz w:val="24"/>
                <w:szCs w:val="24"/>
                <w:u w:val="single"/>
                <w:lang w:val="sr-Cyrl-CS"/>
              </w:rPr>
            </w:pPr>
            <w:r w:rsidRPr="00CC35F0">
              <w:rPr>
                <w:rFonts w:ascii="Times New Roman" w:eastAsia="Times New Roman" w:hAnsi="Times New Roman"/>
                <w:color w:val="FFFFFF"/>
                <w:sz w:val="24"/>
                <w:szCs w:val="24"/>
                <w:lang w:val="sr-Cyrl-CS"/>
              </w:rPr>
              <w:t>[</w:t>
            </w:r>
            <w:r w:rsidRPr="00CC35F0">
              <w:rPr>
                <w:rFonts w:ascii="Times New Roman" w:eastAsia="Times New Roman" w:hAnsi="Times New Roman"/>
                <w:color w:val="FFFFFF" w:themeColor="background1"/>
                <w:sz w:val="24"/>
                <w:szCs w:val="24"/>
                <w:lang w:val="sr-Cyrl-CS"/>
              </w:rPr>
              <w:t>мил</w:t>
            </w:r>
            <w:r w:rsidR="009F652E" w:rsidRPr="00CC35F0">
              <w:rPr>
                <w:rFonts w:ascii="Times New Roman" w:eastAsia="Times New Roman" w:hAnsi="Times New Roman"/>
                <w:color w:val="FFFFFF" w:themeColor="background1"/>
                <w:sz w:val="24"/>
                <w:szCs w:val="24"/>
                <w:lang w:val="sr-Cyrl-CS"/>
              </w:rPr>
              <w:t>ион</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FFFFFF" w:themeColor="background1"/>
                <w:sz w:val="24"/>
                <w:szCs w:val="24"/>
                <w:lang w:val="sr-Cyrl-CS"/>
              </w:rPr>
              <w:t>евра</w:t>
            </w:r>
            <w:r w:rsidRPr="00CC35F0">
              <w:rPr>
                <w:rFonts w:ascii="Times New Roman" w:eastAsia="Times New Roman" w:hAnsi="Times New Roman"/>
                <w:color w:val="FFFFFF"/>
                <w:sz w:val="24"/>
                <w:szCs w:val="24"/>
                <w:lang w:val="sr-Cyrl-CS"/>
              </w:rPr>
              <w:t>] </w:t>
            </w:r>
          </w:p>
        </w:tc>
        <w:tc>
          <w:tcPr>
            <w:tcW w:w="2532" w:type="dxa"/>
            <w:gridSpan w:val="3"/>
            <w:shd w:val="clear" w:color="auto" w:fill="44546A"/>
            <w:vAlign w:val="center"/>
          </w:tcPr>
          <w:p w14:paraId="56228C42" w14:textId="77777777" w:rsidR="00A0251B" w:rsidRPr="00CC35F0" w:rsidRDefault="008D6506">
            <w:pPr>
              <w:spacing w:after="0" w:line="240" w:lineRule="auto"/>
              <w:ind w:left="-142" w:right="-74"/>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Извор финансирања </w:t>
            </w:r>
          </w:p>
        </w:tc>
        <w:tc>
          <w:tcPr>
            <w:tcW w:w="2865" w:type="dxa"/>
            <w:vMerge w:val="restart"/>
            <w:shd w:val="clear" w:color="auto" w:fill="44546A"/>
            <w:vAlign w:val="center"/>
          </w:tcPr>
          <w:p w14:paraId="066BB58B" w14:textId="77777777" w:rsidR="00A0251B" w:rsidRPr="00CC35F0" w:rsidRDefault="008D6506">
            <w:pPr>
              <w:spacing w:after="0" w:line="240" w:lineRule="auto"/>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Напомена</w:t>
            </w:r>
          </w:p>
        </w:tc>
        <w:tc>
          <w:tcPr>
            <w:tcW w:w="665" w:type="dxa"/>
            <w:vMerge w:val="restart"/>
            <w:shd w:val="clear" w:color="auto" w:fill="44546A"/>
            <w:vAlign w:val="center"/>
          </w:tcPr>
          <w:p w14:paraId="6D2048BF" w14:textId="77777777" w:rsidR="00A0251B" w:rsidRPr="00CC35F0" w:rsidRDefault="008D6506">
            <w:pPr>
              <w:spacing w:after="0" w:line="240" w:lineRule="auto"/>
              <w:ind w:left="-57" w:right="-57"/>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Рок за спровођење</w:t>
            </w:r>
          </w:p>
        </w:tc>
      </w:tr>
      <w:tr w:rsidR="00A0251B" w:rsidRPr="00CC35F0" w14:paraId="153CA960" w14:textId="77777777" w:rsidTr="00B14BBF">
        <w:trPr>
          <w:tblHeader/>
        </w:trPr>
        <w:tc>
          <w:tcPr>
            <w:tcW w:w="566" w:type="dxa"/>
            <w:vMerge/>
            <w:shd w:val="clear" w:color="auto" w:fill="44546A"/>
            <w:vAlign w:val="center"/>
          </w:tcPr>
          <w:p w14:paraId="5E016FC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5672" w:type="dxa"/>
            <w:vMerge/>
            <w:shd w:val="clear" w:color="auto" w:fill="44546A"/>
            <w:vAlign w:val="center"/>
          </w:tcPr>
          <w:p w14:paraId="782A1FB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2551" w:type="dxa"/>
            <w:gridSpan w:val="3"/>
            <w:vMerge/>
            <w:shd w:val="clear" w:color="auto" w:fill="44546A"/>
            <w:vAlign w:val="center"/>
          </w:tcPr>
          <w:p w14:paraId="030FF4C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884" w:type="dxa"/>
            <w:vMerge/>
            <w:shd w:val="clear" w:color="auto" w:fill="44546A"/>
          </w:tcPr>
          <w:p w14:paraId="162DE71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2532" w:type="dxa"/>
            <w:gridSpan w:val="3"/>
            <w:shd w:val="clear" w:color="auto" w:fill="44546A"/>
            <w:vAlign w:val="center"/>
          </w:tcPr>
          <w:p w14:paraId="7A06EF56" w14:textId="77777777" w:rsidR="00A0251B" w:rsidRPr="00CC35F0" w:rsidRDefault="008D6506">
            <w:pPr>
              <w:spacing w:after="0" w:line="240" w:lineRule="auto"/>
              <w:ind w:left="-142" w:right="-74"/>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[милиони евра]</w:t>
            </w:r>
          </w:p>
        </w:tc>
        <w:tc>
          <w:tcPr>
            <w:tcW w:w="2865" w:type="dxa"/>
            <w:vMerge/>
            <w:shd w:val="clear" w:color="auto" w:fill="44546A"/>
            <w:vAlign w:val="center"/>
          </w:tcPr>
          <w:p w14:paraId="7718BDDC"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665" w:type="dxa"/>
            <w:vMerge/>
            <w:shd w:val="clear" w:color="auto" w:fill="44546A"/>
            <w:vAlign w:val="center"/>
          </w:tcPr>
          <w:p w14:paraId="0B38987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r>
      <w:tr w:rsidR="00A0251B" w:rsidRPr="00CC35F0" w14:paraId="1F43E383" w14:textId="77777777" w:rsidTr="00B14BBF">
        <w:trPr>
          <w:tblHeader/>
        </w:trPr>
        <w:tc>
          <w:tcPr>
            <w:tcW w:w="566" w:type="dxa"/>
            <w:vMerge/>
            <w:shd w:val="clear" w:color="auto" w:fill="44546A"/>
            <w:vAlign w:val="center"/>
          </w:tcPr>
          <w:p w14:paraId="533A938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5672" w:type="dxa"/>
            <w:vMerge/>
            <w:shd w:val="clear" w:color="auto" w:fill="44546A"/>
            <w:vAlign w:val="center"/>
          </w:tcPr>
          <w:p w14:paraId="093B739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1106" w:type="dxa"/>
            <w:shd w:val="clear" w:color="auto" w:fill="44546A"/>
            <w:vAlign w:val="center"/>
          </w:tcPr>
          <w:p w14:paraId="48CE7339" w14:textId="77777777" w:rsidR="00A31DFA"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Инвести</w:t>
            </w:r>
          </w:p>
          <w:p w14:paraId="332725DA" w14:textId="77777777" w:rsidR="00A0251B" w:rsidRPr="00CC35F0"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тори </w:t>
            </w:r>
          </w:p>
        </w:tc>
        <w:tc>
          <w:tcPr>
            <w:tcW w:w="769" w:type="dxa"/>
            <w:shd w:val="clear" w:color="auto" w:fill="44546A"/>
            <w:vAlign w:val="center"/>
          </w:tcPr>
          <w:p w14:paraId="7FE3F55B" w14:textId="77777777" w:rsidR="00A0251B" w:rsidRPr="00CC35F0"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Потрошачи</w:t>
            </w:r>
          </w:p>
        </w:tc>
        <w:tc>
          <w:tcPr>
            <w:tcW w:w="676" w:type="dxa"/>
            <w:shd w:val="clear" w:color="auto" w:fill="44546A"/>
            <w:vAlign w:val="center"/>
          </w:tcPr>
          <w:p w14:paraId="6748AA1A" w14:textId="77777777" w:rsidR="00A31DFA"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Држа</w:t>
            </w:r>
          </w:p>
          <w:p w14:paraId="69B2A5FF" w14:textId="77777777" w:rsidR="00A0251B" w:rsidRPr="00CC35F0"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ва</w:t>
            </w:r>
          </w:p>
        </w:tc>
        <w:tc>
          <w:tcPr>
            <w:tcW w:w="884" w:type="dxa"/>
            <w:vMerge/>
            <w:shd w:val="clear" w:color="auto" w:fill="44546A"/>
          </w:tcPr>
          <w:p w14:paraId="05971FD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551" w:type="dxa"/>
            <w:shd w:val="clear" w:color="auto" w:fill="44546A"/>
            <w:vAlign w:val="center"/>
          </w:tcPr>
          <w:p w14:paraId="11ACA29E" w14:textId="77777777" w:rsidR="00A31DFA" w:rsidRDefault="008D6506">
            <w:pPr>
              <w:spacing w:after="0" w:line="240" w:lineRule="auto"/>
              <w:ind w:left="-142" w:right="-74"/>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При</w:t>
            </w:r>
          </w:p>
          <w:p w14:paraId="26E74D62" w14:textId="77777777" w:rsidR="00A31DFA" w:rsidRDefault="00A31DFA">
            <w:pPr>
              <w:spacing w:after="0" w:line="240" w:lineRule="auto"/>
              <w:ind w:left="-142" w:right="-74"/>
              <w:jc w:val="center"/>
              <w:rPr>
                <w:rFonts w:ascii="Times New Roman" w:eastAsia="Times New Roman" w:hAnsi="Times New Roman"/>
                <w:color w:val="FFFFFF"/>
                <w:sz w:val="24"/>
                <w:szCs w:val="24"/>
                <w:lang w:val="sr-Cyrl-CS"/>
              </w:rPr>
            </w:pPr>
            <w:r>
              <w:rPr>
                <w:rFonts w:ascii="Times New Roman" w:eastAsia="Times New Roman" w:hAnsi="Times New Roman"/>
                <w:color w:val="FFFFFF"/>
                <w:sz w:val="24"/>
                <w:szCs w:val="24"/>
                <w:lang w:val="sr-Cyrl-RS"/>
              </w:rPr>
              <w:t>в</w:t>
            </w:r>
            <w:r w:rsidR="008D6506" w:rsidRPr="00CC35F0">
              <w:rPr>
                <w:rFonts w:ascii="Times New Roman" w:eastAsia="Times New Roman" w:hAnsi="Times New Roman"/>
                <w:color w:val="FFFFFF"/>
                <w:sz w:val="24"/>
                <w:szCs w:val="24"/>
                <w:lang w:val="sr-Cyrl-CS"/>
              </w:rPr>
              <w:t>а</w:t>
            </w:r>
          </w:p>
          <w:p w14:paraId="1290751B" w14:textId="77777777" w:rsidR="00A31DFA" w:rsidRDefault="008D6506">
            <w:pPr>
              <w:spacing w:after="0" w:line="240" w:lineRule="auto"/>
              <w:ind w:left="-142" w:right="-74"/>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тни сек</w:t>
            </w:r>
          </w:p>
          <w:p w14:paraId="4AE951BE" w14:textId="77777777" w:rsidR="00A0251B" w:rsidRPr="00CC35F0" w:rsidRDefault="008D6506">
            <w:pPr>
              <w:spacing w:after="0" w:line="240" w:lineRule="auto"/>
              <w:ind w:left="-142" w:right="-74"/>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тор</w:t>
            </w:r>
          </w:p>
        </w:tc>
        <w:tc>
          <w:tcPr>
            <w:tcW w:w="810" w:type="dxa"/>
            <w:shd w:val="clear" w:color="auto" w:fill="44546A"/>
            <w:vAlign w:val="center"/>
          </w:tcPr>
          <w:p w14:paraId="73F1C40E" w14:textId="77777777" w:rsidR="00A31DFA" w:rsidRDefault="008D6506">
            <w:pPr>
              <w:spacing w:after="0" w:line="240" w:lineRule="auto"/>
              <w:ind w:left="-142" w:right="-93"/>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ЕУ и други фондо</w:t>
            </w:r>
          </w:p>
          <w:p w14:paraId="1CFB4BB8" w14:textId="77777777" w:rsidR="00A0251B" w:rsidRPr="00CC35F0" w:rsidRDefault="008D6506">
            <w:pPr>
              <w:spacing w:after="0" w:line="240" w:lineRule="auto"/>
              <w:ind w:left="-142" w:right="-93"/>
              <w:jc w:val="center"/>
              <w:rPr>
                <w:rFonts w:ascii="Times New Roman" w:eastAsia="Times New Roman" w:hAnsi="Times New Roman"/>
                <w:color w:val="FFFFFF"/>
                <w:sz w:val="24"/>
                <w:szCs w:val="24"/>
                <w:u w:val="single"/>
                <w:lang w:val="sr-Cyrl-CS"/>
              </w:rPr>
            </w:pPr>
            <w:r w:rsidRPr="00CC35F0">
              <w:rPr>
                <w:rFonts w:ascii="Times New Roman" w:eastAsia="Times New Roman" w:hAnsi="Times New Roman"/>
                <w:color w:val="FFFFFF"/>
                <w:sz w:val="24"/>
                <w:szCs w:val="24"/>
                <w:lang w:val="sr-Cyrl-CS"/>
              </w:rPr>
              <w:t>ви</w:t>
            </w:r>
            <w:r w:rsidRPr="00CC35F0">
              <w:rPr>
                <w:rFonts w:ascii="Times New Roman" w:eastAsia="Times New Roman" w:hAnsi="Times New Roman"/>
                <w:color w:val="FFFFFF"/>
                <w:sz w:val="24"/>
                <w:szCs w:val="24"/>
                <w:vertAlign w:val="superscript"/>
                <w:lang w:val="sr-Cyrl-CS"/>
              </w:rPr>
              <w:footnoteReference w:id="46"/>
            </w:r>
          </w:p>
        </w:tc>
        <w:tc>
          <w:tcPr>
            <w:tcW w:w="1171" w:type="dxa"/>
            <w:shd w:val="clear" w:color="auto" w:fill="44546A"/>
            <w:vAlign w:val="center"/>
          </w:tcPr>
          <w:p w14:paraId="6F94846B" w14:textId="77777777" w:rsidR="00A0251B" w:rsidRPr="00CC35F0" w:rsidRDefault="008D6506">
            <w:pPr>
              <w:spacing w:after="0" w:line="240" w:lineRule="auto"/>
              <w:ind w:left="-142" w:right="-74"/>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Државни буџет</w:t>
            </w:r>
          </w:p>
        </w:tc>
        <w:tc>
          <w:tcPr>
            <w:tcW w:w="2865" w:type="dxa"/>
            <w:vMerge/>
            <w:shd w:val="clear" w:color="auto" w:fill="44546A"/>
            <w:vAlign w:val="center"/>
          </w:tcPr>
          <w:p w14:paraId="2FA8EE0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665" w:type="dxa"/>
            <w:vMerge/>
            <w:shd w:val="clear" w:color="auto" w:fill="44546A"/>
            <w:vAlign w:val="center"/>
          </w:tcPr>
          <w:p w14:paraId="7EBFCDB7"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r>
      <w:tr w:rsidR="00A0251B" w:rsidRPr="00CC35F0" w14:paraId="4D52D730" w14:textId="77777777" w:rsidTr="00B14BBF">
        <w:trPr>
          <w:trHeight w:val="441"/>
        </w:trPr>
        <w:tc>
          <w:tcPr>
            <w:tcW w:w="15735" w:type="dxa"/>
            <w:gridSpan w:val="11"/>
            <w:shd w:val="clear" w:color="auto" w:fill="DDEBF7"/>
            <w:vAlign w:val="center"/>
          </w:tcPr>
          <w:p w14:paraId="0A7BE026" w14:textId="77777777" w:rsidR="00A0251B" w:rsidRPr="00CC35F0" w:rsidRDefault="008D6506">
            <w:pPr>
              <w:rPr>
                <w:rFonts w:ascii="Times New Roman" w:eastAsia="Times New Roman" w:hAnsi="Times New Roman"/>
                <w:b/>
                <w:sz w:val="24"/>
                <w:szCs w:val="24"/>
                <w:highlight w:val="yellow"/>
                <w:lang w:val="sr-Cyrl-CS"/>
              </w:rPr>
            </w:pPr>
            <w:r w:rsidRPr="00CC35F0">
              <w:rPr>
                <w:rFonts w:ascii="Times New Roman" w:eastAsia="Times New Roman" w:hAnsi="Times New Roman"/>
                <w:b/>
                <w:sz w:val="24"/>
                <w:szCs w:val="24"/>
                <w:lang w:val="sr-Cyrl-CS"/>
              </w:rPr>
              <w:t>Посебни циљ 1: Смањење емисија SO2 за 92% и суспендованих честица PM2.5 за 58,3% из сектора енергетике (укључујући саобраћај и индивидуална ложишта)</w:t>
            </w:r>
            <w:r w:rsidRPr="00CC35F0">
              <w:rPr>
                <w:rFonts w:ascii="Times New Roman" w:eastAsia="Times New Roman" w:hAnsi="Times New Roman"/>
                <w:i/>
                <w:sz w:val="24"/>
                <w:szCs w:val="24"/>
                <w:lang w:val="sr-Cyrl-CS"/>
              </w:rPr>
              <w:t xml:space="preserve"> </w:t>
            </w:r>
            <w:r w:rsidRPr="00CC35F0">
              <w:rPr>
                <w:rFonts w:ascii="Times New Roman" w:eastAsia="Times New Roman" w:hAnsi="Times New Roman"/>
                <w:b/>
                <w:sz w:val="24"/>
                <w:szCs w:val="24"/>
                <w:lang w:val="sr-Cyrl-CS"/>
              </w:rPr>
              <w:t xml:space="preserve"> 2030. године у поређењу са 2015. годином</w:t>
            </w:r>
          </w:p>
        </w:tc>
      </w:tr>
      <w:tr w:rsidR="00A0251B" w:rsidRPr="00CC35F0" w14:paraId="1B57322E" w14:textId="77777777" w:rsidTr="00B14BBF">
        <w:trPr>
          <w:trHeight w:val="603"/>
        </w:trPr>
        <w:tc>
          <w:tcPr>
            <w:tcW w:w="566" w:type="dxa"/>
            <w:shd w:val="clear" w:color="auto" w:fill="D9D9D9"/>
            <w:vAlign w:val="center"/>
          </w:tcPr>
          <w:p w14:paraId="7E162DEA"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w:t>
            </w:r>
          </w:p>
          <w:p w14:paraId="33EC7646"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B1)</w:t>
            </w:r>
          </w:p>
        </w:tc>
        <w:tc>
          <w:tcPr>
            <w:tcW w:w="5672" w:type="dxa"/>
            <w:shd w:val="clear" w:color="auto" w:fill="D9D9D9"/>
            <w:vAlign w:val="center"/>
          </w:tcPr>
          <w:p w14:paraId="11823679"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Спровођење Поглавља II Директиве ЕУ о индустријским емисијама у великим постројењима за сагоревање, узимајући у обзир средње вредности горњих и доњих BAT AELs</w:t>
            </w:r>
          </w:p>
        </w:tc>
        <w:tc>
          <w:tcPr>
            <w:tcW w:w="1106" w:type="dxa"/>
            <w:shd w:val="clear" w:color="auto" w:fill="D9D9D9"/>
            <w:vAlign w:val="center"/>
          </w:tcPr>
          <w:p w14:paraId="4B7067AB"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27,9</w:t>
            </w:r>
          </w:p>
        </w:tc>
        <w:tc>
          <w:tcPr>
            <w:tcW w:w="769" w:type="dxa"/>
            <w:shd w:val="clear" w:color="auto" w:fill="D9D9D9"/>
            <w:vAlign w:val="center"/>
          </w:tcPr>
          <w:p w14:paraId="3245EF4D"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D9D9D9"/>
            <w:vAlign w:val="center"/>
          </w:tcPr>
          <w:p w14:paraId="3FFA3131"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D9D9D9"/>
            <w:vAlign w:val="center"/>
          </w:tcPr>
          <w:p w14:paraId="7C3E04EE"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551" w:type="dxa"/>
            <w:shd w:val="clear" w:color="auto" w:fill="D9D9D9"/>
            <w:vAlign w:val="center"/>
          </w:tcPr>
          <w:p w14:paraId="72502062"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06F74E9C"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0,4</w:t>
            </w:r>
          </w:p>
        </w:tc>
        <w:tc>
          <w:tcPr>
            <w:tcW w:w="1171" w:type="dxa"/>
            <w:shd w:val="clear" w:color="auto" w:fill="D9D9D9"/>
            <w:vAlign w:val="center"/>
          </w:tcPr>
          <w:p w14:paraId="588F65A7" w14:textId="77777777" w:rsidR="00A0251B" w:rsidRPr="00CC35F0" w:rsidRDefault="00C91DAD" w:rsidP="00C91DAD">
            <w:pPr>
              <w:spacing w:after="0" w:line="240" w:lineRule="auto"/>
              <w:ind w:left="-142" w:right="24"/>
              <w:rPr>
                <w:rFonts w:ascii="Times New Roman" w:eastAsia="Times New Roman" w:hAnsi="Times New Roman"/>
                <w:b/>
                <w:vertAlign w:val="superscript"/>
                <w:lang w:val="sr-Cyrl-CS"/>
              </w:rPr>
            </w:pPr>
            <w:r w:rsidRPr="00CC35F0">
              <w:rPr>
                <w:rFonts w:ascii="Times New Roman" w:eastAsia="Times New Roman" w:hAnsi="Times New Roman"/>
                <w:b/>
                <w:sz w:val="24"/>
                <w:szCs w:val="24"/>
                <w:lang w:val="sr-Cyrl-CS"/>
              </w:rPr>
              <w:t xml:space="preserve"> </w:t>
            </w:r>
            <w:r w:rsidR="008D6506" w:rsidRPr="00CC35F0">
              <w:rPr>
                <w:rFonts w:ascii="Times New Roman" w:eastAsia="Times New Roman" w:hAnsi="Times New Roman"/>
                <w:b/>
                <w:sz w:val="24"/>
                <w:szCs w:val="24"/>
                <w:lang w:val="sr-Cyrl-CS"/>
              </w:rPr>
              <w:t>(3,24)</w:t>
            </w:r>
          </w:p>
        </w:tc>
        <w:tc>
          <w:tcPr>
            <w:tcW w:w="2865" w:type="dxa"/>
            <w:shd w:val="clear" w:color="auto" w:fill="D9D9D9"/>
            <w:vAlign w:val="center"/>
          </w:tcPr>
          <w:p w14:paraId="103B8D3D"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Инвестиције у технике смањења емисија SO</w:t>
            </w:r>
            <w:r w:rsidRPr="00CC35F0">
              <w:rPr>
                <w:rFonts w:ascii="Times New Roman" w:eastAsia="Times New Roman" w:hAnsi="Times New Roman"/>
                <w:color w:val="000000"/>
                <w:sz w:val="24"/>
                <w:szCs w:val="24"/>
                <w:vertAlign w:val="subscript"/>
                <w:lang w:val="sr-Cyrl-CS"/>
              </w:rPr>
              <w:t>2</w:t>
            </w:r>
            <w:r w:rsidRPr="00CC35F0">
              <w:rPr>
                <w:rFonts w:ascii="Times New Roman" w:eastAsia="Times New Roman" w:hAnsi="Times New Roman"/>
                <w:color w:val="000000"/>
                <w:sz w:val="24"/>
                <w:szCs w:val="24"/>
                <w:lang w:val="sr-Cyrl-CS"/>
              </w:rPr>
              <w:t>, NOx и PM</w:t>
            </w:r>
          </w:p>
        </w:tc>
        <w:tc>
          <w:tcPr>
            <w:tcW w:w="665" w:type="dxa"/>
            <w:shd w:val="clear" w:color="auto" w:fill="D9D9D9"/>
            <w:vAlign w:val="center"/>
          </w:tcPr>
          <w:p w14:paraId="57A62145"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2025</w:t>
            </w:r>
          </w:p>
        </w:tc>
      </w:tr>
      <w:tr w:rsidR="00A0251B" w:rsidRPr="00CC35F0" w14:paraId="200002A2" w14:textId="77777777" w:rsidTr="00B14BBF">
        <w:trPr>
          <w:trHeight w:val="1490"/>
        </w:trPr>
        <w:tc>
          <w:tcPr>
            <w:tcW w:w="566" w:type="dxa"/>
            <w:shd w:val="clear" w:color="auto" w:fill="auto"/>
            <w:vAlign w:val="center"/>
          </w:tcPr>
          <w:p w14:paraId="7B2CC794" w14:textId="77777777" w:rsidR="00A0251B" w:rsidRPr="00CC35F0" w:rsidRDefault="008D6506">
            <w:pPr>
              <w:spacing w:after="0" w:line="240" w:lineRule="auto"/>
              <w:ind w:left="-103" w:right="-98"/>
              <w:jc w:val="center"/>
              <w:rPr>
                <w:rFonts w:ascii="Times New Roman" w:eastAsia="Times New Roman" w:hAnsi="Times New Roman"/>
                <w:color w:val="0563C1"/>
                <w:sz w:val="24"/>
                <w:szCs w:val="24"/>
                <w:u w:val="single"/>
                <w:lang w:val="sr-Cyrl-CS"/>
              </w:rPr>
            </w:pPr>
            <w:r w:rsidRPr="00CC35F0">
              <w:rPr>
                <w:rFonts w:ascii="Times New Roman" w:eastAsia="Times New Roman" w:hAnsi="Times New Roman"/>
                <w:color w:val="000000"/>
                <w:sz w:val="24"/>
                <w:szCs w:val="24"/>
                <w:lang w:val="sr-Cyrl-CS"/>
              </w:rPr>
              <w:lastRenderedPageBreak/>
              <w:t>[A]</w:t>
            </w:r>
            <w:r w:rsidRPr="00CC35F0">
              <w:rPr>
                <w:rFonts w:ascii="Times New Roman" w:eastAsia="Times New Roman" w:hAnsi="Times New Roman"/>
                <w:color w:val="000000"/>
                <w:sz w:val="24"/>
                <w:szCs w:val="24"/>
                <w:vertAlign w:val="superscript"/>
                <w:lang w:val="sr-Cyrl-CS"/>
              </w:rPr>
              <w:footnoteReference w:id="47"/>
            </w:r>
          </w:p>
        </w:tc>
        <w:tc>
          <w:tcPr>
            <w:tcW w:w="5672" w:type="dxa"/>
            <w:shd w:val="clear" w:color="auto" w:fill="auto"/>
          </w:tcPr>
          <w:p w14:paraId="7FF173CB" w14:textId="77777777" w:rsidR="00A2694A"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Обезбеђивање потпуног усклађивања </w:t>
            </w:r>
          </w:p>
          <w:p w14:paraId="6CF43CD6" w14:textId="77777777" w:rsidR="00A0251B" w:rsidRPr="00CC35F0" w:rsidRDefault="00406104">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законодавства</w:t>
            </w:r>
            <w:r>
              <w:rPr>
                <w:rFonts w:ascii="Times New Roman" w:eastAsia="Times New Roman" w:hAnsi="Times New Roman"/>
                <w:color w:val="000000"/>
                <w:sz w:val="24"/>
                <w:szCs w:val="24"/>
                <w:lang w:val="sr-Cyrl-CS"/>
              </w:rPr>
              <w:t xml:space="preserve"> </w:t>
            </w:r>
            <w:r w:rsidR="00A2694A" w:rsidRPr="00A2694A">
              <w:rPr>
                <w:rFonts w:ascii="Times New Roman" w:eastAsia="Times New Roman" w:hAnsi="Times New Roman"/>
                <w:bCs/>
                <w:color w:val="000000"/>
                <w:sz w:val="24"/>
                <w:szCs w:val="24"/>
                <w:lang w:val="sr-Cyrl-RS"/>
              </w:rPr>
              <w:t>Републике Србије</w:t>
            </w:r>
            <w:r w:rsidR="008D6506" w:rsidRPr="00CC35F0">
              <w:rPr>
                <w:rFonts w:ascii="Times New Roman" w:eastAsia="Times New Roman" w:hAnsi="Times New Roman"/>
                <w:color w:val="000000"/>
                <w:sz w:val="24"/>
                <w:szCs w:val="24"/>
                <w:lang w:val="sr-Cyrl-CS"/>
              </w:rPr>
              <w:t xml:space="preserve"> са Директивом о индустријским емисијама за велика постројења са сагоревањем, Анекс 1 – измене и допуне подзаконских аката</w:t>
            </w:r>
            <w:r w:rsidR="008D6506" w:rsidRPr="00CC35F0">
              <w:rPr>
                <w:rFonts w:ascii="Times New Roman" w:eastAsia="Times New Roman" w:hAnsi="Times New Roman"/>
                <w:color w:val="000000"/>
                <w:sz w:val="24"/>
                <w:szCs w:val="24"/>
                <w:vertAlign w:val="superscript"/>
                <w:lang w:val="sr-Cyrl-CS"/>
              </w:rPr>
              <w:footnoteReference w:id="48"/>
            </w:r>
          </w:p>
          <w:p w14:paraId="70CED4F3" w14:textId="77777777" w:rsidR="00A0251B" w:rsidRPr="00CC35F0" w:rsidRDefault="00A0251B">
            <w:pPr>
              <w:spacing w:after="0" w:line="240" w:lineRule="auto"/>
              <w:ind w:left="-107" w:right="-110"/>
              <w:jc w:val="left"/>
              <w:rPr>
                <w:rFonts w:ascii="Times New Roman" w:eastAsia="Times New Roman" w:hAnsi="Times New Roman"/>
                <w:color w:val="000000"/>
                <w:sz w:val="24"/>
                <w:szCs w:val="24"/>
                <w:lang w:val="sr-Cyrl-CS"/>
              </w:rPr>
            </w:pPr>
          </w:p>
        </w:tc>
        <w:tc>
          <w:tcPr>
            <w:tcW w:w="1106" w:type="dxa"/>
            <w:shd w:val="clear" w:color="auto" w:fill="auto"/>
            <w:vAlign w:val="center"/>
          </w:tcPr>
          <w:p w14:paraId="49CC6E2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42ABB6F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509652C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31F1A51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1E56F0D8"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08625C9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4088048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vAlign w:val="center"/>
          </w:tcPr>
          <w:p w14:paraId="3D233EF5" w14:textId="77777777" w:rsidR="00A0251B" w:rsidRPr="00CC35F0" w:rsidRDefault="008D6506" w:rsidP="001C4EE9">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Пројекат ДИЕ Србија „Спровођење Директиве о индустријским емисијама у Србији</w:t>
            </w:r>
            <w:r w:rsidR="0015061A" w:rsidRPr="00CC35F0">
              <w:rPr>
                <w:rFonts w:ascii="Times New Roman" w:eastAsia="Times New Roman" w:hAnsi="Times New Roman"/>
                <w:bCs/>
                <w:color w:val="000000"/>
                <w:spacing w:val="-1"/>
                <w:sz w:val="24"/>
                <w:szCs w:val="24"/>
                <w:lang w:val="sr-Cyrl-CS"/>
              </w:rPr>
              <w:t>”</w:t>
            </w:r>
            <w:r w:rsidRPr="00CC35F0">
              <w:rPr>
                <w:rFonts w:ascii="Times New Roman" w:eastAsia="Times New Roman" w:hAnsi="Times New Roman"/>
                <w:color w:val="000000"/>
                <w:sz w:val="24"/>
                <w:szCs w:val="24"/>
                <w:lang w:val="sr-Cyrl-CS"/>
              </w:rPr>
              <w:t xml:space="preserve"> идентификовао је измене и допуне неопходне за правилну надоградњу важећег правног оквира и осигурање потпуне примене Директиве о индустријским емисијама. Према Специфичном плану за спровођење, измене важећег правног оквира заказане су за 2021. годину. </w:t>
            </w:r>
            <w:r w:rsidR="00A80DC6" w:rsidRPr="00CC35F0">
              <w:rPr>
                <w:rFonts w:ascii="Times New Roman" w:eastAsia="Times New Roman" w:hAnsi="Times New Roman"/>
                <w:color w:val="000000"/>
                <w:sz w:val="24"/>
                <w:szCs w:val="24"/>
                <w:lang w:val="sr-Cyrl-CS"/>
              </w:rPr>
              <w:t>Д</w:t>
            </w:r>
            <w:r w:rsidRPr="00CC35F0">
              <w:rPr>
                <w:rFonts w:ascii="Times New Roman" w:eastAsia="Times New Roman" w:hAnsi="Times New Roman"/>
                <w:color w:val="000000"/>
                <w:sz w:val="24"/>
                <w:szCs w:val="24"/>
                <w:lang w:val="sr-Cyrl-CS"/>
              </w:rPr>
              <w:t>одатни програм рада није предложен на овом нивоу.</w:t>
            </w:r>
            <w:r w:rsidR="003E57FE" w:rsidRPr="00CC35F0">
              <w:rPr>
                <w:rFonts w:ascii="Times New Roman" w:eastAsia="Times New Roman" w:hAnsi="Times New Roman"/>
                <w:color w:val="000000"/>
                <w:sz w:val="24"/>
                <w:szCs w:val="24"/>
                <w:lang w:val="sr-Cyrl-CS"/>
              </w:rPr>
              <w:t xml:space="preserve"> </w:t>
            </w:r>
          </w:p>
        </w:tc>
        <w:tc>
          <w:tcPr>
            <w:tcW w:w="665" w:type="dxa"/>
            <w:shd w:val="clear" w:color="auto" w:fill="auto"/>
            <w:vAlign w:val="center"/>
          </w:tcPr>
          <w:p w14:paraId="0C331D84"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2022.</w:t>
            </w:r>
          </w:p>
        </w:tc>
      </w:tr>
      <w:tr w:rsidR="00A0251B" w:rsidRPr="00CC35F0" w14:paraId="77C2E187" w14:textId="77777777" w:rsidTr="00B14BBF">
        <w:trPr>
          <w:trHeight w:val="321"/>
        </w:trPr>
        <w:tc>
          <w:tcPr>
            <w:tcW w:w="566" w:type="dxa"/>
            <w:shd w:val="clear" w:color="auto" w:fill="auto"/>
            <w:vAlign w:val="center"/>
          </w:tcPr>
          <w:p w14:paraId="3B71C4BD"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672" w:type="dxa"/>
            <w:shd w:val="clear" w:color="auto" w:fill="auto"/>
          </w:tcPr>
          <w:p w14:paraId="16954FDE"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Обезбеђивање повећања броја запослених у институцијама Републике Србије на пословима издавања интегрисане дозволе у складу са </w:t>
            </w:r>
            <w:r w:rsidRPr="00CC35F0">
              <w:rPr>
                <w:rFonts w:ascii="Times New Roman" w:eastAsia="Times New Roman" w:hAnsi="Times New Roman"/>
                <w:color w:val="000000"/>
                <w:sz w:val="24"/>
                <w:szCs w:val="24"/>
                <w:lang w:val="sr-Cyrl-CS"/>
              </w:rPr>
              <w:lastRenderedPageBreak/>
              <w:t>идентификованим потребама у Специфичном плану за провођење ДИЕ (Пројекат ДИЕ Србија):</w:t>
            </w:r>
          </w:p>
          <w:p w14:paraId="7925BCE1"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 Одељење за интегрисане дозволе: 4 радна места, издаваоци дозвола, слободна радна места; 6 радних места са техничким квалификацијама (постепено повећање броја запослених у овом одељењу у средњорочној перспективи) и 1 радно место са законским овлашћењима</w:t>
            </w:r>
          </w:p>
          <w:p w14:paraId="37CBFDA6" w14:textId="77777777" w:rsidR="00A0251B" w:rsidRPr="00CC35F0" w:rsidRDefault="00132491">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АП</w:t>
            </w:r>
            <w:r w:rsidR="008D6506" w:rsidRPr="00CC35F0">
              <w:rPr>
                <w:rFonts w:ascii="Times New Roman" w:eastAsia="Times New Roman" w:hAnsi="Times New Roman"/>
                <w:color w:val="000000"/>
                <w:sz w:val="24"/>
                <w:szCs w:val="24"/>
                <w:lang w:val="sr-Cyrl-CS"/>
              </w:rPr>
              <w:t xml:space="preserve"> Војводина (Покрајински секретаријат за урбанизам и заштиту животне средине): 2 радна места, издаваоци дозвола, 1 радно место за правника</w:t>
            </w:r>
          </w:p>
          <w:p w14:paraId="27CE912A"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(Одсек за заштиту ваздуха и озонског омотача):</w:t>
            </w:r>
          </w:p>
          <w:p w14:paraId="3AA3B327"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ДИЕ Поглавље 3: 1 радно место за стручњака за велика постројења за сагоревање</w:t>
            </w:r>
          </w:p>
          <w:p w14:paraId="351CB02B"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ДИЕ Поглавље 4: 1 радно место за стручњака за инсинерацију отпада</w:t>
            </w:r>
          </w:p>
          <w:p w14:paraId="289F22A9"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ДИЕ Поглавље 5: 1 радно место, службеник са искуством у хемијском инжењерингу</w:t>
            </w:r>
          </w:p>
          <w:p w14:paraId="7C017A58"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w:t>
            </w:r>
          </w:p>
          <w:p w14:paraId="5FBF70B6"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ДИЕ Поглавље 5: 1 радно место, службеник са искуством у хемијском инжењерингу</w:t>
            </w:r>
          </w:p>
        </w:tc>
        <w:tc>
          <w:tcPr>
            <w:tcW w:w="1106" w:type="dxa"/>
            <w:shd w:val="clear" w:color="auto" w:fill="auto"/>
            <w:vAlign w:val="center"/>
          </w:tcPr>
          <w:p w14:paraId="4E53E1F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w:t>
            </w:r>
          </w:p>
        </w:tc>
        <w:tc>
          <w:tcPr>
            <w:tcW w:w="769" w:type="dxa"/>
            <w:shd w:val="clear" w:color="auto" w:fill="auto"/>
            <w:vAlign w:val="center"/>
          </w:tcPr>
          <w:p w14:paraId="030F9CA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08F8FB0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52C1E40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7356A84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5E823CA6"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455DA790"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(3,24)</w:t>
            </w:r>
            <w:r w:rsidRPr="00CC35F0">
              <w:rPr>
                <w:rFonts w:ascii="Times New Roman" w:eastAsia="Times New Roman" w:hAnsi="Times New Roman"/>
                <w:color w:val="000000"/>
                <w:sz w:val="24"/>
                <w:szCs w:val="24"/>
                <w:vertAlign w:val="superscript"/>
                <w:lang w:val="sr-Cyrl-CS"/>
              </w:rPr>
              <w:footnoteReference w:id="49"/>
            </w:r>
          </w:p>
        </w:tc>
        <w:tc>
          <w:tcPr>
            <w:tcW w:w="2865" w:type="dxa"/>
            <w:shd w:val="clear" w:color="auto" w:fill="auto"/>
            <w:vAlign w:val="center"/>
          </w:tcPr>
          <w:p w14:paraId="34F2116F"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 оквиру Пројекта ДИЕ Србија „Спровођење Директиве о индустријским емисијама у Србији</w:t>
            </w:r>
            <w:r w:rsidR="0015061A" w:rsidRPr="00CC35F0">
              <w:rPr>
                <w:rFonts w:ascii="Times New Roman" w:eastAsia="Times New Roman" w:hAnsi="Times New Roman"/>
                <w:bCs/>
                <w:color w:val="000000"/>
                <w:spacing w:val="-1"/>
                <w:sz w:val="24"/>
                <w:szCs w:val="24"/>
                <w:lang w:val="sr-Cyrl-CS"/>
              </w:rPr>
              <w:t>”</w:t>
            </w:r>
            <w:r w:rsidRPr="00CC35F0">
              <w:rPr>
                <w:rFonts w:ascii="Times New Roman" w:eastAsia="Times New Roman" w:hAnsi="Times New Roman"/>
                <w:color w:val="000000"/>
                <w:sz w:val="24"/>
                <w:szCs w:val="24"/>
                <w:lang w:val="sr-Cyrl-CS"/>
              </w:rPr>
              <w:t xml:space="preserve"> </w:t>
            </w:r>
            <w:r w:rsidRPr="00CC35F0">
              <w:rPr>
                <w:rFonts w:ascii="Times New Roman" w:eastAsia="Times New Roman" w:hAnsi="Times New Roman"/>
                <w:color w:val="000000"/>
                <w:sz w:val="24"/>
                <w:szCs w:val="24"/>
                <w:lang w:val="sr-Cyrl-CS"/>
              </w:rPr>
              <w:lastRenderedPageBreak/>
              <w:t>идентификоване су потребе за додатним људским ресурсима како би се осигурало да се дозволе издају исправно и благовремено. Специфичним планом за спровођење ове директиве идентификован је број потребних додатних ресурса (18 радних места). На овом нивоу нису идентификовани додатни захтеви, али су обезбеђени трошкови за ове додатне људске ресурсе.</w:t>
            </w:r>
          </w:p>
          <w:p w14:paraId="4593AC29"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p w14:paraId="4D407CC2"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tc>
        <w:tc>
          <w:tcPr>
            <w:tcW w:w="665" w:type="dxa"/>
            <w:shd w:val="clear" w:color="auto" w:fill="auto"/>
            <w:vAlign w:val="center"/>
          </w:tcPr>
          <w:p w14:paraId="3DFEEC7A"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2022.</w:t>
            </w:r>
          </w:p>
        </w:tc>
      </w:tr>
      <w:tr w:rsidR="00A0251B" w:rsidRPr="00CC35F0" w14:paraId="6466DA98" w14:textId="77777777" w:rsidTr="00B14BBF">
        <w:trPr>
          <w:trHeight w:val="473"/>
        </w:trPr>
        <w:tc>
          <w:tcPr>
            <w:tcW w:w="566" w:type="dxa"/>
            <w:shd w:val="clear" w:color="auto" w:fill="auto"/>
            <w:vAlign w:val="center"/>
          </w:tcPr>
          <w:p w14:paraId="0A52F6C0"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w:t>
            </w:r>
          </w:p>
        </w:tc>
        <w:tc>
          <w:tcPr>
            <w:tcW w:w="5672" w:type="dxa"/>
            <w:shd w:val="clear" w:color="auto" w:fill="auto"/>
          </w:tcPr>
          <w:p w14:paraId="2BD0DD39"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Обезбедити да сва велика постројења за сагоревање и велика индустријска постројења из Анекса 1 Директиве о индустријским емисијама имају издате интегрисане дозволе.</w:t>
            </w:r>
          </w:p>
        </w:tc>
        <w:tc>
          <w:tcPr>
            <w:tcW w:w="1106" w:type="dxa"/>
            <w:shd w:val="clear" w:color="auto" w:fill="auto"/>
            <w:vAlign w:val="center"/>
          </w:tcPr>
          <w:p w14:paraId="06C3936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27,9</w:t>
            </w:r>
            <w:r w:rsidRPr="00CC35F0">
              <w:rPr>
                <w:rFonts w:ascii="Times New Roman" w:eastAsia="Times New Roman" w:hAnsi="Times New Roman"/>
                <w:color w:val="000000"/>
                <w:sz w:val="24"/>
                <w:szCs w:val="24"/>
                <w:vertAlign w:val="superscript"/>
                <w:lang w:val="sr-Cyrl-CS"/>
              </w:rPr>
              <w:footnoteReference w:id="50"/>
            </w: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17FA72A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7E0DCFF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72EFA89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6F22B64A"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21B81937" w14:textId="77777777" w:rsidR="00A0251B" w:rsidRPr="00CC35F0" w:rsidRDefault="00A0251B">
            <w:pPr>
              <w:spacing w:after="0" w:line="240" w:lineRule="auto"/>
              <w:ind w:left="-142" w:right="-74"/>
              <w:jc w:val="left"/>
              <w:rPr>
                <w:rFonts w:ascii="Times New Roman" w:eastAsia="Times New Roman" w:hAnsi="Times New Roman"/>
                <w:color w:val="000000"/>
                <w:sz w:val="24"/>
                <w:szCs w:val="24"/>
                <w:lang w:val="sr-Cyrl-CS"/>
              </w:rPr>
            </w:pPr>
          </w:p>
        </w:tc>
        <w:tc>
          <w:tcPr>
            <w:tcW w:w="1171" w:type="dxa"/>
            <w:shd w:val="clear" w:color="auto" w:fill="auto"/>
            <w:vAlign w:val="center"/>
          </w:tcPr>
          <w:p w14:paraId="2EAC0ED9"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19C279B2"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tc>
        <w:tc>
          <w:tcPr>
            <w:tcW w:w="665" w:type="dxa"/>
            <w:shd w:val="clear" w:color="auto" w:fill="auto"/>
            <w:vAlign w:val="center"/>
          </w:tcPr>
          <w:p w14:paraId="54C3537E"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r>
      <w:tr w:rsidR="00A0251B" w:rsidRPr="00CC35F0" w14:paraId="6A5E80C4" w14:textId="77777777" w:rsidTr="00B14BBF">
        <w:trPr>
          <w:trHeight w:val="1490"/>
        </w:trPr>
        <w:tc>
          <w:tcPr>
            <w:tcW w:w="566" w:type="dxa"/>
            <w:shd w:val="clear" w:color="auto" w:fill="auto"/>
            <w:vAlign w:val="center"/>
          </w:tcPr>
          <w:p w14:paraId="58DCE08B"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672" w:type="dxa"/>
            <w:shd w:val="clear" w:color="auto" w:fill="auto"/>
          </w:tcPr>
          <w:p w14:paraId="2C9F20D8"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Обезбедити да сва постројења из делокруга Директиве о индустријским емисијама извештавају Националном регистру извора загађења (који испуњава </w:t>
            </w:r>
            <w:r w:rsidRPr="00CC35F0">
              <w:rPr>
                <w:rFonts w:ascii="Times New Roman" w:eastAsia="Times New Roman" w:hAnsi="Times New Roman"/>
                <w:i/>
                <w:color w:val="000000"/>
                <w:sz w:val="24"/>
                <w:szCs w:val="24"/>
                <w:lang w:val="sr-Cyrl-CS"/>
              </w:rPr>
              <w:t>E-PRTR</w:t>
            </w:r>
            <w:r w:rsidRPr="00CC35F0">
              <w:rPr>
                <w:rFonts w:ascii="Times New Roman" w:eastAsia="Times New Roman" w:hAnsi="Times New Roman"/>
                <w:color w:val="000000"/>
                <w:sz w:val="24"/>
                <w:szCs w:val="24"/>
                <w:lang w:val="sr-Cyrl-CS"/>
              </w:rPr>
              <w:t>)</w:t>
            </w:r>
          </w:p>
          <w:p w14:paraId="6FBBCAF8"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(успостављање програма за проверу квалитета и доследности  достављаних извештаја о емисијама у ваздух) </w:t>
            </w:r>
          </w:p>
        </w:tc>
        <w:tc>
          <w:tcPr>
            <w:tcW w:w="1106" w:type="dxa"/>
            <w:shd w:val="clear" w:color="auto" w:fill="auto"/>
            <w:vAlign w:val="center"/>
          </w:tcPr>
          <w:p w14:paraId="1266776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7FFF155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77E3690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6A41F0A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7EBA749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5218701E" w14:textId="77777777" w:rsidR="00A0251B" w:rsidRPr="00CC35F0" w:rsidRDefault="008D6506">
            <w:pPr>
              <w:spacing w:after="0" w:line="240" w:lineRule="auto"/>
              <w:ind w:left="-142" w:right="-74"/>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0,4</w:t>
            </w:r>
          </w:p>
        </w:tc>
        <w:tc>
          <w:tcPr>
            <w:tcW w:w="1171" w:type="dxa"/>
            <w:shd w:val="clear" w:color="auto" w:fill="auto"/>
            <w:vAlign w:val="center"/>
          </w:tcPr>
          <w:p w14:paraId="0E921B06"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vAlign w:val="center"/>
          </w:tcPr>
          <w:p w14:paraId="16236CC8" w14:textId="77777777" w:rsidR="00A0251B" w:rsidRPr="00CC35F0" w:rsidRDefault="008D6506">
            <w:pPr>
              <w:spacing w:after="0" w:line="240" w:lineRule="auto"/>
              <w:ind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Финансира се из донаторских средстава </w:t>
            </w:r>
          </w:p>
        </w:tc>
        <w:tc>
          <w:tcPr>
            <w:tcW w:w="665" w:type="dxa"/>
            <w:shd w:val="clear" w:color="auto" w:fill="auto"/>
            <w:vAlign w:val="center"/>
          </w:tcPr>
          <w:p w14:paraId="6810DF97"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2022-2024.</w:t>
            </w:r>
          </w:p>
        </w:tc>
      </w:tr>
      <w:tr w:rsidR="00A0251B" w:rsidRPr="00CC35F0" w14:paraId="0F20C422" w14:textId="77777777" w:rsidTr="00B14BBF">
        <w:trPr>
          <w:trHeight w:val="1490"/>
        </w:trPr>
        <w:tc>
          <w:tcPr>
            <w:tcW w:w="566" w:type="dxa"/>
            <w:shd w:val="clear" w:color="auto" w:fill="D9D9D9"/>
            <w:vAlign w:val="center"/>
          </w:tcPr>
          <w:p w14:paraId="467EC209"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Бр.2</w:t>
            </w:r>
          </w:p>
          <w:p w14:paraId="07E69D27"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A2)</w:t>
            </w:r>
          </w:p>
        </w:tc>
        <w:tc>
          <w:tcPr>
            <w:tcW w:w="5672" w:type="dxa"/>
            <w:shd w:val="clear" w:color="auto" w:fill="D9D9D9"/>
            <w:vAlign w:val="center"/>
          </w:tcPr>
          <w:p w14:paraId="35279864"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Спровођење Директиве ЕУ 2015/2193 о ограничењу емисија одређених загађујућих материја у ваздух из средњих постројења за сагоревање</w:t>
            </w:r>
          </w:p>
        </w:tc>
        <w:tc>
          <w:tcPr>
            <w:tcW w:w="1106" w:type="dxa"/>
            <w:shd w:val="clear" w:color="auto" w:fill="D9D9D9"/>
            <w:vAlign w:val="center"/>
          </w:tcPr>
          <w:p w14:paraId="4B0E0926"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115,81</w:t>
            </w:r>
          </w:p>
        </w:tc>
        <w:tc>
          <w:tcPr>
            <w:tcW w:w="769" w:type="dxa"/>
            <w:shd w:val="clear" w:color="auto" w:fill="D9D9D9"/>
            <w:vAlign w:val="center"/>
          </w:tcPr>
          <w:p w14:paraId="7481C1F4"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D9D9D9"/>
            <w:vAlign w:val="center"/>
          </w:tcPr>
          <w:p w14:paraId="30FAB4F6"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D9D9D9"/>
            <w:vAlign w:val="center"/>
          </w:tcPr>
          <w:p w14:paraId="1CFD1D02"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D9D9D9"/>
            <w:vAlign w:val="center"/>
          </w:tcPr>
          <w:p w14:paraId="354E8ED3"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21C9F7DD"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0,8</w:t>
            </w:r>
          </w:p>
        </w:tc>
        <w:tc>
          <w:tcPr>
            <w:tcW w:w="1171" w:type="dxa"/>
            <w:shd w:val="clear" w:color="auto" w:fill="D9D9D9"/>
            <w:vAlign w:val="center"/>
          </w:tcPr>
          <w:p w14:paraId="5C36B080"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0,54</w:t>
            </w:r>
          </w:p>
        </w:tc>
        <w:tc>
          <w:tcPr>
            <w:tcW w:w="2865" w:type="dxa"/>
            <w:shd w:val="clear" w:color="auto" w:fill="D9D9D9"/>
            <w:vAlign w:val="center"/>
          </w:tcPr>
          <w:p w14:paraId="391E08D3"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Улагање у технике смањења емисија SO</w:t>
            </w:r>
            <w:r w:rsidRPr="00CC35F0">
              <w:rPr>
                <w:rFonts w:ascii="Times New Roman" w:eastAsia="Times New Roman" w:hAnsi="Times New Roman"/>
                <w:color w:val="000000"/>
                <w:sz w:val="24"/>
                <w:szCs w:val="24"/>
                <w:vertAlign w:val="subscript"/>
                <w:lang w:val="sr-Cyrl-CS"/>
              </w:rPr>
              <w:t>2</w:t>
            </w:r>
            <w:r w:rsidRPr="00CC35F0">
              <w:rPr>
                <w:rFonts w:ascii="Times New Roman" w:eastAsia="Times New Roman" w:hAnsi="Times New Roman"/>
                <w:color w:val="000000"/>
                <w:sz w:val="24"/>
                <w:szCs w:val="24"/>
                <w:lang w:val="sr-Cyrl-CS"/>
              </w:rPr>
              <w:t>, NOx и PM како би се ова постројења довела у граничне вредности емисије из Директиве</w:t>
            </w:r>
          </w:p>
        </w:tc>
        <w:tc>
          <w:tcPr>
            <w:tcW w:w="665" w:type="dxa"/>
            <w:shd w:val="clear" w:color="auto" w:fill="D9D9D9"/>
            <w:vAlign w:val="center"/>
          </w:tcPr>
          <w:p w14:paraId="504556D3"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2025. за постројења већа од 5 MWth, односно </w:t>
            </w:r>
            <w:r w:rsidRPr="00CC35F0">
              <w:rPr>
                <w:rFonts w:ascii="Times New Roman" w:eastAsia="Times New Roman" w:hAnsi="Times New Roman"/>
                <w:b/>
                <w:color w:val="000000"/>
                <w:sz w:val="24"/>
                <w:szCs w:val="24"/>
                <w:lang w:val="sr-Cyrl-CS"/>
              </w:rPr>
              <w:lastRenderedPageBreak/>
              <w:t>2030. за постројења између 1 и 5 MW</w:t>
            </w:r>
          </w:p>
        </w:tc>
      </w:tr>
      <w:tr w:rsidR="00A0251B" w:rsidRPr="00CC35F0" w14:paraId="00901A26" w14:textId="77777777" w:rsidTr="00B14BBF">
        <w:trPr>
          <w:trHeight w:val="1490"/>
        </w:trPr>
        <w:tc>
          <w:tcPr>
            <w:tcW w:w="566" w:type="dxa"/>
            <w:shd w:val="clear" w:color="auto" w:fill="auto"/>
            <w:vAlign w:val="center"/>
          </w:tcPr>
          <w:p w14:paraId="7710F9E8" w14:textId="77777777" w:rsidR="00A0251B" w:rsidRPr="00CC35F0" w:rsidRDefault="008D6506">
            <w:pPr>
              <w:spacing w:after="0" w:line="240" w:lineRule="auto"/>
              <w:ind w:left="-103" w:right="-98"/>
              <w:jc w:val="center"/>
              <w:rPr>
                <w:rFonts w:ascii="Times New Roman" w:eastAsia="Times New Roman" w:hAnsi="Times New Roman"/>
                <w:color w:val="0563C1"/>
                <w:sz w:val="24"/>
                <w:szCs w:val="24"/>
                <w:u w:val="single"/>
                <w:lang w:val="sr-Cyrl-CS"/>
              </w:rPr>
            </w:pPr>
            <w:r w:rsidRPr="00CC35F0">
              <w:rPr>
                <w:rFonts w:ascii="Times New Roman" w:eastAsia="Times New Roman" w:hAnsi="Times New Roman"/>
                <w:color w:val="0563C1"/>
                <w:sz w:val="24"/>
                <w:szCs w:val="24"/>
                <w:u w:val="single"/>
                <w:lang w:val="sr-Cyrl-CS"/>
              </w:rPr>
              <w:lastRenderedPageBreak/>
              <w:t>[A]</w:t>
            </w:r>
          </w:p>
        </w:tc>
        <w:tc>
          <w:tcPr>
            <w:tcW w:w="5672" w:type="dxa"/>
            <w:shd w:val="clear" w:color="auto" w:fill="auto"/>
          </w:tcPr>
          <w:p w14:paraId="615023E7"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highlight w:val="yellow"/>
                <w:lang w:val="sr-Cyrl-CS"/>
              </w:rPr>
            </w:pPr>
            <w:r w:rsidRPr="00CC35F0">
              <w:rPr>
                <w:rFonts w:ascii="Times New Roman" w:eastAsia="Times New Roman" w:hAnsi="Times New Roman"/>
                <w:color w:val="000000"/>
                <w:sz w:val="24"/>
                <w:szCs w:val="24"/>
                <w:lang w:val="sr-Cyrl-CS"/>
              </w:rPr>
              <w:t xml:space="preserve">Завршити потпуно усклађивање националног законодавства са Директивом о средњим постројењима за сагоревање </w:t>
            </w:r>
          </w:p>
          <w:p w14:paraId="5A7E410A"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доношењем Уредбе о граничним вредностима емисија загађујућих материја у ваздух из средњих постројења за сагоревање. </w:t>
            </w:r>
          </w:p>
        </w:tc>
        <w:tc>
          <w:tcPr>
            <w:tcW w:w="1106" w:type="dxa"/>
            <w:shd w:val="clear" w:color="auto" w:fill="auto"/>
            <w:vAlign w:val="center"/>
          </w:tcPr>
          <w:p w14:paraId="3891FA9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53476A8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75CE26D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00B5CF1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59D77BDA"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3AB73EC0"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w:t>
            </w:r>
            <w:r w:rsidRPr="00CC35F0">
              <w:rPr>
                <w:rFonts w:ascii="Times New Roman" w:eastAsia="Times New Roman" w:hAnsi="Times New Roman"/>
                <w:color w:val="000000"/>
                <w:sz w:val="24"/>
                <w:szCs w:val="24"/>
                <w:vertAlign w:val="superscript"/>
                <w:lang w:val="sr-Cyrl-CS"/>
              </w:rPr>
              <w:t>43</w:t>
            </w:r>
          </w:p>
        </w:tc>
        <w:tc>
          <w:tcPr>
            <w:tcW w:w="1171" w:type="dxa"/>
            <w:shd w:val="clear" w:color="auto" w:fill="auto"/>
            <w:vAlign w:val="center"/>
          </w:tcPr>
          <w:p w14:paraId="22EF27EA"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tcPr>
          <w:p w14:paraId="4BDAFF85" w14:textId="77777777" w:rsidR="00A0251B" w:rsidRPr="00CC35F0" w:rsidRDefault="00A0251B">
            <w:pPr>
              <w:spacing w:after="0" w:line="240" w:lineRule="auto"/>
              <w:ind w:left="-115" w:right="-101"/>
              <w:rPr>
                <w:rFonts w:ascii="Times New Roman" w:eastAsia="Times New Roman" w:hAnsi="Times New Roman"/>
                <w:color w:val="000000"/>
                <w:sz w:val="24"/>
                <w:szCs w:val="24"/>
                <w:lang w:val="sr-Cyrl-CS"/>
              </w:rPr>
            </w:pPr>
          </w:p>
          <w:p w14:paraId="2B895E0B" w14:textId="77777777" w:rsidR="00A0251B" w:rsidRPr="00CC35F0" w:rsidRDefault="00A0251B">
            <w:pPr>
              <w:spacing w:after="0" w:line="240" w:lineRule="auto"/>
              <w:ind w:left="-115" w:right="-101"/>
              <w:rPr>
                <w:rFonts w:ascii="Times New Roman" w:eastAsia="Times New Roman" w:hAnsi="Times New Roman"/>
                <w:color w:val="000000"/>
                <w:sz w:val="24"/>
                <w:szCs w:val="24"/>
                <w:lang w:val="sr-Cyrl-CS"/>
              </w:rPr>
            </w:pPr>
          </w:p>
          <w:p w14:paraId="4FE9A5D6" w14:textId="77777777" w:rsidR="00A0251B" w:rsidRPr="00CC35F0" w:rsidRDefault="00A0251B">
            <w:pPr>
              <w:spacing w:after="0" w:line="240" w:lineRule="auto"/>
              <w:ind w:left="-115" w:right="-101"/>
              <w:rPr>
                <w:rFonts w:ascii="Times New Roman" w:eastAsia="Times New Roman" w:hAnsi="Times New Roman"/>
                <w:color w:val="000000"/>
                <w:sz w:val="24"/>
                <w:szCs w:val="24"/>
                <w:lang w:val="sr-Cyrl-CS"/>
              </w:rPr>
            </w:pPr>
          </w:p>
          <w:p w14:paraId="518BD46A" w14:textId="77777777" w:rsidR="00A0251B" w:rsidRPr="00CC35F0" w:rsidRDefault="00A0251B">
            <w:pPr>
              <w:spacing w:after="0" w:line="240" w:lineRule="auto"/>
              <w:ind w:left="-115" w:right="-101"/>
              <w:rPr>
                <w:rFonts w:ascii="Times New Roman" w:eastAsia="Times New Roman" w:hAnsi="Times New Roman"/>
                <w:color w:val="000000"/>
                <w:sz w:val="24"/>
                <w:szCs w:val="24"/>
                <w:lang w:val="sr-Cyrl-CS"/>
              </w:rPr>
            </w:pPr>
          </w:p>
          <w:p w14:paraId="7C60BFE5" w14:textId="77777777" w:rsidR="00A0251B" w:rsidRPr="00CC35F0" w:rsidRDefault="00A0251B">
            <w:pPr>
              <w:spacing w:after="0" w:line="240" w:lineRule="auto"/>
              <w:ind w:left="-115" w:right="-101"/>
              <w:rPr>
                <w:rFonts w:ascii="Times New Roman" w:eastAsia="Times New Roman" w:hAnsi="Times New Roman"/>
                <w:color w:val="000000"/>
                <w:sz w:val="24"/>
                <w:szCs w:val="24"/>
                <w:lang w:val="sr-Cyrl-CS"/>
              </w:rPr>
            </w:pPr>
          </w:p>
          <w:p w14:paraId="26AEA8C8" w14:textId="77777777" w:rsidR="00A0251B" w:rsidRPr="00CC35F0" w:rsidRDefault="00A0251B">
            <w:pPr>
              <w:spacing w:after="0" w:line="240" w:lineRule="auto"/>
              <w:ind w:left="-115" w:right="-101"/>
              <w:rPr>
                <w:rFonts w:ascii="Times New Roman" w:eastAsia="Times New Roman" w:hAnsi="Times New Roman"/>
                <w:color w:val="000000"/>
                <w:sz w:val="24"/>
                <w:szCs w:val="24"/>
                <w:lang w:val="sr-Cyrl-CS"/>
              </w:rPr>
            </w:pPr>
          </w:p>
          <w:p w14:paraId="158DCC69" w14:textId="77777777" w:rsidR="00A0251B" w:rsidRPr="00CC35F0" w:rsidRDefault="008D6506">
            <w:pPr>
              <w:spacing w:after="0" w:line="240" w:lineRule="auto"/>
              <w:ind w:left="-115" w:right="-101"/>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Активности су у току </w:t>
            </w:r>
          </w:p>
        </w:tc>
        <w:tc>
          <w:tcPr>
            <w:tcW w:w="665" w:type="dxa"/>
            <w:shd w:val="clear" w:color="auto" w:fill="auto"/>
            <w:vAlign w:val="center"/>
          </w:tcPr>
          <w:p w14:paraId="7BE7A41E"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w:t>
            </w:r>
          </w:p>
        </w:tc>
      </w:tr>
      <w:tr w:rsidR="00A0251B" w:rsidRPr="00CC35F0" w14:paraId="126F8E78" w14:textId="77777777" w:rsidTr="00B14BBF">
        <w:trPr>
          <w:trHeight w:val="498"/>
        </w:trPr>
        <w:tc>
          <w:tcPr>
            <w:tcW w:w="566" w:type="dxa"/>
            <w:shd w:val="clear" w:color="auto" w:fill="auto"/>
            <w:vAlign w:val="center"/>
          </w:tcPr>
          <w:p w14:paraId="3347D209"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672" w:type="dxa"/>
            <w:shd w:val="clear" w:color="auto" w:fill="auto"/>
          </w:tcPr>
          <w:p w14:paraId="65517FE1"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захтева Директиве  о средњим постројењи</w:t>
            </w:r>
            <w:r w:rsidR="00F53C08" w:rsidRPr="00CC35F0">
              <w:rPr>
                <w:rFonts w:ascii="Times New Roman" w:eastAsia="Times New Roman" w:hAnsi="Times New Roman"/>
                <w:color w:val="000000"/>
                <w:sz w:val="24"/>
                <w:szCs w:val="24"/>
                <w:lang w:val="sr-Cyrl-CS"/>
              </w:rPr>
              <w:t>ма за сагоревање (</w:t>
            </w:r>
            <w:r w:rsidR="007519C0" w:rsidRPr="00CC35F0">
              <w:rPr>
                <w:rFonts w:ascii="Times New Roman" w:eastAsia="Times New Roman" w:hAnsi="Times New Roman"/>
                <w:color w:val="000000"/>
                <w:sz w:val="24"/>
                <w:szCs w:val="24"/>
                <w:lang w:val="sr-Cyrl-CS"/>
              </w:rPr>
              <w:t xml:space="preserve">кроз </w:t>
            </w:r>
            <w:r w:rsidRPr="00CC35F0">
              <w:rPr>
                <w:rFonts w:ascii="Times New Roman" w:eastAsia="Times New Roman" w:hAnsi="Times New Roman"/>
                <w:color w:val="000000"/>
                <w:sz w:val="24"/>
                <w:szCs w:val="24"/>
                <w:lang w:val="sr-Cyrl-CS"/>
              </w:rPr>
              <w:t>наставак анализе тренутно доступних података о средњим постројењима за сагоревање, допуну базе података и успостављен систем извештавања</w:t>
            </w:r>
            <w:r w:rsidRPr="00CC35F0">
              <w:rPr>
                <w:rFonts w:ascii="Times New Roman" w:eastAsia="Times New Roman" w:hAnsi="Times New Roman"/>
                <w:color w:val="000000"/>
                <w:sz w:val="24"/>
                <w:szCs w:val="24"/>
                <w:vertAlign w:val="superscript"/>
                <w:lang w:val="sr-Cyrl-CS"/>
              </w:rPr>
              <w:footnoteReference w:id="51"/>
            </w:r>
            <w:r w:rsidRPr="00CC35F0">
              <w:rPr>
                <w:rFonts w:ascii="Times New Roman" w:eastAsia="Times New Roman" w:hAnsi="Times New Roman"/>
                <w:color w:val="000000"/>
                <w:sz w:val="24"/>
                <w:szCs w:val="24"/>
                <w:lang w:val="sr-Cyrl-CS"/>
              </w:rPr>
              <w:t>)</w:t>
            </w:r>
          </w:p>
        </w:tc>
        <w:tc>
          <w:tcPr>
            <w:tcW w:w="1106" w:type="dxa"/>
            <w:shd w:val="clear" w:color="auto" w:fill="auto"/>
            <w:vAlign w:val="center"/>
          </w:tcPr>
          <w:p w14:paraId="02A3D39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61F7FDF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01D812C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59563A4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5C06C70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0B0D62F5"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vertAlign w:val="superscript"/>
                <w:lang w:val="sr-Cyrl-CS"/>
              </w:rPr>
            </w:pPr>
          </w:p>
          <w:p w14:paraId="1B9A1292"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vertAlign w:val="superscript"/>
                <w:lang w:val="sr-Cyrl-CS"/>
              </w:rPr>
            </w:pPr>
          </w:p>
          <w:p w14:paraId="00C71C0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0,8</w:t>
            </w:r>
          </w:p>
        </w:tc>
        <w:tc>
          <w:tcPr>
            <w:tcW w:w="1171" w:type="dxa"/>
            <w:shd w:val="clear" w:color="auto" w:fill="auto"/>
            <w:vAlign w:val="center"/>
          </w:tcPr>
          <w:p w14:paraId="718BA3E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tcPr>
          <w:p w14:paraId="151B5020" w14:textId="77777777" w:rsidR="00A0251B" w:rsidRPr="00CC35F0" w:rsidRDefault="00A0251B">
            <w:pPr>
              <w:spacing w:after="0" w:line="240" w:lineRule="auto"/>
              <w:ind w:left="-54" w:right="-106"/>
              <w:rPr>
                <w:rFonts w:ascii="Times New Roman" w:eastAsia="Times New Roman" w:hAnsi="Times New Roman"/>
                <w:color w:val="000000"/>
                <w:sz w:val="24"/>
                <w:szCs w:val="24"/>
                <w:lang w:val="sr-Cyrl-CS"/>
              </w:rPr>
            </w:pPr>
          </w:p>
          <w:p w14:paraId="53DDA906" w14:textId="77777777" w:rsidR="00A0251B" w:rsidRPr="00CC35F0" w:rsidRDefault="00A0251B">
            <w:pPr>
              <w:spacing w:after="0" w:line="240" w:lineRule="auto"/>
              <w:ind w:left="-54" w:right="-106"/>
              <w:rPr>
                <w:rFonts w:ascii="Times New Roman" w:eastAsia="Times New Roman" w:hAnsi="Times New Roman"/>
                <w:color w:val="000000"/>
                <w:sz w:val="24"/>
                <w:szCs w:val="24"/>
                <w:lang w:val="sr-Cyrl-CS"/>
              </w:rPr>
            </w:pPr>
          </w:p>
          <w:p w14:paraId="79AA3D5E" w14:textId="77777777" w:rsidR="00A0251B" w:rsidRPr="00CC35F0" w:rsidRDefault="00A0251B">
            <w:pPr>
              <w:spacing w:after="0" w:line="240" w:lineRule="auto"/>
              <w:ind w:left="-54" w:right="-106"/>
              <w:rPr>
                <w:rFonts w:ascii="Times New Roman" w:eastAsia="Times New Roman" w:hAnsi="Times New Roman"/>
                <w:color w:val="000000"/>
                <w:sz w:val="24"/>
                <w:szCs w:val="24"/>
                <w:lang w:val="sr-Cyrl-CS"/>
              </w:rPr>
            </w:pPr>
          </w:p>
          <w:p w14:paraId="13013876" w14:textId="77777777" w:rsidR="00A0251B" w:rsidRPr="00CC35F0" w:rsidRDefault="008D6506">
            <w:pPr>
              <w:spacing w:after="0" w:line="240" w:lineRule="auto"/>
              <w:ind w:left="-54"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Финансира се из донаторских средстава </w:t>
            </w:r>
          </w:p>
        </w:tc>
        <w:tc>
          <w:tcPr>
            <w:tcW w:w="665" w:type="dxa"/>
            <w:shd w:val="clear" w:color="auto" w:fill="auto"/>
            <w:vAlign w:val="center"/>
          </w:tcPr>
          <w:p w14:paraId="30DFBD57"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w:t>
            </w:r>
          </w:p>
        </w:tc>
      </w:tr>
      <w:tr w:rsidR="00A0251B" w:rsidRPr="00CC35F0" w14:paraId="2EF7F744" w14:textId="77777777" w:rsidTr="00B14BBF">
        <w:trPr>
          <w:trHeight w:val="498"/>
        </w:trPr>
        <w:tc>
          <w:tcPr>
            <w:tcW w:w="566" w:type="dxa"/>
            <w:shd w:val="clear" w:color="auto" w:fill="auto"/>
            <w:vAlign w:val="center"/>
          </w:tcPr>
          <w:p w14:paraId="5CB95F98"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672" w:type="dxa"/>
            <w:shd w:val="clear" w:color="auto" w:fill="auto"/>
            <w:vAlign w:val="center"/>
          </w:tcPr>
          <w:p w14:paraId="4E95276E"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Усаглашавање средњих постројења за сагоревање са BAT AELs (средњи опсег).</w:t>
            </w:r>
          </w:p>
        </w:tc>
        <w:tc>
          <w:tcPr>
            <w:tcW w:w="1106" w:type="dxa"/>
            <w:shd w:val="clear" w:color="auto" w:fill="auto"/>
            <w:vAlign w:val="center"/>
          </w:tcPr>
          <w:p w14:paraId="4B167F4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115,81</w:t>
            </w:r>
          </w:p>
        </w:tc>
        <w:tc>
          <w:tcPr>
            <w:tcW w:w="769" w:type="dxa"/>
            <w:shd w:val="clear" w:color="auto" w:fill="auto"/>
            <w:vAlign w:val="center"/>
          </w:tcPr>
          <w:p w14:paraId="391E8CBB"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6409C104"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653EA38C"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2F151DAF"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582084A9"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728E292C"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52CE7EC2"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Средња постројења за сагоревање морају да </w:t>
            </w:r>
            <w:r w:rsidRPr="00CC35F0">
              <w:rPr>
                <w:rFonts w:ascii="Times New Roman" w:eastAsia="Times New Roman" w:hAnsi="Times New Roman"/>
                <w:color w:val="000000"/>
                <w:sz w:val="24"/>
                <w:szCs w:val="24"/>
                <w:lang w:val="sr-Cyrl-CS"/>
              </w:rPr>
              <w:lastRenderedPageBreak/>
              <w:t>осигурају да ће у следећем инвестиционом циклусу моћи да достигну средњи опсег BAT AELs.</w:t>
            </w:r>
          </w:p>
        </w:tc>
        <w:tc>
          <w:tcPr>
            <w:tcW w:w="665" w:type="dxa"/>
            <w:shd w:val="clear" w:color="auto" w:fill="auto"/>
            <w:vAlign w:val="center"/>
          </w:tcPr>
          <w:p w14:paraId="56E1C964"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2025-2030.</w:t>
            </w:r>
          </w:p>
        </w:tc>
      </w:tr>
      <w:tr w:rsidR="00A0251B" w:rsidRPr="00CC35F0" w14:paraId="36109F94" w14:textId="77777777" w:rsidTr="00B14BBF">
        <w:trPr>
          <w:trHeight w:val="1490"/>
        </w:trPr>
        <w:tc>
          <w:tcPr>
            <w:tcW w:w="566" w:type="dxa"/>
            <w:shd w:val="clear" w:color="auto" w:fill="auto"/>
            <w:vAlign w:val="center"/>
          </w:tcPr>
          <w:p w14:paraId="79D5C1CB"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672" w:type="dxa"/>
            <w:shd w:val="clear" w:color="auto" w:fill="auto"/>
          </w:tcPr>
          <w:p w14:paraId="18787DA3"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Обезбедити повећање броја запослених у институцијама Републике Србије који би радили на пословима у вези са средњим, али и на малим постројењима за сагоревање (МЗЖС: 2 </w:t>
            </w:r>
            <w:r w:rsidR="00E70062" w:rsidRPr="00CC35F0">
              <w:rPr>
                <w:rFonts w:ascii="Times New Roman" w:eastAsia="Times New Roman" w:hAnsi="Times New Roman"/>
                <w:color w:val="000000"/>
                <w:sz w:val="24"/>
                <w:szCs w:val="24"/>
                <w:lang w:val="sr-Cyrl-CS"/>
              </w:rPr>
              <w:t>радна места, АП</w:t>
            </w:r>
            <w:r w:rsidR="007519C0" w:rsidRPr="00CC35F0">
              <w:rPr>
                <w:rFonts w:ascii="Times New Roman" w:eastAsia="Times New Roman" w:hAnsi="Times New Roman"/>
                <w:color w:val="000000"/>
                <w:sz w:val="24"/>
                <w:szCs w:val="24"/>
                <w:lang w:val="sr-Cyrl-CS"/>
              </w:rPr>
              <w:t xml:space="preserve"> Војводина: 1 радно место</w:t>
            </w:r>
            <w:r w:rsidRPr="00CC35F0">
              <w:rPr>
                <w:rFonts w:ascii="Times New Roman" w:eastAsia="Times New Roman" w:hAnsi="Times New Roman"/>
                <w:color w:val="000000"/>
                <w:sz w:val="24"/>
                <w:szCs w:val="24"/>
                <w:lang w:val="sr-Cyrl-CS"/>
              </w:rPr>
              <w:t xml:space="preserve"> и АЗЖС: 1 радно место)</w:t>
            </w:r>
          </w:p>
        </w:tc>
        <w:tc>
          <w:tcPr>
            <w:tcW w:w="1106" w:type="dxa"/>
            <w:shd w:val="clear" w:color="auto" w:fill="auto"/>
            <w:vAlign w:val="center"/>
          </w:tcPr>
          <w:p w14:paraId="6178977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6A58052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4DCB71B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10D6D95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1D5DBB1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2FDF80A8"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2C5766F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0,54</w:t>
            </w:r>
          </w:p>
        </w:tc>
        <w:tc>
          <w:tcPr>
            <w:tcW w:w="2865" w:type="dxa"/>
            <w:shd w:val="clear" w:color="auto" w:fill="auto"/>
            <w:vAlign w:val="center"/>
          </w:tcPr>
          <w:p w14:paraId="301561C7"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Четири додатна административна службеника у институцијама, на пословима о средњим постројењима за сагоревање, малим постројењима за сагоревање и за кућна грејна тела </w:t>
            </w:r>
          </w:p>
        </w:tc>
        <w:tc>
          <w:tcPr>
            <w:tcW w:w="665" w:type="dxa"/>
            <w:shd w:val="clear" w:color="auto" w:fill="auto"/>
            <w:vAlign w:val="center"/>
          </w:tcPr>
          <w:p w14:paraId="3F54DF8B"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2023-2025.</w:t>
            </w:r>
          </w:p>
        </w:tc>
      </w:tr>
      <w:tr w:rsidR="00A0251B" w:rsidRPr="00CC35F0" w14:paraId="482E52A2" w14:textId="77777777" w:rsidTr="00B14BBF">
        <w:trPr>
          <w:trHeight w:val="361"/>
        </w:trPr>
        <w:tc>
          <w:tcPr>
            <w:tcW w:w="566" w:type="dxa"/>
            <w:shd w:val="clear" w:color="auto" w:fill="D9D9D9"/>
            <w:vAlign w:val="center"/>
          </w:tcPr>
          <w:p w14:paraId="36C6C091"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Бр.3 (WAM A3)</w:t>
            </w:r>
          </w:p>
        </w:tc>
        <w:tc>
          <w:tcPr>
            <w:tcW w:w="5672" w:type="dxa"/>
            <w:shd w:val="clear" w:color="auto" w:fill="D9D9D9"/>
            <w:vAlign w:val="center"/>
          </w:tcPr>
          <w:p w14:paraId="01D63F50"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Спровођење Уредбе о граничним вредностима емисија загађујућих материја у ваздух из постројења са сагоревањем, део који се односи на мала постројења за сагоревање (капацитет до 1 MW), која не подлежу Директиви о еко-дизајну </w:t>
            </w:r>
          </w:p>
        </w:tc>
        <w:tc>
          <w:tcPr>
            <w:tcW w:w="1106" w:type="dxa"/>
            <w:shd w:val="clear" w:color="auto" w:fill="D9D9D9"/>
            <w:vAlign w:val="center"/>
          </w:tcPr>
          <w:p w14:paraId="1347A23A"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3,77</w:t>
            </w:r>
          </w:p>
        </w:tc>
        <w:tc>
          <w:tcPr>
            <w:tcW w:w="769" w:type="dxa"/>
            <w:shd w:val="clear" w:color="auto" w:fill="D9D9D9"/>
            <w:vAlign w:val="center"/>
          </w:tcPr>
          <w:p w14:paraId="3E274D76"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676" w:type="dxa"/>
            <w:shd w:val="clear" w:color="auto" w:fill="D9D9D9"/>
            <w:vAlign w:val="center"/>
          </w:tcPr>
          <w:p w14:paraId="04D36FCD"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884" w:type="dxa"/>
            <w:shd w:val="clear" w:color="auto" w:fill="D9D9D9"/>
            <w:vAlign w:val="center"/>
          </w:tcPr>
          <w:p w14:paraId="3E74CD56"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551" w:type="dxa"/>
            <w:shd w:val="clear" w:color="auto" w:fill="D9D9D9"/>
            <w:vAlign w:val="center"/>
          </w:tcPr>
          <w:p w14:paraId="21F6291F"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7B944BA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w:t>
            </w:r>
          </w:p>
        </w:tc>
        <w:tc>
          <w:tcPr>
            <w:tcW w:w="1171" w:type="dxa"/>
            <w:shd w:val="clear" w:color="auto" w:fill="D9D9D9"/>
            <w:vAlign w:val="center"/>
          </w:tcPr>
          <w:p w14:paraId="0327F548" w14:textId="77777777" w:rsidR="00A0251B" w:rsidRPr="00CC35F0" w:rsidRDefault="00A0251B">
            <w:pPr>
              <w:spacing w:after="0" w:line="240" w:lineRule="auto"/>
              <w:ind w:left="-142" w:right="-74"/>
              <w:jc w:val="right"/>
              <w:rPr>
                <w:rFonts w:ascii="Times New Roman" w:eastAsia="Times New Roman" w:hAnsi="Times New Roman"/>
                <w:sz w:val="24"/>
                <w:szCs w:val="24"/>
                <w:lang w:val="sr-Cyrl-CS"/>
              </w:rPr>
            </w:pPr>
          </w:p>
        </w:tc>
        <w:tc>
          <w:tcPr>
            <w:tcW w:w="2865" w:type="dxa"/>
            <w:shd w:val="clear" w:color="auto" w:fill="D9D9D9"/>
            <w:vAlign w:val="center"/>
          </w:tcPr>
          <w:p w14:paraId="2EF97EEF"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Инвестиције како би се ложишта довела у граничне вредности емисија за PM (0,267 милиона евра) и NOx (3,5 милиона евра)</w:t>
            </w:r>
          </w:p>
        </w:tc>
        <w:tc>
          <w:tcPr>
            <w:tcW w:w="665" w:type="dxa"/>
            <w:shd w:val="clear" w:color="auto" w:fill="D9D9D9"/>
            <w:vAlign w:val="center"/>
          </w:tcPr>
          <w:p w14:paraId="34875E02"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2030.</w:t>
            </w:r>
          </w:p>
        </w:tc>
      </w:tr>
      <w:tr w:rsidR="00A0251B" w:rsidRPr="00CC35F0" w14:paraId="1B00A90B" w14:textId="77777777" w:rsidTr="00B14BBF">
        <w:trPr>
          <w:trHeight w:val="389"/>
        </w:trPr>
        <w:tc>
          <w:tcPr>
            <w:tcW w:w="566" w:type="dxa"/>
            <w:shd w:val="clear" w:color="auto" w:fill="auto"/>
            <w:vAlign w:val="center"/>
          </w:tcPr>
          <w:p w14:paraId="3424FDE0" w14:textId="77777777" w:rsidR="00A0251B" w:rsidRPr="00CC35F0" w:rsidRDefault="00000000">
            <w:pPr>
              <w:spacing w:after="0" w:line="240" w:lineRule="auto"/>
              <w:ind w:left="-103" w:right="-98"/>
              <w:jc w:val="center"/>
              <w:rPr>
                <w:rFonts w:ascii="Times New Roman" w:eastAsia="Times New Roman" w:hAnsi="Times New Roman"/>
                <w:color w:val="0563C1"/>
                <w:sz w:val="24"/>
                <w:szCs w:val="24"/>
                <w:u w:val="single"/>
                <w:lang w:val="sr-Cyrl-CS"/>
              </w:rPr>
            </w:pPr>
            <w:hyperlink r:id="rId49">
              <w:r w:rsidR="008D6506" w:rsidRPr="00CC35F0">
                <w:rPr>
                  <w:rFonts w:ascii="Times New Roman" w:eastAsia="Times New Roman" w:hAnsi="Times New Roman"/>
                  <w:color w:val="0563C1"/>
                  <w:sz w:val="24"/>
                  <w:szCs w:val="24"/>
                  <w:u w:val="single"/>
                  <w:lang w:val="sr-Cyrl-CS"/>
                </w:rPr>
                <w:t>[A][4]</w:t>
              </w:r>
            </w:hyperlink>
          </w:p>
        </w:tc>
        <w:tc>
          <w:tcPr>
            <w:tcW w:w="5672" w:type="dxa"/>
            <w:shd w:val="clear" w:color="auto" w:fill="auto"/>
            <w:vAlign w:val="center"/>
          </w:tcPr>
          <w:p w14:paraId="0A2C38DE"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Ажурирање граничних вредности емисије за мала постројења за сагоревање капацитета до 1 MW (котлови или стационарни мотори).</w:t>
            </w:r>
          </w:p>
        </w:tc>
        <w:tc>
          <w:tcPr>
            <w:tcW w:w="1106" w:type="dxa"/>
            <w:shd w:val="clear" w:color="auto" w:fill="auto"/>
            <w:vAlign w:val="center"/>
          </w:tcPr>
          <w:p w14:paraId="5D8E62D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3A734CF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745C7EA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1B741EE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50D2EB3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4696B8FB"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w:t>
            </w:r>
          </w:p>
        </w:tc>
        <w:tc>
          <w:tcPr>
            <w:tcW w:w="1171" w:type="dxa"/>
            <w:shd w:val="clear" w:color="auto" w:fill="auto"/>
            <w:vAlign w:val="center"/>
          </w:tcPr>
          <w:p w14:paraId="1F4355C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vAlign w:val="center"/>
          </w:tcPr>
          <w:p w14:paraId="753E1F36"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Финансирање из донаторских средстава или ЕУ механизам подршке </w:t>
            </w:r>
            <w:r w:rsidRPr="00CC35F0">
              <w:rPr>
                <w:rFonts w:ascii="Times New Roman" w:eastAsia="Times New Roman" w:hAnsi="Times New Roman"/>
                <w:i/>
                <w:sz w:val="24"/>
                <w:szCs w:val="24"/>
                <w:lang w:val="sr-Cyrl-CS"/>
              </w:rPr>
              <w:t>TAIEX</w:t>
            </w:r>
            <w:r w:rsidRPr="00CC35F0">
              <w:rPr>
                <w:rFonts w:ascii="Times New Roman" w:eastAsia="Times New Roman" w:hAnsi="Times New Roman"/>
                <w:sz w:val="24"/>
                <w:szCs w:val="24"/>
                <w:lang w:val="sr-Cyrl-CS"/>
              </w:rPr>
              <w:t xml:space="preserve"> </w:t>
            </w:r>
            <w:r w:rsidR="004E1653" w:rsidRPr="00CC35F0">
              <w:rPr>
                <w:rFonts w:ascii="Times New Roman" w:eastAsia="Times New Roman" w:hAnsi="Times New Roman"/>
                <w:sz w:val="24"/>
                <w:szCs w:val="24"/>
                <w:lang w:val="sr-Cyrl-CS"/>
              </w:rPr>
              <w:t>(</w:t>
            </w:r>
            <w:r w:rsidR="004E1653" w:rsidRPr="00CC35F0">
              <w:rPr>
                <w:rFonts w:ascii="Times New Roman" w:hAnsi="Times New Roman"/>
                <w:sz w:val="24"/>
                <w:szCs w:val="24"/>
                <w:lang w:val="sr-Cyrl-CS"/>
              </w:rPr>
              <w:t xml:space="preserve">Technical Assistance and Information Exchange </w:t>
            </w:r>
            <w:r w:rsidR="004E1653" w:rsidRPr="00CC35F0">
              <w:rPr>
                <w:rFonts w:ascii="Times New Roman" w:hAnsi="Times New Roman"/>
                <w:sz w:val="24"/>
                <w:szCs w:val="24"/>
                <w:lang w:val="sr-Cyrl-CS"/>
              </w:rPr>
              <w:lastRenderedPageBreak/>
              <w:t>instrument of the European Commission</w:t>
            </w:r>
            <w:r w:rsidR="004E1653" w:rsidRPr="00CC35F0">
              <w:rPr>
                <w:rFonts w:ascii="Times New Roman" w:eastAsia="Times New Roman" w:hAnsi="Times New Roman"/>
                <w:sz w:val="24"/>
                <w:szCs w:val="24"/>
                <w:lang w:val="sr-Cyrl-CS"/>
              </w:rPr>
              <w:t>)</w:t>
            </w:r>
          </w:p>
        </w:tc>
        <w:tc>
          <w:tcPr>
            <w:tcW w:w="665" w:type="dxa"/>
            <w:shd w:val="clear" w:color="auto" w:fill="auto"/>
            <w:vAlign w:val="center"/>
          </w:tcPr>
          <w:p w14:paraId="6B4040BE"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2022-2023.</w:t>
            </w:r>
          </w:p>
        </w:tc>
      </w:tr>
      <w:tr w:rsidR="00A0251B" w:rsidRPr="00CC35F0" w14:paraId="5E9281C1" w14:textId="77777777" w:rsidTr="00B14BBF">
        <w:trPr>
          <w:trHeight w:val="70"/>
        </w:trPr>
        <w:tc>
          <w:tcPr>
            <w:tcW w:w="566" w:type="dxa"/>
            <w:shd w:val="clear" w:color="auto" w:fill="auto"/>
            <w:vAlign w:val="center"/>
          </w:tcPr>
          <w:p w14:paraId="0361D3C1" w14:textId="77777777" w:rsidR="00A0251B" w:rsidRPr="00CC35F0" w:rsidRDefault="00A0251B">
            <w:pPr>
              <w:spacing w:after="0" w:line="240" w:lineRule="auto"/>
              <w:ind w:left="-103" w:right="-98"/>
              <w:jc w:val="center"/>
              <w:rPr>
                <w:rFonts w:ascii="Times New Roman" w:eastAsia="Times New Roman" w:hAnsi="Times New Roman"/>
                <w:sz w:val="24"/>
                <w:szCs w:val="24"/>
                <w:lang w:val="sr-Cyrl-CS"/>
              </w:rPr>
            </w:pPr>
          </w:p>
        </w:tc>
        <w:tc>
          <w:tcPr>
            <w:tcW w:w="5672" w:type="dxa"/>
            <w:shd w:val="clear" w:color="auto" w:fill="auto"/>
            <w:vAlign w:val="center"/>
          </w:tcPr>
          <w:p w14:paraId="5B0554E6"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Обезбеђивање усаглашености са строжим граничним вредностима емисије за мала постројења за сагоревање која не подлежу Директиви о еко-дизајну.</w:t>
            </w:r>
          </w:p>
        </w:tc>
        <w:tc>
          <w:tcPr>
            <w:tcW w:w="1106" w:type="dxa"/>
            <w:shd w:val="clear" w:color="auto" w:fill="auto"/>
            <w:vAlign w:val="center"/>
          </w:tcPr>
          <w:p w14:paraId="7696E7D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3,77</w:t>
            </w:r>
          </w:p>
        </w:tc>
        <w:tc>
          <w:tcPr>
            <w:tcW w:w="769" w:type="dxa"/>
            <w:shd w:val="clear" w:color="auto" w:fill="auto"/>
            <w:vAlign w:val="center"/>
          </w:tcPr>
          <w:p w14:paraId="1648758D"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74D26B4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476A6074"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57031E14"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2DA5BA3C"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49E668E3"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2752A52F"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tc>
        <w:tc>
          <w:tcPr>
            <w:tcW w:w="665" w:type="dxa"/>
            <w:shd w:val="clear" w:color="auto" w:fill="auto"/>
            <w:vAlign w:val="center"/>
          </w:tcPr>
          <w:p w14:paraId="2897B1F3"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2025-2030.</w:t>
            </w:r>
          </w:p>
        </w:tc>
      </w:tr>
      <w:tr w:rsidR="00A0251B" w:rsidRPr="00CC35F0" w14:paraId="0A3E6572" w14:textId="77777777" w:rsidTr="00B14BBF">
        <w:trPr>
          <w:trHeight w:val="660"/>
        </w:trPr>
        <w:tc>
          <w:tcPr>
            <w:tcW w:w="566" w:type="dxa"/>
            <w:shd w:val="clear" w:color="auto" w:fill="D9D9D9"/>
            <w:vAlign w:val="center"/>
          </w:tcPr>
          <w:p w14:paraId="3588B815"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Бр.4</w:t>
            </w:r>
          </w:p>
          <w:p w14:paraId="590AD7D7"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B4)</w:t>
            </w:r>
          </w:p>
        </w:tc>
        <w:tc>
          <w:tcPr>
            <w:tcW w:w="5672" w:type="dxa"/>
            <w:shd w:val="clear" w:color="auto" w:fill="D9D9D9"/>
            <w:vAlign w:val="center"/>
          </w:tcPr>
          <w:p w14:paraId="1007479F"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Спровођење најмање Euro стандарда за половна увезена возила: Euro 5/V од 1. јануара 2024. и Euro 6/VI од 1. јануара 2025. године </w:t>
            </w:r>
          </w:p>
        </w:tc>
        <w:tc>
          <w:tcPr>
            <w:tcW w:w="1106" w:type="dxa"/>
            <w:shd w:val="clear" w:color="auto" w:fill="D9D9D9"/>
            <w:vAlign w:val="center"/>
          </w:tcPr>
          <w:p w14:paraId="0253638D"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140,64</w:t>
            </w:r>
          </w:p>
        </w:tc>
        <w:tc>
          <w:tcPr>
            <w:tcW w:w="769" w:type="dxa"/>
            <w:shd w:val="clear" w:color="auto" w:fill="D9D9D9"/>
            <w:vAlign w:val="center"/>
          </w:tcPr>
          <w:p w14:paraId="541EC1F5"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1102,76</w:t>
            </w:r>
          </w:p>
        </w:tc>
        <w:tc>
          <w:tcPr>
            <w:tcW w:w="676" w:type="dxa"/>
            <w:shd w:val="clear" w:color="auto" w:fill="D9D9D9"/>
            <w:vAlign w:val="center"/>
          </w:tcPr>
          <w:p w14:paraId="3B03B484"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D9D9D9"/>
            <w:vAlign w:val="center"/>
          </w:tcPr>
          <w:p w14:paraId="1830F4A3"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551" w:type="dxa"/>
            <w:shd w:val="clear" w:color="auto" w:fill="D9D9D9"/>
            <w:vAlign w:val="center"/>
          </w:tcPr>
          <w:p w14:paraId="2925CC09"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2A113F4D"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0,01</w:t>
            </w:r>
          </w:p>
        </w:tc>
        <w:tc>
          <w:tcPr>
            <w:tcW w:w="1171" w:type="dxa"/>
            <w:shd w:val="clear" w:color="auto" w:fill="D9D9D9"/>
            <w:vAlign w:val="center"/>
          </w:tcPr>
          <w:p w14:paraId="72B63221"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2865" w:type="dxa"/>
            <w:shd w:val="clear" w:color="auto" w:fill="D9D9D9"/>
            <w:vAlign w:val="center"/>
          </w:tcPr>
          <w:p w14:paraId="52AE0EED"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Трошкови настају услед додатних трошкова за куповину нових возила у складу са Euro 6/VI од 2025. године</w:t>
            </w:r>
          </w:p>
        </w:tc>
        <w:tc>
          <w:tcPr>
            <w:tcW w:w="665" w:type="dxa"/>
            <w:shd w:val="clear" w:color="auto" w:fill="D9D9D9"/>
            <w:vAlign w:val="center"/>
          </w:tcPr>
          <w:p w14:paraId="7A7F8C83"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2023-2025.</w:t>
            </w:r>
          </w:p>
        </w:tc>
      </w:tr>
      <w:tr w:rsidR="00A0251B" w:rsidRPr="00CC35F0" w14:paraId="4B9A3FC6" w14:textId="77777777" w:rsidTr="00B14BBF">
        <w:trPr>
          <w:trHeight w:val="569"/>
        </w:trPr>
        <w:tc>
          <w:tcPr>
            <w:tcW w:w="566" w:type="dxa"/>
            <w:shd w:val="clear" w:color="auto" w:fill="auto"/>
            <w:vAlign w:val="center"/>
          </w:tcPr>
          <w:p w14:paraId="16C6709A"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A</w:t>
            </w:r>
          </w:p>
        </w:tc>
        <w:tc>
          <w:tcPr>
            <w:tcW w:w="5672" w:type="dxa"/>
            <w:shd w:val="clear" w:color="auto" w:fill="auto"/>
            <w:vAlign w:val="center"/>
          </w:tcPr>
          <w:p w14:paraId="55DA8189" w14:textId="77777777" w:rsidR="00A0251B" w:rsidRPr="00CC35F0" w:rsidRDefault="008D6506" w:rsidP="007519C0">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Измена и допуна Уредбе о увозу моторних возила („Службени гла</w:t>
            </w:r>
            <w:r w:rsidR="007519C0" w:rsidRPr="00CC35F0">
              <w:rPr>
                <w:rFonts w:ascii="Times New Roman" w:eastAsia="Times New Roman" w:hAnsi="Times New Roman"/>
                <w:color w:val="000000"/>
                <w:sz w:val="24"/>
                <w:szCs w:val="24"/>
                <w:lang w:val="sr-Cyrl-CS"/>
              </w:rPr>
              <w:t>сник РС”, бр. 23/</w:t>
            </w:r>
            <w:r w:rsidRPr="00CC35F0">
              <w:rPr>
                <w:rFonts w:ascii="Times New Roman" w:eastAsia="Times New Roman" w:hAnsi="Times New Roman"/>
                <w:color w:val="000000"/>
                <w:sz w:val="24"/>
                <w:szCs w:val="24"/>
                <w:lang w:val="sr-Cyrl-CS"/>
              </w:rPr>
              <w:t>10 и 5/18), стандарда за увезене путничке аутомобиле, теретна возила и аутобусе. Минимални стандарди су Euro 5/V</w:t>
            </w:r>
            <w:r w:rsidRPr="00CC35F0">
              <w:rPr>
                <w:rFonts w:ascii="Times New Roman" w:eastAsia="Times New Roman" w:hAnsi="Times New Roman"/>
                <w:b/>
                <w:color w:val="000000"/>
                <w:sz w:val="24"/>
                <w:szCs w:val="24"/>
                <w:lang w:val="sr-Cyrl-CS"/>
              </w:rPr>
              <w:t xml:space="preserve"> </w:t>
            </w:r>
            <w:r w:rsidRPr="00CC35F0">
              <w:rPr>
                <w:rFonts w:ascii="Times New Roman" w:eastAsia="Times New Roman" w:hAnsi="Times New Roman"/>
                <w:color w:val="000000"/>
                <w:sz w:val="24"/>
                <w:szCs w:val="24"/>
                <w:lang w:val="sr-Cyrl-CS"/>
              </w:rPr>
              <w:t>од 1. јануара 2024. и Euro 6/VI од 1. јануара 2025. године.</w:t>
            </w:r>
          </w:p>
        </w:tc>
        <w:tc>
          <w:tcPr>
            <w:tcW w:w="1106" w:type="dxa"/>
            <w:shd w:val="clear" w:color="auto" w:fill="auto"/>
            <w:vAlign w:val="center"/>
          </w:tcPr>
          <w:p w14:paraId="3AA84A7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653CE3E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6C003C1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600DD4A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0DA51C83"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12438663"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0,01</w:t>
            </w:r>
          </w:p>
        </w:tc>
        <w:tc>
          <w:tcPr>
            <w:tcW w:w="1171" w:type="dxa"/>
            <w:shd w:val="clear" w:color="auto" w:fill="auto"/>
            <w:vAlign w:val="center"/>
          </w:tcPr>
          <w:p w14:paraId="438751AA"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vAlign w:val="center"/>
          </w:tcPr>
          <w:p w14:paraId="3954CE76"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ЕУ механизам подршке </w:t>
            </w:r>
            <w:r w:rsidRPr="00CC35F0">
              <w:rPr>
                <w:rFonts w:ascii="Times New Roman" w:eastAsia="Times New Roman" w:hAnsi="Times New Roman"/>
                <w:i/>
                <w:color w:val="000000"/>
                <w:sz w:val="24"/>
                <w:szCs w:val="24"/>
                <w:lang w:val="sr-Cyrl-CS"/>
              </w:rPr>
              <w:t>TAIEX</w:t>
            </w:r>
          </w:p>
        </w:tc>
        <w:tc>
          <w:tcPr>
            <w:tcW w:w="665" w:type="dxa"/>
            <w:shd w:val="clear" w:color="auto" w:fill="auto"/>
            <w:vAlign w:val="center"/>
          </w:tcPr>
          <w:p w14:paraId="05814755"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w:t>
            </w:r>
          </w:p>
        </w:tc>
      </w:tr>
      <w:tr w:rsidR="00A0251B" w:rsidRPr="00CC35F0" w14:paraId="5D6BBAAD" w14:textId="77777777" w:rsidTr="00B14BBF">
        <w:trPr>
          <w:trHeight w:val="151"/>
        </w:trPr>
        <w:tc>
          <w:tcPr>
            <w:tcW w:w="566" w:type="dxa"/>
            <w:shd w:val="clear" w:color="auto" w:fill="auto"/>
            <w:vAlign w:val="center"/>
          </w:tcPr>
          <w:p w14:paraId="778D7C19"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672" w:type="dxa"/>
            <w:shd w:val="clear" w:color="auto" w:fill="auto"/>
            <w:vAlign w:val="center"/>
          </w:tcPr>
          <w:p w14:paraId="09DEBDE0"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Усаглашавање са ажурираним минималним захтевима за путничке аутомобиле, теретна возила и аутобусе.</w:t>
            </w:r>
          </w:p>
        </w:tc>
        <w:tc>
          <w:tcPr>
            <w:tcW w:w="1106" w:type="dxa"/>
            <w:shd w:val="clear" w:color="auto" w:fill="auto"/>
            <w:vAlign w:val="center"/>
          </w:tcPr>
          <w:p w14:paraId="4126F85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140,64 </w:t>
            </w:r>
          </w:p>
        </w:tc>
        <w:tc>
          <w:tcPr>
            <w:tcW w:w="769" w:type="dxa"/>
            <w:shd w:val="clear" w:color="auto" w:fill="auto"/>
            <w:vAlign w:val="center"/>
          </w:tcPr>
          <w:p w14:paraId="0F1203C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1102,76 </w:t>
            </w:r>
          </w:p>
        </w:tc>
        <w:tc>
          <w:tcPr>
            <w:tcW w:w="676" w:type="dxa"/>
            <w:shd w:val="clear" w:color="auto" w:fill="auto"/>
            <w:vAlign w:val="center"/>
          </w:tcPr>
          <w:p w14:paraId="412727B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162C0D4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3304FB56"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612AD6BA"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437C7829"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191A8787" w14:textId="77777777" w:rsidR="00A0251B" w:rsidRPr="00CC35F0" w:rsidRDefault="008D6506">
            <w:pPr>
              <w:spacing w:after="0" w:line="240" w:lineRule="auto"/>
              <w:ind w:left="-109" w:right="-106"/>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Ова мера спроводи се у комбинацији са мером WAM B5)</w:t>
            </w:r>
          </w:p>
        </w:tc>
        <w:tc>
          <w:tcPr>
            <w:tcW w:w="665" w:type="dxa"/>
            <w:shd w:val="clear" w:color="auto" w:fill="auto"/>
            <w:vAlign w:val="center"/>
          </w:tcPr>
          <w:p w14:paraId="29CDF639"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2024-2025. </w:t>
            </w:r>
          </w:p>
        </w:tc>
      </w:tr>
      <w:tr w:rsidR="00A0251B" w:rsidRPr="00CC35F0" w14:paraId="60539C9F" w14:textId="77777777" w:rsidTr="00B14BBF">
        <w:trPr>
          <w:trHeight w:val="1479"/>
        </w:trPr>
        <w:tc>
          <w:tcPr>
            <w:tcW w:w="566" w:type="dxa"/>
            <w:shd w:val="clear" w:color="auto" w:fill="D9D9D9"/>
            <w:vAlign w:val="center"/>
          </w:tcPr>
          <w:p w14:paraId="08E5741D"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Бр.5</w:t>
            </w:r>
          </w:p>
          <w:p w14:paraId="65A43A46"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B5)</w:t>
            </w:r>
          </w:p>
        </w:tc>
        <w:tc>
          <w:tcPr>
            <w:tcW w:w="5672" w:type="dxa"/>
            <w:shd w:val="clear" w:color="auto" w:fill="D9D9D9"/>
            <w:vAlign w:val="center"/>
          </w:tcPr>
          <w:p w14:paraId="685C830B"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 xml:space="preserve">Додатна обнова возног парка од финансијских подстицаја за дерегистрацију/отпремање најстаријих Euro 1, 2 и 3 дизел путничких возила и теретних возила(изузев N3), и EURO I, II и III дизел аутобуса у рециклажне центре </w:t>
            </w:r>
          </w:p>
        </w:tc>
        <w:tc>
          <w:tcPr>
            <w:tcW w:w="1106" w:type="dxa"/>
            <w:shd w:val="clear" w:color="auto" w:fill="D9D9D9"/>
            <w:vAlign w:val="center"/>
          </w:tcPr>
          <w:p w14:paraId="401C214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80,91</w:t>
            </w:r>
          </w:p>
        </w:tc>
        <w:tc>
          <w:tcPr>
            <w:tcW w:w="769" w:type="dxa"/>
            <w:shd w:val="clear" w:color="auto" w:fill="D9D9D9"/>
            <w:vAlign w:val="center"/>
          </w:tcPr>
          <w:p w14:paraId="12346F71"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372,20</w:t>
            </w:r>
          </w:p>
        </w:tc>
        <w:tc>
          <w:tcPr>
            <w:tcW w:w="676" w:type="dxa"/>
            <w:shd w:val="clear" w:color="auto" w:fill="D9D9D9"/>
            <w:vAlign w:val="center"/>
          </w:tcPr>
          <w:p w14:paraId="00A3F7B4"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D9D9D9"/>
            <w:vAlign w:val="center"/>
          </w:tcPr>
          <w:p w14:paraId="2D6269F7" w14:textId="77777777" w:rsidR="00A0251B" w:rsidRPr="00CC35F0" w:rsidRDefault="008D6506">
            <w:pPr>
              <w:spacing w:after="0" w:line="240" w:lineRule="auto"/>
              <w:jc w:val="right"/>
              <w:rPr>
                <w:rFonts w:ascii="Times New Roman" w:eastAsia="Times New Roman" w:hAnsi="Times New Roman"/>
                <w:b/>
                <w:sz w:val="24"/>
                <w:szCs w:val="24"/>
                <w:vertAlign w:val="superscript"/>
                <w:lang w:val="sr-Cyrl-CS"/>
              </w:rPr>
            </w:pPr>
            <w:r w:rsidRPr="00CC35F0">
              <w:rPr>
                <w:rFonts w:ascii="Times New Roman" w:eastAsia="Times New Roman" w:hAnsi="Times New Roman"/>
                <w:b/>
                <w:sz w:val="24"/>
                <w:szCs w:val="24"/>
                <w:vertAlign w:val="superscript"/>
                <w:lang w:val="sr-Cyrl-CS"/>
              </w:rPr>
              <w:t xml:space="preserve"> **</w:t>
            </w:r>
            <w:r w:rsidRPr="00CC35F0">
              <w:rPr>
                <w:rFonts w:ascii="Times New Roman" w:eastAsia="Times New Roman" w:hAnsi="Times New Roman"/>
                <w:sz w:val="24"/>
                <w:szCs w:val="24"/>
                <w:vertAlign w:val="superscript"/>
                <w:lang w:val="sr-Cyrl-CS"/>
              </w:rPr>
              <w:t>6</w:t>
            </w:r>
            <w:r w:rsidR="00DB4371" w:rsidRPr="00CC35F0">
              <w:rPr>
                <w:rFonts w:ascii="Times New Roman" w:eastAsia="Times New Roman" w:hAnsi="Times New Roman"/>
                <w:sz w:val="24"/>
                <w:szCs w:val="24"/>
                <w:vertAlign w:val="superscript"/>
                <w:lang w:val="sr-Cyrl-CS"/>
              </w:rPr>
              <w:t>9</w:t>
            </w:r>
            <w:r w:rsidRPr="00CC35F0">
              <w:rPr>
                <w:rFonts w:ascii="Times New Roman" w:eastAsia="Times New Roman" w:hAnsi="Times New Roman"/>
                <w:b/>
                <w:sz w:val="24"/>
                <w:szCs w:val="24"/>
                <w:vertAlign w:val="superscript"/>
                <w:lang w:val="sr-Cyrl-CS"/>
              </w:rPr>
              <w:t> </w:t>
            </w:r>
          </w:p>
        </w:tc>
        <w:tc>
          <w:tcPr>
            <w:tcW w:w="551" w:type="dxa"/>
            <w:shd w:val="clear" w:color="auto" w:fill="D9D9D9"/>
            <w:vAlign w:val="center"/>
          </w:tcPr>
          <w:p w14:paraId="3387FDB4"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031CA09F"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1,5</w:t>
            </w:r>
          </w:p>
        </w:tc>
        <w:tc>
          <w:tcPr>
            <w:tcW w:w="1171" w:type="dxa"/>
            <w:shd w:val="clear" w:color="auto" w:fill="D9D9D9"/>
            <w:vAlign w:val="center"/>
          </w:tcPr>
          <w:p w14:paraId="7C4AB4C2"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158,6</w:t>
            </w:r>
          </w:p>
        </w:tc>
        <w:tc>
          <w:tcPr>
            <w:tcW w:w="2865" w:type="dxa"/>
            <w:shd w:val="clear" w:color="auto" w:fill="D9D9D9"/>
            <w:vAlign w:val="center"/>
          </w:tcPr>
          <w:p w14:paraId="5905797D"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Најстарија возила се замењују новијима (новијим у односу на возила Euro 1 до Euro 3). Трошкови настају као последица додатних трошкова куповине нових </w:t>
            </w:r>
            <w:r w:rsidRPr="00CC35F0">
              <w:rPr>
                <w:rFonts w:ascii="Times New Roman" w:eastAsia="Times New Roman" w:hAnsi="Times New Roman"/>
                <w:color w:val="000000"/>
                <w:sz w:val="24"/>
                <w:szCs w:val="24"/>
                <w:lang w:val="sr-Cyrl-CS"/>
              </w:rPr>
              <w:lastRenderedPageBreak/>
              <w:t>возила (која могу бити половна возила) у складу са Euro 6/VI, јер је ова мера повезана с мером WAM B4 која намеће строже стандарде за увезена половна возила, Euro VI или 6 од 2025. године и даље.</w:t>
            </w:r>
          </w:p>
        </w:tc>
        <w:tc>
          <w:tcPr>
            <w:tcW w:w="665" w:type="dxa"/>
            <w:shd w:val="clear" w:color="auto" w:fill="D9D9D9"/>
            <w:vAlign w:val="center"/>
          </w:tcPr>
          <w:p w14:paraId="4212A513"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lastRenderedPageBreak/>
              <w:t>2024-2028.</w:t>
            </w:r>
          </w:p>
        </w:tc>
      </w:tr>
      <w:tr w:rsidR="00A0251B" w:rsidRPr="00CC35F0" w14:paraId="64E948EE" w14:textId="77777777" w:rsidTr="00B14BBF">
        <w:trPr>
          <w:trHeight w:val="888"/>
        </w:trPr>
        <w:tc>
          <w:tcPr>
            <w:tcW w:w="566" w:type="dxa"/>
            <w:shd w:val="clear" w:color="auto" w:fill="auto"/>
            <w:vAlign w:val="center"/>
          </w:tcPr>
          <w:p w14:paraId="02AC6DFC"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672" w:type="dxa"/>
            <w:shd w:val="clear" w:color="auto" w:fill="auto"/>
            <w:vAlign w:val="center"/>
          </w:tcPr>
          <w:p w14:paraId="2C041771"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Припрема и усвајање плана управљања отпадним возилима и побољшање центара за рециклажу возила.</w:t>
            </w:r>
          </w:p>
        </w:tc>
        <w:tc>
          <w:tcPr>
            <w:tcW w:w="1106" w:type="dxa"/>
            <w:shd w:val="clear" w:color="auto" w:fill="auto"/>
            <w:vAlign w:val="center"/>
          </w:tcPr>
          <w:p w14:paraId="34041B0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1C8E99C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25ADB81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147C139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7707408B"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6C440E67"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1,0</w:t>
            </w:r>
          </w:p>
        </w:tc>
        <w:tc>
          <w:tcPr>
            <w:tcW w:w="1171" w:type="dxa"/>
            <w:shd w:val="clear" w:color="auto" w:fill="auto"/>
            <w:vAlign w:val="center"/>
          </w:tcPr>
          <w:p w14:paraId="09E973A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vAlign w:val="center"/>
          </w:tcPr>
          <w:p w14:paraId="5C06158C"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Потребна су донаторска средства за припрему  плана управљања отпадним возилима и побољшање центара за рециклажу возила.</w:t>
            </w:r>
          </w:p>
        </w:tc>
        <w:tc>
          <w:tcPr>
            <w:tcW w:w="665" w:type="dxa"/>
            <w:shd w:val="clear" w:color="auto" w:fill="auto"/>
            <w:vAlign w:val="center"/>
          </w:tcPr>
          <w:p w14:paraId="707573D3"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w:t>
            </w:r>
          </w:p>
        </w:tc>
      </w:tr>
      <w:tr w:rsidR="00A0251B" w:rsidRPr="00CC35F0" w14:paraId="6F2CA9A8" w14:textId="77777777" w:rsidTr="00B14BBF">
        <w:trPr>
          <w:trHeight w:val="888"/>
        </w:trPr>
        <w:tc>
          <w:tcPr>
            <w:tcW w:w="566" w:type="dxa"/>
            <w:shd w:val="clear" w:color="auto" w:fill="auto"/>
            <w:vAlign w:val="center"/>
          </w:tcPr>
          <w:p w14:paraId="649FC639"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672" w:type="dxa"/>
            <w:shd w:val="clear" w:color="auto" w:fill="auto"/>
            <w:vAlign w:val="center"/>
          </w:tcPr>
          <w:p w14:paraId="60846AE5"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Успостављање и спровођење механизама подршке из јавних средстава за дерегистрацију/отпремање старих дизел путничких аутомобила, теретних возила</w:t>
            </w:r>
            <w:r w:rsidR="00F36C10" w:rsidRPr="00CC35F0">
              <w:rPr>
                <w:rFonts w:ascii="Times New Roman" w:eastAsia="Times New Roman" w:hAnsi="Times New Roman"/>
                <w:color w:val="000000"/>
                <w:sz w:val="24"/>
                <w:szCs w:val="24"/>
                <w:lang w:val="sr-Cyrl-CS"/>
              </w:rPr>
              <w:t xml:space="preserve"> </w:t>
            </w:r>
            <w:r w:rsidRPr="00CC35F0">
              <w:rPr>
                <w:rFonts w:ascii="Times New Roman" w:eastAsia="Times New Roman" w:hAnsi="Times New Roman"/>
                <w:color w:val="000000"/>
                <w:sz w:val="24"/>
                <w:szCs w:val="24"/>
                <w:lang w:val="sr-Cyrl-CS"/>
              </w:rPr>
              <w:t xml:space="preserve">(изузев N3) и аутобуса (који одговарају Euro 1, Euro 2, Euro 3 и Euro I, Euro II и Euro III) у рециклажне центре. </w:t>
            </w:r>
          </w:p>
        </w:tc>
        <w:tc>
          <w:tcPr>
            <w:tcW w:w="1106" w:type="dxa"/>
            <w:shd w:val="clear" w:color="auto" w:fill="auto"/>
            <w:vAlign w:val="center"/>
          </w:tcPr>
          <w:p w14:paraId="5305CC8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80,91</w:t>
            </w:r>
          </w:p>
        </w:tc>
        <w:tc>
          <w:tcPr>
            <w:tcW w:w="769" w:type="dxa"/>
            <w:shd w:val="clear" w:color="auto" w:fill="auto"/>
            <w:vAlign w:val="center"/>
          </w:tcPr>
          <w:p w14:paraId="2083274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372,20 </w:t>
            </w:r>
          </w:p>
        </w:tc>
        <w:tc>
          <w:tcPr>
            <w:tcW w:w="676" w:type="dxa"/>
            <w:shd w:val="clear" w:color="auto" w:fill="auto"/>
            <w:vAlign w:val="center"/>
          </w:tcPr>
          <w:p w14:paraId="62860A3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4B4371E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7576213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4FE4CA1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0,5</w:t>
            </w:r>
          </w:p>
        </w:tc>
        <w:tc>
          <w:tcPr>
            <w:tcW w:w="1171" w:type="dxa"/>
            <w:shd w:val="clear" w:color="auto" w:fill="auto"/>
            <w:vAlign w:val="center"/>
          </w:tcPr>
          <w:p w14:paraId="172AAF0D"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158,6 </w:t>
            </w:r>
          </w:p>
        </w:tc>
        <w:tc>
          <w:tcPr>
            <w:tcW w:w="2865" w:type="dxa"/>
            <w:shd w:val="clear" w:color="auto" w:fill="auto"/>
            <w:vAlign w:val="center"/>
          </w:tcPr>
          <w:p w14:paraId="5B8A4A81"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Потребна су донаторска средства за успостављање и спровођење финансијске подршке за дерегистрацију/отпремање старих дизел возила у рециклажне центре. </w:t>
            </w:r>
          </w:p>
        </w:tc>
        <w:tc>
          <w:tcPr>
            <w:tcW w:w="665" w:type="dxa"/>
            <w:shd w:val="clear" w:color="auto" w:fill="auto"/>
            <w:vAlign w:val="center"/>
          </w:tcPr>
          <w:p w14:paraId="63592D53"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2026.</w:t>
            </w:r>
          </w:p>
        </w:tc>
      </w:tr>
      <w:tr w:rsidR="00A0251B" w:rsidRPr="00CC35F0" w14:paraId="52846C85" w14:textId="77777777" w:rsidTr="00B14BBF">
        <w:trPr>
          <w:trHeight w:val="888"/>
        </w:trPr>
        <w:tc>
          <w:tcPr>
            <w:tcW w:w="566" w:type="dxa"/>
            <w:shd w:val="clear" w:color="auto" w:fill="auto"/>
            <w:vAlign w:val="center"/>
          </w:tcPr>
          <w:p w14:paraId="1F759070"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672" w:type="dxa"/>
            <w:shd w:val="clear" w:color="auto" w:fill="auto"/>
            <w:vAlign w:val="center"/>
          </w:tcPr>
          <w:p w14:paraId="7C32DCA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Промена Закона о порезима на употребу, држање и ношење добара, у делу пореза на употребу моторних возила </w:t>
            </w:r>
          </w:p>
          <w:p w14:paraId="46479C7A" w14:textId="77777777" w:rsidR="00A0251B" w:rsidRPr="00CC35F0" w:rsidRDefault="00A0251B">
            <w:pPr>
              <w:spacing w:after="0" w:line="240" w:lineRule="auto"/>
              <w:ind w:left="-107" w:right="-110"/>
              <w:jc w:val="left"/>
              <w:rPr>
                <w:rFonts w:ascii="Times New Roman" w:eastAsia="Times New Roman" w:hAnsi="Times New Roman"/>
                <w:strike/>
                <w:color w:val="000000"/>
                <w:sz w:val="24"/>
                <w:szCs w:val="24"/>
                <w:lang w:val="sr-Cyrl-CS"/>
              </w:rPr>
            </w:pPr>
          </w:p>
        </w:tc>
        <w:tc>
          <w:tcPr>
            <w:tcW w:w="1106" w:type="dxa"/>
            <w:shd w:val="clear" w:color="auto" w:fill="auto"/>
            <w:vAlign w:val="center"/>
          </w:tcPr>
          <w:p w14:paraId="444ADBF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769" w:type="dxa"/>
            <w:shd w:val="clear" w:color="auto" w:fill="auto"/>
            <w:vAlign w:val="center"/>
          </w:tcPr>
          <w:p w14:paraId="06E4B4C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0EF7CBF3"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5357EFB6" w14:textId="77777777" w:rsidR="00A0251B" w:rsidRPr="00CC35F0" w:rsidRDefault="008D6506">
            <w:pPr>
              <w:spacing w:after="0" w:line="240" w:lineRule="auto"/>
              <w:jc w:val="right"/>
              <w:rPr>
                <w:rFonts w:ascii="Times New Roman" w:eastAsia="Times New Roman" w:hAnsi="Times New Roman"/>
                <w:color w:val="000000"/>
                <w:sz w:val="24"/>
                <w:szCs w:val="24"/>
                <w:vertAlign w:val="superscript"/>
                <w:lang w:val="sr-Cyrl-CS"/>
              </w:rPr>
            </w:pPr>
            <w:r w:rsidRPr="00CC35F0">
              <w:rPr>
                <w:rFonts w:ascii="Times New Roman" w:eastAsia="Times New Roman" w:hAnsi="Times New Roman"/>
                <w:b/>
                <w:sz w:val="24"/>
                <w:szCs w:val="24"/>
                <w:vertAlign w:val="superscript"/>
                <w:lang w:val="sr-Cyrl-CS"/>
              </w:rPr>
              <w:t>**</w:t>
            </w:r>
            <w:r w:rsidR="00DB4371" w:rsidRPr="00CC35F0">
              <w:rPr>
                <w:rFonts w:ascii="Times New Roman" w:eastAsia="Times New Roman" w:hAnsi="Times New Roman"/>
                <w:b/>
                <w:sz w:val="24"/>
                <w:szCs w:val="24"/>
                <w:vertAlign w:val="superscript"/>
                <w:lang w:val="sr-Cyrl-CS"/>
              </w:rPr>
              <w:t>69</w:t>
            </w:r>
            <w:r w:rsidRPr="00CC35F0">
              <w:rPr>
                <w:rFonts w:ascii="Times New Roman" w:eastAsia="Times New Roman" w:hAnsi="Times New Roman"/>
                <w:b/>
                <w:sz w:val="24"/>
                <w:szCs w:val="24"/>
                <w:vertAlign w:val="superscript"/>
                <w:lang w:val="sr-Cyrl-CS"/>
              </w:rPr>
              <w:t> </w:t>
            </w:r>
          </w:p>
        </w:tc>
        <w:tc>
          <w:tcPr>
            <w:tcW w:w="551" w:type="dxa"/>
            <w:shd w:val="clear" w:color="auto" w:fill="auto"/>
            <w:vAlign w:val="center"/>
          </w:tcPr>
          <w:p w14:paraId="6F93E910"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186103C0"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5CD996D1"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227BC75D" w14:textId="77777777" w:rsidR="00A0251B" w:rsidRPr="00CC35F0" w:rsidRDefault="008D6506">
            <w:pPr>
              <w:spacing w:after="1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Промена Закона тако да се подстакне употреба моторних возила чији је утицај на заштиту ваздуха и животну средину повољнији</w:t>
            </w:r>
          </w:p>
          <w:p w14:paraId="019C02CC" w14:textId="77777777" w:rsidR="00A0251B" w:rsidRPr="00CC35F0" w:rsidRDefault="00A0251B">
            <w:pPr>
              <w:spacing w:after="0" w:line="240" w:lineRule="auto"/>
              <w:ind w:left="-109" w:right="-106"/>
              <w:rPr>
                <w:rFonts w:ascii="Times New Roman" w:eastAsia="Times New Roman" w:hAnsi="Times New Roman"/>
                <w:strike/>
                <w:color w:val="000000"/>
                <w:sz w:val="24"/>
                <w:szCs w:val="24"/>
                <w:lang w:val="sr-Cyrl-CS"/>
              </w:rPr>
            </w:pPr>
          </w:p>
        </w:tc>
        <w:tc>
          <w:tcPr>
            <w:tcW w:w="665" w:type="dxa"/>
            <w:shd w:val="clear" w:color="auto" w:fill="auto"/>
            <w:vAlign w:val="center"/>
          </w:tcPr>
          <w:p w14:paraId="5923EE93"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2024-2028.</w:t>
            </w:r>
            <w:r w:rsidR="001F222E" w:rsidRPr="00CC35F0">
              <w:rPr>
                <w:rFonts w:ascii="Times New Roman" w:eastAsia="Times New Roman" w:hAnsi="Times New Roman"/>
                <w:color w:val="000000"/>
                <w:sz w:val="24"/>
                <w:szCs w:val="24"/>
                <w:lang w:val="sr-Cyrl-CS"/>
              </w:rPr>
              <w:t>#</w:t>
            </w:r>
            <w:r w:rsidR="001F222E" w:rsidRPr="00CC35F0">
              <w:rPr>
                <w:rStyle w:val="FootnoteReference"/>
                <w:rFonts w:eastAsia="Times New Roman"/>
                <w:color w:val="000000"/>
                <w:szCs w:val="24"/>
                <w:lang w:val="sr-Cyrl-CS"/>
              </w:rPr>
              <w:footnoteReference w:id="52"/>
            </w:r>
          </w:p>
        </w:tc>
      </w:tr>
      <w:tr w:rsidR="00A0251B" w:rsidRPr="00CC35F0" w14:paraId="3A295A0E" w14:textId="77777777" w:rsidTr="00B14BBF">
        <w:trPr>
          <w:trHeight w:val="1490"/>
        </w:trPr>
        <w:tc>
          <w:tcPr>
            <w:tcW w:w="566" w:type="dxa"/>
            <w:shd w:val="clear" w:color="auto" w:fill="D9D9D9"/>
            <w:vAlign w:val="center"/>
          </w:tcPr>
          <w:p w14:paraId="3D441DEE"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Бр.6</w:t>
            </w:r>
          </w:p>
          <w:p w14:paraId="793D17B6"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A6)</w:t>
            </w:r>
          </w:p>
        </w:tc>
        <w:tc>
          <w:tcPr>
            <w:tcW w:w="5672" w:type="dxa"/>
            <w:shd w:val="clear" w:color="auto" w:fill="D9D9D9"/>
            <w:vAlign w:val="center"/>
          </w:tcPr>
          <w:p w14:paraId="37C3A2AB"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ТМ</w:t>
            </w:r>
          </w:p>
        </w:tc>
        <w:tc>
          <w:tcPr>
            <w:tcW w:w="1106" w:type="dxa"/>
            <w:shd w:val="clear" w:color="auto" w:fill="D9D9D9"/>
            <w:vAlign w:val="center"/>
          </w:tcPr>
          <w:p w14:paraId="67445635"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25,39</w:t>
            </w:r>
          </w:p>
        </w:tc>
        <w:tc>
          <w:tcPr>
            <w:tcW w:w="769" w:type="dxa"/>
            <w:shd w:val="clear" w:color="auto" w:fill="D9D9D9"/>
            <w:vAlign w:val="center"/>
          </w:tcPr>
          <w:p w14:paraId="43AC1229"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676" w:type="dxa"/>
            <w:shd w:val="clear" w:color="auto" w:fill="D9D9D9"/>
            <w:vAlign w:val="center"/>
          </w:tcPr>
          <w:p w14:paraId="3B417FBE"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884" w:type="dxa"/>
            <w:shd w:val="clear" w:color="auto" w:fill="D9D9D9"/>
            <w:vAlign w:val="center"/>
          </w:tcPr>
          <w:p w14:paraId="5ACE757D"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551" w:type="dxa"/>
            <w:shd w:val="clear" w:color="auto" w:fill="D9D9D9"/>
            <w:vAlign w:val="center"/>
          </w:tcPr>
          <w:p w14:paraId="3D7E119B"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28762EF1"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0,3</w:t>
            </w:r>
          </w:p>
        </w:tc>
        <w:tc>
          <w:tcPr>
            <w:tcW w:w="1171" w:type="dxa"/>
            <w:shd w:val="clear" w:color="auto" w:fill="D9D9D9"/>
            <w:vAlign w:val="center"/>
          </w:tcPr>
          <w:p w14:paraId="58F39FE7"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0,36</w:t>
            </w:r>
          </w:p>
        </w:tc>
        <w:tc>
          <w:tcPr>
            <w:tcW w:w="2865" w:type="dxa"/>
            <w:shd w:val="clear" w:color="auto" w:fill="D9D9D9"/>
            <w:vAlign w:val="center"/>
          </w:tcPr>
          <w:p w14:paraId="154A3E48"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Трошкови увођења нове опреме за смањење емисија на новим машинама</w:t>
            </w:r>
          </w:p>
        </w:tc>
        <w:tc>
          <w:tcPr>
            <w:tcW w:w="665" w:type="dxa"/>
            <w:shd w:val="clear" w:color="auto" w:fill="D9D9D9"/>
            <w:vAlign w:val="center"/>
          </w:tcPr>
          <w:p w14:paraId="5C441012"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2025.</w:t>
            </w:r>
          </w:p>
        </w:tc>
      </w:tr>
      <w:tr w:rsidR="00A0251B" w:rsidRPr="00CC35F0" w14:paraId="347EAFE7" w14:textId="77777777" w:rsidTr="00B14BBF">
        <w:trPr>
          <w:trHeight w:val="710"/>
        </w:trPr>
        <w:tc>
          <w:tcPr>
            <w:tcW w:w="566" w:type="dxa"/>
            <w:shd w:val="clear" w:color="auto" w:fill="auto"/>
            <w:vAlign w:val="center"/>
          </w:tcPr>
          <w:p w14:paraId="5F70AAEB" w14:textId="77777777" w:rsidR="00A0251B" w:rsidRPr="00CC35F0" w:rsidRDefault="008D6506">
            <w:pPr>
              <w:spacing w:after="0" w:line="240" w:lineRule="auto"/>
              <w:ind w:left="-103" w:right="-98"/>
              <w:jc w:val="center"/>
              <w:rPr>
                <w:rFonts w:ascii="Times New Roman" w:eastAsia="Times New Roman" w:hAnsi="Times New Roman"/>
                <w:color w:val="0563C1"/>
                <w:sz w:val="24"/>
                <w:szCs w:val="24"/>
                <w:u w:val="single"/>
                <w:lang w:val="sr-Cyrl-CS"/>
              </w:rPr>
            </w:pPr>
            <w:r w:rsidRPr="00CC35F0">
              <w:rPr>
                <w:rFonts w:ascii="Times New Roman" w:eastAsia="Times New Roman" w:hAnsi="Times New Roman"/>
                <w:color w:val="0563C1"/>
                <w:sz w:val="24"/>
                <w:szCs w:val="24"/>
                <w:u w:val="single"/>
                <w:lang w:val="sr-Cyrl-CS"/>
              </w:rPr>
              <w:t>A</w:t>
            </w:r>
          </w:p>
        </w:tc>
        <w:tc>
          <w:tcPr>
            <w:tcW w:w="5672" w:type="dxa"/>
            <w:shd w:val="clear" w:color="auto" w:fill="auto"/>
          </w:tcPr>
          <w:p w14:paraId="0059DF6D"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Завршити програм рада за потпуно усклађивање националног законодавства са Уредбом 2016/1628 кроз Правилник о граничним вредностима емисије гасовитих и суспендованих честица и хомологацији мотора са унутрашњим сагоревањем за ТМ).</w:t>
            </w:r>
          </w:p>
        </w:tc>
        <w:tc>
          <w:tcPr>
            <w:tcW w:w="1106" w:type="dxa"/>
            <w:shd w:val="clear" w:color="auto" w:fill="auto"/>
            <w:vAlign w:val="center"/>
          </w:tcPr>
          <w:p w14:paraId="12DD1B3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4769AC7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3C09AB1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59F4C82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1EAF4840"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45738F0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w:t>
            </w:r>
          </w:p>
        </w:tc>
        <w:tc>
          <w:tcPr>
            <w:tcW w:w="1171" w:type="dxa"/>
            <w:shd w:val="clear" w:color="auto" w:fill="auto"/>
            <w:vAlign w:val="center"/>
          </w:tcPr>
          <w:p w14:paraId="7D43AA5B"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vAlign w:val="center"/>
          </w:tcPr>
          <w:p w14:paraId="27EB4D96"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PLAC3 инструмент подршке</w:t>
            </w:r>
          </w:p>
        </w:tc>
        <w:tc>
          <w:tcPr>
            <w:tcW w:w="665" w:type="dxa"/>
            <w:shd w:val="clear" w:color="auto" w:fill="auto"/>
            <w:vAlign w:val="center"/>
          </w:tcPr>
          <w:p w14:paraId="090C35F5"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2024.</w:t>
            </w:r>
          </w:p>
        </w:tc>
      </w:tr>
      <w:tr w:rsidR="00A0251B" w:rsidRPr="00CC35F0" w14:paraId="72548319" w14:textId="77777777" w:rsidTr="00B14BBF">
        <w:trPr>
          <w:trHeight w:val="1695"/>
        </w:trPr>
        <w:tc>
          <w:tcPr>
            <w:tcW w:w="566" w:type="dxa"/>
            <w:shd w:val="clear" w:color="auto" w:fill="auto"/>
            <w:vAlign w:val="center"/>
          </w:tcPr>
          <w:p w14:paraId="7B2EF7B9"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w:t>
            </w:r>
          </w:p>
        </w:tc>
        <w:tc>
          <w:tcPr>
            <w:tcW w:w="5672" w:type="dxa"/>
            <w:shd w:val="clear" w:color="auto" w:fill="auto"/>
          </w:tcPr>
          <w:p w14:paraId="53E266FF"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Осигурати повећање броја запослених у институцијама Републике Србије у циљу бављења прописима везаним за ТМ али и друмским саобраћајем и другим видовима саобраћаја (МГСИ: 1 радно место, </w:t>
            </w:r>
            <w:r w:rsidR="00807152" w:rsidRPr="00CC35F0">
              <w:rPr>
                <w:rFonts w:ascii="Times New Roman" w:eastAsia="Times New Roman" w:hAnsi="Times New Roman"/>
                <w:sz w:val="24"/>
                <w:szCs w:val="24"/>
                <w:lang w:val="sr-Cyrl-CS"/>
              </w:rPr>
              <w:t>Аге</w:t>
            </w:r>
            <w:r w:rsidR="0024488E">
              <w:rPr>
                <w:rFonts w:ascii="Times New Roman" w:eastAsia="Times New Roman" w:hAnsi="Times New Roman"/>
                <w:sz w:val="24"/>
                <w:szCs w:val="24"/>
                <w:lang w:val="sr-Cyrl-CS"/>
              </w:rPr>
              <w:t>нција за безбедност саобраћаја</w:t>
            </w:r>
            <w:r w:rsidRPr="00CC35F0">
              <w:rPr>
                <w:rFonts w:ascii="Times New Roman" w:eastAsia="Times New Roman" w:hAnsi="Times New Roman"/>
                <w:color w:val="000000"/>
                <w:sz w:val="24"/>
                <w:szCs w:val="24"/>
                <w:lang w:val="sr-Cyrl-CS"/>
              </w:rPr>
              <w:t xml:space="preserve">: </w:t>
            </w:r>
            <w:r w:rsidR="00F06BCD" w:rsidRPr="00CC35F0">
              <w:rPr>
                <w:rFonts w:ascii="Times New Roman" w:eastAsia="Times New Roman" w:hAnsi="Times New Roman"/>
                <w:color w:val="000000"/>
                <w:sz w:val="24"/>
                <w:szCs w:val="24"/>
                <w:lang w:val="sr-Cyrl-CS"/>
              </w:rPr>
              <w:t>2</w:t>
            </w:r>
            <w:r w:rsidRPr="00CC35F0">
              <w:rPr>
                <w:rFonts w:ascii="Times New Roman" w:eastAsia="Times New Roman" w:hAnsi="Times New Roman"/>
                <w:color w:val="000000"/>
                <w:sz w:val="24"/>
                <w:szCs w:val="24"/>
                <w:lang w:val="sr-Cyrl-CS"/>
              </w:rPr>
              <w:t xml:space="preserve"> радно место).</w:t>
            </w:r>
          </w:p>
        </w:tc>
        <w:tc>
          <w:tcPr>
            <w:tcW w:w="1106" w:type="dxa"/>
            <w:shd w:val="clear" w:color="auto" w:fill="auto"/>
            <w:vAlign w:val="center"/>
          </w:tcPr>
          <w:p w14:paraId="2F9628F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2EAE6DE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74BA755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3035005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7C5C0DF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72905AD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26FA37E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0,36</w:t>
            </w:r>
          </w:p>
        </w:tc>
        <w:tc>
          <w:tcPr>
            <w:tcW w:w="2865" w:type="dxa"/>
            <w:shd w:val="clear" w:color="auto" w:fill="auto"/>
            <w:vAlign w:val="center"/>
          </w:tcPr>
          <w:p w14:paraId="6840A476"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Потребни су додатни капацитети у МГСИ за бављење питањем ТМ</w:t>
            </w:r>
          </w:p>
        </w:tc>
        <w:tc>
          <w:tcPr>
            <w:tcW w:w="665" w:type="dxa"/>
            <w:shd w:val="clear" w:color="auto" w:fill="auto"/>
            <w:vAlign w:val="center"/>
          </w:tcPr>
          <w:p w14:paraId="12F23E80"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r>
      <w:tr w:rsidR="00A0251B" w:rsidRPr="00CC35F0" w14:paraId="3C4B5B4F" w14:textId="77777777" w:rsidTr="00B14BBF">
        <w:trPr>
          <w:trHeight w:val="724"/>
        </w:trPr>
        <w:tc>
          <w:tcPr>
            <w:tcW w:w="566" w:type="dxa"/>
            <w:shd w:val="clear" w:color="auto" w:fill="auto"/>
            <w:vAlign w:val="center"/>
          </w:tcPr>
          <w:p w14:paraId="2F3644AD"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672" w:type="dxa"/>
            <w:shd w:val="clear" w:color="auto" w:fill="auto"/>
          </w:tcPr>
          <w:p w14:paraId="4FF57E95"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граничних вредности емисије гасовитих и суспендованих честица и хомологација мотора са унутрашњим сагоревањем за ТМ</w:t>
            </w:r>
          </w:p>
        </w:tc>
        <w:tc>
          <w:tcPr>
            <w:tcW w:w="1106" w:type="dxa"/>
            <w:shd w:val="clear" w:color="auto" w:fill="auto"/>
            <w:vAlign w:val="center"/>
          </w:tcPr>
          <w:p w14:paraId="1805FCE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25,39</w:t>
            </w:r>
          </w:p>
        </w:tc>
        <w:tc>
          <w:tcPr>
            <w:tcW w:w="769" w:type="dxa"/>
            <w:shd w:val="clear" w:color="auto" w:fill="auto"/>
            <w:vAlign w:val="center"/>
          </w:tcPr>
          <w:p w14:paraId="38C35360"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38626B95"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32C60793"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721D6113"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6C220B76"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711EADEB"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4102FA8B"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Додатни трошкови Фазе V, мотори са унутрашњим сагоревањем за ТМ</w:t>
            </w:r>
          </w:p>
        </w:tc>
        <w:tc>
          <w:tcPr>
            <w:tcW w:w="665" w:type="dxa"/>
            <w:shd w:val="clear" w:color="auto" w:fill="auto"/>
            <w:vAlign w:val="center"/>
          </w:tcPr>
          <w:p w14:paraId="2A528F2C"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2022-2025.</w:t>
            </w:r>
          </w:p>
        </w:tc>
      </w:tr>
      <w:tr w:rsidR="00A0251B" w:rsidRPr="00CC35F0" w14:paraId="2449EA1C" w14:textId="77777777" w:rsidTr="00B14BBF">
        <w:trPr>
          <w:trHeight w:val="1085"/>
        </w:trPr>
        <w:tc>
          <w:tcPr>
            <w:tcW w:w="566" w:type="dxa"/>
            <w:shd w:val="clear" w:color="auto" w:fill="D9D9D9"/>
            <w:vAlign w:val="center"/>
          </w:tcPr>
          <w:p w14:paraId="31FAB4C0"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Бр.7</w:t>
            </w:r>
          </w:p>
          <w:p w14:paraId="79F4F56D"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C1)</w:t>
            </w:r>
          </w:p>
        </w:tc>
        <w:tc>
          <w:tcPr>
            <w:tcW w:w="5672" w:type="dxa"/>
            <w:shd w:val="clear" w:color="auto" w:fill="D9D9D9"/>
            <w:vAlign w:val="center"/>
          </w:tcPr>
          <w:p w14:paraId="457841F8"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Бржа  замена постојећих уређаја за грејање у домаћинствима новим уређајима који испуњавају захтеве Директиве о еко-дизајну уз финансијске подстицаје и уз већи проценат замене у градовима Крагујевац, Београд, Ниш, Ваљево и Ужице</w:t>
            </w:r>
          </w:p>
        </w:tc>
        <w:tc>
          <w:tcPr>
            <w:tcW w:w="1106" w:type="dxa"/>
            <w:shd w:val="clear" w:color="auto" w:fill="D9D9D9"/>
            <w:vAlign w:val="center"/>
          </w:tcPr>
          <w:p w14:paraId="3187AC2C"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w:t>
            </w:r>
          </w:p>
        </w:tc>
        <w:tc>
          <w:tcPr>
            <w:tcW w:w="769" w:type="dxa"/>
            <w:shd w:val="clear" w:color="auto" w:fill="D9D9D9"/>
            <w:vAlign w:val="center"/>
          </w:tcPr>
          <w:p w14:paraId="3CE4EF19"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476,90</w:t>
            </w:r>
          </w:p>
        </w:tc>
        <w:tc>
          <w:tcPr>
            <w:tcW w:w="676" w:type="dxa"/>
            <w:shd w:val="clear" w:color="auto" w:fill="D9D9D9"/>
            <w:vAlign w:val="center"/>
          </w:tcPr>
          <w:p w14:paraId="35B5672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w:t>
            </w:r>
          </w:p>
        </w:tc>
        <w:tc>
          <w:tcPr>
            <w:tcW w:w="884" w:type="dxa"/>
            <w:shd w:val="clear" w:color="auto" w:fill="D9D9D9"/>
            <w:vAlign w:val="center"/>
          </w:tcPr>
          <w:p w14:paraId="0B4216B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551" w:type="dxa"/>
            <w:shd w:val="clear" w:color="auto" w:fill="D9D9D9"/>
            <w:vAlign w:val="center"/>
          </w:tcPr>
          <w:p w14:paraId="016D0C2C"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4F78AA3B"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0,3</w:t>
            </w:r>
          </w:p>
        </w:tc>
        <w:tc>
          <w:tcPr>
            <w:tcW w:w="1171" w:type="dxa"/>
            <w:shd w:val="clear" w:color="auto" w:fill="D9D9D9"/>
            <w:vAlign w:val="center"/>
          </w:tcPr>
          <w:p w14:paraId="632786C1"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261,06</w:t>
            </w:r>
          </w:p>
        </w:tc>
        <w:tc>
          <w:tcPr>
            <w:tcW w:w="2865" w:type="dxa"/>
            <w:shd w:val="clear" w:color="auto" w:fill="D9D9D9"/>
            <w:vAlign w:val="center"/>
          </w:tcPr>
          <w:p w14:paraId="7E697FF0"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Трошкови замене кућних грејних тела новим еко-дизајнираним уређајима или топлотним пумпама</w:t>
            </w:r>
          </w:p>
        </w:tc>
        <w:tc>
          <w:tcPr>
            <w:tcW w:w="665" w:type="dxa"/>
            <w:shd w:val="clear" w:color="auto" w:fill="D9D9D9"/>
            <w:vAlign w:val="center"/>
          </w:tcPr>
          <w:p w14:paraId="305E149F"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2022-2030.</w:t>
            </w:r>
          </w:p>
        </w:tc>
      </w:tr>
      <w:tr w:rsidR="00A0251B" w:rsidRPr="00CC35F0" w14:paraId="3031EEB8" w14:textId="77777777" w:rsidTr="00B14BBF">
        <w:trPr>
          <w:trHeight w:val="473"/>
        </w:trPr>
        <w:tc>
          <w:tcPr>
            <w:tcW w:w="566" w:type="dxa"/>
            <w:shd w:val="clear" w:color="auto" w:fill="auto"/>
            <w:vAlign w:val="center"/>
          </w:tcPr>
          <w:p w14:paraId="42A6FF8D" w14:textId="77777777" w:rsidR="00A0251B" w:rsidRPr="00CC35F0" w:rsidRDefault="00000000">
            <w:pPr>
              <w:spacing w:after="0" w:line="240" w:lineRule="auto"/>
              <w:ind w:left="-103" w:right="-98"/>
              <w:jc w:val="center"/>
              <w:rPr>
                <w:rFonts w:ascii="Times New Roman" w:eastAsia="Times New Roman" w:hAnsi="Times New Roman"/>
                <w:color w:val="0563C1"/>
                <w:sz w:val="24"/>
                <w:szCs w:val="24"/>
                <w:u w:val="single"/>
                <w:lang w:val="sr-Cyrl-CS"/>
              </w:rPr>
            </w:pPr>
            <w:hyperlink r:id="rId50">
              <w:r w:rsidR="008D6506" w:rsidRPr="00CC35F0">
                <w:rPr>
                  <w:rFonts w:ascii="Times New Roman" w:eastAsia="Times New Roman" w:hAnsi="Times New Roman"/>
                  <w:color w:val="0563C1"/>
                  <w:sz w:val="24"/>
                  <w:szCs w:val="24"/>
                  <w:u w:val="single"/>
                  <w:lang w:val="sr-Cyrl-CS"/>
                </w:rPr>
                <w:t>A</w:t>
              </w:r>
            </w:hyperlink>
          </w:p>
        </w:tc>
        <w:tc>
          <w:tcPr>
            <w:tcW w:w="5672" w:type="dxa"/>
            <w:shd w:val="clear" w:color="auto" w:fill="FFFFFF"/>
          </w:tcPr>
          <w:p w14:paraId="1BA693B9"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Завршити рад на потпуном усклађивању националног законодавства са Директивом о еко-дизајну и радити на транспозицији два следећа прописа:</w:t>
            </w:r>
          </w:p>
          <w:p w14:paraId="607DEF54"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Уредба 2015/1189 од 28. априла 2015. године којом се имплементира Директива 2009/125/ЕЗ Европског парламента и Савета у погледу захтева еко-дизајна за котлове на чврсто гориво.</w:t>
            </w:r>
          </w:p>
          <w:p w14:paraId="5A536286"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Уредба 2015/1185 од 24. априла 2015. године којом се имплементира Директива 2009/125/ЕЗ Европског парламента и Савета у погледу захтева еко-дизајна за локалне грејаче простора на чврста горива.</w:t>
            </w:r>
          </w:p>
        </w:tc>
        <w:tc>
          <w:tcPr>
            <w:tcW w:w="1106" w:type="dxa"/>
            <w:shd w:val="clear" w:color="auto" w:fill="FFFFFF"/>
            <w:vAlign w:val="center"/>
          </w:tcPr>
          <w:p w14:paraId="4BF795E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769" w:type="dxa"/>
            <w:shd w:val="clear" w:color="auto" w:fill="FFFFFF"/>
            <w:vAlign w:val="center"/>
          </w:tcPr>
          <w:p w14:paraId="743FB0D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676" w:type="dxa"/>
            <w:shd w:val="clear" w:color="auto" w:fill="FFFFFF"/>
            <w:vAlign w:val="center"/>
          </w:tcPr>
          <w:p w14:paraId="4A6FF8B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884" w:type="dxa"/>
            <w:shd w:val="clear" w:color="auto" w:fill="FFFFFF"/>
            <w:vAlign w:val="center"/>
          </w:tcPr>
          <w:p w14:paraId="44A5E27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551" w:type="dxa"/>
            <w:shd w:val="clear" w:color="auto" w:fill="FFFFFF"/>
            <w:vAlign w:val="center"/>
          </w:tcPr>
          <w:p w14:paraId="2AEEDD55"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810" w:type="dxa"/>
            <w:shd w:val="clear" w:color="auto" w:fill="FFFFFF"/>
            <w:vAlign w:val="center"/>
          </w:tcPr>
          <w:p w14:paraId="28ADCC63"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0,3</w:t>
            </w:r>
          </w:p>
        </w:tc>
        <w:tc>
          <w:tcPr>
            <w:tcW w:w="1171" w:type="dxa"/>
            <w:shd w:val="clear" w:color="auto" w:fill="FFFFFF"/>
            <w:vAlign w:val="center"/>
          </w:tcPr>
          <w:p w14:paraId="2E86C8E2"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2865" w:type="dxa"/>
            <w:shd w:val="clear" w:color="auto" w:fill="FFFFFF"/>
            <w:vAlign w:val="center"/>
          </w:tcPr>
          <w:p w14:paraId="03D5548E"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Финансирање из донаторских средстава </w:t>
            </w:r>
          </w:p>
        </w:tc>
        <w:tc>
          <w:tcPr>
            <w:tcW w:w="665" w:type="dxa"/>
            <w:shd w:val="clear" w:color="auto" w:fill="FFFFFF"/>
            <w:vAlign w:val="center"/>
          </w:tcPr>
          <w:p w14:paraId="2A1985E2"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w:t>
            </w:r>
          </w:p>
        </w:tc>
      </w:tr>
      <w:tr w:rsidR="00A0251B" w:rsidRPr="00CC35F0" w14:paraId="5264D186" w14:textId="77777777" w:rsidTr="00B14BBF">
        <w:trPr>
          <w:trHeight w:val="1490"/>
        </w:trPr>
        <w:tc>
          <w:tcPr>
            <w:tcW w:w="566" w:type="dxa"/>
            <w:shd w:val="clear" w:color="auto" w:fill="auto"/>
            <w:vAlign w:val="center"/>
          </w:tcPr>
          <w:p w14:paraId="069FC47E" w14:textId="77777777" w:rsidR="00A0251B" w:rsidRPr="00CC35F0" w:rsidRDefault="00A0251B">
            <w:pPr>
              <w:spacing w:after="0" w:line="240" w:lineRule="auto"/>
              <w:ind w:left="-103" w:right="-98"/>
              <w:jc w:val="center"/>
              <w:rPr>
                <w:rFonts w:ascii="Times New Roman" w:eastAsia="Times New Roman" w:hAnsi="Times New Roman"/>
                <w:color w:val="0563C1"/>
                <w:sz w:val="24"/>
                <w:szCs w:val="24"/>
                <w:u w:val="single"/>
                <w:lang w:val="sr-Cyrl-CS"/>
              </w:rPr>
            </w:pPr>
            <w:bookmarkStart w:id="102" w:name="_heading=h.3s49zyc" w:colFirst="0" w:colLast="0"/>
            <w:bookmarkEnd w:id="102"/>
          </w:p>
        </w:tc>
        <w:tc>
          <w:tcPr>
            <w:tcW w:w="5672" w:type="dxa"/>
            <w:shd w:val="clear" w:color="auto" w:fill="FFFFFF"/>
            <w:vAlign w:val="center"/>
          </w:tcPr>
          <w:p w14:paraId="3A41B95D"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Успостављање и примена механизма за финансијске подстицаје за замену постојећих уређаја за грејање у домаћинствима новим који испуњавају захтеве еко-дизајна и топлотним пумпама.</w:t>
            </w:r>
          </w:p>
          <w:p w14:paraId="06710958" w14:textId="77777777" w:rsidR="00A0251B" w:rsidRPr="00CC35F0" w:rsidRDefault="00A0251B">
            <w:pPr>
              <w:spacing w:after="0" w:line="240" w:lineRule="auto"/>
              <w:ind w:right="-110"/>
              <w:jc w:val="left"/>
              <w:rPr>
                <w:rFonts w:ascii="Times New Roman" w:eastAsia="Times New Roman" w:hAnsi="Times New Roman"/>
                <w:sz w:val="24"/>
                <w:szCs w:val="24"/>
                <w:lang w:val="sr-Cyrl-CS"/>
              </w:rPr>
            </w:pPr>
          </w:p>
        </w:tc>
        <w:tc>
          <w:tcPr>
            <w:tcW w:w="1106" w:type="dxa"/>
            <w:shd w:val="clear" w:color="auto" w:fill="auto"/>
            <w:vAlign w:val="center"/>
          </w:tcPr>
          <w:p w14:paraId="39801F4E"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769" w:type="dxa"/>
            <w:shd w:val="clear" w:color="auto" w:fill="auto"/>
            <w:vAlign w:val="center"/>
          </w:tcPr>
          <w:p w14:paraId="033DBED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476,90</w:t>
            </w:r>
          </w:p>
        </w:tc>
        <w:tc>
          <w:tcPr>
            <w:tcW w:w="676" w:type="dxa"/>
            <w:shd w:val="clear" w:color="auto" w:fill="auto"/>
            <w:vAlign w:val="center"/>
          </w:tcPr>
          <w:p w14:paraId="72D001B8"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30DEDD18"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70D4A5D3"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28EA942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bookmarkStart w:id="103" w:name="_heading=h.279ka65" w:colFirst="0" w:colLast="0"/>
            <w:bookmarkEnd w:id="103"/>
            <w:r w:rsidRPr="00CC35F0">
              <w:rPr>
                <w:rFonts w:ascii="Times New Roman" w:eastAsia="Times New Roman" w:hAnsi="Times New Roman"/>
                <w:color w:val="000000"/>
                <w:sz w:val="24"/>
                <w:szCs w:val="24"/>
                <w:lang w:val="sr-Cyrl-CS"/>
              </w:rPr>
              <w:t>258,36</w:t>
            </w:r>
          </w:p>
        </w:tc>
        <w:tc>
          <w:tcPr>
            <w:tcW w:w="1171" w:type="dxa"/>
            <w:shd w:val="clear" w:color="auto" w:fill="auto"/>
            <w:vAlign w:val="center"/>
          </w:tcPr>
          <w:p w14:paraId="4A416EDC"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4B46C297"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Требало би успоставити механизам у сарадњи са Удружењем рециклера Србије или осигурати да се замењени апарати не врате на тржиште</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Републике Србије или суседних земаља.</w:t>
            </w:r>
          </w:p>
        </w:tc>
        <w:tc>
          <w:tcPr>
            <w:tcW w:w="665" w:type="dxa"/>
            <w:shd w:val="clear" w:color="auto" w:fill="auto"/>
            <w:vAlign w:val="center"/>
          </w:tcPr>
          <w:p w14:paraId="74A3FE6F"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2023-2030.</w:t>
            </w:r>
          </w:p>
        </w:tc>
      </w:tr>
      <w:tr w:rsidR="00A0251B" w:rsidRPr="00CC35F0" w14:paraId="08E629F2" w14:textId="77777777" w:rsidTr="00B14BBF">
        <w:trPr>
          <w:trHeight w:val="758"/>
        </w:trPr>
        <w:tc>
          <w:tcPr>
            <w:tcW w:w="566" w:type="dxa"/>
            <w:shd w:val="clear" w:color="auto" w:fill="auto"/>
            <w:vAlign w:val="center"/>
          </w:tcPr>
          <w:p w14:paraId="00C6DC6C" w14:textId="77777777" w:rsidR="00A0251B" w:rsidRPr="00CC35F0" w:rsidRDefault="00A0251B">
            <w:pPr>
              <w:spacing w:after="0" w:line="240" w:lineRule="auto"/>
              <w:ind w:left="-103" w:right="-98"/>
              <w:jc w:val="center"/>
              <w:rPr>
                <w:rFonts w:ascii="Times New Roman" w:eastAsia="Times New Roman" w:hAnsi="Times New Roman"/>
                <w:color w:val="0563C1"/>
                <w:sz w:val="24"/>
                <w:szCs w:val="24"/>
                <w:u w:val="single"/>
                <w:lang w:val="sr-Cyrl-CS"/>
              </w:rPr>
            </w:pPr>
          </w:p>
        </w:tc>
        <w:tc>
          <w:tcPr>
            <w:tcW w:w="5672" w:type="dxa"/>
            <w:shd w:val="clear" w:color="auto" w:fill="FFFFFF"/>
            <w:vAlign w:val="center"/>
          </w:tcPr>
          <w:p w14:paraId="6802CD6F"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Омогућавање механизма финансијских подстицаја запошљавањем додатних 6 лица са пуним радним временом у циљу информисања јавности о томе како смањити емисије из уређаја за грејање у домаћинствима, и омогућити приступ финансијској подршци. </w:t>
            </w:r>
          </w:p>
        </w:tc>
        <w:tc>
          <w:tcPr>
            <w:tcW w:w="1106" w:type="dxa"/>
            <w:shd w:val="clear" w:color="auto" w:fill="auto"/>
            <w:vAlign w:val="center"/>
          </w:tcPr>
          <w:p w14:paraId="4E900FF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w:t>
            </w:r>
          </w:p>
        </w:tc>
        <w:tc>
          <w:tcPr>
            <w:tcW w:w="769" w:type="dxa"/>
            <w:shd w:val="clear" w:color="auto" w:fill="auto"/>
            <w:vAlign w:val="center"/>
          </w:tcPr>
          <w:p w14:paraId="07C23B1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w:t>
            </w:r>
          </w:p>
        </w:tc>
        <w:tc>
          <w:tcPr>
            <w:tcW w:w="676" w:type="dxa"/>
            <w:shd w:val="clear" w:color="auto" w:fill="auto"/>
            <w:vAlign w:val="center"/>
          </w:tcPr>
          <w:p w14:paraId="4161EDE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w:t>
            </w:r>
          </w:p>
        </w:tc>
        <w:tc>
          <w:tcPr>
            <w:tcW w:w="884" w:type="dxa"/>
            <w:shd w:val="clear" w:color="auto" w:fill="auto"/>
            <w:vAlign w:val="center"/>
          </w:tcPr>
          <w:p w14:paraId="64F14748" w14:textId="77777777" w:rsidR="00A0251B" w:rsidRPr="00CC35F0" w:rsidRDefault="00A0251B">
            <w:pPr>
              <w:spacing w:after="0" w:line="240" w:lineRule="auto"/>
              <w:jc w:val="right"/>
              <w:rPr>
                <w:rFonts w:ascii="Times New Roman" w:eastAsia="Times New Roman" w:hAnsi="Times New Roman"/>
                <w:sz w:val="24"/>
                <w:szCs w:val="24"/>
                <w:lang w:val="sr-Cyrl-CS"/>
              </w:rPr>
            </w:pPr>
          </w:p>
          <w:p w14:paraId="1748791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w:t>
            </w:r>
          </w:p>
        </w:tc>
        <w:tc>
          <w:tcPr>
            <w:tcW w:w="551" w:type="dxa"/>
            <w:shd w:val="clear" w:color="auto" w:fill="auto"/>
            <w:vAlign w:val="center"/>
          </w:tcPr>
          <w:p w14:paraId="525B0CD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w:t>
            </w:r>
          </w:p>
        </w:tc>
        <w:tc>
          <w:tcPr>
            <w:tcW w:w="810" w:type="dxa"/>
            <w:shd w:val="clear" w:color="auto" w:fill="auto"/>
            <w:vAlign w:val="center"/>
          </w:tcPr>
          <w:p w14:paraId="0A08CD5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w:t>
            </w:r>
          </w:p>
        </w:tc>
        <w:tc>
          <w:tcPr>
            <w:tcW w:w="1171" w:type="dxa"/>
            <w:shd w:val="clear" w:color="auto" w:fill="auto"/>
            <w:vAlign w:val="center"/>
          </w:tcPr>
          <w:p w14:paraId="0EB9E9F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4</w:t>
            </w:r>
            <w:r w:rsidR="00EB37A4" w:rsidRPr="00CC35F0">
              <w:rPr>
                <w:rFonts w:ascii="Times New Roman" w:eastAsia="Times New Roman" w:hAnsi="Times New Roman"/>
                <w:sz w:val="24"/>
                <w:szCs w:val="24"/>
                <w:lang w:val="sr-Cyrl-CS"/>
              </w:rPr>
              <w:t>2,3</w:t>
            </w:r>
          </w:p>
        </w:tc>
        <w:tc>
          <w:tcPr>
            <w:tcW w:w="2865" w:type="dxa"/>
            <w:shd w:val="clear" w:color="auto" w:fill="auto"/>
            <w:vAlign w:val="center"/>
          </w:tcPr>
          <w:p w14:paraId="0D5118B3"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Процењује се да је потребно </w:t>
            </w:r>
            <w:r w:rsidR="00F263C0" w:rsidRPr="00CC35F0">
              <w:rPr>
                <w:rFonts w:ascii="Times New Roman" w:eastAsia="Times New Roman" w:hAnsi="Times New Roman"/>
                <w:color w:val="000000"/>
                <w:sz w:val="24"/>
                <w:szCs w:val="24"/>
                <w:lang w:val="sr-Cyrl-CS"/>
              </w:rPr>
              <w:t>шест</w:t>
            </w:r>
            <w:r w:rsidRPr="00CC35F0">
              <w:rPr>
                <w:rFonts w:ascii="Times New Roman" w:eastAsia="Times New Roman" w:hAnsi="Times New Roman"/>
                <w:color w:val="000000"/>
                <w:sz w:val="24"/>
                <w:szCs w:val="24"/>
                <w:lang w:val="sr-Cyrl-CS"/>
              </w:rPr>
              <w:t xml:space="preserve"> додатних запослених да би се омогућила примена финансијских подстицаја на националном и локалном нивоу.</w:t>
            </w:r>
          </w:p>
          <w:p w14:paraId="7B2D4372"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tc>
        <w:tc>
          <w:tcPr>
            <w:tcW w:w="665" w:type="dxa"/>
            <w:shd w:val="clear" w:color="auto" w:fill="auto"/>
            <w:vAlign w:val="center"/>
          </w:tcPr>
          <w:p w14:paraId="12816401"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2024-2030.</w:t>
            </w:r>
          </w:p>
        </w:tc>
      </w:tr>
      <w:tr w:rsidR="00A0251B" w:rsidRPr="00CC35F0" w14:paraId="31A0AADD" w14:textId="77777777" w:rsidTr="00B14BBF">
        <w:trPr>
          <w:trHeight w:val="590"/>
        </w:trPr>
        <w:tc>
          <w:tcPr>
            <w:tcW w:w="566" w:type="dxa"/>
            <w:shd w:val="clear" w:color="auto" w:fill="D9D9D9"/>
            <w:vAlign w:val="center"/>
          </w:tcPr>
          <w:p w14:paraId="00E3E982"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Бр.8</w:t>
            </w:r>
          </w:p>
          <w:p w14:paraId="4281C35E"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A7)</w:t>
            </w:r>
          </w:p>
        </w:tc>
        <w:tc>
          <w:tcPr>
            <w:tcW w:w="5672" w:type="dxa"/>
            <w:shd w:val="clear" w:color="auto" w:fill="D9D9D9"/>
            <w:vAlign w:val="center"/>
          </w:tcPr>
          <w:p w14:paraId="0730CE43"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Спровођење измењене Директиве 2009/30/EЗ о квалитету горива и Директиве 2016/802/EЗ о смањењу садржаја сумпора у одређеним течним горивима </w:t>
            </w:r>
          </w:p>
        </w:tc>
        <w:tc>
          <w:tcPr>
            <w:tcW w:w="1106" w:type="dxa"/>
            <w:shd w:val="clear" w:color="auto" w:fill="D9D9D9"/>
            <w:vAlign w:val="center"/>
          </w:tcPr>
          <w:p w14:paraId="7665888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419</w:t>
            </w:r>
            <w:r w:rsidRPr="00CC35F0">
              <w:rPr>
                <w:rFonts w:ascii="Times New Roman" w:eastAsia="Times New Roman" w:hAnsi="Times New Roman"/>
                <w:b/>
                <w:sz w:val="24"/>
                <w:szCs w:val="24"/>
                <w:vertAlign w:val="superscript"/>
                <w:lang w:val="sr-Cyrl-CS"/>
              </w:rPr>
              <w:footnoteReference w:id="53"/>
            </w:r>
          </w:p>
        </w:tc>
        <w:tc>
          <w:tcPr>
            <w:tcW w:w="769" w:type="dxa"/>
            <w:shd w:val="clear" w:color="auto" w:fill="D9D9D9"/>
            <w:vAlign w:val="center"/>
          </w:tcPr>
          <w:p w14:paraId="30327E21"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676" w:type="dxa"/>
            <w:shd w:val="clear" w:color="auto" w:fill="D9D9D9"/>
            <w:vAlign w:val="center"/>
          </w:tcPr>
          <w:p w14:paraId="1C1D738F"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884" w:type="dxa"/>
            <w:shd w:val="clear" w:color="auto" w:fill="D9D9D9"/>
            <w:vAlign w:val="center"/>
          </w:tcPr>
          <w:p w14:paraId="30E6F7F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551" w:type="dxa"/>
            <w:shd w:val="clear" w:color="auto" w:fill="D9D9D9"/>
            <w:vAlign w:val="center"/>
          </w:tcPr>
          <w:p w14:paraId="27C27480"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69FC22D2"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0,1</w:t>
            </w:r>
          </w:p>
        </w:tc>
        <w:tc>
          <w:tcPr>
            <w:tcW w:w="1171" w:type="dxa"/>
            <w:shd w:val="clear" w:color="auto" w:fill="D9D9D9"/>
            <w:vAlign w:val="center"/>
          </w:tcPr>
          <w:p w14:paraId="08D0C7B5"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КДА</w:t>
            </w:r>
          </w:p>
        </w:tc>
        <w:tc>
          <w:tcPr>
            <w:tcW w:w="2865" w:type="dxa"/>
            <w:shd w:val="clear" w:color="auto" w:fill="D9D9D9"/>
            <w:vAlign w:val="center"/>
          </w:tcPr>
          <w:p w14:paraId="4C8A1011" w14:textId="77777777" w:rsidR="00A0251B" w:rsidRPr="00CC35F0" w:rsidRDefault="008D6506">
            <w:pPr>
              <w:spacing w:after="0" w:line="240" w:lineRule="auto"/>
              <w:ind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Инвестициони трошкови већ укључени у Специфичне планове имплементације за Директиве о квалитету горива и о садржају </w:t>
            </w:r>
            <w:r w:rsidRPr="00CC35F0">
              <w:rPr>
                <w:rFonts w:ascii="Times New Roman" w:eastAsia="Times New Roman" w:hAnsi="Times New Roman"/>
                <w:color w:val="000000"/>
                <w:sz w:val="24"/>
                <w:szCs w:val="24"/>
                <w:lang w:val="sr-Cyrl-CS"/>
              </w:rPr>
              <w:lastRenderedPageBreak/>
              <w:t>сумпора у одређеним течним горивима</w:t>
            </w:r>
          </w:p>
        </w:tc>
        <w:tc>
          <w:tcPr>
            <w:tcW w:w="665" w:type="dxa"/>
            <w:shd w:val="clear" w:color="auto" w:fill="D9D9D9"/>
            <w:vAlign w:val="center"/>
          </w:tcPr>
          <w:p w14:paraId="6797478C"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lastRenderedPageBreak/>
              <w:t>2025.</w:t>
            </w:r>
          </w:p>
        </w:tc>
      </w:tr>
      <w:tr w:rsidR="00A0251B" w:rsidRPr="00CC35F0" w14:paraId="1AB78ED1" w14:textId="77777777" w:rsidTr="00B14BBF">
        <w:trPr>
          <w:trHeight w:val="190"/>
        </w:trPr>
        <w:tc>
          <w:tcPr>
            <w:tcW w:w="566" w:type="dxa"/>
            <w:shd w:val="clear" w:color="auto" w:fill="auto"/>
            <w:vAlign w:val="center"/>
          </w:tcPr>
          <w:p w14:paraId="7BC7B46D" w14:textId="77777777" w:rsidR="00A0251B" w:rsidRPr="00CC35F0" w:rsidRDefault="00000000">
            <w:pPr>
              <w:spacing w:after="0" w:line="240" w:lineRule="auto"/>
              <w:ind w:left="-103" w:right="-98"/>
              <w:jc w:val="center"/>
              <w:rPr>
                <w:rFonts w:ascii="Times New Roman" w:eastAsia="Times New Roman" w:hAnsi="Times New Roman"/>
                <w:color w:val="0563C1"/>
                <w:sz w:val="24"/>
                <w:szCs w:val="24"/>
                <w:u w:val="single"/>
                <w:lang w:val="sr-Cyrl-CS"/>
              </w:rPr>
            </w:pPr>
            <w:hyperlink r:id="rId51">
              <w:r w:rsidR="008D6506" w:rsidRPr="00CC35F0">
                <w:rPr>
                  <w:rFonts w:ascii="Times New Roman" w:eastAsia="Times New Roman" w:hAnsi="Times New Roman"/>
                  <w:color w:val="0563C1"/>
                  <w:sz w:val="24"/>
                  <w:szCs w:val="24"/>
                  <w:u w:val="single"/>
                  <w:lang w:val="sr-Cyrl-CS"/>
                </w:rPr>
                <w:t>A</w:t>
              </w:r>
            </w:hyperlink>
          </w:p>
        </w:tc>
        <w:tc>
          <w:tcPr>
            <w:tcW w:w="5672" w:type="dxa"/>
            <w:shd w:val="clear" w:color="auto" w:fill="auto"/>
          </w:tcPr>
          <w:p w14:paraId="3761B920"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Завршити програм рада за потпуно усклађивање националног законодавства са Директивом о квалитету горива 2009/30/ЕЗ и Директивом 2016/802/ЕУ о смањењу садржаја сумпора у одређеним течним горивима</w:t>
            </w:r>
            <w:r w:rsidRPr="00CC35F0">
              <w:rPr>
                <w:rFonts w:ascii="Times New Roman" w:eastAsia="Times New Roman" w:hAnsi="Times New Roman"/>
                <w:sz w:val="24"/>
                <w:szCs w:val="24"/>
                <w:vertAlign w:val="superscript"/>
                <w:lang w:val="sr-Cyrl-CS"/>
              </w:rPr>
              <w:footnoteReference w:id="54"/>
            </w:r>
            <w:r w:rsidRPr="00CC35F0">
              <w:rPr>
                <w:rFonts w:ascii="Times New Roman" w:eastAsia="Times New Roman" w:hAnsi="Times New Roman"/>
                <w:sz w:val="24"/>
                <w:szCs w:val="24"/>
                <w:lang w:val="sr-Cyrl-CS"/>
              </w:rPr>
              <w:t xml:space="preserve">. </w:t>
            </w:r>
          </w:p>
        </w:tc>
        <w:tc>
          <w:tcPr>
            <w:tcW w:w="1106" w:type="dxa"/>
            <w:shd w:val="clear" w:color="auto" w:fill="auto"/>
            <w:vAlign w:val="center"/>
          </w:tcPr>
          <w:p w14:paraId="3B07E07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383ACE8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4313069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4BEF882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3F46D85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1BE781B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w:t>
            </w:r>
          </w:p>
        </w:tc>
        <w:tc>
          <w:tcPr>
            <w:tcW w:w="1171" w:type="dxa"/>
            <w:shd w:val="clear" w:color="auto" w:fill="auto"/>
            <w:vAlign w:val="center"/>
          </w:tcPr>
          <w:p w14:paraId="1B671A3A"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vAlign w:val="center"/>
          </w:tcPr>
          <w:p w14:paraId="5D65DC04"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Финансирање из донаторских средстава</w:t>
            </w:r>
          </w:p>
        </w:tc>
        <w:tc>
          <w:tcPr>
            <w:tcW w:w="665" w:type="dxa"/>
            <w:shd w:val="clear" w:color="auto" w:fill="auto"/>
            <w:vAlign w:val="center"/>
          </w:tcPr>
          <w:p w14:paraId="27B66118"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w:t>
            </w:r>
          </w:p>
        </w:tc>
      </w:tr>
      <w:tr w:rsidR="00A0251B" w:rsidRPr="00CC35F0" w14:paraId="533D64E0" w14:textId="77777777" w:rsidTr="00B14BBF">
        <w:trPr>
          <w:trHeight w:val="190"/>
        </w:trPr>
        <w:tc>
          <w:tcPr>
            <w:tcW w:w="566" w:type="dxa"/>
            <w:shd w:val="clear" w:color="auto" w:fill="auto"/>
            <w:vAlign w:val="center"/>
          </w:tcPr>
          <w:p w14:paraId="0EEEAB24" w14:textId="77777777" w:rsidR="00A0251B" w:rsidRPr="00CC35F0" w:rsidRDefault="00A0251B">
            <w:pPr>
              <w:spacing w:after="0" w:line="240" w:lineRule="auto"/>
              <w:ind w:left="-103" w:right="-98"/>
              <w:jc w:val="center"/>
              <w:rPr>
                <w:rFonts w:ascii="Times New Roman" w:eastAsia="Times New Roman" w:hAnsi="Times New Roman"/>
                <w:sz w:val="24"/>
                <w:szCs w:val="24"/>
                <w:lang w:val="sr-Cyrl-CS"/>
              </w:rPr>
            </w:pPr>
          </w:p>
        </w:tc>
        <w:tc>
          <w:tcPr>
            <w:tcW w:w="5672" w:type="dxa"/>
            <w:shd w:val="clear" w:color="auto" w:fill="auto"/>
          </w:tcPr>
          <w:p w14:paraId="752834EE"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Потребна су улагања за обезбеђивање усклађености са Директивом о квалитету горива и Директивом о смањењу садржаја сумпора у неким течним горивима.</w:t>
            </w:r>
          </w:p>
        </w:tc>
        <w:tc>
          <w:tcPr>
            <w:tcW w:w="1106" w:type="dxa"/>
            <w:shd w:val="clear" w:color="auto" w:fill="auto"/>
            <w:vAlign w:val="center"/>
          </w:tcPr>
          <w:p w14:paraId="228378C9" w14:textId="77777777" w:rsidR="00A0251B" w:rsidRPr="00CC35F0" w:rsidRDefault="008D6506">
            <w:pPr>
              <w:spacing w:after="0" w:line="240" w:lineRule="auto"/>
              <w:jc w:val="right"/>
              <w:rPr>
                <w:rFonts w:ascii="Times New Roman" w:eastAsia="Times New Roman" w:hAnsi="Times New Roman"/>
                <w:color w:val="000000"/>
                <w:sz w:val="24"/>
                <w:szCs w:val="24"/>
                <w:vertAlign w:val="superscript"/>
                <w:lang w:val="sr-Cyrl-CS"/>
              </w:rPr>
            </w:pPr>
            <w:r w:rsidRPr="00CC35F0">
              <w:rPr>
                <w:rFonts w:ascii="Times New Roman" w:eastAsia="Times New Roman" w:hAnsi="Times New Roman"/>
                <w:color w:val="000000"/>
                <w:sz w:val="24"/>
                <w:szCs w:val="24"/>
                <w:lang w:val="sr-Cyrl-CS"/>
              </w:rPr>
              <w:t>(419)</w:t>
            </w:r>
            <w:r w:rsidR="00C86B5E" w:rsidRPr="00CC35F0">
              <w:rPr>
                <w:rFonts w:ascii="Times New Roman" w:eastAsia="Times New Roman" w:hAnsi="Times New Roman"/>
                <w:color w:val="000000"/>
                <w:sz w:val="24"/>
                <w:szCs w:val="24"/>
                <w:vertAlign w:val="superscript"/>
                <w:lang w:val="sr-Cyrl-CS"/>
              </w:rPr>
              <w:t>52</w:t>
            </w:r>
          </w:p>
        </w:tc>
        <w:tc>
          <w:tcPr>
            <w:tcW w:w="769" w:type="dxa"/>
            <w:shd w:val="clear" w:color="auto" w:fill="auto"/>
            <w:vAlign w:val="center"/>
          </w:tcPr>
          <w:p w14:paraId="28BD8745"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09FB2A27"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038CC39B"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4A38D5F1"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01746714"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69A32CA6"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33F4D9F6"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Процењене инвестиције нафтне индустрије у Србији.</w:t>
            </w:r>
          </w:p>
        </w:tc>
        <w:tc>
          <w:tcPr>
            <w:tcW w:w="665" w:type="dxa"/>
            <w:shd w:val="clear" w:color="auto" w:fill="auto"/>
            <w:vAlign w:val="center"/>
          </w:tcPr>
          <w:p w14:paraId="535A88C2"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r>
      <w:tr w:rsidR="00A0251B" w:rsidRPr="00CC35F0" w14:paraId="06A044D5" w14:textId="77777777" w:rsidTr="00B14BBF">
        <w:trPr>
          <w:trHeight w:val="684"/>
        </w:trPr>
        <w:tc>
          <w:tcPr>
            <w:tcW w:w="566" w:type="dxa"/>
            <w:shd w:val="clear" w:color="auto" w:fill="auto"/>
            <w:vAlign w:val="center"/>
          </w:tcPr>
          <w:p w14:paraId="7553BC84"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672" w:type="dxa"/>
            <w:shd w:val="clear" w:color="auto" w:fill="auto"/>
            <w:vAlign w:val="center"/>
          </w:tcPr>
          <w:p w14:paraId="2873F74F"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Повећање броја запослених у институцијама:</w:t>
            </w:r>
            <w:r w:rsidRPr="00CC35F0">
              <w:rPr>
                <w:rFonts w:ascii="Times New Roman" w:eastAsia="Times New Roman" w:hAnsi="Times New Roman"/>
                <w:sz w:val="24"/>
                <w:szCs w:val="24"/>
                <w:lang w:val="sr-Cyrl-CS"/>
              </w:rPr>
              <w:br/>
              <w:t xml:space="preserve">Четири лица за праћење спровођења ових директива. </w:t>
            </w:r>
          </w:p>
        </w:tc>
        <w:tc>
          <w:tcPr>
            <w:tcW w:w="1106" w:type="dxa"/>
            <w:shd w:val="clear" w:color="auto" w:fill="auto"/>
            <w:vAlign w:val="center"/>
          </w:tcPr>
          <w:p w14:paraId="03E3662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45D2681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33F1161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42E996B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16470DC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3EE90A80"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0D449D9B" w14:textId="77777777" w:rsidR="00A0251B" w:rsidRPr="00CC35F0" w:rsidRDefault="008D6506">
            <w:pPr>
              <w:spacing w:after="0" w:line="240" w:lineRule="auto"/>
              <w:ind w:left="-142" w:right="-74"/>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w:t>
            </w:r>
          </w:p>
        </w:tc>
        <w:tc>
          <w:tcPr>
            <w:tcW w:w="2865" w:type="dxa"/>
            <w:shd w:val="clear" w:color="auto" w:fill="auto"/>
            <w:vAlign w:val="center"/>
          </w:tcPr>
          <w:p w14:paraId="1C5EF344" w14:textId="77777777" w:rsidR="00A0251B" w:rsidRPr="00CC35F0" w:rsidRDefault="008D6506" w:rsidP="00AC21E1">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Трошкови за </w:t>
            </w:r>
            <w:r w:rsidR="00AC21E1" w:rsidRPr="00CC35F0">
              <w:rPr>
                <w:rFonts w:ascii="Times New Roman" w:eastAsia="Times New Roman" w:hAnsi="Times New Roman"/>
                <w:color w:val="000000"/>
                <w:sz w:val="24"/>
                <w:szCs w:val="24"/>
                <w:lang w:val="sr-Cyrl-CS"/>
              </w:rPr>
              <w:t>шест</w:t>
            </w:r>
            <w:r w:rsidRPr="00CC35F0">
              <w:rPr>
                <w:rFonts w:ascii="Times New Roman" w:eastAsia="Times New Roman" w:hAnsi="Times New Roman"/>
                <w:color w:val="000000"/>
                <w:sz w:val="24"/>
                <w:szCs w:val="24"/>
                <w:lang w:val="sr-Cyrl-CS"/>
              </w:rPr>
              <w:t xml:space="preserve"> запослених за обезбеђивање усклађености са Директивом о квалитету горива и Директивом о садржају сумпора у неким течним горивима већ су</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 xml:space="preserve">укључени у Специфичне планове имплементације за Директиве о квалитету горива и о садржају </w:t>
            </w:r>
            <w:r w:rsidRPr="00CC35F0">
              <w:rPr>
                <w:rFonts w:ascii="Times New Roman" w:eastAsia="Times New Roman" w:hAnsi="Times New Roman"/>
                <w:color w:val="000000"/>
                <w:sz w:val="24"/>
                <w:szCs w:val="24"/>
                <w:lang w:val="sr-Cyrl-CS"/>
              </w:rPr>
              <w:lastRenderedPageBreak/>
              <w:t>сумпора у одређеним течним горивима.</w:t>
            </w:r>
          </w:p>
        </w:tc>
        <w:tc>
          <w:tcPr>
            <w:tcW w:w="665" w:type="dxa"/>
            <w:shd w:val="clear" w:color="auto" w:fill="auto"/>
            <w:vAlign w:val="center"/>
          </w:tcPr>
          <w:p w14:paraId="01A734C6"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202</w:t>
            </w:r>
            <w:r w:rsidR="00186A4C" w:rsidRPr="00CC35F0">
              <w:rPr>
                <w:rFonts w:ascii="Times New Roman" w:eastAsia="Times New Roman" w:hAnsi="Times New Roman"/>
                <w:color w:val="000000"/>
                <w:sz w:val="24"/>
                <w:szCs w:val="24"/>
                <w:lang w:val="sr-Cyrl-CS"/>
              </w:rPr>
              <w:t>4</w:t>
            </w:r>
            <w:r w:rsidRPr="00CC35F0">
              <w:rPr>
                <w:rFonts w:ascii="Times New Roman" w:eastAsia="Times New Roman" w:hAnsi="Times New Roman"/>
                <w:color w:val="000000"/>
                <w:sz w:val="24"/>
                <w:szCs w:val="24"/>
                <w:lang w:val="sr-Cyrl-CS"/>
              </w:rPr>
              <w:t>.</w:t>
            </w:r>
          </w:p>
        </w:tc>
      </w:tr>
      <w:tr w:rsidR="00A0251B" w:rsidRPr="00CC35F0" w14:paraId="32D0BC04" w14:textId="77777777" w:rsidTr="00B14BBF">
        <w:trPr>
          <w:trHeight w:val="1024"/>
        </w:trPr>
        <w:tc>
          <w:tcPr>
            <w:tcW w:w="566" w:type="dxa"/>
            <w:shd w:val="clear" w:color="auto" w:fill="D9D9D9"/>
            <w:vAlign w:val="center"/>
          </w:tcPr>
          <w:p w14:paraId="4D7D5BFF"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Бр.9</w:t>
            </w:r>
          </w:p>
          <w:p w14:paraId="5D3F28F3"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A8)</w:t>
            </w:r>
          </w:p>
        </w:tc>
        <w:tc>
          <w:tcPr>
            <w:tcW w:w="5672" w:type="dxa"/>
            <w:shd w:val="clear" w:color="auto" w:fill="D9D9D9"/>
            <w:vAlign w:val="center"/>
          </w:tcPr>
          <w:p w14:paraId="5B12CEAA"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Ограничавање емисија VOC спровођењем 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w:t>
            </w:r>
          </w:p>
        </w:tc>
        <w:tc>
          <w:tcPr>
            <w:tcW w:w="1106" w:type="dxa"/>
            <w:shd w:val="clear" w:color="auto" w:fill="D9D9D9"/>
            <w:vAlign w:val="center"/>
          </w:tcPr>
          <w:p w14:paraId="7B8F282B" w14:textId="77777777" w:rsidR="00A0251B" w:rsidRPr="00CC35F0" w:rsidRDefault="008D6506">
            <w:pPr>
              <w:spacing w:after="0" w:line="240" w:lineRule="auto"/>
              <w:jc w:val="right"/>
              <w:rPr>
                <w:rFonts w:ascii="Times New Roman" w:eastAsia="Times New Roman" w:hAnsi="Times New Roman"/>
                <w:b/>
                <w:sz w:val="24"/>
                <w:szCs w:val="24"/>
                <w:vertAlign w:val="superscript"/>
                <w:lang w:val="sr-Cyrl-CS"/>
              </w:rPr>
            </w:pPr>
            <w:r w:rsidRPr="00CC35F0">
              <w:rPr>
                <w:rFonts w:ascii="Times New Roman" w:eastAsia="Times New Roman" w:hAnsi="Times New Roman"/>
                <w:b/>
                <w:sz w:val="24"/>
                <w:szCs w:val="24"/>
                <w:lang w:val="sr-Cyrl-CS"/>
              </w:rPr>
              <w:t>(39,22)</w:t>
            </w:r>
            <w:r w:rsidRPr="00CC35F0">
              <w:rPr>
                <w:rFonts w:ascii="Times New Roman" w:eastAsia="Times New Roman" w:hAnsi="Times New Roman"/>
                <w:b/>
                <w:sz w:val="24"/>
                <w:szCs w:val="24"/>
                <w:vertAlign w:val="superscript"/>
                <w:lang w:val="sr-Cyrl-CS"/>
              </w:rPr>
              <w:footnoteReference w:id="55"/>
            </w:r>
          </w:p>
        </w:tc>
        <w:tc>
          <w:tcPr>
            <w:tcW w:w="769" w:type="dxa"/>
            <w:shd w:val="clear" w:color="auto" w:fill="D9D9D9"/>
            <w:vAlign w:val="center"/>
          </w:tcPr>
          <w:p w14:paraId="3E0506B6"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676" w:type="dxa"/>
            <w:shd w:val="clear" w:color="auto" w:fill="D9D9D9"/>
            <w:vAlign w:val="center"/>
          </w:tcPr>
          <w:p w14:paraId="61DF4F27"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884" w:type="dxa"/>
            <w:shd w:val="clear" w:color="auto" w:fill="D9D9D9"/>
            <w:vAlign w:val="center"/>
          </w:tcPr>
          <w:p w14:paraId="4EEC7F9B"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551" w:type="dxa"/>
            <w:shd w:val="clear" w:color="auto" w:fill="D9D9D9"/>
            <w:vAlign w:val="center"/>
          </w:tcPr>
          <w:p w14:paraId="61E8417C"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26252CA2"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0,1</w:t>
            </w:r>
          </w:p>
        </w:tc>
        <w:tc>
          <w:tcPr>
            <w:tcW w:w="1171" w:type="dxa"/>
            <w:shd w:val="clear" w:color="auto" w:fill="D9D9D9"/>
            <w:vAlign w:val="center"/>
          </w:tcPr>
          <w:p w14:paraId="7B2DFC9E" w14:textId="77777777" w:rsidR="00A0251B" w:rsidRPr="00CC35F0" w:rsidRDefault="008D6506">
            <w:pPr>
              <w:spacing w:after="0" w:line="240" w:lineRule="auto"/>
              <w:ind w:left="-142" w:right="-74"/>
              <w:jc w:val="right"/>
              <w:rPr>
                <w:rFonts w:ascii="Times New Roman" w:eastAsia="Times New Roman" w:hAnsi="Times New Roman"/>
                <w:b/>
                <w:sz w:val="24"/>
                <w:szCs w:val="24"/>
                <w:vertAlign w:val="superscript"/>
                <w:lang w:val="sr-Cyrl-CS"/>
              </w:rPr>
            </w:pPr>
            <w:r w:rsidRPr="00CC35F0">
              <w:rPr>
                <w:rFonts w:ascii="Times New Roman" w:eastAsia="Times New Roman" w:hAnsi="Times New Roman"/>
                <w:b/>
                <w:sz w:val="24"/>
                <w:szCs w:val="24"/>
                <w:lang w:val="sr-Cyrl-CS"/>
              </w:rPr>
              <w:t>КДА</w:t>
            </w:r>
            <w:r w:rsidRPr="00CC35F0">
              <w:rPr>
                <w:rFonts w:ascii="Times New Roman" w:eastAsia="Times New Roman" w:hAnsi="Times New Roman"/>
                <w:b/>
                <w:sz w:val="24"/>
                <w:szCs w:val="24"/>
                <w:vertAlign w:val="superscript"/>
                <w:lang w:val="sr-Cyrl-CS"/>
              </w:rPr>
              <w:t>47</w:t>
            </w:r>
          </w:p>
        </w:tc>
        <w:tc>
          <w:tcPr>
            <w:tcW w:w="2865" w:type="dxa"/>
            <w:shd w:val="clear" w:color="auto" w:fill="D9D9D9"/>
            <w:vAlign w:val="center"/>
          </w:tcPr>
          <w:p w14:paraId="2E413B53"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Опрема на бензинским пумпама са техникама за избегавање емисија VOC из дистрибуције бензина (Прва фаза) и из допуњавања резервоара возила (Друга фаза)</w:t>
            </w:r>
          </w:p>
        </w:tc>
        <w:tc>
          <w:tcPr>
            <w:tcW w:w="665" w:type="dxa"/>
            <w:shd w:val="clear" w:color="auto" w:fill="D9D9D9"/>
            <w:vAlign w:val="center"/>
          </w:tcPr>
          <w:p w14:paraId="178DB7CC"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2028.</w:t>
            </w:r>
          </w:p>
        </w:tc>
      </w:tr>
      <w:tr w:rsidR="00A0251B" w:rsidRPr="00CC35F0" w14:paraId="6C4E068D" w14:textId="77777777" w:rsidTr="00B14BBF">
        <w:trPr>
          <w:trHeight w:val="103"/>
        </w:trPr>
        <w:tc>
          <w:tcPr>
            <w:tcW w:w="566" w:type="dxa"/>
            <w:shd w:val="clear" w:color="auto" w:fill="auto"/>
            <w:vAlign w:val="center"/>
          </w:tcPr>
          <w:p w14:paraId="0CC9B40E" w14:textId="77777777" w:rsidR="00A0251B" w:rsidRPr="00CC35F0" w:rsidRDefault="00000000">
            <w:pPr>
              <w:spacing w:after="0" w:line="240" w:lineRule="auto"/>
              <w:ind w:left="-103" w:right="-98"/>
              <w:jc w:val="center"/>
              <w:rPr>
                <w:rFonts w:ascii="Times New Roman" w:eastAsia="Times New Roman" w:hAnsi="Times New Roman"/>
                <w:color w:val="0563C1"/>
                <w:sz w:val="24"/>
                <w:szCs w:val="24"/>
                <w:u w:val="single"/>
                <w:lang w:val="sr-Cyrl-CS"/>
              </w:rPr>
            </w:pPr>
            <w:hyperlink r:id="rId52">
              <w:r w:rsidR="008D6506" w:rsidRPr="00CC35F0">
                <w:rPr>
                  <w:rFonts w:ascii="Times New Roman" w:eastAsia="Times New Roman" w:hAnsi="Times New Roman"/>
                  <w:color w:val="0563C1"/>
                  <w:sz w:val="24"/>
                  <w:szCs w:val="24"/>
                  <w:u w:val="single"/>
                  <w:lang w:val="sr-Cyrl-CS"/>
                </w:rPr>
                <w:t>A</w:t>
              </w:r>
            </w:hyperlink>
          </w:p>
        </w:tc>
        <w:tc>
          <w:tcPr>
            <w:tcW w:w="5672" w:type="dxa"/>
            <w:shd w:val="clear" w:color="auto" w:fill="FFFFFF"/>
            <w:vAlign w:val="center"/>
          </w:tcPr>
          <w:p w14:paraId="310D4551"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Завршетак плана правне транспозиције за Директиве 1994/63/EЗ и 2009/126/EЗ</w:t>
            </w:r>
            <w:r w:rsidRPr="00CC35F0">
              <w:rPr>
                <w:rFonts w:ascii="Times New Roman" w:eastAsia="Times New Roman" w:hAnsi="Times New Roman"/>
                <w:sz w:val="24"/>
                <w:szCs w:val="24"/>
                <w:vertAlign w:val="superscript"/>
                <w:lang w:val="sr-Cyrl-CS"/>
              </w:rPr>
              <w:footnoteReference w:id="56"/>
            </w:r>
          </w:p>
        </w:tc>
        <w:tc>
          <w:tcPr>
            <w:tcW w:w="1106" w:type="dxa"/>
            <w:shd w:val="clear" w:color="auto" w:fill="auto"/>
            <w:vAlign w:val="center"/>
          </w:tcPr>
          <w:p w14:paraId="6529122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73AA91A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71A2769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00ABED8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5EC4EF58"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441EFADB"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0,1</w:t>
            </w:r>
          </w:p>
        </w:tc>
        <w:tc>
          <w:tcPr>
            <w:tcW w:w="1171" w:type="dxa"/>
            <w:shd w:val="clear" w:color="auto" w:fill="auto"/>
            <w:vAlign w:val="center"/>
          </w:tcPr>
          <w:p w14:paraId="738A7A7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vAlign w:val="center"/>
          </w:tcPr>
          <w:p w14:paraId="228968C6"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Финансирање из донаторских средстава</w:t>
            </w:r>
          </w:p>
        </w:tc>
        <w:tc>
          <w:tcPr>
            <w:tcW w:w="665" w:type="dxa"/>
            <w:shd w:val="clear" w:color="auto" w:fill="auto"/>
            <w:vAlign w:val="center"/>
          </w:tcPr>
          <w:p w14:paraId="0C852E4D"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w:t>
            </w:r>
          </w:p>
        </w:tc>
      </w:tr>
      <w:tr w:rsidR="00A0251B" w:rsidRPr="00CC35F0" w14:paraId="3910FC73" w14:textId="77777777" w:rsidTr="00B14BBF">
        <w:trPr>
          <w:trHeight w:val="1029"/>
        </w:trPr>
        <w:tc>
          <w:tcPr>
            <w:tcW w:w="566" w:type="dxa"/>
            <w:shd w:val="clear" w:color="auto" w:fill="auto"/>
            <w:vAlign w:val="center"/>
          </w:tcPr>
          <w:p w14:paraId="085E537A"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672" w:type="dxa"/>
            <w:shd w:val="clear" w:color="auto" w:fill="FFFFFF"/>
            <w:vAlign w:val="center"/>
          </w:tcPr>
          <w:p w14:paraId="25B5135D"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Повећање броја запослених у АЗЖС и МЗЖС за спровођење Директива.</w:t>
            </w:r>
          </w:p>
        </w:tc>
        <w:tc>
          <w:tcPr>
            <w:tcW w:w="1106" w:type="dxa"/>
            <w:shd w:val="clear" w:color="auto" w:fill="auto"/>
            <w:vAlign w:val="center"/>
          </w:tcPr>
          <w:p w14:paraId="2EB4986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6148459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2CA1BFD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54487D3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7BF92522"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20128E5A"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02EBD60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vertAlign w:val="superscript"/>
                <w:lang w:val="sr-Cyrl-CS"/>
              </w:rPr>
            </w:pPr>
            <w:r w:rsidRPr="00CC35F0">
              <w:rPr>
                <w:rFonts w:ascii="Times New Roman" w:eastAsia="Times New Roman" w:hAnsi="Times New Roman"/>
                <w:color w:val="000000"/>
                <w:sz w:val="24"/>
                <w:szCs w:val="24"/>
                <w:lang w:val="sr-Cyrl-CS"/>
              </w:rPr>
              <w:t>КДА</w:t>
            </w:r>
            <w:r w:rsidRPr="00CC35F0">
              <w:rPr>
                <w:rFonts w:ascii="Times New Roman" w:eastAsia="Times New Roman" w:hAnsi="Times New Roman"/>
                <w:color w:val="000000"/>
                <w:sz w:val="24"/>
                <w:szCs w:val="24"/>
                <w:vertAlign w:val="superscript"/>
                <w:lang w:val="sr-Cyrl-CS"/>
              </w:rPr>
              <w:t>47</w:t>
            </w:r>
          </w:p>
        </w:tc>
        <w:tc>
          <w:tcPr>
            <w:tcW w:w="2865" w:type="dxa"/>
            <w:shd w:val="clear" w:color="auto" w:fill="auto"/>
            <w:vAlign w:val="center"/>
          </w:tcPr>
          <w:p w14:paraId="2C7FBC3E" w14:textId="77777777" w:rsidR="00A0251B" w:rsidRPr="00CC35F0" w:rsidRDefault="008D6506">
            <w:pPr>
              <w:spacing w:after="0" w:line="240" w:lineRule="auto"/>
              <w:ind w:left="-109" w:right="-106"/>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Укупни административни трошкови до краја 2028. године за плате новозапослених и обуку ових лица и инспектора, опремање радног места, </w:t>
            </w:r>
            <w:r w:rsidRPr="00CC35F0">
              <w:rPr>
                <w:rFonts w:ascii="Times New Roman" w:eastAsia="Times New Roman" w:hAnsi="Times New Roman"/>
                <w:color w:val="000000"/>
                <w:sz w:val="24"/>
                <w:szCs w:val="24"/>
                <w:lang w:val="sr-Cyrl-CS"/>
              </w:rPr>
              <w:lastRenderedPageBreak/>
              <w:t xml:space="preserve">успостављање регистра у АЗЖС и трошкови акредитације. </w:t>
            </w:r>
          </w:p>
        </w:tc>
        <w:tc>
          <w:tcPr>
            <w:tcW w:w="665" w:type="dxa"/>
            <w:shd w:val="clear" w:color="auto" w:fill="auto"/>
            <w:vAlign w:val="center"/>
          </w:tcPr>
          <w:p w14:paraId="3B65523F" w14:textId="77777777" w:rsidR="00A0251B" w:rsidRPr="00CC35F0" w:rsidRDefault="008D6506">
            <w:pPr>
              <w:spacing w:after="0" w:line="240" w:lineRule="auto"/>
              <w:ind w:left="-163" w:right="-73" w:firstLine="107"/>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202</w:t>
            </w:r>
            <w:r w:rsidR="00C16112" w:rsidRPr="00CC35F0">
              <w:rPr>
                <w:rFonts w:ascii="Times New Roman" w:eastAsia="Times New Roman" w:hAnsi="Times New Roman"/>
                <w:sz w:val="24"/>
                <w:szCs w:val="24"/>
                <w:lang w:val="sr-Cyrl-CS"/>
              </w:rPr>
              <w:t>8</w:t>
            </w:r>
            <w:r w:rsidRPr="00CC35F0">
              <w:rPr>
                <w:rFonts w:ascii="Times New Roman" w:eastAsia="Times New Roman" w:hAnsi="Times New Roman"/>
                <w:sz w:val="24"/>
                <w:szCs w:val="24"/>
                <w:lang w:val="sr-Cyrl-CS"/>
              </w:rPr>
              <w:t>.</w:t>
            </w:r>
          </w:p>
        </w:tc>
      </w:tr>
      <w:tr w:rsidR="00A0251B" w:rsidRPr="00CC35F0" w14:paraId="0C348088" w14:textId="77777777" w:rsidTr="00B14BBF">
        <w:trPr>
          <w:trHeight w:val="473"/>
        </w:trPr>
        <w:tc>
          <w:tcPr>
            <w:tcW w:w="566" w:type="dxa"/>
            <w:shd w:val="clear" w:color="auto" w:fill="auto"/>
            <w:vAlign w:val="center"/>
          </w:tcPr>
          <w:p w14:paraId="5BB19F24"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672" w:type="dxa"/>
            <w:shd w:val="clear" w:color="auto" w:fill="FFFFFF"/>
            <w:vAlign w:val="center"/>
          </w:tcPr>
          <w:p w14:paraId="48332056"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Спровођење система за сакупљање пара у снабдевању, транспорту и дистрибуцији бензина.</w:t>
            </w:r>
          </w:p>
        </w:tc>
        <w:tc>
          <w:tcPr>
            <w:tcW w:w="1106" w:type="dxa"/>
            <w:shd w:val="clear" w:color="auto" w:fill="auto"/>
            <w:vAlign w:val="center"/>
          </w:tcPr>
          <w:p w14:paraId="6C6C7189" w14:textId="77777777" w:rsidR="00A0251B" w:rsidRPr="00CC35F0" w:rsidRDefault="008D6506" w:rsidP="003B4CA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(39,22)</w:t>
            </w:r>
            <w:r w:rsidR="00093FBF" w:rsidRPr="00CC35F0">
              <w:rPr>
                <w:rFonts w:ascii="Times New Roman" w:eastAsia="Times New Roman" w:hAnsi="Times New Roman"/>
                <w:color w:val="000000"/>
                <w:sz w:val="24"/>
                <w:szCs w:val="24"/>
                <w:vertAlign w:val="superscript"/>
                <w:lang w:val="sr-Cyrl-CS"/>
              </w:rPr>
              <w:t>55</w:t>
            </w:r>
          </w:p>
        </w:tc>
        <w:tc>
          <w:tcPr>
            <w:tcW w:w="769" w:type="dxa"/>
            <w:shd w:val="clear" w:color="auto" w:fill="auto"/>
            <w:vAlign w:val="center"/>
          </w:tcPr>
          <w:p w14:paraId="174C7CFF"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6C640F9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55B6DC3C"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632BD59E"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23AEF6DA"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0A40C49E"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71C39672"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Усклађивање са Првом и Другом фазом захтева спровођење система за сакупљање бензинских пара у целокупном ланцу набавке бензина.</w:t>
            </w:r>
          </w:p>
        </w:tc>
        <w:tc>
          <w:tcPr>
            <w:tcW w:w="665" w:type="dxa"/>
            <w:shd w:val="clear" w:color="auto" w:fill="auto"/>
            <w:vAlign w:val="center"/>
          </w:tcPr>
          <w:p w14:paraId="776F8454"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2028.</w:t>
            </w:r>
          </w:p>
        </w:tc>
      </w:tr>
      <w:tr w:rsidR="00A0251B" w:rsidRPr="00CC35F0" w14:paraId="3761EE15" w14:textId="77777777" w:rsidTr="00B14BBF">
        <w:trPr>
          <w:trHeight w:val="415"/>
        </w:trPr>
        <w:tc>
          <w:tcPr>
            <w:tcW w:w="15735" w:type="dxa"/>
            <w:gridSpan w:val="11"/>
            <w:shd w:val="clear" w:color="auto" w:fill="BDD7EE"/>
            <w:vAlign w:val="center"/>
          </w:tcPr>
          <w:p w14:paraId="5533982E" w14:textId="77777777" w:rsidR="00A0251B" w:rsidRPr="00CC35F0" w:rsidRDefault="008D6506">
            <w:pPr>
              <w:spacing w:after="0" w:line="240" w:lineRule="auto"/>
              <w:ind w:left="-163" w:right="-106" w:firstLine="107"/>
              <w:jc w:val="lef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Посебни циљ 2: Смањење емисија загађујућих материја у ваздух и тешких метала из индустријских процеса и употребе производа кроз усаглашавање     са BAT AELs</w:t>
            </w:r>
          </w:p>
        </w:tc>
      </w:tr>
      <w:tr w:rsidR="00A0251B" w:rsidRPr="00CC35F0" w14:paraId="496CE065" w14:textId="77777777" w:rsidTr="00B14BBF">
        <w:trPr>
          <w:trHeight w:val="904"/>
        </w:trPr>
        <w:tc>
          <w:tcPr>
            <w:tcW w:w="566" w:type="dxa"/>
            <w:shd w:val="clear" w:color="auto" w:fill="D9D9D9"/>
            <w:vAlign w:val="center"/>
          </w:tcPr>
          <w:p w14:paraId="42F77F82"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Бр.10</w:t>
            </w:r>
          </w:p>
          <w:p w14:paraId="2BE37CF0"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C2)</w:t>
            </w:r>
          </w:p>
        </w:tc>
        <w:tc>
          <w:tcPr>
            <w:tcW w:w="5672" w:type="dxa"/>
            <w:shd w:val="clear" w:color="auto" w:fill="D9D9D9"/>
            <w:vAlign w:val="center"/>
          </w:tcPr>
          <w:p w14:paraId="513CCD71"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Спровођење Поглавља II Директиве ЕУ о индустријским емисијама у индустријским процесима, узимајући у обзир средње и више BAT AELs, односно ниже нивое за производњу бакра и сумпорне киселине у Бору</w:t>
            </w:r>
          </w:p>
        </w:tc>
        <w:tc>
          <w:tcPr>
            <w:tcW w:w="1106" w:type="dxa"/>
            <w:shd w:val="clear" w:color="auto" w:fill="D9D9D9"/>
            <w:vAlign w:val="center"/>
          </w:tcPr>
          <w:p w14:paraId="24A2421E"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70,21   </w:t>
            </w:r>
          </w:p>
        </w:tc>
        <w:tc>
          <w:tcPr>
            <w:tcW w:w="769" w:type="dxa"/>
            <w:shd w:val="clear" w:color="auto" w:fill="D9D9D9"/>
            <w:vAlign w:val="center"/>
          </w:tcPr>
          <w:p w14:paraId="7FCF391C"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D9D9D9"/>
            <w:vAlign w:val="center"/>
          </w:tcPr>
          <w:p w14:paraId="4BCEDA9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w:t>
            </w:r>
          </w:p>
        </w:tc>
        <w:tc>
          <w:tcPr>
            <w:tcW w:w="884" w:type="dxa"/>
            <w:shd w:val="clear" w:color="auto" w:fill="D9D9D9"/>
            <w:vAlign w:val="center"/>
          </w:tcPr>
          <w:p w14:paraId="59A395A9"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D9D9D9"/>
            <w:vAlign w:val="center"/>
          </w:tcPr>
          <w:p w14:paraId="73B15BF1"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76212DCD" w14:textId="77777777" w:rsidR="00A0251B" w:rsidRPr="00CC35F0" w:rsidRDefault="008D6506" w:rsidP="003B4CA6">
            <w:pPr>
              <w:spacing w:after="0" w:line="240" w:lineRule="auto"/>
              <w:ind w:left="-142" w:right="-74"/>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КДА</w:t>
            </w:r>
            <w:r w:rsidRPr="00CC35F0">
              <w:rPr>
                <w:rFonts w:ascii="Times New Roman" w:eastAsia="Times New Roman" w:hAnsi="Times New Roman"/>
                <w:b/>
                <w:sz w:val="24"/>
                <w:szCs w:val="24"/>
                <w:vertAlign w:val="superscript"/>
                <w:lang w:val="sr-Cyrl-CS"/>
              </w:rPr>
              <w:footnoteReference w:id="57"/>
            </w:r>
            <w:r w:rsidRPr="00CC35F0">
              <w:rPr>
                <w:rFonts w:ascii="Times New Roman" w:eastAsia="Times New Roman" w:hAnsi="Times New Roman"/>
                <w:b/>
                <w:sz w:val="24"/>
                <w:szCs w:val="24"/>
                <w:lang w:val="sr-Cyrl-CS"/>
              </w:rPr>
              <w:t xml:space="preserve"> </w:t>
            </w:r>
          </w:p>
        </w:tc>
        <w:tc>
          <w:tcPr>
            <w:tcW w:w="1171" w:type="dxa"/>
            <w:shd w:val="clear" w:color="auto" w:fill="D9D9D9"/>
            <w:vAlign w:val="center"/>
          </w:tcPr>
          <w:p w14:paraId="71E6F80C" w14:textId="77777777" w:rsidR="00A0251B" w:rsidRPr="00CC35F0" w:rsidRDefault="008D6506" w:rsidP="003B4CA6">
            <w:pPr>
              <w:spacing w:after="0" w:line="240" w:lineRule="auto"/>
              <w:ind w:right="-74"/>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КДА</w:t>
            </w:r>
            <w:r w:rsidRPr="00CC35F0">
              <w:rPr>
                <w:rFonts w:ascii="Times New Roman" w:eastAsia="Times New Roman" w:hAnsi="Times New Roman"/>
                <w:b/>
                <w:sz w:val="24"/>
                <w:szCs w:val="24"/>
                <w:vertAlign w:val="superscript"/>
                <w:lang w:val="sr-Cyrl-CS"/>
              </w:rPr>
              <w:t>49</w:t>
            </w:r>
            <w:r w:rsidRPr="00CC35F0">
              <w:rPr>
                <w:rFonts w:ascii="Times New Roman" w:eastAsia="Times New Roman" w:hAnsi="Times New Roman"/>
                <w:b/>
                <w:sz w:val="24"/>
                <w:szCs w:val="24"/>
                <w:lang w:val="sr-Cyrl-CS"/>
              </w:rPr>
              <w:t xml:space="preserve"> </w:t>
            </w:r>
          </w:p>
        </w:tc>
        <w:tc>
          <w:tcPr>
            <w:tcW w:w="2865" w:type="dxa"/>
            <w:shd w:val="clear" w:color="auto" w:fill="D9D9D9"/>
            <w:vAlign w:val="center"/>
          </w:tcPr>
          <w:p w14:paraId="44C6D7D3"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Запошљавање кадрова већ је урачунато у Меру бр. 1.</w:t>
            </w:r>
          </w:p>
        </w:tc>
        <w:tc>
          <w:tcPr>
            <w:tcW w:w="665" w:type="dxa"/>
            <w:shd w:val="clear" w:color="auto" w:fill="D9D9D9"/>
            <w:vAlign w:val="center"/>
          </w:tcPr>
          <w:p w14:paraId="1B52900C"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2025. (2030. за оне за које се траже прелазни периоди)</w:t>
            </w:r>
          </w:p>
        </w:tc>
      </w:tr>
      <w:tr w:rsidR="00A0251B" w:rsidRPr="00CC35F0" w14:paraId="62894E61" w14:textId="77777777" w:rsidTr="00B14BBF">
        <w:trPr>
          <w:trHeight w:val="1061"/>
        </w:trPr>
        <w:tc>
          <w:tcPr>
            <w:tcW w:w="566" w:type="dxa"/>
            <w:shd w:val="clear" w:color="auto" w:fill="auto"/>
            <w:vAlign w:val="center"/>
          </w:tcPr>
          <w:p w14:paraId="70E959D5"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w:t>
            </w:r>
          </w:p>
        </w:tc>
        <w:tc>
          <w:tcPr>
            <w:tcW w:w="5672" w:type="dxa"/>
            <w:shd w:val="clear" w:color="auto" w:fill="auto"/>
          </w:tcPr>
          <w:p w14:paraId="432823BC"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Осигурати да су свим великим индустријским постројењима обухваћеним Анексом 1 Директиве о индустријским емисијама издате интегрисане дозволе и да су у складу са релевантним BAT AELs измене и допуне подзаконских аката)</w:t>
            </w:r>
            <w:r w:rsidRPr="00CC35F0">
              <w:rPr>
                <w:rFonts w:ascii="Times New Roman" w:eastAsia="Times New Roman" w:hAnsi="Times New Roman"/>
                <w:color w:val="000000"/>
                <w:sz w:val="24"/>
                <w:szCs w:val="24"/>
                <w:vertAlign w:val="superscript"/>
                <w:lang w:val="sr-Cyrl-CS"/>
              </w:rPr>
              <w:footnoteReference w:id="58"/>
            </w:r>
            <w:r w:rsidRPr="00CC35F0">
              <w:rPr>
                <w:rFonts w:ascii="Times New Roman" w:eastAsia="Times New Roman" w:hAnsi="Times New Roman"/>
                <w:color w:val="000000"/>
                <w:sz w:val="24"/>
                <w:szCs w:val="24"/>
                <w:lang w:val="sr-Cyrl-CS"/>
              </w:rPr>
              <w:t xml:space="preserve">. </w:t>
            </w:r>
          </w:p>
        </w:tc>
        <w:tc>
          <w:tcPr>
            <w:tcW w:w="1106" w:type="dxa"/>
            <w:shd w:val="clear" w:color="auto" w:fill="auto"/>
            <w:vAlign w:val="center"/>
          </w:tcPr>
          <w:p w14:paraId="75EFB7B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0868C2B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36021C6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0A07766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5B570E7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D9D9D9"/>
            <w:vAlign w:val="center"/>
          </w:tcPr>
          <w:p w14:paraId="35D3918D" w14:textId="77777777" w:rsidR="00A0251B" w:rsidRPr="00CC35F0" w:rsidRDefault="008D6506">
            <w:pPr>
              <w:spacing w:after="0" w:line="240" w:lineRule="auto"/>
              <w:ind w:left="-142" w:right="-74"/>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t>49</w:t>
            </w:r>
            <w:r w:rsidRPr="00CC35F0">
              <w:rPr>
                <w:rFonts w:ascii="Times New Roman" w:eastAsia="Times New Roman" w:hAnsi="Times New Roman"/>
                <w:sz w:val="24"/>
                <w:szCs w:val="24"/>
                <w:lang w:val="sr-Cyrl-CS"/>
              </w:rPr>
              <w:t xml:space="preserve"> </w:t>
            </w:r>
          </w:p>
        </w:tc>
        <w:tc>
          <w:tcPr>
            <w:tcW w:w="1171" w:type="dxa"/>
            <w:shd w:val="clear" w:color="auto" w:fill="auto"/>
            <w:vAlign w:val="center"/>
          </w:tcPr>
          <w:p w14:paraId="1083944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vAlign w:val="center"/>
          </w:tcPr>
          <w:p w14:paraId="22DC61A1"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Запошљавањем додатних људских ресурса може се испунити програм издавања дозвола за сва постројења из Анекса 1. због тога се у претходном делу говори о повећању броја запослених.</w:t>
            </w:r>
          </w:p>
        </w:tc>
        <w:tc>
          <w:tcPr>
            <w:tcW w:w="665" w:type="dxa"/>
            <w:shd w:val="clear" w:color="auto" w:fill="auto"/>
            <w:vAlign w:val="center"/>
          </w:tcPr>
          <w:p w14:paraId="7B9A1E4C"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2024-2030.</w:t>
            </w:r>
          </w:p>
        </w:tc>
      </w:tr>
      <w:tr w:rsidR="00A0251B" w:rsidRPr="00CC35F0" w14:paraId="096F4E17" w14:textId="77777777" w:rsidTr="00B14BBF">
        <w:trPr>
          <w:trHeight w:val="828"/>
        </w:trPr>
        <w:tc>
          <w:tcPr>
            <w:tcW w:w="566" w:type="dxa"/>
            <w:shd w:val="clear" w:color="auto" w:fill="auto"/>
            <w:vAlign w:val="center"/>
          </w:tcPr>
          <w:p w14:paraId="4890DA58"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672" w:type="dxa"/>
            <w:shd w:val="clear" w:color="auto" w:fill="auto"/>
          </w:tcPr>
          <w:p w14:paraId="78154C84"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Обезбедити усклађеност емисија из индустријских процеса са BAT AELs, узимајући у обзир квалитет ваздуха у зонама и агломерацијама </w:t>
            </w:r>
          </w:p>
          <w:p w14:paraId="64254908"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(ниже вредности SO</w:t>
            </w:r>
            <w:r w:rsidRPr="00CC35F0">
              <w:rPr>
                <w:rFonts w:ascii="Times New Roman" w:eastAsia="Times New Roman" w:hAnsi="Times New Roman"/>
                <w:color w:val="000000"/>
                <w:sz w:val="24"/>
                <w:szCs w:val="24"/>
                <w:vertAlign w:val="subscript"/>
                <w:lang w:val="sr-Cyrl-CS"/>
              </w:rPr>
              <w:t>2</w:t>
            </w:r>
            <w:r w:rsidRPr="00CC35F0">
              <w:rPr>
                <w:rFonts w:ascii="Times New Roman" w:eastAsia="Times New Roman" w:hAnsi="Times New Roman"/>
                <w:color w:val="000000"/>
                <w:sz w:val="24"/>
                <w:szCs w:val="24"/>
                <w:lang w:val="sr-Cyrl-CS"/>
              </w:rPr>
              <w:t xml:space="preserve"> из BAT AELs за производњу бакра од 50 mg/Nm</w:t>
            </w:r>
            <w:r w:rsidRPr="00CC35F0">
              <w:rPr>
                <w:rFonts w:ascii="Times New Roman" w:eastAsia="Times New Roman" w:hAnsi="Times New Roman"/>
                <w:color w:val="000000"/>
                <w:sz w:val="24"/>
                <w:szCs w:val="24"/>
                <w:vertAlign w:val="superscript"/>
                <w:lang w:val="sr-Cyrl-CS"/>
              </w:rPr>
              <w:t>3</w:t>
            </w:r>
            <w:r w:rsidRPr="00CC35F0">
              <w:rPr>
                <w:rFonts w:ascii="Times New Roman" w:eastAsia="Times New Roman" w:hAnsi="Times New Roman"/>
                <w:color w:val="000000"/>
                <w:sz w:val="24"/>
                <w:szCs w:val="24"/>
                <w:lang w:val="sr-Cyrl-CS"/>
              </w:rPr>
              <w:t xml:space="preserve"> и 100 mg/Nm</w:t>
            </w:r>
            <w:r w:rsidRPr="00CC35F0">
              <w:rPr>
                <w:rFonts w:ascii="Times New Roman" w:eastAsia="Times New Roman" w:hAnsi="Times New Roman"/>
                <w:color w:val="000000"/>
                <w:sz w:val="24"/>
                <w:szCs w:val="24"/>
                <w:vertAlign w:val="superscript"/>
                <w:lang w:val="sr-Cyrl-CS"/>
              </w:rPr>
              <w:t>3</w:t>
            </w:r>
            <w:r w:rsidRPr="00CC35F0">
              <w:rPr>
                <w:rFonts w:ascii="Times New Roman" w:eastAsia="Times New Roman" w:hAnsi="Times New Roman"/>
                <w:color w:val="000000"/>
                <w:sz w:val="24"/>
                <w:szCs w:val="24"/>
                <w:lang w:val="sr-Cyrl-CS"/>
              </w:rPr>
              <w:t xml:space="preserve"> за производњу сумпорне киселине, и доње вредности BAT AELs за прашкасте материје из производње бакра према Табели 3 из Спроведбене одлуке Комисије 2016/1032/EУ.</w:t>
            </w:r>
            <w:r w:rsidRPr="00CC35F0">
              <w:rPr>
                <w:rFonts w:ascii="Times New Roman" w:eastAsia="Times New Roman" w:hAnsi="Times New Roman"/>
                <w:color w:val="000000"/>
                <w:sz w:val="24"/>
                <w:szCs w:val="24"/>
                <w:vertAlign w:val="superscript"/>
                <w:lang w:val="sr-Cyrl-CS"/>
              </w:rPr>
              <w:footnoteReference w:id="59"/>
            </w:r>
            <w:r w:rsidRPr="00CC35F0">
              <w:rPr>
                <w:rFonts w:ascii="Times New Roman" w:eastAsia="Times New Roman" w:hAnsi="Times New Roman"/>
                <w:color w:val="000000"/>
                <w:sz w:val="24"/>
                <w:szCs w:val="24"/>
                <w:lang w:val="sr-Cyrl-CS"/>
              </w:rPr>
              <w:t>)</w:t>
            </w:r>
          </w:p>
          <w:p w14:paraId="056F9319" w14:textId="77777777" w:rsidR="00A0251B" w:rsidRPr="00CC35F0" w:rsidRDefault="00A0251B">
            <w:pPr>
              <w:spacing w:after="0" w:line="240" w:lineRule="auto"/>
              <w:ind w:left="-107" w:right="-110"/>
              <w:jc w:val="left"/>
              <w:rPr>
                <w:rFonts w:ascii="Times New Roman" w:eastAsia="Times New Roman" w:hAnsi="Times New Roman"/>
                <w:color w:val="000000"/>
                <w:sz w:val="24"/>
                <w:szCs w:val="24"/>
                <w:lang w:val="sr-Cyrl-CS"/>
              </w:rPr>
            </w:pPr>
          </w:p>
        </w:tc>
        <w:tc>
          <w:tcPr>
            <w:tcW w:w="1106" w:type="dxa"/>
            <w:shd w:val="clear" w:color="auto" w:fill="auto"/>
            <w:vAlign w:val="center"/>
          </w:tcPr>
          <w:p w14:paraId="246ADBB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70,21</w:t>
            </w:r>
          </w:p>
        </w:tc>
        <w:tc>
          <w:tcPr>
            <w:tcW w:w="769" w:type="dxa"/>
            <w:shd w:val="clear" w:color="auto" w:fill="auto"/>
            <w:vAlign w:val="center"/>
          </w:tcPr>
          <w:p w14:paraId="327C70DF"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6B02EFFA"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6ABD4945"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7AB0DB37"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6DD6D68C" w14:textId="77777777" w:rsidR="00A0251B" w:rsidRPr="00CC35F0" w:rsidRDefault="00A0251B">
            <w:pPr>
              <w:spacing w:after="0" w:line="240" w:lineRule="auto"/>
              <w:ind w:left="-142" w:right="-74"/>
              <w:jc w:val="center"/>
              <w:rPr>
                <w:rFonts w:ascii="Times New Roman" w:eastAsia="Times New Roman" w:hAnsi="Times New Roman"/>
                <w:color w:val="000000"/>
                <w:sz w:val="24"/>
                <w:szCs w:val="24"/>
                <w:lang w:val="sr-Cyrl-CS"/>
              </w:rPr>
            </w:pPr>
          </w:p>
        </w:tc>
        <w:tc>
          <w:tcPr>
            <w:tcW w:w="1171" w:type="dxa"/>
            <w:shd w:val="clear" w:color="auto" w:fill="auto"/>
            <w:vAlign w:val="center"/>
          </w:tcPr>
          <w:p w14:paraId="65F1A594"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026A0E30"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Постизање граничних вредности за производњу бакра и сумпорне киселине може обезбедити усклађеност са захтевима за квалитет ваздуха у Бору за SO</w:t>
            </w:r>
            <w:r w:rsidRPr="00CC35F0">
              <w:rPr>
                <w:rFonts w:ascii="Times New Roman" w:eastAsia="Times New Roman" w:hAnsi="Times New Roman"/>
                <w:color w:val="000000"/>
                <w:sz w:val="24"/>
                <w:szCs w:val="24"/>
                <w:vertAlign w:val="subscript"/>
                <w:lang w:val="sr-Cyrl-CS"/>
              </w:rPr>
              <w:t xml:space="preserve">2 </w:t>
            </w:r>
            <w:r w:rsidRPr="00CC35F0">
              <w:rPr>
                <w:rFonts w:ascii="Times New Roman" w:eastAsia="Times New Roman" w:hAnsi="Times New Roman"/>
                <w:color w:val="000000"/>
                <w:sz w:val="24"/>
                <w:szCs w:val="24"/>
                <w:lang w:val="sr-Cyrl-CS"/>
              </w:rPr>
              <w:t>и циљне вредности за кадмијум и арсен.</w:t>
            </w:r>
          </w:p>
        </w:tc>
        <w:tc>
          <w:tcPr>
            <w:tcW w:w="665" w:type="dxa"/>
            <w:shd w:val="clear" w:color="auto" w:fill="auto"/>
            <w:vAlign w:val="center"/>
          </w:tcPr>
          <w:p w14:paraId="39AEFEBC"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r>
      <w:tr w:rsidR="00A0251B" w:rsidRPr="00CC35F0" w14:paraId="79976BCA" w14:textId="77777777" w:rsidTr="00B14BBF">
        <w:trPr>
          <w:trHeight w:val="696"/>
        </w:trPr>
        <w:tc>
          <w:tcPr>
            <w:tcW w:w="566" w:type="dxa"/>
            <w:shd w:val="clear" w:color="auto" w:fill="D9D9D9"/>
            <w:vAlign w:val="center"/>
          </w:tcPr>
          <w:p w14:paraId="0E138008"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lastRenderedPageBreak/>
              <w:t>Бр.11 (WAM B6)</w:t>
            </w:r>
          </w:p>
        </w:tc>
        <w:tc>
          <w:tcPr>
            <w:tcW w:w="5672" w:type="dxa"/>
            <w:shd w:val="clear" w:color="auto" w:fill="D9D9D9"/>
            <w:vAlign w:val="center"/>
          </w:tcPr>
          <w:p w14:paraId="1D2364D0"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Спровођење Поглавља V Директиве о индустријским емисијама, Анекса VII за VOC или Поглавља 2 за постројења у којима потрошња растварача прелази 200 t годишње или 150 kg на сат.</w:t>
            </w:r>
          </w:p>
        </w:tc>
        <w:tc>
          <w:tcPr>
            <w:tcW w:w="1106" w:type="dxa"/>
            <w:shd w:val="clear" w:color="auto" w:fill="D9D9D9"/>
            <w:vAlign w:val="center"/>
          </w:tcPr>
          <w:p w14:paraId="71DF31FD"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125,41</w:t>
            </w:r>
          </w:p>
        </w:tc>
        <w:tc>
          <w:tcPr>
            <w:tcW w:w="769" w:type="dxa"/>
            <w:shd w:val="clear" w:color="auto" w:fill="D9D9D9"/>
            <w:vAlign w:val="center"/>
          </w:tcPr>
          <w:p w14:paraId="1A8D9A1E"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676" w:type="dxa"/>
            <w:shd w:val="clear" w:color="auto" w:fill="D9D9D9"/>
            <w:vAlign w:val="center"/>
          </w:tcPr>
          <w:p w14:paraId="455E3742"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884" w:type="dxa"/>
            <w:shd w:val="clear" w:color="auto" w:fill="D9D9D9"/>
            <w:vAlign w:val="center"/>
          </w:tcPr>
          <w:p w14:paraId="4A7AA7F5"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551" w:type="dxa"/>
            <w:shd w:val="clear" w:color="auto" w:fill="D9D9D9"/>
            <w:vAlign w:val="center"/>
          </w:tcPr>
          <w:p w14:paraId="5E8A38B2"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77ADE492" w14:textId="77777777" w:rsidR="00A0251B" w:rsidRPr="00CC35F0" w:rsidRDefault="008D6506">
            <w:pPr>
              <w:spacing w:after="0" w:line="240" w:lineRule="auto"/>
              <w:ind w:left="-142" w:right="-74"/>
              <w:jc w:val="right"/>
              <w:rPr>
                <w:rFonts w:ascii="Times New Roman" w:eastAsia="Times New Roman" w:hAnsi="Times New Roman"/>
                <w:b/>
                <w:sz w:val="24"/>
                <w:szCs w:val="24"/>
                <w:vertAlign w:val="superscript"/>
                <w:lang w:val="sr-Cyrl-CS"/>
              </w:rPr>
            </w:pPr>
            <w:r w:rsidRPr="00CC35F0">
              <w:rPr>
                <w:rFonts w:ascii="Times New Roman" w:eastAsia="Times New Roman" w:hAnsi="Times New Roman"/>
                <w:b/>
                <w:sz w:val="24"/>
                <w:szCs w:val="24"/>
                <w:lang w:val="sr-Cyrl-CS"/>
              </w:rPr>
              <w:t>(0,43)</w:t>
            </w:r>
            <w:r w:rsidRPr="00CC35F0">
              <w:rPr>
                <w:rFonts w:ascii="Times New Roman" w:eastAsia="Times New Roman" w:hAnsi="Times New Roman"/>
                <w:b/>
                <w:sz w:val="24"/>
                <w:szCs w:val="24"/>
                <w:vertAlign w:val="superscript"/>
                <w:lang w:val="sr-Cyrl-CS"/>
              </w:rPr>
              <w:footnoteReference w:id="60"/>
            </w:r>
          </w:p>
        </w:tc>
        <w:tc>
          <w:tcPr>
            <w:tcW w:w="1171" w:type="dxa"/>
            <w:shd w:val="clear" w:color="auto" w:fill="D9D9D9"/>
            <w:vAlign w:val="center"/>
          </w:tcPr>
          <w:p w14:paraId="6526A20F" w14:textId="77777777" w:rsidR="00A0251B" w:rsidRPr="00CC35F0" w:rsidRDefault="00A0251B">
            <w:pPr>
              <w:spacing w:after="0" w:line="240" w:lineRule="auto"/>
              <w:ind w:left="-57" w:right="-111"/>
              <w:jc w:val="right"/>
              <w:rPr>
                <w:rFonts w:ascii="Times New Roman" w:eastAsia="Times New Roman" w:hAnsi="Times New Roman"/>
                <w:b/>
                <w:sz w:val="24"/>
                <w:szCs w:val="24"/>
                <w:lang w:val="sr-Cyrl-CS"/>
              </w:rPr>
            </w:pPr>
          </w:p>
        </w:tc>
        <w:tc>
          <w:tcPr>
            <w:tcW w:w="2865" w:type="dxa"/>
            <w:shd w:val="clear" w:color="auto" w:fill="D9D9D9"/>
            <w:vAlign w:val="center"/>
          </w:tcPr>
          <w:p w14:paraId="1623FE61" w14:textId="77777777" w:rsidR="00A0251B" w:rsidRPr="00CC35F0" w:rsidRDefault="008D6506">
            <w:pPr>
              <w:spacing w:after="0" w:line="240" w:lineRule="auto"/>
              <w:ind w:left="-109" w:right="-10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Трош</w:t>
            </w:r>
            <w:r w:rsidR="0024547B" w:rsidRPr="00CC35F0">
              <w:rPr>
                <w:rFonts w:ascii="Times New Roman" w:eastAsia="Times New Roman" w:hAnsi="Times New Roman"/>
                <w:sz w:val="24"/>
                <w:szCs w:val="24"/>
                <w:lang w:val="sr-Cyrl-CS"/>
              </w:rPr>
              <w:t>кови уградње техника за смањење</w:t>
            </w:r>
            <w:r w:rsidRPr="00CC35F0">
              <w:rPr>
                <w:rFonts w:ascii="Times New Roman" w:eastAsia="Times New Roman" w:hAnsi="Times New Roman"/>
                <w:sz w:val="24"/>
                <w:szCs w:val="24"/>
                <w:lang w:val="sr-Cyrl-CS"/>
              </w:rPr>
              <w:t xml:space="preserve"> и употреба производа са ниским садржајем растварача. </w:t>
            </w:r>
          </w:p>
        </w:tc>
        <w:tc>
          <w:tcPr>
            <w:tcW w:w="665" w:type="dxa"/>
            <w:shd w:val="clear" w:color="auto" w:fill="D9D9D9"/>
            <w:vAlign w:val="center"/>
          </w:tcPr>
          <w:p w14:paraId="7DE29C69"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2025.</w:t>
            </w:r>
          </w:p>
        </w:tc>
      </w:tr>
      <w:tr w:rsidR="00A0251B" w:rsidRPr="00CC35F0" w14:paraId="1C21B9DA" w14:textId="77777777" w:rsidTr="00B14BBF">
        <w:trPr>
          <w:trHeight w:val="331"/>
        </w:trPr>
        <w:tc>
          <w:tcPr>
            <w:tcW w:w="566" w:type="dxa"/>
            <w:shd w:val="clear" w:color="auto" w:fill="auto"/>
            <w:vAlign w:val="center"/>
          </w:tcPr>
          <w:p w14:paraId="410F2A21"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A</w:t>
            </w:r>
          </w:p>
        </w:tc>
        <w:tc>
          <w:tcPr>
            <w:tcW w:w="5672" w:type="dxa"/>
            <w:shd w:val="clear" w:color="auto" w:fill="auto"/>
            <w:vAlign w:val="center"/>
          </w:tcPr>
          <w:p w14:paraId="7DD016AA"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sz w:val="24"/>
                <w:szCs w:val="24"/>
                <w:lang w:val="sr-Cyrl-CS"/>
              </w:rPr>
              <w:t>Измена и допуна Уредбе о граничним вредностима емисија загађујућих материја у ваздух из стационарних извора загађења, осим из пост</w:t>
            </w:r>
            <w:r w:rsidR="00AB12F2" w:rsidRPr="00CC35F0">
              <w:rPr>
                <w:rFonts w:ascii="Times New Roman" w:eastAsia="Times New Roman" w:hAnsi="Times New Roman"/>
                <w:sz w:val="24"/>
                <w:szCs w:val="24"/>
                <w:lang w:val="sr-Cyrl-CS"/>
              </w:rPr>
              <w:t>ројења за сагоревање</w:t>
            </w:r>
            <w:r w:rsidRPr="00CC35F0">
              <w:rPr>
                <w:rFonts w:ascii="Times New Roman" w:eastAsia="Times New Roman" w:hAnsi="Times New Roman"/>
                <w:sz w:val="24"/>
                <w:szCs w:val="24"/>
                <w:lang w:val="sr-Cyrl-CS"/>
              </w:rPr>
              <w:t xml:space="preserve"> и Уредбе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 и контрола и надзор над применом ових прописа.</w:t>
            </w:r>
          </w:p>
        </w:tc>
        <w:tc>
          <w:tcPr>
            <w:tcW w:w="1106" w:type="dxa"/>
            <w:shd w:val="clear" w:color="auto" w:fill="auto"/>
            <w:vAlign w:val="center"/>
          </w:tcPr>
          <w:p w14:paraId="3302806E"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769" w:type="dxa"/>
            <w:shd w:val="clear" w:color="auto" w:fill="auto"/>
            <w:vAlign w:val="center"/>
          </w:tcPr>
          <w:p w14:paraId="0205BB6E"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auto"/>
            <w:vAlign w:val="center"/>
          </w:tcPr>
          <w:p w14:paraId="30F418AB"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auto"/>
            <w:vAlign w:val="center"/>
          </w:tcPr>
          <w:p w14:paraId="1F632A52"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auto"/>
            <w:vAlign w:val="center"/>
          </w:tcPr>
          <w:p w14:paraId="3A5B603C"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auto"/>
            <w:vAlign w:val="center"/>
          </w:tcPr>
          <w:p w14:paraId="5E87AC78"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КДА </w:t>
            </w:r>
          </w:p>
        </w:tc>
        <w:tc>
          <w:tcPr>
            <w:tcW w:w="1171" w:type="dxa"/>
            <w:shd w:val="clear" w:color="auto" w:fill="auto"/>
            <w:vAlign w:val="center"/>
          </w:tcPr>
          <w:p w14:paraId="15F06D29" w14:textId="77777777" w:rsidR="00A0251B" w:rsidRPr="00CC35F0" w:rsidRDefault="00A0251B">
            <w:pPr>
              <w:spacing w:after="0" w:line="240" w:lineRule="auto"/>
              <w:ind w:left="-57" w:right="-111"/>
              <w:jc w:val="right"/>
              <w:rPr>
                <w:rFonts w:ascii="Times New Roman" w:eastAsia="Times New Roman" w:hAnsi="Times New Roman"/>
                <w:b/>
                <w:sz w:val="24"/>
                <w:szCs w:val="24"/>
                <w:lang w:val="sr-Cyrl-CS"/>
              </w:rPr>
            </w:pPr>
          </w:p>
        </w:tc>
        <w:tc>
          <w:tcPr>
            <w:tcW w:w="2865" w:type="dxa"/>
            <w:shd w:val="clear" w:color="auto" w:fill="auto"/>
            <w:vAlign w:val="center"/>
          </w:tcPr>
          <w:p w14:paraId="43987125" w14:textId="77777777" w:rsidR="00A0251B" w:rsidRPr="00CC35F0" w:rsidRDefault="008D6506">
            <w:pPr>
              <w:spacing w:after="0" w:line="240" w:lineRule="auto"/>
              <w:ind w:left="-109" w:right="-10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Измене и допуне прописа и потпуна примена Директиве предвиђене су кроз подршку Амбасаде Краљевине Норвешке у Београду.</w:t>
            </w:r>
          </w:p>
          <w:p w14:paraId="4A397B92" w14:textId="77777777" w:rsidR="00A0251B" w:rsidRPr="00CC35F0" w:rsidRDefault="00A0251B">
            <w:pPr>
              <w:spacing w:after="0" w:line="240" w:lineRule="auto"/>
              <w:ind w:left="-109" w:right="-106"/>
              <w:rPr>
                <w:rFonts w:ascii="Times New Roman" w:eastAsia="Times New Roman" w:hAnsi="Times New Roman"/>
                <w:sz w:val="24"/>
                <w:szCs w:val="24"/>
                <w:lang w:val="sr-Cyrl-CS"/>
              </w:rPr>
            </w:pPr>
          </w:p>
        </w:tc>
        <w:tc>
          <w:tcPr>
            <w:tcW w:w="665" w:type="dxa"/>
            <w:shd w:val="clear" w:color="auto" w:fill="auto"/>
            <w:vAlign w:val="center"/>
          </w:tcPr>
          <w:p w14:paraId="1A4675CB"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202</w:t>
            </w:r>
            <w:r w:rsidR="003B4CA6" w:rsidRPr="00CC35F0">
              <w:rPr>
                <w:rFonts w:ascii="Times New Roman" w:eastAsia="Times New Roman" w:hAnsi="Times New Roman"/>
                <w:b/>
                <w:color w:val="000000"/>
                <w:sz w:val="24"/>
                <w:szCs w:val="24"/>
                <w:lang w:val="sr-Cyrl-CS"/>
              </w:rPr>
              <w:t>3</w:t>
            </w:r>
            <w:r w:rsidRPr="00CC35F0">
              <w:rPr>
                <w:rFonts w:ascii="Times New Roman" w:eastAsia="Times New Roman" w:hAnsi="Times New Roman"/>
                <w:b/>
                <w:color w:val="000000"/>
                <w:sz w:val="24"/>
                <w:szCs w:val="24"/>
                <w:lang w:val="sr-Cyrl-CS"/>
              </w:rPr>
              <w:t>.</w:t>
            </w:r>
          </w:p>
        </w:tc>
      </w:tr>
      <w:tr w:rsidR="00A0251B" w:rsidRPr="00CC35F0" w14:paraId="1804814D" w14:textId="77777777" w:rsidTr="00B14BBF">
        <w:trPr>
          <w:trHeight w:val="1490"/>
        </w:trPr>
        <w:tc>
          <w:tcPr>
            <w:tcW w:w="566" w:type="dxa"/>
            <w:shd w:val="clear" w:color="auto" w:fill="auto"/>
            <w:vAlign w:val="center"/>
          </w:tcPr>
          <w:p w14:paraId="54E39026"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672" w:type="dxa"/>
            <w:shd w:val="clear" w:color="auto" w:fill="auto"/>
            <w:vAlign w:val="center"/>
          </w:tcPr>
          <w:p w14:paraId="391DE53C"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Наставак процене стања у Србији у погледу емисија VOC из употребе растварача у индустрији и припрема листе оператера VOC, као и развој, тестирање и покретање система електронске регистрације и извештавања за оператере класификоване као VOC оператери. Наставак развоја административних </w:t>
            </w:r>
            <w:r w:rsidRPr="00CC35F0">
              <w:rPr>
                <w:rFonts w:ascii="Times New Roman" w:eastAsia="Times New Roman" w:hAnsi="Times New Roman"/>
                <w:color w:val="000000"/>
                <w:sz w:val="24"/>
                <w:szCs w:val="24"/>
                <w:lang w:val="sr-Cyrl-CS"/>
              </w:rPr>
              <w:lastRenderedPageBreak/>
              <w:t>капацитета, а посебно кроз обуке локалних инспектора, као и побољшање знања о VOC код оператера и консултаната.</w:t>
            </w:r>
          </w:p>
        </w:tc>
        <w:tc>
          <w:tcPr>
            <w:tcW w:w="1106" w:type="dxa"/>
            <w:shd w:val="clear" w:color="auto" w:fill="auto"/>
            <w:vAlign w:val="center"/>
          </w:tcPr>
          <w:p w14:paraId="4AF00A0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w:t>
            </w:r>
          </w:p>
        </w:tc>
        <w:tc>
          <w:tcPr>
            <w:tcW w:w="769" w:type="dxa"/>
            <w:shd w:val="clear" w:color="auto" w:fill="auto"/>
            <w:vAlign w:val="center"/>
          </w:tcPr>
          <w:p w14:paraId="75BEC46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328287C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549FB2A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0D94ECC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254C9F22"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vertAlign w:val="superscript"/>
                <w:lang w:val="sr-Cyrl-CS"/>
              </w:rPr>
            </w:pPr>
            <w:r w:rsidRPr="00CC35F0">
              <w:rPr>
                <w:rFonts w:ascii="Times New Roman" w:eastAsia="Times New Roman" w:hAnsi="Times New Roman"/>
                <w:color w:val="000000"/>
                <w:sz w:val="24"/>
                <w:szCs w:val="24"/>
                <w:lang w:val="sr-Cyrl-CS"/>
              </w:rPr>
              <w:t>(0,43)</w:t>
            </w:r>
            <w:r w:rsidR="00471F18" w:rsidRPr="00CC35F0">
              <w:rPr>
                <w:rFonts w:ascii="Times New Roman" w:eastAsia="Times New Roman" w:hAnsi="Times New Roman"/>
                <w:color w:val="000000"/>
                <w:sz w:val="24"/>
                <w:szCs w:val="24"/>
                <w:vertAlign w:val="superscript"/>
                <w:lang w:val="sr-Cyrl-CS"/>
              </w:rPr>
              <w:t>60</w:t>
            </w:r>
          </w:p>
        </w:tc>
        <w:tc>
          <w:tcPr>
            <w:tcW w:w="1171" w:type="dxa"/>
            <w:shd w:val="clear" w:color="auto" w:fill="auto"/>
            <w:vAlign w:val="center"/>
          </w:tcPr>
          <w:p w14:paraId="0781931A" w14:textId="77777777" w:rsidR="00A0251B" w:rsidRPr="00CC35F0" w:rsidRDefault="00A0251B">
            <w:pPr>
              <w:spacing w:after="0" w:line="240" w:lineRule="auto"/>
              <w:ind w:left="-57" w:right="-111"/>
              <w:jc w:val="left"/>
              <w:rPr>
                <w:rFonts w:ascii="Times New Roman" w:eastAsia="Times New Roman" w:hAnsi="Times New Roman"/>
                <w:color w:val="000000"/>
                <w:sz w:val="24"/>
                <w:szCs w:val="24"/>
                <w:lang w:val="sr-Cyrl-CS"/>
              </w:rPr>
            </w:pPr>
          </w:p>
        </w:tc>
        <w:tc>
          <w:tcPr>
            <w:tcW w:w="2865" w:type="dxa"/>
            <w:shd w:val="clear" w:color="auto" w:fill="auto"/>
            <w:vAlign w:val="center"/>
          </w:tcPr>
          <w:p w14:paraId="10F50552" w14:textId="77777777" w:rsidR="00A0251B" w:rsidRPr="00CC35F0" w:rsidRDefault="008D6506">
            <w:pPr>
              <w:spacing w:after="0" w:line="240" w:lineRule="auto"/>
              <w:ind w:left="-109" w:right="-106"/>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Амбасада Краљевине Норвешке у Београду финансијски подржава спровођење пројекта грантом у износу од 430.000 евра, док АЗЖС </w:t>
            </w:r>
            <w:r w:rsidRPr="00CC35F0">
              <w:rPr>
                <w:rFonts w:ascii="Times New Roman" w:eastAsia="Times New Roman" w:hAnsi="Times New Roman"/>
                <w:color w:val="000000"/>
                <w:sz w:val="24"/>
                <w:szCs w:val="24"/>
                <w:lang w:val="sr-Cyrl-CS"/>
              </w:rPr>
              <w:lastRenderedPageBreak/>
              <w:t xml:space="preserve">доприноси износом од 15.000 евра. Период спровођења пројекта је 4 године, почев од 1. децембра 2018. године, закључно са 30. новембром 2022. године. </w:t>
            </w:r>
          </w:p>
        </w:tc>
        <w:tc>
          <w:tcPr>
            <w:tcW w:w="665" w:type="dxa"/>
            <w:shd w:val="clear" w:color="auto" w:fill="auto"/>
            <w:vAlign w:val="center"/>
          </w:tcPr>
          <w:p w14:paraId="22D9C919"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202</w:t>
            </w:r>
            <w:r w:rsidR="00C16112" w:rsidRPr="00CC35F0">
              <w:rPr>
                <w:rFonts w:ascii="Times New Roman" w:eastAsia="Times New Roman" w:hAnsi="Times New Roman"/>
                <w:color w:val="000000"/>
                <w:sz w:val="24"/>
                <w:szCs w:val="24"/>
                <w:lang w:val="sr-Cyrl-CS"/>
              </w:rPr>
              <w:t>2</w:t>
            </w:r>
            <w:r w:rsidRPr="00CC35F0">
              <w:rPr>
                <w:rFonts w:ascii="Times New Roman" w:eastAsia="Times New Roman" w:hAnsi="Times New Roman"/>
                <w:color w:val="000000"/>
                <w:sz w:val="24"/>
                <w:szCs w:val="24"/>
                <w:lang w:val="sr-Cyrl-CS"/>
              </w:rPr>
              <w:t>.</w:t>
            </w:r>
          </w:p>
        </w:tc>
      </w:tr>
      <w:tr w:rsidR="00A0251B" w:rsidRPr="00CC35F0" w14:paraId="6DEF0F48" w14:textId="77777777" w:rsidTr="00B14BBF">
        <w:trPr>
          <w:trHeight w:val="321"/>
        </w:trPr>
        <w:tc>
          <w:tcPr>
            <w:tcW w:w="566" w:type="dxa"/>
            <w:shd w:val="clear" w:color="auto" w:fill="auto"/>
            <w:vAlign w:val="center"/>
          </w:tcPr>
          <w:p w14:paraId="7FE129CE"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672" w:type="dxa"/>
            <w:shd w:val="clear" w:color="auto" w:fill="auto"/>
            <w:vAlign w:val="center"/>
          </w:tcPr>
          <w:p w14:paraId="7C0DC4EF"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BAТ AELs у постројењима са потрошњом растварача већом од 200 t</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или 150 kg на сат.</w:t>
            </w:r>
          </w:p>
        </w:tc>
        <w:tc>
          <w:tcPr>
            <w:tcW w:w="1106" w:type="dxa"/>
            <w:shd w:val="clear" w:color="auto" w:fill="auto"/>
            <w:vAlign w:val="center"/>
          </w:tcPr>
          <w:p w14:paraId="374903D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125,41 </w:t>
            </w:r>
          </w:p>
        </w:tc>
        <w:tc>
          <w:tcPr>
            <w:tcW w:w="769" w:type="dxa"/>
            <w:shd w:val="clear" w:color="auto" w:fill="auto"/>
            <w:vAlign w:val="center"/>
          </w:tcPr>
          <w:p w14:paraId="0724B15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25B4EBF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28CE336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099614B7"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5DA5695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 (горња активност) </w:t>
            </w:r>
          </w:p>
        </w:tc>
        <w:tc>
          <w:tcPr>
            <w:tcW w:w="1171" w:type="dxa"/>
            <w:shd w:val="clear" w:color="auto" w:fill="auto"/>
            <w:vAlign w:val="center"/>
          </w:tcPr>
          <w:p w14:paraId="2DC7765E" w14:textId="77777777" w:rsidR="00A0251B" w:rsidRPr="00CC35F0" w:rsidRDefault="00A0251B">
            <w:pPr>
              <w:spacing w:after="0" w:line="240" w:lineRule="auto"/>
              <w:ind w:left="-57" w:right="-111"/>
              <w:jc w:val="right"/>
              <w:rPr>
                <w:rFonts w:ascii="Times New Roman" w:eastAsia="Times New Roman" w:hAnsi="Times New Roman"/>
                <w:color w:val="008000"/>
                <w:sz w:val="24"/>
                <w:szCs w:val="24"/>
                <w:lang w:val="sr-Cyrl-CS"/>
              </w:rPr>
            </w:pPr>
          </w:p>
        </w:tc>
        <w:tc>
          <w:tcPr>
            <w:tcW w:w="2865" w:type="dxa"/>
            <w:shd w:val="clear" w:color="auto" w:fill="auto"/>
            <w:vAlign w:val="center"/>
          </w:tcPr>
          <w:p w14:paraId="5814B15D"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Повећани трошкови за усклађивање са директивом и додатни трошкови за постизање средњих вредности BAT AELs.</w:t>
            </w:r>
          </w:p>
        </w:tc>
        <w:tc>
          <w:tcPr>
            <w:tcW w:w="665" w:type="dxa"/>
            <w:shd w:val="clear" w:color="auto" w:fill="auto"/>
            <w:vAlign w:val="center"/>
          </w:tcPr>
          <w:p w14:paraId="2CE525FC" w14:textId="77777777" w:rsidR="00A0251B" w:rsidRPr="00CC35F0" w:rsidRDefault="00A0251B">
            <w:pPr>
              <w:spacing w:after="0" w:line="240" w:lineRule="auto"/>
              <w:ind w:left="-163" w:right="-73" w:firstLine="107"/>
              <w:jc w:val="right"/>
              <w:rPr>
                <w:rFonts w:ascii="Times New Roman" w:eastAsia="Times New Roman" w:hAnsi="Times New Roman"/>
                <w:color w:val="000000"/>
                <w:sz w:val="24"/>
                <w:szCs w:val="24"/>
                <w:lang w:val="sr-Cyrl-CS"/>
              </w:rPr>
            </w:pPr>
          </w:p>
        </w:tc>
      </w:tr>
      <w:tr w:rsidR="00A0251B" w:rsidRPr="00CC35F0" w14:paraId="7A4FE670" w14:textId="77777777" w:rsidTr="00B14BBF">
        <w:trPr>
          <w:trHeight w:val="542"/>
        </w:trPr>
        <w:tc>
          <w:tcPr>
            <w:tcW w:w="15735" w:type="dxa"/>
            <w:gridSpan w:val="11"/>
            <w:shd w:val="clear" w:color="auto" w:fill="BDD7EE"/>
            <w:vAlign w:val="center"/>
          </w:tcPr>
          <w:p w14:paraId="072A3C17" w14:textId="77777777" w:rsidR="00A0251B" w:rsidRPr="00CC35F0" w:rsidRDefault="008D6506">
            <w:pPr>
              <w:spacing w:after="0" w:line="240" w:lineRule="auto"/>
              <w:ind w:left="-163" w:right="-106" w:firstLine="107"/>
              <w:jc w:val="lef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Посебни циљ 3: Смањење емисија NH</w:t>
            </w:r>
            <w:r w:rsidRPr="00CC35F0">
              <w:rPr>
                <w:rFonts w:ascii="Times New Roman" w:eastAsia="Times New Roman" w:hAnsi="Times New Roman"/>
                <w:b/>
                <w:sz w:val="24"/>
                <w:szCs w:val="24"/>
                <w:vertAlign w:val="subscript"/>
                <w:lang w:val="sr-Cyrl-CS"/>
              </w:rPr>
              <w:t>3</w:t>
            </w:r>
            <w:r w:rsidRPr="00CC35F0">
              <w:rPr>
                <w:rFonts w:ascii="Times New Roman" w:eastAsia="Times New Roman" w:hAnsi="Times New Roman"/>
                <w:b/>
                <w:sz w:val="24"/>
                <w:szCs w:val="24"/>
                <w:lang w:val="sr-Cyrl-CS"/>
              </w:rPr>
              <w:t xml:space="preserve"> из сектора пољопривреде за 20,5% у поређењу са 2015. годином</w:t>
            </w:r>
          </w:p>
        </w:tc>
      </w:tr>
      <w:tr w:rsidR="00A0251B" w:rsidRPr="00CC35F0" w14:paraId="21D8FD66" w14:textId="77777777" w:rsidTr="00B14BBF">
        <w:trPr>
          <w:trHeight w:val="444"/>
        </w:trPr>
        <w:tc>
          <w:tcPr>
            <w:tcW w:w="566" w:type="dxa"/>
            <w:shd w:val="clear" w:color="auto" w:fill="D9D9D9"/>
            <w:vAlign w:val="center"/>
          </w:tcPr>
          <w:p w14:paraId="66485DB5"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Бр.12</w:t>
            </w:r>
          </w:p>
          <w:p w14:paraId="013FCEE3"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(WАM B9)</w:t>
            </w:r>
          </w:p>
        </w:tc>
        <w:tc>
          <w:tcPr>
            <w:tcW w:w="5672" w:type="dxa"/>
            <w:shd w:val="clear" w:color="auto" w:fill="D9D9D9"/>
            <w:vAlign w:val="center"/>
          </w:tcPr>
          <w:p w14:paraId="07F07DAF"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Увођење најбоље праксе у складиштењу течног стајњака</w:t>
            </w:r>
            <w:r w:rsidRPr="00CC35F0">
              <w:rPr>
                <w:rFonts w:ascii="Times New Roman" w:eastAsia="Times New Roman" w:hAnsi="Times New Roman"/>
                <w:b/>
                <w:color w:val="000000"/>
                <w:sz w:val="24"/>
                <w:szCs w:val="24"/>
                <w:lang w:val="sr-Cyrl-CS"/>
              </w:rPr>
              <w:br/>
            </w:r>
          </w:p>
        </w:tc>
        <w:tc>
          <w:tcPr>
            <w:tcW w:w="1106" w:type="dxa"/>
            <w:shd w:val="clear" w:color="auto" w:fill="D9D9D9"/>
            <w:vAlign w:val="center"/>
          </w:tcPr>
          <w:p w14:paraId="3012644A"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0,8</w:t>
            </w:r>
          </w:p>
        </w:tc>
        <w:tc>
          <w:tcPr>
            <w:tcW w:w="769" w:type="dxa"/>
            <w:shd w:val="clear" w:color="auto" w:fill="D9D9D9"/>
            <w:vAlign w:val="center"/>
          </w:tcPr>
          <w:p w14:paraId="4C9E3553"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D9D9D9"/>
            <w:vAlign w:val="center"/>
          </w:tcPr>
          <w:p w14:paraId="6C708974"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D9D9D9"/>
            <w:vAlign w:val="center"/>
          </w:tcPr>
          <w:p w14:paraId="345616A3"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D9D9D9"/>
            <w:vAlign w:val="center"/>
          </w:tcPr>
          <w:p w14:paraId="65AF297A"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0BD72B5A"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0,8</w:t>
            </w:r>
          </w:p>
        </w:tc>
        <w:tc>
          <w:tcPr>
            <w:tcW w:w="1171" w:type="dxa"/>
            <w:shd w:val="clear" w:color="auto" w:fill="D9D9D9"/>
            <w:vAlign w:val="center"/>
          </w:tcPr>
          <w:p w14:paraId="58A6E31A"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3,5</w:t>
            </w:r>
          </w:p>
        </w:tc>
        <w:tc>
          <w:tcPr>
            <w:tcW w:w="2865" w:type="dxa"/>
            <w:shd w:val="clear" w:color="auto" w:fill="D9D9D9"/>
            <w:vAlign w:val="center"/>
          </w:tcPr>
          <w:p w14:paraId="15633A42"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Процењени трошкови се односе на улагања само у покривке за складиштење стајњака од свиња. Нема трошкова за формирање природне коре. </w:t>
            </w:r>
          </w:p>
        </w:tc>
        <w:tc>
          <w:tcPr>
            <w:tcW w:w="665" w:type="dxa"/>
            <w:shd w:val="clear" w:color="auto" w:fill="D9D9D9"/>
            <w:vAlign w:val="center"/>
          </w:tcPr>
          <w:p w14:paraId="1ABEB957"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2030. и даље</w:t>
            </w:r>
          </w:p>
        </w:tc>
      </w:tr>
      <w:tr w:rsidR="00A0251B" w:rsidRPr="00CC35F0" w14:paraId="307653AA" w14:textId="77777777" w:rsidTr="00B14BBF">
        <w:trPr>
          <w:trHeight w:val="1490"/>
        </w:trPr>
        <w:tc>
          <w:tcPr>
            <w:tcW w:w="566" w:type="dxa"/>
            <w:shd w:val="clear" w:color="auto" w:fill="auto"/>
            <w:vAlign w:val="center"/>
          </w:tcPr>
          <w:p w14:paraId="1C7DEDC6"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A</w:t>
            </w:r>
          </w:p>
        </w:tc>
        <w:tc>
          <w:tcPr>
            <w:tcW w:w="5672" w:type="dxa"/>
            <w:shd w:val="clear" w:color="auto" w:fill="auto"/>
            <w:vAlign w:val="center"/>
          </w:tcPr>
          <w:p w14:paraId="261795DB"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Транспозиција шест начела управљања азотом представљених у Анексу 3, део 2 Директиве 2284/2016, који су такође наведени у Анексу 9 Гетеборшког протокола, у национални правни оквир.</w:t>
            </w:r>
          </w:p>
          <w:p w14:paraId="71DCACA0"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 </w:t>
            </w:r>
          </w:p>
        </w:tc>
        <w:tc>
          <w:tcPr>
            <w:tcW w:w="1106" w:type="dxa"/>
            <w:shd w:val="clear" w:color="auto" w:fill="auto"/>
            <w:vAlign w:val="center"/>
          </w:tcPr>
          <w:p w14:paraId="39D76D90"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769" w:type="dxa"/>
            <w:shd w:val="clear" w:color="auto" w:fill="auto"/>
            <w:vAlign w:val="center"/>
          </w:tcPr>
          <w:p w14:paraId="1892F579"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auto"/>
            <w:vAlign w:val="center"/>
          </w:tcPr>
          <w:p w14:paraId="58DFD35C"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auto"/>
            <w:vAlign w:val="center"/>
          </w:tcPr>
          <w:p w14:paraId="1DBC574D"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auto"/>
            <w:vAlign w:val="center"/>
          </w:tcPr>
          <w:p w14:paraId="5D6DE782"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auto"/>
            <w:vAlign w:val="center"/>
          </w:tcPr>
          <w:p w14:paraId="5C574B74"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1171" w:type="dxa"/>
            <w:shd w:val="clear" w:color="auto" w:fill="auto"/>
            <w:vAlign w:val="center"/>
          </w:tcPr>
          <w:p w14:paraId="1BF68A31"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2865" w:type="dxa"/>
            <w:shd w:val="clear" w:color="auto" w:fill="auto"/>
            <w:vAlign w:val="center"/>
          </w:tcPr>
          <w:p w14:paraId="5C20469A"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Приликом измене националног правног оквира због усклађивања са Директивом о националним обавезама за смањење емисија, обезбедити да мере за контролу емисије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садржане у Анексу 3, део 2.А Директиве буду транспоноване у национални правни оквир.</w:t>
            </w:r>
          </w:p>
        </w:tc>
        <w:tc>
          <w:tcPr>
            <w:tcW w:w="665" w:type="dxa"/>
            <w:shd w:val="clear" w:color="auto" w:fill="auto"/>
            <w:vAlign w:val="center"/>
          </w:tcPr>
          <w:p w14:paraId="5D4162C0"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2024.</w:t>
            </w:r>
          </w:p>
        </w:tc>
      </w:tr>
      <w:tr w:rsidR="00A0251B" w:rsidRPr="00CC35F0" w14:paraId="101AF242" w14:textId="77777777" w:rsidTr="00B14BBF">
        <w:trPr>
          <w:trHeight w:val="1324"/>
        </w:trPr>
        <w:tc>
          <w:tcPr>
            <w:tcW w:w="566" w:type="dxa"/>
            <w:shd w:val="clear" w:color="auto" w:fill="auto"/>
            <w:vAlign w:val="center"/>
          </w:tcPr>
          <w:p w14:paraId="46747A86"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A(Х)</w:t>
            </w:r>
          </w:p>
        </w:tc>
        <w:tc>
          <w:tcPr>
            <w:tcW w:w="5672" w:type="dxa"/>
            <w:shd w:val="clear" w:color="auto" w:fill="auto"/>
            <w:vAlign w:val="center"/>
          </w:tcPr>
          <w:p w14:paraId="7D8D3161"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Припрема Националног кодекса добре пољопривредне праксе за контролу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(обавеза из Директиве ЕУ 2284/2016, Анекс 3, део 2), допуњавањем и проширивањем постојећег националног Кодекса добре пољопривредне праксе из 2016. године ради бољег разматрања мера за смањење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у складу са захтевима UNECE и ЕУ. </w:t>
            </w:r>
          </w:p>
        </w:tc>
        <w:tc>
          <w:tcPr>
            <w:tcW w:w="1106" w:type="dxa"/>
            <w:shd w:val="clear" w:color="auto" w:fill="auto"/>
            <w:vAlign w:val="center"/>
          </w:tcPr>
          <w:p w14:paraId="2CAC5A1D"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769" w:type="dxa"/>
            <w:shd w:val="clear" w:color="auto" w:fill="auto"/>
            <w:vAlign w:val="center"/>
          </w:tcPr>
          <w:p w14:paraId="6B09D862"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auto"/>
            <w:vAlign w:val="center"/>
          </w:tcPr>
          <w:p w14:paraId="73BF1D3C"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auto"/>
            <w:vAlign w:val="center"/>
          </w:tcPr>
          <w:p w14:paraId="05D18DE5"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auto"/>
            <w:vAlign w:val="center"/>
          </w:tcPr>
          <w:p w14:paraId="533D50D9"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auto"/>
            <w:vAlign w:val="center"/>
          </w:tcPr>
          <w:p w14:paraId="725379AF"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1171" w:type="dxa"/>
            <w:shd w:val="clear" w:color="auto" w:fill="auto"/>
            <w:vAlign w:val="center"/>
          </w:tcPr>
          <w:p w14:paraId="07701B26"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2865" w:type="dxa"/>
            <w:shd w:val="clear" w:color="auto" w:fill="auto"/>
            <w:vAlign w:val="center"/>
          </w:tcPr>
          <w:p w14:paraId="72CE3BEC"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tc>
        <w:tc>
          <w:tcPr>
            <w:tcW w:w="665" w:type="dxa"/>
            <w:shd w:val="clear" w:color="auto" w:fill="auto"/>
            <w:vAlign w:val="center"/>
          </w:tcPr>
          <w:p w14:paraId="6CDDB2A2"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w:t>
            </w:r>
          </w:p>
        </w:tc>
      </w:tr>
      <w:tr w:rsidR="00A0251B" w:rsidRPr="00CC35F0" w14:paraId="388190FB" w14:textId="77777777" w:rsidTr="00B14BBF">
        <w:trPr>
          <w:trHeight w:val="846"/>
        </w:trPr>
        <w:tc>
          <w:tcPr>
            <w:tcW w:w="566" w:type="dxa"/>
            <w:shd w:val="clear" w:color="auto" w:fill="auto"/>
            <w:vAlign w:val="center"/>
          </w:tcPr>
          <w:p w14:paraId="74CC75C3"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A(Х)</w:t>
            </w:r>
          </w:p>
        </w:tc>
        <w:tc>
          <w:tcPr>
            <w:tcW w:w="5672" w:type="dxa"/>
            <w:shd w:val="clear" w:color="auto" w:fill="auto"/>
          </w:tcPr>
          <w:p w14:paraId="62CEA4FC"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Успостављање националног буџета за азот ради праћења промена у укупним губицима реактивног азота из пољопривреде, укључујући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NOx, </w:t>
            </w:r>
            <w:r w:rsidRPr="00CC35F0">
              <w:rPr>
                <w:rFonts w:ascii="Times New Roman" w:eastAsia="Times New Roman" w:hAnsi="Times New Roman"/>
                <w:sz w:val="24"/>
                <w:szCs w:val="24"/>
                <w:lang w:val="sr-Cyrl-CS"/>
              </w:rPr>
              <w:lastRenderedPageBreak/>
              <w:t>амонијум, нитрате и нитрите, на основу принципа изнетих у UNECE о буџетима за азот.</w:t>
            </w:r>
            <w:r w:rsidRPr="00CC35F0">
              <w:rPr>
                <w:rFonts w:ascii="Times New Roman" w:eastAsia="Times New Roman" w:hAnsi="Times New Roman"/>
                <w:sz w:val="24"/>
                <w:szCs w:val="24"/>
                <w:vertAlign w:val="superscript"/>
                <w:lang w:val="sr-Cyrl-CS"/>
              </w:rPr>
              <w:footnoteReference w:id="61"/>
            </w:r>
          </w:p>
        </w:tc>
        <w:tc>
          <w:tcPr>
            <w:tcW w:w="1106" w:type="dxa"/>
            <w:shd w:val="clear" w:color="auto" w:fill="auto"/>
            <w:vAlign w:val="center"/>
          </w:tcPr>
          <w:p w14:paraId="2C9C4E2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w:t>
            </w:r>
          </w:p>
        </w:tc>
        <w:tc>
          <w:tcPr>
            <w:tcW w:w="769" w:type="dxa"/>
            <w:shd w:val="clear" w:color="auto" w:fill="auto"/>
            <w:vAlign w:val="center"/>
          </w:tcPr>
          <w:p w14:paraId="036F42F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5E69409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06E0D86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7ADA8337"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2BE8BDBB"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0,8</w:t>
            </w:r>
          </w:p>
        </w:tc>
        <w:tc>
          <w:tcPr>
            <w:tcW w:w="1171" w:type="dxa"/>
            <w:shd w:val="clear" w:color="auto" w:fill="auto"/>
            <w:vAlign w:val="center"/>
          </w:tcPr>
          <w:p w14:paraId="1AC3866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2865" w:type="dxa"/>
            <w:shd w:val="clear" w:color="auto" w:fill="auto"/>
            <w:vAlign w:val="center"/>
          </w:tcPr>
          <w:p w14:paraId="5A06E9BD"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Финансирање из донаторских средстава (укључујући и подршку за Мере бр. 13, 14 и 15).</w:t>
            </w:r>
          </w:p>
        </w:tc>
        <w:tc>
          <w:tcPr>
            <w:tcW w:w="665" w:type="dxa"/>
            <w:shd w:val="clear" w:color="auto" w:fill="auto"/>
            <w:vAlign w:val="center"/>
          </w:tcPr>
          <w:p w14:paraId="5641E1D5"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w:t>
            </w:r>
            <w:r w:rsidR="00F6793E" w:rsidRPr="00CC35F0">
              <w:rPr>
                <w:rFonts w:ascii="Times New Roman" w:eastAsia="Times New Roman" w:hAnsi="Times New Roman"/>
                <w:color w:val="000000"/>
                <w:sz w:val="24"/>
                <w:szCs w:val="24"/>
                <w:lang w:val="sr-Cyrl-CS"/>
              </w:rPr>
              <w:t>3</w:t>
            </w:r>
            <w:r w:rsidRPr="00CC35F0">
              <w:rPr>
                <w:rFonts w:ascii="Times New Roman" w:eastAsia="Times New Roman" w:hAnsi="Times New Roman"/>
                <w:color w:val="000000"/>
                <w:sz w:val="24"/>
                <w:szCs w:val="24"/>
                <w:lang w:val="sr-Cyrl-CS"/>
              </w:rPr>
              <w:t>-2024.</w:t>
            </w:r>
          </w:p>
        </w:tc>
      </w:tr>
      <w:tr w:rsidR="00A0251B" w:rsidRPr="00CC35F0" w14:paraId="0656C253" w14:textId="77777777" w:rsidTr="00B14BBF">
        <w:trPr>
          <w:trHeight w:val="1490"/>
        </w:trPr>
        <w:tc>
          <w:tcPr>
            <w:tcW w:w="566" w:type="dxa"/>
            <w:shd w:val="clear" w:color="auto" w:fill="auto"/>
            <w:vAlign w:val="center"/>
          </w:tcPr>
          <w:p w14:paraId="5DA3B689"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(Х)</w:t>
            </w:r>
          </w:p>
        </w:tc>
        <w:tc>
          <w:tcPr>
            <w:tcW w:w="5672" w:type="dxa"/>
            <w:shd w:val="clear" w:color="auto" w:fill="auto"/>
          </w:tcPr>
          <w:p w14:paraId="6C9E9F4D"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Јачање људских ресурса у Министарству пољопривреде, шумарства и водопривреде (3 лица с пуним радним временом су потребна за развој Националног саветодавног кодекса, организовање Пољопривредних </w:t>
            </w:r>
            <w:r w:rsidR="000F54D4" w:rsidRPr="00CC35F0">
              <w:rPr>
                <w:rFonts w:ascii="Times New Roman" w:eastAsia="Times New Roman" w:hAnsi="Times New Roman"/>
                <w:color w:val="000000"/>
                <w:sz w:val="24"/>
                <w:szCs w:val="24"/>
                <w:lang w:val="sr-Cyrl-CS"/>
              </w:rPr>
              <w:t xml:space="preserve">стручних и </w:t>
            </w:r>
            <w:r w:rsidRPr="00CC35F0">
              <w:rPr>
                <w:rFonts w:ascii="Times New Roman" w:eastAsia="Times New Roman" w:hAnsi="Times New Roman"/>
                <w:color w:val="000000"/>
                <w:sz w:val="24"/>
                <w:szCs w:val="24"/>
                <w:lang w:val="sr-Cyrl-CS"/>
              </w:rPr>
              <w:t xml:space="preserve">саветодавних служби и ширење добре праксе у интегрисаном приступу) и Пољопривредне </w:t>
            </w:r>
            <w:r w:rsidR="00847036" w:rsidRPr="00CC35F0">
              <w:rPr>
                <w:rFonts w:ascii="Times New Roman" w:eastAsia="Times New Roman" w:hAnsi="Times New Roman"/>
                <w:color w:val="000000"/>
                <w:sz w:val="24"/>
                <w:szCs w:val="24"/>
                <w:lang w:val="sr-Cyrl-CS"/>
              </w:rPr>
              <w:t xml:space="preserve">стручне и </w:t>
            </w:r>
            <w:r w:rsidR="0024547B" w:rsidRPr="00CC35F0">
              <w:rPr>
                <w:rFonts w:ascii="Times New Roman" w:eastAsia="Times New Roman" w:hAnsi="Times New Roman"/>
                <w:color w:val="000000"/>
                <w:sz w:val="24"/>
                <w:szCs w:val="24"/>
                <w:lang w:val="sr-Cyrl-CS"/>
              </w:rPr>
              <w:t xml:space="preserve">саветодавне службе (10 </w:t>
            </w:r>
            <w:r w:rsidRPr="00CC35F0">
              <w:rPr>
                <w:rFonts w:ascii="Times New Roman" w:eastAsia="Times New Roman" w:hAnsi="Times New Roman"/>
                <w:color w:val="000000"/>
                <w:sz w:val="24"/>
                <w:szCs w:val="24"/>
                <w:lang w:val="sr-Cyrl-CS"/>
              </w:rPr>
              <w:t>лица с пуним радним временом за ширење мера смањења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и заштиту подземних водних тела).</w:t>
            </w:r>
          </w:p>
        </w:tc>
        <w:tc>
          <w:tcPr>
            <w:tcW w:w="1106" w:type="dxa"/>
            <w:shd w:val="clear" w:color="auto" w:fill="auto"/>
            <w:vAlign w:val="center"/>
          </w:tcPr>
          <w:p w14:paraId="1C523EA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1A39E23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39A6FF4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569C880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4E1B860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10F29730"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459EC69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2,34</w:t>
            </w:r>
          </w:p>
          <w:p w14:paraId="77351A2B" w14:textId="77777777" w:rsidR="00A0251B" w:rsidRPr="00CC35F0" w:rsidRDefault="00A0251B">
            <w:pPr>
              <w:spacing w:after="0" w:line="240" w:lineRule="auto"/>
              <w:ind w:left="-142" w:right="-74"/>
              <w:jc w:val="center"/>
              <w:rPr>
                <w:rFonts w:ascii="Times New Roman" w:eastAsia="Times New Roman" w:hAnsi="Times New Roman"/>
                <w:color w:val="000000"/>
                <w:sz w:val="24"/>
                <w:szCs w:val="24"/>
                <w:lang w:val="sr-Cyrl-CS"/>
              </w:rPr>
            </w:pPr>
          </w:p>
        </w:tc>
        <w:tc>
          <w:tcPr>
            <w:tcW w:w="2865" w:type="dxa"/>
            <w:shd w:val="clear" w:color="auto" w:fill="auto"/>
            <w:vAlign w:val="center"/>
          </w:tcPr>
          <w:p w14:paraId="4B39CDDE" w14:textId="77777777" w:rsidR="00A0251B" w:rsidRPr="00CC35F0" w:rsidRDefault="0024547B">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Процена је да је потребно 13 </w:t>
            </w:r>
            <w:r w:rsidR="008D6506" w:rsidRPr="00CC35F0">
              <w:rPr>
                <w:rFonts w:ascii="Times New Roman" w:eastAsia="Times New Roman" w:hAnsi="Times New Roman"/>
                <w:color w:val="000000"/>
                <w:sz w:val="24"/>
                <w:szCs w:val="24"/>
                <w:lang w:val="sr-Cyrl-CS"/>
              </w:rPr>
              <w:t>додатних запослених с пуним радним временом за спровођење ове мере и Мера 13, 14 и 15).</w:t>
            </w:r>
          </w:p>
        </w:tc>
        <w:tc>
          <w:tcPr>
            <w:tcW w:w="665" w:type="dxa"/>
            <w:shd w:val="clear" w:color="auto" w:fill="auto"/>
            <w:vAlign w:val="center"/>
          </w:tcPr>
          <w:p w14:paraId="039BAD5F"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w:t>
            </w:r>
            <w:r w:rsidR="00C16112" w:rsidRPr="00CC35F0">
              <w:rPr>
                <w:rFonts w:ascii="Times New Roman" w:eastAsia="Times New Roman" w:hAnsi="Times New Roman"/>
                <w:color w:val="000000"/>
                <w:sz w:val="24"/>
                <w:szCs w:val="24"/>
                <w:lang w:val="sr-Cyrl-CS"/>
              </w:rPr>
              <w:t>3</w:t>
            </w:r>
            <w:r w:rsidRPr="00CC35F0">
              <w:rPr>
                <w:rFonts w:ascii="Times New Roman" w:eastAsia="Times New Roman" w:hAnsi="Times New Roman"/>
                <w:color w:val="000000"/>
                <w:sz w:val="24"/>
                <w:szCs w:val="24"/>
                <w:lang w:val="sr-Cyrl-CS"/>
              </w:rPr>
              <w:t>.</w:t>
            </w:r>
          </w:p>
        </w:tc>
      </w:tr>
      <w:tr w:rsidR="00A0251B" w:rsidRPr="00CC35F0" w14:paraId="50FE44DE" w14:textId="77777777" w:rsidTr="00B14BBF">
        <w:trPr>
          <w:trHeight w:val="1157"/>
        </w:trPr>
        <w:tc>
          <w:tcPr>
            <w:tcW w:w="566" w:type="dxa"/>
            <w:shd w:val="clear" w:color="auto" w:fill="auto"/>
            <w:vAlign w:val="center"/>
          </w:tcPr>
          <w:p w14:paraId="49698F17"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(Х) </w:t>
            </w:r>
          </w:p>
        </w:tc>
        <w:tc>
          <w:tcPr>
            <w:tcW w:w="5672" w:type="dxa"/>
            <w:shd w:val="clear" w:color="auto" w:fill="auto"/>
            <w:vAlign w:val="center"/>
          </w:tcPr>
          <w:p w14:paraId="71A3543F" w14:textId="77777777" w:rsidR="00A0251B" w:rsidRPr="00CC35F0" w:rsidRDefault="008D6506" w:rsidP="00F0613B">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Информисање о и ширење Националног кодекса добре пољопривредне праксе и развој кампања за подизање свести о утицају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на квалитет ваздуха и о мерама за њихово смањење (кроз више догађаја (5 годишње у Србији од 2024. године), израда и ширење промотивних материјала ((летака, видео записа)</w:t>
            </w:r>
            <w:r w:rsidR="00F0613B">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w:t>
            </w:r>
            <w:r w:rsidR="00F0613B">
              <w:rPr>
                <w:rFonts w:ascii="Times New Roman" w:eastAsia="Times New Roman" w:hAnsi="Times New Roman"/>
                <w:sz w:val="24"/>
                <w:szCs w:val="24"/>
                <w:lang w:val="sr-Cyrl-CS"/>
              </w:rPr>
              <w:t>итд.</w:t>
            </w:r>
            <w:r w:rsidRPr="00CC35F0">
              <w:rPr>
                <w:rFonts w:ascii="Times New Roman" w:eastAsia="Times New Roman" w:hAnsi="Times New Roman"/>
                <w:sz w:val="24"/>
                <w:szCs w:val="24"/>
                <w:lang w:val="sr-Cyrl-CS"/>
              </w:rPr>
              <w:t xml:space="preserve">): 10), интернет страница (1))  </w:t>
            </w:r>
          </w:p>
        </w:tc>
        <w:tc>
          <w:tcPr>
            <w:tcW w:w="1106" w:type="dxa"/>
            <w:shd w:val="clear" w:color="auto" w:fill="auto"/>
            <w:vAlign w:val="center"/>
          </w:tcPr>
          <w:p w14:paraId="21E3EE7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4041507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24B9706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791AD51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156DEF36"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357E96E7"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546FDCC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0,355</w:t>
            </w:r>
          </w:p>
        </w:tc>
        <w:tc>
          <w:tcPr>
            <w:tcW w:w="2865" w:type="dxa"/>
            <w:shd w:val="clear" w:color="auto" w:fill="auto"/>
            <w:vAlign w:val="center"/>
          </w:tcPr>
          <w:p w14:paraId="6276B036"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Јавни догађаји сваке године у различитим деловима Републике Србије, промотивни материјали и интернет страница (укључујући и за Мере 13, 14 и 15).</w:t>
            </w:r>
          </w:p>
        </w:tc>
        <w:tc>
          <w:tcPr>
            <w:tcW w:w="665" w:type="dxa"/>
            <w:shd w:val="clear" w:color="auto" w:fill="auto"/>
            <w:vAlign w:val="center"/>
          </w:tcPr>
          <w:p w14:paraId="7E52FE9A"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2024-2030.</w:t>
            </w:r>
          </w:p>
        </w:tc>
      </w:tr>
      <w:tr w:rsidR="00A0251B" w:rsidRPr="00CC35F0" w14:paraId="61B1D66A" w14:textId="77777777" w:rsidTr="00B14BBF">
        <w:trPr>
          <w:trHeight w:val="444"/>
        </w:trPr>
        <w:tc>
          <w:tcPr>
            <w:tcW w:w="566" w:type="dxa"/>
            <w:shd w:val="clear" w:color="auto" w:fill="auto"/>
            <w:vAlign w:val="center"/>
          </w:tcPr>
          <w:p w14:paraId="45A4DA48"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2" w:type="dxa"/>
            <w:shd w:val="clear" w:color="auto" w:fill="auto"/>
            <w:vAlign w:val="center"/>
          </w:tcPr>
          <w:p w14:paraId="6056C9A1"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Спровођење најбоље праксе у управљању течним стајњаком.</w:t>
            </w:r>
          </w:p>
        </w:tc>
        <w:tc>
          <w:tcPr>
            <w:tcW w:w="1106" w:type="dxa"/>
            <w:shd w:val="clear" w:color="auto" w:fill="auto"/>
            <w:vAlign w:val="center"/>
          </w:tcPr>
          <w:p w14:paraId="7C821EA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0,8</w:t>
            </w:r>
          </w:p>
        </w:tc>
        <w:tc>
          <w:tcPr>
            <w:tcW w:w="769" w:type="dxa"/>
            <w:shd w:val="clear" w:color="auto" w:fill="auto"/>
            <w:vAlign w:val="center"/>
          </w:tcPr>
          <w:p w14:paraId="26DE952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440BF020"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1907CD00"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5B503684"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2F4844AA"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027EF804"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5BFD6527"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Покривање лагуна на фармама за узгој свиња и стварање природе покорице </w:t>
            </w:r>
            <w:r w:rsidRPr="00CC35F0">
              <w:rPr>
                <w:rFonts w:ascii="Times New Roman" w:eastAsia="Times New Roman" w:hAnsi="Times New Roman"/>
                <w:color w:val="000000"/>
                <w:sz w:val="24"/>
                <w:szCs w:val="24"/>
                <w:lang w:val="sr-Cyrl-CS"/>
              </w:rPr>
              <w:lastRenderedPageBreak/>
              <w:t>на складиштима стајњаја на сточним фармама</w:t>
            </w:r>
          </w:p>
        </w:tc>
        <w:tc>
          <w:tcPr>
            <w:tcW w:w="665" w:type="dxa"/>
            <w:shd w:val="clear" w:color="auto" w:fill="auto"/>
            <w:vAlign w:val="center"/>
          </w:tcPr>
          <w:p w14:paraId="231E6FC0"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2024-2030.</w:t>
            </w:r>
          </w:p>
        </w:tc>
      </w:tr>
      <w:tr w:rsidR="00A0251B" w:rsidRPr="00CC35F0" w14:paraId="72BDD452" w14:textId="77777777" w:rsidTr="00B14BBF">
        <w:trPr>
          <w:trHeight w:val="492"/>
        </w:trPr>
        <w:tc>
          <w:tcPr>
            <w:tcW w:w="566" w:type="dxa"/>
            <w:shd w:val="clear" w:color="auto" w:fill="auto"/>
            <w:vAlign w:val="center"/>
          </w:tcPr>
          <w:p w14:paraId="7E7B8D26"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(Х)</w:t>
            </w:r>
          </w:p>
        </w:tc>
        <w:tc>
          <w:tcPr>
            <w:tcW w:w="5672" w:type="dxa"/>
            <w:shd w:val="clear" w:color="auto" w:fill="auto"/>
            <w:vAlign w:val="center"/>
          </w:tcPr>
          <w:p w14:paraId="64E2F98B"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Јачање техничких капацитета фармера </w:t>
            </w:r>
            <w:r w:rsidR="00860C82" w:rsidRPr="00CC35F0">
              <w:rPr>
                <w:rFonts w:ascii="Times New Roman" w:eastAsia="Times New Roman" w:hAnsi="Times New Roman"/>
                <w:sz w:val="24"/>
                <w:szCs w:val="24"/>
                <w:lang w:val="sr-Cyrl-CS"/>
              </w:rPr>
              <w:t xml:space="preserve">(власници фарми и пољопривредног земљишта) </w:t>
            </w:r>
            <w:r w:rsidRPr="00CC35F0">
              <w:rPr>
                <w:rFonts w:ascii="Times New Roman" w:eastAsia="Times New Roman" w:hAnsi="Times New Roman"/>
                <w:sz w:val="24"/>
                <w:szCs w:val="24"/>
                <w:lang w:val="sr-Cyrl-CS"/>
              </w:rPr>
              <w:t>о најбољој пракси у растурању стајњака и о другим најбољим праксама (15 годишње од 2024. године), израда посебних смерница).</w:t>
            </w:r>
          </w:p>
        </w:tc>
        <w:tc>
          <w:tcPr>
            <w:tcW w:w="1106" w:type="dxa"/>
            <w:shd w:val="clear" w:color="auto" w:fill="auto"/>
            <w:vAlign w:val="center"/>
          </w:tcPr>
          <w:p w14:paraId="728C246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055CAA1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4EF693D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64937F1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0980891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23177C50"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5708DDC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0,778</w:t>
            </w:r>
          </w:p>
        </w:tc>
        <w:tc>
          <w:tcPr>
            <w:tcW w:w="2865" w:type="dxa"/>
            <w:shd w:val="clear" w:color="auto" w:fill="auto"/>
            <w:vAlign w:val="center"/>
          </w:tcPr>
          <w:p w14:paraId="0A321263"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Обуке, једна демонстрациона фарма, посебне смернице (укључујући и за Мере 13, 14 и 15).</w:t>
            </w:r>
          </w:p>
        </w:tc>
        <w:tc>
          <w:tcPr>
            <w:tcW w:w="665" w:type="dxa"/>
            <w:shd w:val="clear" w:color="auto" w:fill="auto"/>
            <w:vAlign w:val="center"/>
          </w:tcPr>
          <w:p w14:paraId="3DF81EAE"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2024-2030.</w:t>
            </w:r>
          </w:p>
        </w:tc>
      </w:tr>
      <w:tr w:rsidR="00A0251B" w:rsidRPr="00CC35F0" w14:paraId="5E39E43D" w14:textId="77777777" w:rsidTr="00B14BBF">
        <w:trPr>
          <w:trHeight w:val="432"/>
        </w:trPr>
        <w:tc>
          <w:tcPr>
            <w:tcW w:w="566" w:type="dxa"/>
            <w:shd w:val="clear" w:color="auto" w:fill="auto"/>
            <w:vAlign w:val="center"/>
          </w:tcPr>
          <w:p w14:paraId="77874931"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(Х)</w:t>
            </w:r>
          </w:p>
        </w:tc>
        <w:tc>
          <w:tcPr>
            <w:tcW w:w="5672" w:type="dxa"/>
            <w:shd w:val="clear" w:color="auto" w:fill="auto"/>
            <w:vAlign w:val="center"/>
          </w:tcPr>
          <w:p w14:paraId="1C0FE34D" w14:textId="77777777" w:rsidR="00A0251B" w:rsidRPr="00CC35F0" w:rsidRDefault="008D6506">
            <w:pPr>
              <w:spacing w:after="0" w:line="240" w:lineRule="auto"/>
              <w:ind w:right="-11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Завршетак издавања интегрисаних дозвола за фарме на основу примене најбољих доступних техника.</w:t>
            </w:r>
          </w:p>
        </w:tc>
        <w:tc>
          <w:tcPr>
            <w:tcW w:w="1106" w:type="dxa"/>
            <w:shd w:val="clear" w:color="auto" w:fill="auto"/>
            <w:vAlign w:val="center"/>
          </w:tcPr>
          <w:p w14:paraId="288FB64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2C4F6E5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7E490F8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53E61EB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3E35167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15AABD3A"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522A1B2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 (Бр.1)</w:t>
            </w:r>
          </w:p>
        </w:tc>
        <w:tc>
          <w:tcPr>
            <w:tcW w:w="2865" w:type="dxa"/>
            <w:shd w:val="clear" w:color="auto" w:fill="auto"/>
            <w:vAlign w:val="center"/>
          </w:tcPr>
          <w:p w14:paraId="3461ADFF"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Трошкови укључени у Меру бр. 1.</w:t>
            </w:r>
          </w:p>
        </w:tc>
        <w:tc>
          <w:tcPr>
            <w:tcW w:w="665" w:type="dxa"/>
            <w:shd w:val="clear" w:color="auto" w:fill="auto"/>
            <w:vAlign w:val="center"/>
          </w:tcPr>
          <w:p w14:paraId="225CD3E6"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r>
      <w:tr w:rsidR="00A0251B" w:rsidRPr="00CC35F0" w14:paraId="16B9B4E3" w14:textId="77777777" w:rsidTr="00B14BBF">
        <w:trPr>
          <w:trHeight w:val="432"/>
        </w:trPr>
        <w:tc>
          <w:tcPr>
            <w:tcW w:w="566" w:type="dxa"/>
            <w:shd w:val="clear" w:color="auto" w:fill="auto"/>
            <w:vAlign w:val="center"/>
          </w:tcPr>
          <w:p w14:paraId="6DF5CF26"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672" w:type="dxa"/>
            <w:shd w:val="clear" w:color="auto" w:fill="auto"/>
          </w:tcPr>
          <w:p w14:paraId="0A18E097" w14:textId="77777777" w:rsidR="00A0251B" w:rsidRPr="00CC35F0" w:rsidRDefault="008D6506">
            <w:pPr>
              <w:spacing w:after="0" w:line="240" w:lineRule="auto"/>
              <w:ind w:right="-110"/>
              <w:jc w:val="lef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Спровођење годишње анкете о примени најбоље праксе на фармама.</w:t>
            </w:r>
          </w:p>
        </w:tc>
        <w:tc>
          <w:tcPr>
            <w:tcW w:w="1106" w:type="dxa"/>
            <w:shd w:val="clear" w:color="auto" w:fill="auto"/>
            <w:vAlign w:val="center"/>
          </w:tcPr>
          <w:p w14:paraId="776CB707"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769" w:type="dxa"/>
            <w:shd w:val="clear" w:color="auto" w:fill="auto"/>
            <w:vAlign w:val="center"/>
          </w:tcPr>
          <w:p w14:paraId="20B66DE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11A2C8D4"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2CFF304D"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54ECD828"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1D2D5CBC"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704B68D8"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 (Бр.12)</w:t>
            </w:r>
          </w:p>
        </w:tc>
        <w:tc>
          <w:tcPr>
            <w:tcW w:w="2865" w:type="dxa"/>
            <w:shd w:val="clear" w:color="auto" w:fill="auto"/>
            <w:vAlign w:val="center"/>
          </w:tcPr>
          <w:p w14:paraId="18020A6D"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Трошкови укључени у активност „Ј</w:t>
            </w:r>
            <w:r w:rsidRPr="00CC35F0">
              <w:rPr>
                <w:rFonts w:ascii="Times New Roman" w:eastAsia="Times New Roman" w:hAnsi="Times New Roman"/>
                <w:sz w:val="24"/>
                <w:szCs w:val="24"/>
                <w:lang w:val="sr-Cyrl-CS"/>
              </w:rPr>
              <w:t>ачање техничких капацитета фармера о најбољој пракси у растурању стајњака и о другим најбољим праксама”</w:t>
            </w:r>
            <w:r w:rsidRPr="00CC35F0">
              <w:rPr>
                <w:rFonts w:ascii="Times New Roman" w:eastAsia="Times New Roman" w:hAnsi="Times New Roman"/>
                <w:color w:val="000000"/>
                <w:sz w:val="24"/>
                <w:szCs w:val="24"/>
                <w:lang w:val="sr-Cyrl-CS"/>
              </w:rPr>
              <w:t>.</w:t>
            </w:r>
          </w:p>
        </w:tc>
        <w:tc>
          <w:tcPr>
            <w:tcW w:w="665" w:type="dxa"/>
            <w:shd w:val="clear" w:color="auto" w:fill="auto"/>
            <w:vAlign w:val="center"/>
          </w:tcPr>
          <w:p w14:paraId="2156B710"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2024-2030.</w:t>
            </w:r>
          </w:p>
        </w:tc>
      </w:tr>
      <w:tr w:rsidR="00A0251B" w:rsidRPr="00CC35F0" w14:paraId="5284612B" w14:textId="77777777" w:rsidTr="00B14BBF">
        <w:trPr>
          <w:trHeight w:val="686"/>
        </w:trPr>
        <w:tc>
          <w:tcPr>
            <w:tcW w:w="566" w:type="dxa"/>
            <w:shd w:val="clear" w:color="auto" w:fill="D9D9D9"/>
            <w:vAlign w:val="center"/>
          </w:tcPr>
          <w:p w14:paraId="6D5D144C"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Бр.13</w:t>
            </w:r>
          </w:p>
          <w:p w14:paraId="26E08B6A"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B8)</w:t>
            </w:r>
          </w:p>
        </w:tc>
        <w:tc>
          <w:tcPr>
            <w:tcW w:w="5672" w:type="dxa"/>
            <w:shd w:val="clear" w:color="auto" w:fill="D9D9D9"/>
            <w:vAlign w:val="center"/>
          </w:tcPr>
          <w:p w14:paraId="0F513941"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Замена ђубрива на бази урее са ђубривима на бази амонијум-нитрата </w:t>
            </w:r>
          </w:p>
        </w:tc>
        <w:tc>
          <w:tcPr>
            <w:tcW w:w="1106" w:type="dxa"/>
            <w:shd w:val="clear" w:color="auto" w:fill="D9D9D9"/>
            <w:vAlign w:val="center"/>
          </w:tcPr>
          <w:p w14:paraId="3A0E1AA0"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769" w:type="dxa"/>
            <w:shd w:val="clear" w:color="auto" w:fill="D9D9D9"/>
            <w:vAlign w:val="center"/>
          </w:tcPr>
          <w:p w14:paraId="4A2045D0"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D9D9D9"/>
            <w:vAlign w:val="center"/>
          </w:tcPr>
          <w:p w14:paraId="532326A9"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D9D9D9"/>
            <w:vAlign w:val="center"/>
          </w:tcPr>
          <w:p w14:paraId="068F0308"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D9D9D9"/>
            <w:vAlign w:val="center"/>
          </w:tcPr>
          <w:p w14:paraId="3773F105"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75F21F9C"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КДА (Бр.12)</w:t>
            </w:r>
          </w:p>
        </w:tc>
        <w:tc>
          <w:tcPr>
            <w:tcW w:w="1171" w:type="dxa"/>
            <w:shd w:val="clear" w:color="auto" w:fill="D9D9D9"/>
            <w:vAlign w:val="center"/>
          </w:tcPr>
          <w:p w14:paraId="64B398DC"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КДА (Бр.12)</w:t>
            </w:r>
          </w:p>
        </w:tc>
        <w:tc>
          <w:tcPr>
            <w:tcW w:w="2865" w:type="dxa"/>
            <w:shd w:val="clear" w:color="auto" w:fill="D9D9D9"/>
            <w:vAlign w:val="center"/>
          </w:tcPr>
          <w:p w14:paraId="58FC0D0E"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 ову меру не постоје трошкови улагања</w:t>
            </w:r>
            <w:r w:rsidRPr="00CC35F0">
              <w:rPr>
                <w:rFonts w:ascii="Times New Roman" w:eastAsia="Times New Roman" w:hAnsi="Times New Roman"/>
                <w:sz w:val="24"/>
                <w:szCs w:val="24"/>
                <w:lang w:val="sr-Cyrl-CS"/>
              </w:rPr>
              <w:t>,</w:t>
            </w:r>
            <w:r w:rsidRPr="00CC35F0">
              <w:rPr>
                <w:rFonts w:ascii="Times New Roman" w:eastAsia="Times New Roman" w:hAnsi="Times New Roman"/>
                <w:color w:val="000000"/>
                <w:sz w:val="24"/>
                <w:szCs w:val="24"/>
                <w:lang w:val="sr-Cyrl-CS"/>
              </w:rPr>
              <w:t xml:space="preserve"> само се разлика у цени према врсти ђубрива разматра у процени исплативости мере. Укупни годишњи трошкови се процењују на 5 милиона евра. </w:t>
            </w:r>
          </w:p>
        </w:tc>
        <w:tc>
          <w:tcPr>
            <w:tcW w:w="665" w:type="dxa"/>
            <w:shd w:val="clear" w:color="auto" w:fill="D9D9D9"/>
            <w:vAlign w:val="center"/>
          </w:tcPr>
          <w:p w14:paraId="588DC9D2"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2030. и даље</w:t>
            </w:r>
          </w:p>
        </w:tc>
      </w:tr>
      <w:tr w:rsidR="00A0251B" w:rsidRPr="00CC35F0" w14:paraId="7543B49E" w14:textId="77777777" w:rsidTr="00B14BBF">
        <w:trPr>
          <w:trHeight w:val="301"/>
        </w:trPr>
        <w:tc>
          <w:tcPr>
            <w:tcW w:w="566" w:type="dxa"/>
            <w:shd w:val="clear" w:color="auto" w:fill="auto"/>
            <w:vAlign w:val="center"/>
          </w:tcPr>
          <w:p w14:paraId="3B908D55"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2" w:type="dxa"/>
            <w:shd w:val="clear" w:color="auto" w:fill="auto"/>
          </w:tcPr>
          <w:p w14:paraId="338AC022"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Видети хоризонталне активности означене (Х) за Меру бр. 12.</w:t>
            </w:r>
          </w:p>
        </w:tc>
        <w:tc>
          <w:tcPr>
            <w:tcW w:w="1106" w:type="dxa"/>
            <w:shd w:val="clear" w:color="auto" w:fill="auto"/>
            <w:vAlign w:val="center"/>
          </w:tcPr>
          <w:p w14:paraId="6CF9B26A"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769" w:type="dxa"/>
            <w:shd w:val="clear" w:color="auto" w:fill="auto"/>
            <w:vAlign w:val="center"/>
          </w:tcPr>
          <w:p w14:paraId="423E731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70D1E017"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3E8ECF09"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07A96FB4"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D9D9D9"/>
            <w:vAlign w:val="center"/>
          </w:tcPr>
          <w:p w14:paraId="0A2F014B"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КДА (Бр.12)</w:t>
            </w:r>
          </w:p>
        </w:tc>
        <w:tc>
          <w:tcPr>
            <w:tcW w:w="1171" w:type="dxa"/>
            <w:shd w:val="clear" w:color="auto" w:fill="D9D9D9"/>
            <w:vAlign w:val="center"/>
          </w:tcPr>
          <w:p w14:paraId="485156DD"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КДА (Бр.12)</w:t>
            </w:r>
          </w:p>
        </w:tc>
        <w:tc>
          <w:tcPr>
            <w:tcW w:w="2865" w:type="dxa"/>
            <w:shd w:val="clear" w:color="auto" w:fill="auto"/>
            <w:vAlign w:val="center"/>
          </w:tcPr>
          <w:p w14:paraId="737E3419"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tc>
        <w:tc>
          <w:tcPr>
            <w:tcW w:w="665" w:type="dxa"/>
            <w:shd w:val="clear" w:color="auto" w:fill="auto"/>
            <w:vAlign w:val="center"/>
          </w:tcPr>
          <w:p w14:paraId="4BA19ECA"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w:t>
            </w:r>
          </w:p>
          <w:p w14:paraId="12558107"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(Бр.12)</w:t>
            </w:r>
          </w:p>
        </w:tc>
      </w:tr>
      <w:tr w:rsidR="00A0251B" w:rsidRPr="00CC35F0" w14:paraId="4E9DA840" w14:textId="77777777" w:rsidTr="00B14BBF">
        <w:trPr>
          <w:trHeight w:val="615"/>
        </w:trPr>
        <w:tc>
          <w:tcPr>
            <w:tcW w:w="566" w:type="dxa"/>
            <w:shd w:val="clear" w:color="auto" w:fill="auto"/>
            <w:vAlign w:val="center"/>
          </w:tcPr>
          <w:p w14:paraId="417511C0"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2" w:type="dxa"/>
            <w:shd w:val="clear" w:color="auto" w:fill="auto"/>
            <w:vAlign w:val="center"/>
          </w:tcPr>
          <w:p w14:paraId="4336D26F"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замене ђубрива на бази урее са ђубривима на бази амонијум-нитрата.</w:t>
            </w:r>
          </w:p>
        </w:tc>
        <w:tc>
          <w:tcPr>
            <w:tcW w:w="1106" w:type="dxa"/>
            <w:shd w:val="clear" w:color="auto" w:fill="auto"/>
            <w:vAlign w:val="center"/>
          </w:tcPr>
          <w:p w14:paraId="2933C471"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769" w:type="dxa"/>
            <w:shd w:val="clear" w:color="auto" w:fill="auto"/>
            <w:vAlign w:val="center"/>
          </w:tcPr>
          <w:p w14:paraId="4203EDE8"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2BCAA25E"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17C3B5C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4A20A380"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612D3F0A"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1FD83ECC"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45EDDB9F"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Удео урее у укупном минералном азоту ће се смањити за 21,6%, док ће се удео амонијум-нитрата у укупном минералном азоту повећати на  57,8%.</w:t>
            </w:r>
          </w:p>
        </w:tc>
        <w:tc>
          <w:tcPr>
            <w:tcW w:w="665" w:type="dxa"/>
            <w:shd w:val="clear" w:color="auto" w:fill="auto"/>
            <w:vAlign w:val="center"/>
          </w:tcPr>
          <w:p w14:paraId="510F2F7D"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2023-2030.</w:t>
            </w:r>
          </w:p>
        </w:tc>
      </w:tr>
      <w:tr w:rsidR="00A0251B" w:rsidRPr="00CC35F0" w14:paraId="68BB9CB1" w14:textId="77777777" w:rsidTr="00B14BBF">
        <w:trPr>
          <w:trHeight w:val="1490"/>
        </w:trPr>
        <w:tc>
          <w:tcPr>
            <w:tcW w:w="566" w:type="dxa"/>
            <w:shd w:val="clear" w:color="auto" w:fill="D9D9D9"/>
            <w:vAlign w:val="center"/>
          </w:tcPr>
          <w:p w14:paraId="114C70ED"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Бр.14</w:t>
            </w:r>
          </w:p>
          <w:p w14:paraId="3C94E720"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A11)</w:t>
            </w:r>
          </w:p>
        </w:tc>
        <w:tc>
          <w:tcPr>
            <w:tcW w:w="5672" w:type="dxa"/>
            <w:shd w:val="clear" w:color="auto" w:fill="D9D9D9"/>
            <w:vAlign w:val="center"/>
          </w:tcPr>
          <w:p w14:paraId="377384DA"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Увођење најбоље праксе приликом растурања и наношења чврстог стајњака на земљиште бржом инкорпорацијом стајњака у земљиште </w:t>
            </w:r>
          </w:p>
        </w:tc>
        <w:tc>
          <w:tcPr>
            <w:tcW w:w="1106" w:type="dxa"/>
            <w:shd w:val="clear" w:color="auto" w:fill="D9D9D9"/>
            <w:vAlign w:val="center"/>
          </w:tcPr>
          <w:p w14:paraId="65BC6AF2"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769" w:type="dxa"/>
            <w:shd w:val="clear" w:color="auto" w:fill="D9D9D9"/>
            <w:vAlign w:val="center"/>
          </w:tcPr>
          <w:p w14:paraId="085FB842"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D9D9D9"/>
            <w:vAlign w:val="center"/>
          </w:tcPr>
          <w:p w14:paraId="5B2C767F"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D9D9D9"/>
            <w:vAlign w:val="center"/>
          </w:tcPr>
          <w:p w14:paraId="53CABAA8"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D9D9D9"/>
            <w:vAlign w:val="center"/>
          </w:tcPr>
          <w:p w14:paraId="236794AD"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57BF7BED"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КДА (Бр.12)</w:t>
            </w:r>
          </w:p>
        </w:tc>
        <w:tc>
          <w:tcPr>
            <w:tcW w:w="1171" w:type="dxa"/>
            <w:shd w:val="clear" w:color="auto" w:fill="D9D9D9"/>
            <w:vAlign w:val="center"/>
          </w:tcPr>
          <w:p w14:paraId="68020D16"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КДА (Бр.12)</w:t>
            </w:r>
          </w:p>
        </w:tc>
        <w:tc>
          <w:tcPr>
            <w:tcW w:w="2865" w:type="dxa"/>
            <w:shd w:val="clear" w:color="auto" w:fill="D9D9D9"/>
            <w:vAlign w:val="center"/>
          </w:tcPr>
          <w:p w14:paraId="31BCE49A"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 ову меру не узимају се у обзир трошкови улагања. Међутим, процењени су оперативни трошкови, јер ће у многим ситуацијама бити потребно ангажовање извођача за инкорпорацију чврстог стајњака, док ће стална радна снага и машине бити у потпуности искоришћени за друге задатке. Стога су годишњи укупни трошкови у 2030. години процењени на 2,4 милиона евра.</w:t>
            </w:r>
          </w:p>
        </w:tc>
        <w:tc>
          <w:tcPr>
            <w:tcW w:w="665" w:type="dxa"/>
            <w:shd w:val="clear" w:color="auto" w:fill="D9D9D9"/>
            <w:vAlign w:val="center"/>
          </w:tcPr>
          <w:p w14:paraId="369AB918"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2030. и даље</w:t>
            </w:r>
          </w:p>
        </w:tc>
      </w:tr>
      <w:tr w:rsidR="00A0251B" w:rsidRPr="00CC35F0" w14:paraId="6A58C656" w14:textId="77777777" w:rsidTr="00B14BBF">
        <w:trPr>
          <w:trHeight w:val="462"/>
        </w:trPr>
        <w:tc>
          <w:tcPr>
            <w:tcW w:w="566" w:type="dxa"/>
            <w:vMerge w:val="restart"/>
            <w:shd w:val="clear" w:color="auto" w:fill="auto"/>
            <w:vAlign w:val="center"/>
          </w:tcPr>
          <w:p w14:paraId="00771D61" w14:textId="77777777" w:rsidR="00A0251B" w:rsidRPr="00CC35F0" w:rsidRDefault="00A0251B">
            <w:pPr>
              <w:spacing w:after="0" w:line="240" w:lineRule="auto"/>
              <w:ind w:left="-103" w:right="-98"/>
              <w:jc w:val="center"/>
              <w:rPr>
                <w:rFonts w:ascii="Times New Roman" w:eastAsia="Times New Roman" w:hAnsi="Times New Roman"/>
                <w:color w:val="0563C1"/>
                <w:sz w:val="24"/>
                <w:szCs w:val="24"/>
                <w:u w:val="single"/>
                <w:lang w:val="sr-Cyrl-CS"/>
              </w:rPr>
            </w:pPr>
          </w:p>
        </w:tc>
        <w:tc>
          <w:tcPr>
            <w:tcW w:w="5672" w:type="dxa"/>
            <w:shd w:val="clear" w:color="auto" w:fill="auto"/>
            <w:vAlign w:val="center"/>
          </w:tcPr>
          <w:p w14:paraId="74AEB501"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Видети хоризонталне активности означене (Х) за Меру бр. 12.</w:t>
            </w:r>
          </w:p>
        </w:tc>
        <w:tc>
          <w:tcPr>
            <w:tcW w:w="1106" w:type="dxa"/>
            <w:shd w:val="clear" w:color="auto" w:fill="auto"/>
            <w:vAlign w:val="center"/>
          </w:tcPr>
          <w:p w14:paraId="6D62CBFE"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769" w:type="dxa"/>
            <w:shd w:val="clear" w:color="auto" w:fill="auto"/>
            <w:vAlign w:val="center"/>
          </w:tcPr>
          <w:p w14:paraId="0238B28F"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5426BEFC"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6D79BBBD"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72242B9B"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D9D9D9"/>
            <w:vAlign w:val="center"/>
          </w:tcPr>
          <w:p w14:paraId="70A9D38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КДА (Бр.12)</w:t>
            </w:r>
          </w:p>
        </w:tc>
        <w:tc>
          <w:tcPr>
            <w:tcW w:w="1171" w:type="dxa"/>
            <w:shd w:val="clear" w:color="auto" w:fill="D9D9D9"/>
            <w:vAlign w:val="center"/>
          </w:tcPr>
          <w:p w14:paraId="3E2452A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КДА (Бр.12)</w:t>
            </w:r>
          </w:p>
        </w:tc>
        <w:tc>
          <w:tcPr>
            <w:tcW w:w="2865" w:type="dxa"/>
            <w:shd w:val="clear" w:color="auto" w:fill="auto"/>
            <w:vAlign w:val="center"/>
          </w:tcPr>
          <w:p w14:paraId="1284D46D"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tc>
        <w:tc>
          <w:tcPr>
            <w:tcW w:w="665" w:type="dxa"/>
            <w:shd w:val="clear" w:color="auto" w:fill="auto"/>
            <w:vAlign w:val="center"/>
          </w:tcPr>
          <w:p w14:paraId="0CD60CB4"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w:t>
            </w:r>
          </w:p>
          <w:p w14:paraId="0AB20439"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(Бр.12)</w:t>
            </w:r>
          </w:p>
        </w:tc>
      </w:tr>
      <w:tr w:rsidR="00A0251B" w:rsidRPr="00CC35F0" w14:paraId="6C665047" w14:textId="77777777" w:rsidTr="00B14BBF">
        <w:trPr>
          <w:trHeight w:val="490"/>
        </w:trPr>
        <w:tc>
          <w:tcPr>
            <w:tcW w:w="566" w:type="dxa"/>
            <w:vMerge/>
            <w:shd w:val="clear" w:color="auto" w:fill="auto"/>
            <w:vAlign w:val="center"/>
          </w:tcPr>
          <w:p w14:paraId="6ABDC3F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5672" w:type="dxa"/>
            <w:shd w:val="clear" w:color="auto" w:fill="auto"/>
            <w:vAlign w:val="center"/>
          </w:tcPr>
          <w:p w14:paraId="0D136B5E"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Имплементирати праксу наношења чврстог стајњака на земљиште бржом инкорпорацијом стајњака у земљиште</w:t>
            </w:r>
            <w:r w:rsidRPr="00CC35F0">
              <w:rPr>
                <w:rFonts w:ascii="Times New Roman" w:eastAsia="Times New Roman" w:hAnsi="Times New Roman"/>
                <w:b/>
                <w:color w:val="000000"/>
                <w:sz w:val="24"/>
                <w:szCs w:val="24"/>
                <w:lang w:val="sr-Cyrl-CS"/>
              </w:rPr>
              <w:t>.</w:t>
            </w:r>
          </w:p>
        </w:tc>
        <w:tc>
          <w:tcPr>
            <w:tcW w:w="1106" w:type="dxa"/>
            <w:shd w:val="clear" w:color="auto" w:fill="auto"/>
            <w:vAlign w:val="center"/>
          </w:tcPr>
          <w:p w14:paraId="3D0AB510"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769" w:type="dxa"/>
            <w:shd w:val="clear" w:color="auto" w:fill="auto"/>
            <w:vAlign w:val="center"/>
          </w:tcPr>
          <w:p w14:paraId="5ED0FE54"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12B9BC5A"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7A7B886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702C0093"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631EF3AC"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3576F975"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304CCD87"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 фарме свиња и живине: брза инкорпорација у року од 4 и 12 сати</w:t>
            </w:r>
          </w:p>
          <w:p w14:paraId="0D758D96"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 фарме говеда: брза инкорпорација у року од  24, 12 или 4 сата.</w:t>
            </w:r>
          </w:p>
          <w:p w14:paraId="71C5694A"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tc>
        <w:tc>
          <w:tcPr>
            <w:tcW w:w="665" w:type="dxa"/>
            <w:shd w:val="clear" w:color="auto" w:fill="auto"/>
            <w:vAlign w:val="center"/>
          </w:tcPr>
          <w:p w14:paraId="3D6525C2"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2023-2030.</w:t>
            </w:r>
          </w:p>
        </w:tc>
      </w:tr>
      <w:tr w:rsidR="00A0251B" w:rsidRPr="00CC35F0" w14:paraId="50D29FBD" w14:textId="77777777" w:rsidTr="00B14BBF">
        <w:trPr>
          <w:trHeight w:val="756"/>
        </w:trPr>
        <w:tc>
          <w:tcPr>
            <w:tcW w:w="566" w:type="dxa"/>
            <w:shd w:val="clear" w:color="auto" w:fill="D9D9D9"/>
            <w:vAlign w:val="center"/>
          </w:tcPr>
          <w:p w14:paraId="2C22949A"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Бр.15</w:t>
            </w:r>
          </w:p>
          <w:p w14:paraId="45ABA57F"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B7)</w:t>
            </w:r>
          </w:p>
        </w:tc>
        <w:tc>
          <w:tcPr>
            <w:tcW w:w="5672" w:type="dxa"/>
            <w:shd w:val="clear" w:color="auto" w:fill="D9D9D9"/>
            <w:vAlign w:val="center"/>
          </w:tcPr>
          <w:p w14:paraId="64F8D2E6"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Увођење најбоље праксе у активности растурања течног стајњака са фарми свиња и говеда</w:t>
            </w:r>
          </w:p>
        </w:tc>
        <w:tc>
          <w:tcPr>
            <w:tcW w:w="1106" w:type="dxa"/>
            <w:shd w:val="clear" w:color="auto" w:fill="D9D9D9"/>
            <w:vAlign w:val="center"/>
          </w:tcPr>
          <w:p w14:paraId="38BFB29F"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5,67</w:t>
            </w:r>
          </w:p>
        </w:tc>
        <w:tc>
          <w:tcPr>
            <w:tcW w:w="769" w:type="dxa"/>
            <w:shd w:val="clear" w:color="auto" w:fill="D9D9D9"/>
            <w:vAlign w:val="center"/>
          </w:tcPr>
          <w:p w14:paraId="2D345B46"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D9D9D9"/>
            <w:vAlign w:val="center"/>
          </w:tcPr>
          <w:p w14:paraId="4C9E5A48"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D9D9D9"/>
            <w:vAlign w:val="center"/>
          </w:tcPr>
          <w:p w14:paraId="71FA4B6D"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D9D9D9"/>
            <w:vAlign w:val="center"/>
          </w:tcPr>
          <w:p w14:paraId="2A2C9B8C"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0C580295"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КДА (Бр.12)</w:t>
            </w:r>
          </w:p>
        </w:tc>
        <w:tc>
          <w:tcPr>
            <w:tcW w:w="1171" w:type="dxa"/>
            <w:shd w:val="clear" w:color="auto" w:fill="D9D9D9"/>
            <w:vAlign w:val="center"/>
          </w:tcPr>
          <w:p w14:paraId="2767D4DD"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КДА (Бр.12)</w:t>
            </w:r>
          </w:p>
        </w:tc>
        <w:tc>
          <w:tcPr>
            <w:tcW w:w="2865" w:type="dxa"/>
            <w:shd w:val="clear" w:color="auto" w:fill="D9D9D9"/>
            <w:vAlign w:val="center"/>
          </w:tcPr>
          <w:p w14:paraId="555DE7BE"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Процењени трошкови се односе на улагања у инјекторе и машине са цревима за растурање стајњака. Са овом мером додатно су повезани оперативни трошкови, али они овде нису представљени. </w:t>
            </w:r>
          </w:p>
        </w:tc>
        <w:tc>
          <w:tcPr>
            <w:tcW w:w="665" w:type="dxa"/>
            <w:shd w:val="clear" w:color="auto" w:fill="D9D9D9"/>
            <w:vAlign w:val="center"/>
          </w:tcPr>
          <w:p w14:paraId="0E904C7A"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2030. и даље</w:t>
            </w:r>
          </w:p>
        </w:tc>
      </w:tr>
      <w:tr w:rsidR="00A0251B" w:rsidRPr="00CC35F0" w14:paraId="3C935CE3" w14:textId="77777777" w:rsidTr="00B14BBF">
        <w:trPr>
          <w:trHeight w:val="50"/>
        </w:trPr>
        <w:tc>
          <w:tcPr>
            <w:tcW w:w="566" w:type="dxa"/>
            <w:vMerge w:val="restart"/>
            <w:shd w:val="clear" w:color="auto" w:fill="auto"/>
            <w:vAlign w:val="center"/>
          </w:tcPr>
          <w:p w14:paraId="3B46F113" w14:textId="77777777" w:rsidR="00A0251B" w:rsidRPr="00CC35F0" w:rsidRDefault="00A0251B">
            <w:pPr>
              <w:spacing w:after="0" w:line="240" w:lineRule="auto"/>
              <w:ind w:left="-103" w:right="-98"/>
              <w:jc w:val="center"/>
              <w:rPr>
                <w:rFonts w:ascii="Times New Roman" w:eastAsia="Times New Roman" w:hAnsi="Times New Roman"/>
                <w:color w:val="0563C1"/>
                <w:sz w:val="24"/>
                <w:szCs w:val="24"/>
                <w:u w:val="single"/>
                <w:lang w:val="sr-Cyrl-CS"/>
              </w:rPr>
            </w:pPr>
          </w:p>
        </w:tc>
        <w:tc>
          <w:tcPr>
            <w:tcW w:w="5672" w:type="dxa"/>
            <w:shd w:val="clear" w:color="auto" w:fill="auto"/>
            <w:vAlign w:val="center"/>
          </w:tcPr>
          <w:p w14:paraId="2B9B3075"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Видети хоризонталне активности означене (Х) за Меру бр. 12.</w:t>
            </w:r>
          </w:p>
        </w:tc>
        <w:tc>
          <w:tcPr>
            <w:tcW w:w="1106" w:type="dxa"/>
            <w:shd w:val="clear" w:color="auto" w:fill="auto"/>
            <w:vAlign w:val="center"/>
          </w:tcPr>
          <w:p w14:paraId="7B9EC813"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769" w:type="dxa"/>
            <w:shd w:val="clear" w:color="auto" w:fill="auto"/>
            <w:vAlign w:val="center"/>
          </w:tcPr>
          <w:p w14:paraId="156E7D5C"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4ACC0105"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0F500B6A"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0CD298E2"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D9D9D9"/>
            <w:vAlign w:val="center"/>
          </w:tcPr>
          <w:p w14:paraId="063FD27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КДА (Бр.12)</w:t>
            </w:r>
          </w:p>
        </w:tc>
        <w:tc>
          <w:tcPr>
            <w:tcW w:w="1171" w:type="dxa"/>
            <w:shd w:val="clear" w:color="auto" w:fill="D9D9D9"/>
            <w:vAlign w:val="center"/>
          </w:tcPr>
          <w:p w14:paraId="597B150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КДА (Бр.12)</w:t>
            </w:r>
          </w:p>
        </w:tc>
        <w:tc>
          <w:tcPr>
            <w:tcW w:w="2865" w:type="dxa"/>
            <w:shd w:val="clear" w:color="auto" w:fill="auto"/>
            <w:vAlign w:val="center"/>
          </w:tcPr>
          <w:p w14:paraId="61E34F10"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tc>
        <w:tc>
          <w:tcPr>
            <w:tcW w:w="665" w:type="dxa"/>
            <w:shd w:val="clear" w:color="auto" w:fill="auto"/>
            <w:vAlign w:val="center"/>
          </w:tcPr>
          <w:p w14:paraId="685D139E"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w:t>
            </w:r>
          </w:p>
          <w:p w14:paraId="55C6896F"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(Бр.12)</w:t>
            </w:r>
          </w:p>
        </w:tc>
      </w:tr>
      <w:tr w:rsidR="00A0251B" w:rsidRPr="00CC35F0" w14:paraId="14DDE85E" w14:textId="77777777" w:rsidTr="00B14BBF">
        <w:trPr>
          <w:trHeight w:val="43"/>
        </w:trPr>
        <w:tc>
          <w:tcPr>
            <w:tcW w:w="566" w:type="dxa"/>
            <w:vMerge/>
            <w:shd w:val="clear" w:color="auto" w:fill="auto"/>
            <w:vAlign w:val="center"/>
          </w:tcPr>
          <w:p w14:paraId="7C5F4A1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5672" w:type="dxa"/>
            <w:shd w:val="clear" w:color="auto" w:fill="auto"/>
            <w:vAlign w:val="center"/>
          </w:tcPr>
          <w:p w14:paraId="6EA9C465"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Спровођење најбоље праксе у растурању течног стајњака са фарми свиња и говеда кроз унапређење </w:t>
            </w:r>
            <w:r w:rsidRPr="00CC35F0">
              <w:rPr>
                <w:rFonts w:ascii="Times New Roman" w:eastAsia="Times New Roman" w:hAnsi="Times New Roman"/>
                <w:color w:val="000000"/>
                <w:sz w:val="24"/>
                <w:szCs w:val="24"/>
                <w:lang w:val="sr-Cyrl-CS"/>
              </w:rPr>
              <w:lastRenderedPageBreak/>
              <w:t>пољопривредне механизације (инјектори и црева за растурање стајњака).</w:t>
            </w:r>
          </w:p>
        </w:tc>
        <w:tc>
          <w:tcPr>
            <w:tcW w:w="1106" w:type="dxa"/>
            <w:shd w:val="clear" w:color="auto" w:fill="auto"/>
            <w:vAlign w:val="center"/>
          </w:tcPr>
          <w:p w14:paraId="01E03C8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5,67</w:t>
            </w:r>
          </w:p>
        </w:tc>
        <w:tc>
          <w:tcPr>
            <w:tcW w:w="769" w:type="dxa"/>
            <w:shd w:val="clear" w:color="auto" w:fill="auto"/>
            <w:vAlign w:val="center"/>
          </w:tcPr>
          <w:p w14:paraId="127E8E77"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1C2C1E09"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63890F97"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1C280945"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46F867BE"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42B0CF6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w:t>
            </w:r>
          </w:p>
        </w:tc>
        <w:tc>
          <w:tcPr>
            <w:tcW w:w="2865" w:type="dxa"/>
            <w:shd w:val="clear" w:color="auto" w:fill="auto"/>
            <w:vAlign w:val="center"/>
          </w:tcPr>
          <w:p w14:paraId="14113AB3"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Увођење праксе растурања стајњака помоћу инјектора и машина са вучним </w:t>
            </w:r>
            <w:r w:rsidRPr="00CC35F0">
              <w:rPr>
                <w:rFonts w:ascii="Times New Roman" w:eastAsia="Times New Roman" w:hAnsi="Times New Roman"/>
                <w:color w:val="000000"/>
                <w:sz w:val="24"/>
                <w:szCs w:val="24"/>
                <w:lang w:val="sr-Cyrl-CS"/>
              </w:rPr>
              <w:lastRenderedPageBreak/>
              <w:t xml:space="preserve">цревом, након чега следи инкорпорација у року од 4 или 12 сати кроз надоградњу пољопривредне механизације уз подршку Програма </w:t>
            </w:r>
            <w:r w:rsidRPr="00CC35F0">
              <w:rPr>
                <w:rFonts w:ascii="Times New Roman" w:eastAsia="Times New Roman" w:hAnsi="Times New Roman"/>
                <w:i/>
                <w:color w:val="000000"/>
                <w:sz w:val="24"/>
                <w:szCs w:val="24"/>
                <w:lang w:val="sr-Cyrl-CS"/>
              </w:rPr>
              <w:t>IPARD</w:t>
            </w:r>
            <w:r w:rsidRPr="00CC35F0">
              <w:rPr>
                <w:rFonts w:ascii="Times New Roman" w:eastAsia="Times New Roman" w:hAnsi="Times New Roman"/>
                <w:color w:val="000000"/>
                <w:sz w:val="24"/>
                <w:szCs w:val="24"/>
                <w:lang w:val="sr-Cyrl-CS"/>
              </w:rPr>
              <w:t>.</w:t>
            </w:r>
          </w:p>
        </w:tc>
        <w:tc>
          <w:tcPr>
            <w:tcW w:w="665" w:type="dxa"/>
            <w:shd w:val="clear" w:color="auto" w:fill="auto"/>
            <w:vAlign w:val="center"/>
          </w:tcPr>
          <w:p w14:paraId="740592CE"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2023-2030.</w:t>
            </w:r>
          </w:p>
        </w:tc>
      </w:tr>
      <w:tr w:rsidR="00A0251B" w:rsidRPr="00CC35F0" w14:paraId="6F18A3C0" w14:textId="77777777" w:rsidTr="00B14BBF">
        <w:trPr>
          <w:trHeight w:val="1490"/>
        </w:trPr>
        <w:tc>
          <w:tcPr>
            <w:tcW w:w="566" w:type="dxa"/>
            <w:shd w:val="clear" w:color="auto" w:fill="D9D9D9"/>
            <w:vAlign w:val="center"/>
          </w:tcPr>
          <w:p w14:paraId="2028179F"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Бр.16</w:t>
            </w:r>
          </w:p>
          <w:p w14:paraId="3D1EEE74"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C3)</w:t>
            </w:r>
          </w:p>
        </w:tc>
        <w:tc>
          <w:tcPr>
            <w:tcW w:w="5672" w:type="dxa"/>
            <w:shd w:val="clear" w:color="auto" w:fill="D9D9D9"/>
            <w:vAlign w:val="center"/>
          </w:tcPr>
          <w:p w14:paraId="66AE9AC0"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Ограничавање спаљивања остатака из пољопривреде (0% 2030. године)</w:t>
            </w:r>
          </w:p>
        </w:tc>
        <w:tc>
          <w:tcPr>
            <w:tcW w:w="1106" w:type="dxa"/>
            <w:shd w:val="clear" w:color="auto" w:fill="D9D9D9"/>
            <w:vAlign w:val="center"/>
          </w:tcPr>
          <w:p w14:paraId="5373A3F2"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46,23</w:t>
            </w:r>
          </w:p>
        </w:tc>
        <w:tc>
          <w:tcPr>
            <w:tcW w:w="769" w:type="dxa"/>
            <w:shd w:val="clear" w:color="auto" w:fill="D9D9D9"/>
            <w:vAlign w:val="center"/>
          </w:tcPr>
          <w:p w14:paraId="16655FD8"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D9D9D9"/>
            <w:vAlign w:val="center"/>
          </w:tcPr>
          <w:p w14:paraId="4A1AAEA5"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D9D9D9"/>
            <w:vAlign w:val="center"/>
          </w:tcPr>
          <w:p w14:paraId="7CAACD39"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D9D9D9"/>
            <w:vAlign w:val="center"/>
          </w:tcPr>
          <w:p w14:paraId="3F900961"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13C4A9E1"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1171" w:type="dxa"/>
            <w:shd w:val="clear" w:color="auto" w:fill="D9D9D9"/>
            <w:vAlign w:val="center"/>
          </w:tcPr>
          <w:p w14:paraId="7AB5D5D5"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0,16</w:t>
            </w:r>
          </w:p>
        </w:tc>
        <w:tc>
          <w:tcPr>
            <w:tcW w:w="2865" w:type="dxa"/>
            <w:shd w:val="clear" w:color="auto" w:fill="D9D9D9"/>
            <w:vAlign w:val="center"/>
          </w:tcPr>
          <w:p w14:paraId="2CD935F4"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Процењени трошкови се односе на улагање у машине за инкорпорацију остатака из пољопривреде. Са овом мером додатно су повезани оперативни трошкови, али они овде нису представљени.</w:t>
            </w:r>
          </w:p>
        </w:tc>
        <w:tc>
          <w:tcPr>
            <w:tcW w:w="665" w:type="dxa"/>
            <w:shd w:val="clear" w:color="auto" w:fill="D9D9D9"/>
            <w:vAlign w:val="center"/>
          </w:tcPr>
          <w:p w14:paraId="23F7A8EF"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2023-2030. и даље</w:t>
            </w:r>
          </w:p>
        </w:tc>
      </w:tr>
      <w:tr w:rsidR="00A0251B" w:rsidRPr="00CC35F0" w14:paraId="7DF7CE99" w14:textId="77777777" w:rsidTr="00B14BBF">
        <w:trPr>
          <w:trHeight w:val="1103"/>
        </w:trPr>
        <w:tc>
          <w:tcPr>
            <w:tcW w:w="566" w:type="dxa"/>
            <w:vMerge w:val="restart"/>
            <w:shd w:val="clear" w:color="auto" w:fill="auto"/>
            <w:vAlign w:val="center"/>
          </w:tcPr>
          <w:p w14:paraId="1F4EEF2B" w14:textId="77777777" w:rsidR="00A0251B" w:rsidRPr="00CC35F0" w:rsidRDefault="00000000">
            <w:pPr>
              <w:spacing w:after="0" w:line="240" w:lineRule="auto"/>
              <w:ind w:left="-103" w:right="-98"/>
              <w:jc w:val="center"/>
              <w:rPr>
                <w:rFonts w:ascii="Times New Roman" w:eastAsia="Times New Roman" w:hAnsi="Times New Roman"/>
                <w:color w:val="0563C1"/>
                <w:sz w:val="24"/>
                <w:szCs w:val="24"/>
                <w:u w:val="single"/>
                <w:lang w:val="sr-Cyrl-CS"/>
              </w:rPr>
            </w:pPr>
            <w:hyperlink r:id="rId53">
              <w:r w:rsidR="008D6506" w:rsidRPr="00CC35F0">
                <w:rPr>
                  <w:rFonts w:ascii="Times New Roman" w:eastAsia="Times New Roman" w:hAnsi="Times New Roman"/>
                  <w:color w:val="0563C1"/>
                  <w:sz w:val="24"/>
                  <w:szCs w:val="24"/>
                  <w:u w:val="single"/>
                  <w:lang w:val="sr-Cyrl-CS"/>
                </w:rPr>
                <w:t>[A]</w:t>
              </w:r>
            </w:hyperlink>
          </w:p>
        </w:tc>
        <w:tc>
          <w:tcPr>
            <w:tcW w:w="5672" w:type="dxa"/>
            <w:shd w:val="clear" w:color="auto" w:fill="auto"/>
            <w:vAlign w:val="center"/>
          </w:tcPr>
          <w:p w14:paraId="323A062F"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Информисање о и ширење Националног кодекса добре пољопривредне праксе и развој кампања за подизање свести о утицају спаљивања остатака из пољопривреде на квалитет ваздуха и о мерама за смањење спаљивања на отвореном (кроз више догађаја (1 у Србији од 2023. године), израда и ширење промотивних материјала ((летака, видео записа) …): 5), интернет страница (1)).</w:t>
            </w:r>
          </w:p>
        </w:tc>
        <w:tc>
          <w:tcPr>
            <w:tcW w:w="1106" w:type="dxa"/>
            <w:shd w:val="clear" w:color="auto" w:fill="auto"/>
            <w:vAlign w:val="center"/>
          </w:tcPr>
          <w:p w14:paraId="770C107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24DF90F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2FC8824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3A3AF35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02968C7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6496FFED"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0FE51360"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0,09</w:t>
            </w:r>
          </w:p>
        </w:tc>
        <w:tc>
          <w:tcPr>
            <w:tcW w:w="2865" w:type="dxa"/>
            <w:shd w:val="clear" w:color="auto" w:fill="auto"/>
            <w:vAlign w:val="center"/>
          </w:tcPr>
          <w:p w14:paraId="6225000C"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Јавни догађаји сваке године у различитим деловима Републике Србије, промотивни материјали и интернет страница.</w:t>
            </w:r>
          </w:p>
        </w:tc>
        <w:tc>
          <w:tcPr>
            <w:tcW w:w="665" w:type="dxa"/>
            <w:shd w:val="clear" w:color="auto" w:fill="auto"/>
            <w:vAlign w:val="center"/>
          </w:tcPr>
          <w:p w14:paraId="407FB2B6"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2023-2030.</w:t>
            </w:r>
          </w:p>
        </w:tc>
      </w:tr>
      <w:tr w:rsidR="00A0251B" w:rsidRPr="00CC35F0" w14:paraId="65B82A6C" w14:textId="77777777" w:rsidTr="00B14BBF">
        <w:trPr>
          <w:trHeight w:val="348"/>
        </w:trPr>
        <w:tc>
          <w:tcPr>
            <w:tcW w:w="566" w:type="dxa"/>
            <w:vMerge/>
            <w:shd w:val="clear" w:color="auto" w:fill="auto"/>
            <w:vAlign w:val="center"/>
          </w:tcPr>
          <w:p w14:paraId="26BDC5A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5672" w:type="dxa"/>
            <w:shd w:val="clear" w:color="auto" w:fill="auto"/>
            <w:vAlign w:val="center"/>
          </w:tcPr>
          <w:p w14:paraId="5954A475"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Ограничење спаљивања пољопривредних остатака на отвореном улагањима у пољопривредну механизацију </w:t>
            </w:r>
            <w:r w:rsidRPr="00CC35F0">
              <w:rPr>
                <w:rFonts w:ascii="Times New Roman" w:eastAsia="Times New Roman" w:hAnsi="Times New Roman"/>
                <w:sz w:val="24"/>
                <w:szCs w:val="24"/>
                <w:lang w:val="sr-Cyrl-CS"/>
              </w:rPr>
              <w:lastRenderedPageBreak/>
              <w:t>како би се остаци из пољопривреде инкорпорирали у земљиште.</w:t>
            </w:r>
          </w:p>
        </w:tc>
        <w:tc>
          <w:tcPr>
            <w:tcW w:w="1106" w:type="dxa"/>
            <w:shd w:val="clear" w:color="auto" w:fill="auto"/>
            <w:vAlign w:val="center"/>
          </w:tcPr>
          <w:p w14:paraId="1F3601F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46,23</w:t>
            </w:r>
          </w:p>
        </w:tc>
        <w:tc>
          <w:tcPr>
            <w:tcW w:w="769" w:type="dxa"/>
            <w:shd w:val="clear" w:color="auto" w:fill="auto"/>
            <w:vAlign w:val="center"/>
          </w:tcPr>
          <w:p w14:paraId="75F5EB98"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765C0D04"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446C5ABF"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0BE23AD0"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00F706D9"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1171" w:type="dxa"/>
            <w:shd w:val="clear" w:color="auto" w:fill="auto"/>
            <w:vAlign w:val="center"/>
          </w:tcPr>
          <w:p w14:paraId="1FCE58AC"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4A2C8DE9"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Унапређење пољопривредне </w:t>
            </w:r>
            <w:r w:rsidRPr="00CC35F0">
              <w:rPr>
                <w:rFonts w:ascii="Times New Roman" w:eastAsia="Times New Roman" w:hAnsi="Times New Roman"/>
                <w:color w:val="000000"/>
                <w:sz w:val="24"/>
                <w:szCs w:val="24"/>
                <w:lang w:val="sr-Cyrl-CS"/>
              </w:rPr>
              <w:lastRenderedPageBreak/>
              <w:t>механизације може се додатно подржати из Програма</w:t>
            </w:r>
            <w:r w:rsidRPr="00CC35F0">
              <w:rPr>
                <w:rFonts w:ascii="Times New Roman" w:eastAsia="Times New Roman" w:hAnsi="Times New Roman"/>
                <w:i/>
                <w:color w:val="000000"/>
                <w:sz w:val="24"/>
                <w:szCs w:val="24"/>
                <w:lang w:val="sr-Cyrl-CS"/>
              </w:rPr>
              <w:t xml:space="preserve"> IPARD</w:t>
            </w:r>
            <w:r w:rsidRPr="00CC35F0">
              <w:rPr>
                <w:rFonts w:ascii="Times New Roman" w:eastAsia="Times New Roman" w:hAnsi="Times New Roman"/>
                <w:color w:val="000000"/>
                <w:sz w:val="24"/>
                <w:szCs w:val="24"/>
                <w:lang w:val="sr-Cyrl-CS"/>
              </w:rPr>
              <w:t>.</w:t>
            </w:r>
          </w:p>
        </w:tc>
        <w:tc>
          <w:tcPr>
            <w:tcW w:w="665" w:type="dxa"/>
            <w:shd w:val="clear" w:color="auto" w:fill="auto"/>
            <w:vAlign w:val="center"/>
          </w:tcPr>
          <w:p w14:paraId="2A4CF74E"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2023-2030.</w:t>
            </w:r>
          </w:p>
        </w:tc>
      </w:tr>
      <w:tr w:rsidR="00A0251B" w:rsidRPr="00CC35F0" w14:paraId="75F23A99" w14:textId="77777777" w:rsidTr="00B14BBF">
        <w:trPr>
          <w:trHeight w:val="283"/>
        </w:trPr>
        <w:tc>
          <w:tcPr>
            <w:tcW w:w="566" w:type="dxa"/>
            <w:vMerge/>
            <w:shd w:val="clear" w:color="auto" w:fill="auto"/>
            <w:vAlign w:val="center"/>
          </w:tcPr>
          <w:p w14:paraId="65406F3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5672" w:type="dxa"/>
            <w:shd w:val="clear" w:color="auto" w:fill="auto"/>
            <w:vAlign w:val="center"/>
          </w:tcPr>
          <w:p w14:paraId="73F66B3C"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Јачати техничке капацитете пољопривредника у погледу најбоље праксе у жетви и о другим најбољим праксама (посебна обука за пољопривреднике (2 годишње од 2024. године).</w:t>
            </w:r>
          </w:p>
        </w:tc>
        <w:tc>
          <w:tcPr>
            <w:tcW w:w="1106" w:type="dxa"/>
            <w:shd w:val="clear" w:color="auto" w:fill="auto"/>
            <w:vAlign w:val="center"/>
          </w:tcPr>
          <w:p w14:paraId="4F7CE51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769" w:type="dxa"/>
            <w:shd w:val="clear" w:color="auto" w:fill="auto"/>
            <w:vAlign w:val="center"/>
          </w:tcPr>
          <w:p w14:paraId="056D8CC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676" w:type="dxa"/>
            <w:shd w:val="clear" w:color="auto" w:fill="auto"/>
            <w:vAlign w:val="center"/>
          </w:tcPr>
          <w:p w14:paraId="56BE9DE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84" w:type="dxa"/>
            <w:shd w:val="clear" w:color="auto" w:fill="auto"/>
            <w:vAlign w:val="center"/>
          </w:tcPr>
          <w:p w14:paraId="69BDCC6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51" w:type="dxa"/>
            <w:shd w:val="clear" w:color="auto" w:fill="auto"/>
            <w:vAlign w:val="center"/>
          </w:tcPr>
          <w:p w14:paraId="3156E7C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0" w:type="dxa"/>
            <w:shd w:val="clear" w:color="auto" w:fill="auto"/>
            <w:vAlign w:val="center"/>
          </w:tcPr>
          <w:p w14:paraId="6E059F4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71" w:type="dxa"/>
            <w:shd w:val="clear" w:color="auto" w:fill="auto"/>
            <w:vAlign w:val="center"/>
          </w:tcPr>
          <w:p w14:paraId="68BBF0D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0,07</w:t>
            </w:r>
          </w:p>
        </w:tc>
        <w:tc>
          <w:tcPr>
            <w:tcW w:w="2865" w:type="dxa"/>
            <w:shd w:val="clear" w:color="auto" w:fill="auto"/>
            <w:vAlign w:val="center"/>
          </w:tcPr>
          <w:p w14:paraId="0D130269"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Обуке, једна демонстрациона фарма, посебне смернице.</w:t>
            </w:r>
          </w:p>
        </w:tc>
        <w:tc>
          <w:tcPr>
            <w:tcW w:w="665" w:type="dxa"/>
            <w:shd w:val="clear" w:color="auto" w:fill="auto"/>
            <w:vAlign w:val="center"/>
          </w:tcPr>
          <w:p w14:paraId="2D502041"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2023-2030.</w:t>
            </w:r>
          </w:p>
        </w:tc>
      </w:tr>
      <w:tr w:rsidR="00A0251B" w:rsidRPr="00CC35F0" w14:paraId="7F0C1A5B" w14:textId="77777777" w:rsidTr="00B14BBF">
        <w:trPr>
          <w:trHeight w:val="567"/>
        </w:trPr>
        <w:tc>
          <w:tcPr>
            <w:tcW w:w="15735" w:type="dxa"/>
            <w:gridSpan w:val="11"/>
            <w:shd w:val="clear" w:color="auto" w:fill="BDD7EE"/>
            <w:vAlign w:val="center"/>
          </w:tcPr>
          <w:p w14:paraId="68BEE961" w14:textId="77777777" w:rsidR="00A0251B" w:rsidRPr="00CC35F0" w:rsidRDefault="008D6506">
            <w:pPr>
              <w:spacing w:after="0" w:line="240" w:lineRule="auto"/>
              <w:ind w:left="-163" w:right="-106" w:firstLine="107"/>
              <w:jc w:val="lef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Посебни циљ 4: Промоција преласка на чист ваздух за све</w:t>
            </w:r>
          </w:p>
        </w:tc>
      </w:tr>
      <w:tr w:rsidR="00A0251B" w:rsidRPr="00CC35F0" w14:paraId="6AFE324C" w14:textId="77777777" w:rsidTr="00B14BBF">
        <w:trPr>
          <w:trHeight w:val="820"/>
        </w:trPr>
        <w:tc>
          <w:tcPr>
            <w:tcW w:w="566" w:type="dxa"/>
            <w:shd w:val="clear" w:color="auto" w:fill="D9D9D9"/>
            <w:vAlign w:val="center"/>
          </w:tcPr>
          <w:p w14:paraId="0E5C1963"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Бр.17</w:t>
            </w:r>
          </w:p>
        </w:tc>
        <w:tc>
          <w:tcPr>
            <w:tcW w:w="5672" w:type="dxa"/>
            <w:shd w:val="clear" w:color="auto" w:fill="D9D9D9"/>
            <w:vAlign w:val="center"/>
          </w:tcPr>
          <w:p w14:paraId="7E46960C" w14:textId="77777777" w:rsidR="00A0251B" w:rsidRPr="00CC35F0" w:rsidRDefault="008D6506">
            <w:pPr>
              <w:spacing w:after="0" w:line="240" w:lineRule="auto"/>
              <w:ind w:left="-107" w:right="-11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Едукација о заштити и квалитету ваздуха, обука за спровођење најбоље праксе и подизање свести </w:t>
            </w:r>
          </w:p>
        </w:tc>
        <w:tc>
          <w:tcPr>
            <w:tcW w:w="1106" w:type="dxa"/>
            <w:shd w:val="clear" w:color="auto" w:fill="D9D9D9"/>
          </w:tcPr>
          <w:p w14:paraId="74F73534" w14:textId="77777777" w:rsidR="00A0251B" w:rsidRPr="00CC35F0" w:rsidRDefault="00A0251B">
            <w:pPr>
              <w:spacing w:after="0" w:line="240" w:lineRule="auto"/>
              <w:jc w:val="right"/>
              <w:rPr>
                <w:rFonts w:ascii="Times New Roman" w:eastAsia="Times New Roman" w:hAnsi="Times New Roman"/>
                <w:b/>
                <w:sz w:val="24"/>
                <w:szCs w:val="24"/>
                <w:lang w:val="sr-Cyrl-CS"/>
              </w:rPr>
            </w:pPr>
          </w:p>
          <w:p w14:paraId="4AC10CFE"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НП</w:t>
            </w:r>
          </w:p>
        </w:tc>
        <w:tc>
          <w:tcPr>
            <w:tcW w:w="769" w:type="dxa"/>
            <w:shd w:val="clear" w:color="auto" w:fill="D9D9D9"/>
            <w:vAlign w:val="center"/>
          </w:tcPr>
          <w:p w14:paraId="6B1C44E9"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676" w:type="dxa"/>
            <w:shd w:val="clear" w:color="auto" w:fill="D9D9D9"/>
            <w:vAlign w:val="center"/>
          </w:tcPr>
          <w:p w14:paraId="368C9A47"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884" w:type="dxa"/>
            <w:shd w:val="clear" w:color="auto" w:fill="D9D9D9"/>
            <w:vAlign w:val="center"/>
          </w:tcPr>
          <w:p w14:paraId="4B07648B"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551" w:type="dxa"/>
            <w:shd w:val="clear" w:color="auto" w:fill="D9D9D9"/>
            <w:vAlign w:val="center"/>
          </w:tcPr>
          <w:p w14:paraId="75A8FEA9"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810" w:type="dxa"/>
            <w:shd w:val="clear" w:color="auto" w:fill="D9D9D9"/>
            <w:vAlign w:val="center"/>
          </w:tcPr>
          <w:p w14:paraId="6F3E9540"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1,0</w:t>
            </w:r>
          </w:p>
        </w:tc>
        <w:tc>
          <w:tcPr>
            <w:tcW w:w="1171" w:type="dxa"/>
            <w:shd w:val="clear" w:color="auto" w:fill="D9D9D9"/>
            <w:vAlign w:val="center"/>
          </w:tcPr>
          <w:p w14:paraId="4EF09BD4" w14:textId="77777777" w:rsidR="00A0251B" w:rsidRPr="00CC35F0" w:rsidRDefault="00A0251B">
            <w:pPr>
              <w:spacing w:after="0" w:line="240" w:lineRule="auto"/>
              <w:ind w:left="-142" w:right="-74"/>
              <w:jc w:val="right"/>
              <w:rPr>
                <w:rFonts w:ascii="Times New Roman" w:eastAsia="Times New Roman" w:hAnsi="Times New Roman"/>
                <w:b/>
                <w:sz w:val="24"/>
                <w:szCs w:val="24"/>
                <w:lang w:val="sr-Cyrl-CS"/>
              </w:rPr>
            </w:pPr>
          </w:p>
        </w:tc>
        <w:tc>
          <w:tcPr>
            <w:tcW w:w="2865" w:type="dxa"/>
            <w:shd w:val="clear" w:color="auto" w:fill="D9D9D9"/>
            <w:vAlign w:val="center"/>
          </w:tcPr>
          <w:p w14:paraId="7F96FD49" w14:textId="77777777" w:rsidR="00A0251B" w:rsidRPr="00CC35F0" w:rsidRDefault="00A0251B">
            <w:pPr>
              <w:spacing w:after="0" w:line="240" w:lineRule="auto"/>
              <w:ind w:left="-109" w:right="-106"/>
              <w:rPr>
                <w:rFonts w:ascii="Times New Roman" w:eastAsia="Times New Roman" w:hAnsi="Times New Roman"/>
                <w:color w:val="000000"/>
                <w:sz w:val="24"/>
                <w:szCs w:val="24"/>
                <w:lang w:val="sr-Cyrl-CS"/>
              </w:rPr>
            </w:pPr>
          </w:p>
        </w:tc>
        <w:tc>
          <w:tcPr>
            <w:tcW w:w="665" w:type="dxa"/>
            <w:shd w:val="clear" w:color="auto" w:fill="D9D9D9"/>
            <w:vAlign w:val="center"/>
          </w:tcPr>
          <w:p w14:paraId="5E7FE196" w14:textId="77777777" w:rsidR="00A0251B" w:rsidRPr="00CC35F0" w:rsidRDefault="008D6506">
            <w:pPr>
              <w:spacing w:after="0" w:line="240" w:lineRule="auto"/>
              <w:ind w:left="-163" w:right="-73" w:firstLine="107"/>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2025-2026.</w:t>
            </w:r>
          </w:p>
        </w:tc>
      </w:tr>
      <w:tr w:rsidR="00A0251B" w:rsidRPr="00CC35F0" w14:paraId="6C018633" w14:textId="77777777" w:rsidTr="00B14BBF">
        <w:trPr>
          <w:trHeight w:val="1151"/>
        </w:trPr>
        <w:tc>
          <w:tcPr>
            <w:tcW w:w="566" w:type="dxa"/>
            <w:shd w:val="clear" w:color="auto" w:fill="auto"/>
            <w:vAlign w:val="center"/>
          </w:tcPr>
          <w:p w14:paraId="34DC82A6"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2" w:type="dxa"/>
            <w:shd w:val="clear" w:color="auto" w:fill="auto"/>
          </w:tcPr>
          <w:p w14:paraId="0A8CE9A8"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bookmarkStart w:id="104" w:name="_heading=h.meukdy" w:colFirst="0" w:colLast="0"/>
            <w:bookmarkEnd w:id="104"/>
            <w:r w:rsidRPr="00CC35F0">
              <w:rPr>
                <w:rFonts w:ascii="Times New Roman" w:eastAsia="Times New Roman" w:hAnsi="Times New Roman"/>
                <w:color w:val="000000"/>
                <w:sz w:val="24"/>
                <w:szCs w:val="24"/>
                <w:lang w:val="sr-Cyrl-CS"/>
              </w:rPr>
              <w:t xml:space="preserve">Едукација: реализација пројеката </w:t>
            </w:r>
            <w:r w:rsidRPr="00CC35F0">
              <w:rPr>
                <w:rFonts w:ascii="Times New Roman" w:eastAsia="Times New Roman" w:hAnsi="Times New Roman"/>
                <w:sz w:val="24"/>
                <w:szCs w:val="24"/>
                <w:lang w:val="sr-Cyrl-CS"/>
              </w:rPr>
              <w:t>о заштити животне средине и квалитету ваздуха и улога деце у њеном очувању.</w:t>
            </w:r>
          </w:p>
        </w:tc>
        <w:tc>
          <w:tcPr>
            <w:tcW w:w="1106" w:type="dxa"/>
            <w:shd w:val="clear" w:color="auto" w:fill="auto"/>
          </w:tcPr>
          <w:p w14:paraId="5AEC9338" w14:textId="77777777" w:rsidR="00A0251B" w:rsidRPr="00CC35F0" w:rsidRDefault="00A0251B">
            <w:pPr>
              <w:spacing w:after="0" w:line="240" w:lineRule="auto"/>
              <w:jc w:val="right"/>
              <w:rPr>
                <w:rFonts w:ascii="Times New Roman" w:eastAsia="Times New Roman" w:hAnsi="Times New Roman"/>
                <w:sz w:val="24"/>
                <w:szCs w:val="24"/>
                <w:lang w:val="sr-Cyrl-CS"/>
              </w:rPr>
            </w:pPr>
          </w:p>
          <w:p w14:paraId="40D8A63B" w14:textId="77777777" w:rsidR="00A0251B" w:rsidRPr="00CC35F0" w:rsidRDefault="00A0251B">
            <w:pPr>
              <w:spacing w:after="0" w:line="240" w:lineRule="auto"/>
              <w:jc w:val="right"/>
              <w:rPr>
                <w:rFonts w:ascii="Times New Roman" w:eastAsia="Times New Roman" w:hAnsi="Times New Roman"/>
                <w:sz w:val="24"/>
                <w:szCs w:val="24"/>
                <w:lang w:val="sr-Cyrl-CS"/>
              </w:rPr>
            </w:pPr>
          </w:p>
          <w:p w14:paraId="526E0BE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НП</w:t>
            </w:r>
          </w:p>
        </w:tc>
        <w:tc>
          <w:tcPr>
            <w:tcW w:w="769" w:type="dxa"/>
            <w:shd w:val="clear" w:color="auto" w:fill="auto"/>
            <w:vAlign w:val="center"/>
          </w:tcPr>
          <w:p w14:paraId="62CCBC3E"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635E905B"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3DD4DA3C"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29C50E35"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07BEDC00"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0,5</w:t>
            </w:r>
          </w:p>
        </w:tc>
        <w:tc>
          <w:tcPr>
            <w:tcW w:w="1171" w:type="dxa"/>
            <w:shd w:val="clear" w:color="auto" w:fill="auto"/>
            <w:vAlign w:val="center"/>
          </w:tcPr>
          <w:p w14:paraId="400AB02F"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7515E026"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Надоградња активности и подизање свести о утицајима загађења ваздуха на здравље. Такве активности се могу подржати из средстава других донатора.  </w:t>
            </w:r>
          </w:p>
        </w:tc>
        <w:tc>
          <w:tcPr>
            <w:tcW w:w="665" w:type="dxa"/>
            <w:shd w:val="clear" w:color="auto" w:fill="auto"/>
            <w:vAlign w:val="center"/>
          </w:tcPr>
          <w:p w14:paraId="63451347"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r>
      <w:tr w:rsidR="00A0251B" w:rsidRPr="00CC35F0" w14:paraId="19D00903" w14:textId="77777777" w:rsidTr="00B14BBF">
        <w:trPr>
          <w:trHeight w:val="477"/>
        </w:trPr>
        <w:tc>
          <w:tcPr>
            <w:tcW w:w="566" w:type="dxa"/>
            <w:shd w:val="clear" w:color="auto" w:fill="auto"/>
            <w:vAlign w:val="center"/>
          </w:tcPr>
          <w:p w14:paraId="11863297"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2" w:type="dxa"/>
            <w:shd w:val="clear" w:color="auto" w:fill="auto"/>
          </w:tcPr>
          <w:p w14:paraId="644F793C"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Изградња капацитета, кампање за подизање свести и саветовање домаћинстава о правилној употреби уређаја на чврста горива, процена садржаја влаге у дрвној биомаси.</w:t>
            </w:r>
          </w:p>
          <w:p w14:paraId="57EADD58" w14:textId="77777777" w:rsidR="00A0251B" w:rsidRPr="00CC35F0" w:rsidRDefault="00A0251B">
            <w:pPr>
              <w:spacing w:after="0" w:line="240" w:lineRule="auto"/>
              <w:ind w:left="-107" w:right="-110"/>
              <w:jc w:val="left"/>
              <w:rPr>
                <w:rFonts w:ascii="Times New Roman" w:eastAsia="Times New Roman" w:hAnsi="Times New Roman"/>
                <w:color w:val="000000"/>
                <w:sz w:val="24"/>
                <w:szCs w:val="24"/>
                <w:lang w:val="sr-Cyrl-CS"/>
              </w:rPr>
            </w:pPr>
          </w:p>
        </w:tc>
        <w:tc>
          <w:tcPr>
            <w:tcW w:w="1106" w:type="dxa"/>
            <w:shd w:val="clear" w:color="auto" w:fill="auto"/>
          </w:tcPr>
          <w:p w14:paraId="683A5E0B" w14:textId="77777777" w:rsidR="00A0251B" w:rsidRPr="00CC35F0" w:rsidRDefault="00A0251B">
            <w:pPr>
              <w:spacing w:after="0" w:line="240" w:lineRule="auto"/>
              <w:jc w:val="right"/>
              <w:rPr>
                <w:rFonts w:ascii="Times New Roman" w:eastAsia="Times New Roman" w:hAnsi="Times New Roman"/>
                <w:sz w:val="24"/>
                <w:szCs w:val="24"/>
                <w:lang w:val="sr-Cyrl-CS"/>
              </w:rPr>
            </w:pPr>
          </w:p>
          <w:p w14:paraId="2236CD79" w14:textId="77777777" w:rsidR="00A0251B" w:rsidRPr="00CC35F0" w:rsidRDefault="00A0251B">
            <w:pPr>
              <w:spacing w:after="0" w:line="240" w:lineRule="auto"/>
              <w:jc w:val="right"/>
              <w:rPr>
                <w:rFonts w:ascii="Times New Roman" w:eastAsia="Times New Roman" w:hAnsi="Times New Roman"/>
                <w:sz w:val="24"/>
                <w:szCs w:val="24"/>
                <w:lang w:val="sr-Cyrl-CS"/>
              </w:rPr>
            </w:pPr>
          </w:p>
          <w:p w14:paraId="2B75700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НП</w:t>
            </w:r>
          </w:p>
        </w:tc>
        <w:tc>
          <w:tcPr>
            <w:tcW w:w="769" w:type="dxa"/>
            <w:shd w:val="clear" w:color="auto" w:fill="auto"/>
            <w:vAlign w:val="center"/>
          </w:tcPr>
          <w:p w14:paraId="5356900F"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3AE1640B"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73C7D69B"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5480E5A1"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6FF62BED" w14:textId="77777777" w:rsidR="00A0251B" w:rsidRPr="00CC35F0" w:rsidRDefault="001E7115" w:rsidP="001E7115">
            <w:pPr>
              <w:spacing w:after="0" w:line="240" w:lineRule="auto"/>
              <w:ind w:left="-142" w:right="-74"/>
              <w:jc w:val="right"/>
              <w:rPr>
                <w:rFonts w:ascii="Times New Roman" w:eastAsia="Times New Roman" w:hAnsi="Times New Roman"/>
                <w:color w:val="000000"/>
                <w:sz w:val="24"/>
                <w:szCs w:val="24"/>
                <w:lang w:val="sr-Cyrl-CS"/>
              </w:rPr>
            </w:pPr>
            <w:r>
              <w:rPr>
                <w:rFonts w:ascii="Times New Roman" w:eastAsia="Times New Roman" w:hAnsi="Times New Roman"/>
                <w:color w:val="000000"/>
                <w:sz w:val="24"/>
                <w:szCs w:val="24"/>
                <w:lang w:val="sr-Cyrl-CS"/>
              </w:rPr>
              <w:t xml:space="preserve">КДА </w:t>
            </w:r>
          </w:p>
        </w:tc>
        <w:tc>
          <w:tcPr>
            <w:tcW w:w="1171" w:type="dxa"/>
            <w:shd w:val="clear" w:color="auto" w:fill="auto"/>
            <w:vAlign w:val="center"/>
          </w:tcPr>
          <w:p w14:paraId="52000627"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65F8E51A"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Медијске кампање за подизање свести домаћинстава важан су елемент процеса промене понашања. Активности се </w:t>
            </w:r>
            <w:r w:rsidRPr="00CC35F0">
              <w:rPr>
                <w:rFonts w:ascii="Times New Roman" w:eastAsia="Times New Roman" w:hAnsi="Times New Roman"/>
                <w:color w:val="000000"/>
                <w:sz w:val="24"/>
                <w:szCs w:val="24"/>
                <w:lang w:val="sr-Cyrl-CS"/>
              </w:rPr>
              <w:lastRenderedPageBreak/>
              <w:t>могу подржати из средстава других донатора.</w:t>
            </w:r>
          </w:p>
        </w:tc>
        <w:tc>
          <w:tcPr>
            <w:tcW w:w="665" w:type="dxa"/>
            <w:shd w:val="clear" w:color="auto" w:fill="auto"/>
            <w:vAlign w:val="center"/>
          </w:tcPr>
          <w:p w14:paraId="1879F59B"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2026.</w:t>
            </w:r>
          </w:p>
        </w:tc>
      </w:tr>
      <w:tr w:rsidR="00A0251B" w:rsidRPr="00CC35F0" w14:paraId="5652AED1" w14:textId="77777777" w:rsidTr="00B14BBF">
        <w:trPr>
          <w:trHeight w:val="688"/>
        </w:trPr>
        <w:tc>
          <w:tcPr>
            <w:tcW w:w="566" w:type="dxa"/>
            <w:shd w:val="clear" w:color="auto" w:fill="auto"/>
            <w:vAlign w:val="center"/>
          </w:tcPr>
          <w:p w14:paraId="5CF6796D"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2" w:type="dxa"/>
            <w:shd w:val="clear" w:color="auto" w:fill="auto"/>
          </w:tcPr>
          <w:p w14:paraId="769D336B"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Успостављање покретног демонстрационог центра (или еквивалента) за размену знања о правилној употреби биомасе у малим грејним телима и котловима.</w:t>
            </w:r>
          </w:p>
        </w:tc>
        <w:tc>
          <w:tcPr>
            <w:tcW w:w="1106" w:type="dxa"/>
            <w:shd w:val="clear" w:color="auto" w:fill="auto"/>
          </w:tcPr>
          <w:p w14:paraId="07CA947F" w14:textId="77777777" w:rsidR="00A0251B" w:rsidRPr="00CC35F0" w:rsidRDefault="00A0251B">
            <w:pPr>
              <w:spacing w:after="0" w:line="240" w:lineRule="auto"/>
              <w:jc w:val="right"/>
              <w:rPr>
                <w:rFonts w:ascii="Times New Roman" w:eastAsia="Times New Roman" w:hAnsi="Times New Roman"/>
                <w:sz w:val="24"/>
                <w:szCs w:val="24"/>
                <w:lang w:val="sr-Cyrl-CS"/>
              </w:rPr>
            </w:pPr>
          </w:p>
          <w:p w14:paraId="01AF931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НП</w:t>
            </w:r>
          </w:p>
        </w:tc>
        <w:tc>
          <w:tcPr>
            <w:tcW w:w="769" w:type="dxa"/>
            <w:shd w:val="clear" w:color="auto" w:fill="auto"/>
            <w:vAlign w:val="center"/>
          </w:tcPr>
          <w:p w14:paraId="47AADA15"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676" w:type="dxa"/>
            <w:shd w:val="clear" w:color="auto" w:fill="auto"/>
            <w:vAlign w:val="center"/>
          </w:tcPr>
          <w:p w14:paraId="007D33B9"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884" w:type="dxa"/>
            <w:shd w:val="clear" w:color="auto" w:fill="auto"/>
            <w:vAlign w:val="center"/>
          </w:tcPr>
          <w:p w14:paraId="5E35ED63"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551" w:type="dxa"/>
            <w:shd w:val="clear" w:color="auto" w:fill="auto"/>
            <w:vAlign w:val="center"/>
          </w:tcPr>
          <w:p w14:paraId="55E0DD1C"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810" w:type="dxa"/>
            <w:shd w:val="clear" w:color="auto" w:fill="auto"/>
            <w:vAlign w:val="center"/>
          </w:tcPr>
          <w:p w14:paraId="2E8F60ED"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0,5</w:t>
            </w:r>
          </w:p>
        </w:tc>
        <w:tc>
          <w:tcPr>
            <w:tcW w:w="1171" w:type="dxa"/>
            <w:shd w:val="clear" w:color="auto" w:fill="auto"/>
            <w:vAlign w:val="center"/>
          </w:tcPr>
          <w:p w14:paraId="4D863133"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c>
          <w:tcPr>
            <w:tcW w:w="2865" w:type="dxa"/>
            <w:shd w:val="clear" w:color="auto" w:fill="auto"/>
            <w:vAlign w:val="center"/>
          </w:tcPr>
          <w:p w14:paraId="301A47D9" w14:textId="77777777" w:rsidR="00A0251B" w:rsidRPr="00CC35F0" w:rsidRDefault="008D6506">
            <w:pPr>
              <w:spacing w:after="0" w:line="240" w:lineRule="auto"/>
              <w:ind w:left="-109" w:right="-106"/>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Потребна су донаторска средства за ширење и размену знања о правилној употреби биомасе.</w:t>
            </w:r>
          </w:p>
        </w:tc>
        <w:tc>
          <w:tcPr>
            <w:tcW w:w="665" w:type="dxa"/>
            <w:shd w:val="clear" w:color="auto" w:fill="auto"/>
            <w:vAlign w:val="center"/>
          </w:tcPr>
          <w:p w14:paraId="7B430CE5" w14:textId="77777777" w:rsidR="00A0251B" w:rsidRPr="00CC35F0" w:rsidRDefault="008D6506">
            <w:pPr>
              <w:spacing w:after="0" w:line="240" w:lineRule="auto"/>
              <w:ind w:left="-163" w:right="-73" w:firstLine="107"/>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2026.</w:t>
            </w:r>
          </w:p>
        </w:tc>
      </w:tr>
    </w:tbl>
    <w:p w14:paraId="3D096B0E" w14:textId="77777777" w:rsidR="00A0251B" w:rsidRPr="00CC35F0" w:rsidRDefault="00A0251B">
      <w:pPr>
        <w:spacing w:after="0"/>
        <w:ind w:left="-851"/>
        <w:jc w:val="left"/>
        <w:rPr>
          <w:rFonts w:ascii="Times New Roman" w:eastAsia="Times New Roman" w:hAnsi="Times New Roman"/>
          <w:b/>
          <w:sz w:val="24"/>
          <w:szCs w:val="24"/>
          <w:lang w:val="sr-Cyrl-CS"/>
        </w:rPr>
      </w:pPr>
    </w:p>
    <w:p w14:paraId="2D5CDDD7" w14:textId="77777777" w:rsidR="00A0251B" w:rsidRPr="00CC35F0" w:rsidRDefault="00A0251B">
      <w:pPr>
        <w:spacing w:after="0"/>
        <w:ind w:left="-851"/>
        <w:jc w:val="left"/>
        <w:rPr>
          <w:rFonts w:ascii="Times New Roman" w:eastAsia="Times New Roman" w:hAnsi="Times New Roman"/>
          <w:b/>
          <w:sz w:val="24"/>
          <w:szCs w:val="24"/>
          <w:lang w:val="sr-Cyrl-CS"/>
        </w:rPr>
      </w:pPr>
    </w:p>
    <w:tbl>
      <w:tblPr>
        <w:tblStyle w:val="af4"/>
        <w:tblW w:w="12613" w:type="dxa"/>
        <w:tblInd w:w="1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5"/>
        <w:gridCol w:w="5671"/>
        <w:gridCol w:w="1065"/>
        <w:gridCol w:w="930"/>
        <w:gridCol w:w="565"/>
        <w:gridCol w:w="983"/>
        <w:gridCol w:w="815"/>
        <w:gridCol w:w="850"/>
        <w:gridCol w:w="1169"/>
      </w:tblGrid>
      <w:tr w:rsidR="00A0251B" w:rsidRPr="00CC35F0" w14:paraId="0C6229D6" w14:textId="77777777" w:rsidTr="007B0718">
        <w:trPr>
          <w:tblHeader/>
        </w:trPr>
        <w:tc>
          <w:tcPr>
            <w:tcW w:w="565" w:type="dxa"/>
            <w:vMerge w:val="restart"/>
            <w:shd w:val="clear" w:color="auto" w:fill="44546A"/>
            <w:vAlign w:val="center"/>
          </w:tcPr>
          <w:p w14:paraId="5EB74E35" w14:textId="77777777" w:rsidR="00A0251B" w:rsidRPr="00CC35F0" w:rsidRDefault="008D6506">
            <w:pPr>
              <w:spacing w:after="0" w:line="240" w:lineRule="auto"/>
              <w:ind w:left="-103" w:right="-98"/>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Бр.</w:t>
            </w:r>
          </w:p>
        </w:tc>
        <w:tc>
          <w:tcPr>
            <w:tcW w:w="5671" w:type="dxa"/>
            <w:vMerge w:val="restart"/>
            <w:shd w:val="clear" w:color="auto" w:fill="44546A"/>
            <w:vAlign w:val="center"/>
          </w:tcPr>
          <w:p w14:paraId="39401D92" w14:textId="77777777" w:rsidR="00A0251B" w:rsidRPr="00CC35F0" w:rsidRDefault="008D6506">
            <w:pPr>
              <w:spacing w:after="0" w:line="240" w:lineRule="auto"/>
              <w:ind w:left="-107" w:right="-110"/>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Назив мере/активности</w:t>
            </w:r>
          </w:p>
        </w:tc>
        <w:tc>
          <w:tcPr>
            <w:tcW w:w="2560" w:type="dxa"/>
            <w:gridSpan w:val="3"/>
            <w:vMerge w:val="restart"/>
            <w:shd w:val="clear" w:color="auto" w:fill="44546A"/>
            <w:vAlign w:val="center"/>
          </w:tcPr>
          <w:p w14:paraId="6BBB4D77" w14:textId="77777777" w:rsidR="00A0251B" w:rsidRPr="00CC35F0" w:rsidRDefault="008D6506">
            <w:pPr>
              <w:spacing w:after="0"/>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Инвестициони трошкови</w:t>
            </w:r>
            <w:r w:rsidRPr="00CC35F0">
              <w:rPr>
                <w:rFonts w:ascii="Times New Roman" w:eastAsia="Times New Roman" w:hAnsi="Times New Roman"/>
                <w:color w:val="FFFFFF"/>
                <w:sz w:val="24"/>
                <w:szCs w:val="24"/>
                <w:vertAlign w:val="superscript"/>
                <w:lang w:val="sr-Cyrl-CS"/>
              </w:rPr>
              <w:footnoteReference w:id="62"/>
            </w:r>
          </w:p>
          <w:p w14:paraId="0B97CFDC" w14:textId="77777777" w:rsidR="00A0251B" w:rsidRPr="00CC35F0" w:rsidRDefault="008D6506">
            <w:pPr>
              <w:spacing w:after="0"/>
              <w:jc w:val="center"/>
              <w:rPr>
                <w:rFonts w:ascii="Times New Roman" w:eastAsia="Times New Roman" w:hAnsi="Times New Roman"/>
                <w:color w:val="FFFFFF"/>
                <w:sz w:val="24"/>
                <w:szCs w:val="24"/>
                <w:u w:val="single"/>
                <w:lang w:val="sr-Cyrl-CS"/>
              </w:rPr>
            </w:pPr>
            <w:r w:rsidRPr="00CC35F0">
              <w:rPr>
                <w:rFonts w:ascii="Times New Roman" w:eastAsia="Times New Roman" w:hAnsi="Times New Roman"/>
                <w:color w:val="FFFFFF"/>
                <w:sz w:val="24"/>
                <w:szCs w:val="24"/>
                <w:lang w:val="sr-Cyrl-CS"/>
              </w:rPr>
              <w:t>[милиони евра]</w:t>
            </w:r>
          </w:p>
        </w:tc>
        <w:tc>
          <w:tcPr>
            <w:tcW w:w="983" w:type="dxa"/>
            <w:vMerge w:val="restart"/>
            <w:shd w:val="clear" w:color="auto" w:fill="44546A"/>
          </w:tcPr>
          <w:p w14:paraId="5A0DE7B0" w14:textId="77777777" w:rsidR="00A0251B" w:rsidRPr="00CC35F0" w:rsidRDefault="008D6506">
            <w:pPr>
              <w:spacing w:after="0"/>
              <w:ind w:left="-131" w:right="-86"/>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FFFFFF"/>
                <w:sz w:val="24"/>
                <w:szCs w:val="24"/>
                <w:lang w:val="sr-Cyrl-CS"/>
              </w:rPr>
              <w:t>Додатни буџетски приходи</w:t>
            </w:r>
            <w:r w:rsidRPr="00CC35F0">
              <w:rPr>
                <w:rFonts w:ascii="Times New Roman" w:eastAsia="Times New Roman" w:hAnsi="Times New Roman"/>
                <w:color w:val="FFFFFF"/>
                <w:sz w:val="24"/>
                <w:szCs w:val="24"/>
                <w:vertAlign w:val="superscript"/>
                <w:lang w:val="sr-Cyrl-CS"/>
              </w:rPr>
              <w:footnoteReference w:id="63"/>
            </w:r>
          </w:p>
          <w:p w14:paraId="627E30B0" w14:textId="77777777" w:rsidR="00A0251B" w:rsidRPr="00CC35F0" w:rsidRDefault="008D6506">
            <w:pPr>
              <w:spacing w:after="0" w:line="240" w:lineRule="auto"/>
              <w:ind w:left="-131" w:right="-86"/>
              <w:jc w:val="center"/>
              <w:rPr>
                <w:rFonts w:ascii="Times New Roman" w:eastAsia="Times New Roman" w:hAnsi="Times New Roman"/>
                <w:color w:val="FFFFFF"/>
                <w:sz w:val="24"/>
                <w:szCs w:val="24"/>
                <w:u w:val="single"/>
                <w:lang w:val="sr-Cyrl-CS"/>
              </w:rPr>
            </w:pPr>
            <w:r w:rsidRPr="00CC35F0">
              <w:rPr>
                <w:rFonts w:ascii="Times New Roman" w:eastAsia="Times New Roman" w:hAnsi="Times New Roman"/>
                <w:color w:val="FFFFFF"/>
                <w:sz w:val="24"/>
                <w:szCs w:val="24"/>
                <w:lang w:val="sr-Cyrl-CS"/>
              </w:rPr>
              <w:t>[</w:t>
            </w:r>
            <w:r w:rsidRPr="00CC35F0">
              <w:rPr>
                <w:rFonts w:ascii="Times New Roman" w:eastAsia="Times New Roman" w:hAnsi="Times New Roman"/>
                <w:color w:val="FFFFFF" w:themeColor="background1"/>
                <w:sz w:val="24"/>
                <w:szCs w:val="24"/>
                <w:lang w:val="sr-Cyrl-CS"/>
              </w:rPr>
              <w:t>мил</w:t>
            </w:r>
            <w:r w:rsidR="003E231F" w:rsidRPr="00CC35F0">
              <w:rPr>
                <w:rFonts w:ascii="Times New Roman" w:eastAsia="Times New Roman" w:hAnsi="Times New Roman"/>
                <w:color w:val="FFFFFF" w:themeColor="background1"/>
                <w:sz w:val="24"/>
                <w:szCs w:val="24"/>
                <w:lang w:val="sr-Cyrl-CS"/>
              </w:rPr>
              <w:t>ион</w:t>
            </w:r>
            <w:r w:rsidRPr="00CC35F0">
              <w:rPr>
                <w:rFonts w:ascii="Times New Roman" w:eastAsia="Times New Roman" w:hAnsi="Times New Roman"/>
                <w:color w:val="FFFFFF"/>
                <w:sz w:val="24"/>
                <w:szCs w:val="24"/>
                <w:lang w:val="sr-Cyrl-CS"/>
              </w:rPr>
              <w:t xml:space="preserve"> евра] </w:t>
            </w:r>
          </w:p>
          <w:p w14:paraId="1E1EC368" w14:textId="77777777" w:rsidR="007B0718" w:rsidRDefault="008D6506">
            <w:pPr>
              <w:spacing w:after="0" w:line="240" w:lineRule="auto"/>
              <w:ind w:left="-131" w:right="-8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Инвести</w:t>
            </w:r>
          </w:p>
          <w:p w14:paraId="1D3B1CBD" w14:textId="77777777" w:rsidR="00A0251B" w:rsidRPr="00CC35F0" w:rsidRDefault="008D6506">
            <w:pPr>
              <w:spacing w:after="0" w:line="240" w:lineRule="auto"/>
              <w:ind w:left="-131" w:right="-86"/>
              <w:jc w:val="center"/>
              <w:rPr>
                <w:rFonts w:ascii="Times New Roman" w:eastAsia="Times New Roman" w:hAnsi="Times New Roman"/>
                <w:color w:val="FFFFFF"/>
                <w:sz w:val="24"/>
                <w:szCs w:val="24"/>
                <w:u w:val="single"/>
                <w:lang w:val="sr-Cyrl-CS"/>
              </w:rPr>
            </w:pPr>
            <w:r w:rsidRPr="00CC35F0">
              <w:rPr>
                <w:rFonts w:ascii="Times New Roman" w:eastAsia="Times New Roman" w:hAnsi="Times New Roman"/>
                <w:color w:val="FFFFFF"/>
                <w:sz w:val="24"/>
                <w:szCs w:val="24"/>
                <w:lang w:val="sr-Cyrl-CS"/>
              </w:rPr>
              <w:t xml:space="preserve">тори </w:t>
            </w:r>
          </w:p>
        </w:tc>
        <w:tc>
          <w:tcPr>
            <w:tcW w:w="2834" w:type="dxa"/>
            <w:gridSpan w:val="3"/>
            <w:shd w:val="clear" w:color="auto" w:fill="44546A"/>
            <w:vAlign w:val="center"/>
          </w:tcPr>
          <w:p w14:paraId="7FCA3BB9" w14:textId="77777777" w:rsidR="00A0251B" w:rsidRPr="00CC35F0" w:rsidRDefault="008D6506">
            <w:pPr>
              <w:spacing w:after="0" w:line="240" w:lineRule="auto"/>
              <w:ind w:left="-142" w:right="-74"/>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Извор финансирања </w:t>
            </w:r>
          </w:p>
        </w:tc>
      </w:tr>
      <w:tr w:rsidR="00A0251B" w:rsidRPr="00CC35F0" w14:paraId="00221340" w14:textId="77777777" w:rsidTr="007B0718">
        <w:trPr>
          <w:tblHeader/>
        </w:trPr>
        <w:tc>
          <w:tcPr>
            <w:tcW w:w="565" w:type="dxa"/>
            <w:vMerge/>
            <w:shd w:val="clear" w:color="auto" w:fill="44546A"/>
            <w:vAlign w:val="center"/>
          </w:tcPr>
          <w:p w14:paraId="2CEBB38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5671" w:type="dxa"/>
            <w:vMerge/>
            <w:shd w:val="clear" w:color="auto" w:fill="44546A"/>
            <w:vAlign w:val="center"/>
          </w:tcPr>
          <w:p w14:paraId="695267F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2560" w:type="dxa"/>
            <w:gridSpan w:val="3"/>
            <w:vMerge/>
            <w:shd w:val="clear" w:color="auto" w:fill="44546A"/>
            <w:vAlign w:val="center"/>
          </w:tcPr>
          <w:p w14:paraId="196BD54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983" w:type="dxa"/>
            <w:vMerge/>
            <w:shd w:val="clear" w:color="auto" w:fill="44546A"/>
          </w:tcPr>
          <w:p w14:paraId="58E227D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2834" w:type="dxa"/>
            <w:gridSpan w:val="3"/>
            <w:shd w:val="clear" w:color="auto" w:fill="44546A"/>
            <w:vAlign w:val="center"/>
          </w:tcPr>
          <w:p w14:paraId="771F202B" w14:textId="77777777" w:rsidR="00A0251B" w:rsidRPr="00CC35F0" w:rsidRDefault="008D6506">
            <w:pPr>
              <w:spacing w:after="0" w:line="240" w:lineRule="auto"/>
              <w:ind w:left="-142" w:right="-74"/>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[милиони евра]</w:t>
            </w:r>
          </w:p>
        </w:tc>
      </w:tr>
      <w:tr w:rsidR="00A0251B" w:rsidRPr="00CC35F0" w14:paraId="19993100" w14:textId="77777777" w:rsidTr="007B0718">
        <w:trPr>
          <w:tblHeader/>
        </w:trPr>
        <w:tc>
          <w:tcPr>
            <w:tcW w:w="565" w:type="dxa"/>
            <w:vMerge/>
            <w:shd w:val="clear" w:color="auto" w:fill="44546A"/>
            <w:vAlign w:val="center"/>
          </w:tcPr>
          <w:p w14:paraId="36493B0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5671" w:type="dxa"/>
            <w:vMerge/>
            <w:shd w:val="clear" w:color="auto" w:fill="44546A"/>
            <w:vAlign w:val="center"/>
          </w:tcPr>
          <w:p w14:paraId="3269EE3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1065" w:type="dxa"/>
            <w:shd w:val="clear" w:color="auto" w:fill="44546A"/>
            <w:vAlign w:val="center"/>
          </w:tcPr>
          <w:p w14:paraId="24E442BE" w14:textId="77777777" w:rsidR="007B0718"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Инвести</w:t>
            </w:r>
          </w:p>
          <w:p w14:paraId="63E1448B" w14:textId="77777777" w:rsidR="00A0251B" w:rsidRPr="00CC35F0"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 xml:space="preserve">тори </w:t>
            </w:r>
          </w:p>
        </w:tc>
        <w:tc>
          <w:tcPr>
            <w:tcW w:w="930" w:type="dxa"/>
            <w:shd w:val="clear" w:color="auto" w:fill="44546A"/>
            <w:vAlign w:val="center"/>
          </w:tcPr>
          <w:p w14:paraId="540F7A50" w14:textId="77777777" w:rsidR="007B0718"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Потро</w:t>
            </w:r>
          </w:p>
          <w:p w14:paraId="70D42587" w14:textId="77777777" w:rsidR="00A0251B" w:rsidRPr="00CC35F0"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шачи</w:t>
            </w:r>
          </w:p>
        </w:tc>
        <w:tc>
          <w:tcPr>
            <w:tcW w:w="565" w:type="dxa"/>
            <w:shd w:val="clear" w:color="auto" w:fill="44546A"/>
            <w:vAlign w:val="center"/>
          </w:tcPr>
          <w:p w14:paraId="15B09D6A" w14:textId="77777777" w:rsidR="007B0718"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Др</w:t>
            </w:r>
          </w:p>
          <w:p w14:paraId="3393983E" w14:textId="77777777" w:rsidR="007B0718" w:rsidRDefault="007B0718">
            <w:pPr>
              <w:spacing w:after="0" w:line="240" w:lineRule="auto"/>
              <w:ind w:left="-71" w:right="-156"/>
              <w:jc w:val="center"/>
              <w:rPr>
                <w:rFonts w:ascii="Times New Roman" w:eastAsia="Times New Roman" w:hAnsi="Times New Roman"/>
                <w:color w:val="FFFFFF"/>
                <w:sz w:val="24"/>
                <w:szCs w:val="24"/>
                <w:lang w:val="sr-Cyrl-CS"/>
              </w:rPr>
            </w:pPr>
            <w:r>
              <w:rPr>
                <w:rFonts w:ascii="Times New Roman" w:eastAsia="Times New Roman" w:hAnsi="Times New Roman"/>
                <w:color w:val="FFFFFF"/>
                <w:sz w:val="24"/>
                <w:szCs w:val="24"/>
                <w:lang w:val="sr-Cyrl-CS"/>
              </w:rPr>
              <w:t>ж</w:t>
            </w:r>
            <w:r w:rsidR="008D6506" w:rsidRPr="00CC35F0">
              <w:rPr>
                <w:rFonts w:ascii="Times New Roman" w:eastAsia="Times New Roman" w:hAnsi="Times New Roman"/>
                <w:color w:val="FFFFFF"/>
                <w:sz w:val="24"/>
                <w:szCs w:val="24"/>
                <w:lang w:val="sr-Cyrl-CS"/>
              </w:rPr>
              <w:t>а</w:t>
            </w:r>
          </w:p>
          <w:p w14:paraId="404446DC" w14:textId="77777777" w:rsidR="00A0251B" w:rsidRPr="00CC35F0" w:rsidRDefault="008D6506">
            <w:pPr>
              <w:spacing w:after="0" w:line="240" w:lineRule="auto"/>
              <w:ind w:left="-71" w:right="-156"/>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ва</w:t>
            </w:r>
          </w:p>
        </w:tc>
        <w:tc>
          <w:tcPr>
            <w:tcW w:w="983" w:type="dxa"/>
            <w:vMerge/>
            <w:shd w:val="clear" w:color="auto" w:fill="44546A"/>
          </w:tcPr>
          <w:p w14:paraId="165F329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FFFFFF"/>
                <w:sz w:val="24"/>
                <w:szCs w:val="24"/>
                <w:lang w:val="sr-Cyrl-CS"/>
              </w:rPr>
            </w:pPr>
          </w:p>
        </w:tc>
        <w:tc>
          <w:tcPr>
            <w:tcW w:w="815" w:type="dxa"/>
            <w:shd w:val="clear" w:color="auto" w:fill="44546A"/>
            <w:vAlign w:val="center"/>
          </w:tcPr>
          <w:p w14:paraId="5D240446" w14:textId="77777777" w:rsidR="00A0251B" w:rsidRPr="00CC35F0" w:rsidRDefault="008D6506">
            <w:pPr>
              <w:spacing w:after="0" w:line="240" w:lineRule="auto"/>
              <w:ind w:left="-142" w:right="-74"/>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Потрошачи</w:t>
            </w:r>
          </w:p>
        </w:tc>
        <w:tc>
          <w:tcPr>
            <w:tcW w:w="850" w:type="dxa"/>
            <w:shd w:val="clear" w:color="auto" w:fill="44546A"/>
            <w:vAlign w:val="center"/>
          </w:tcPr>
          <w:p w14:paraId="49C4C739" w14:textId="77777777" w:rsidR="007B0718" w:rsidRDefault="008D6506">
            <w:pPr>
              <w:spacing w:after="0" w:line="240" w:lineRule="auto"/>
              <w:ind w:left="-142" w:right="-93"/>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ЕУ Фон</w:t>
            </w:r>
          </w:p>
          <w:p w14:paraId="1D1BAEB9" w14:textId="77777777" w:rsidR="00A0251B" w:rsidRPr="00CC35F0" w:rsidRDefault="008D6506">
            <w:pPr>
              <w:spacing w:after="0" w:line="240" w:lineRule="auto"/>
              <w:ind w:left="-142" w:right="-93"/>
              <w:jc w:val="center"/>
              <w:rPr>
                <w:rFonts w:ascii="Times New Roman" w:eastAsia="Times New Roman" w:hAnsi="Times New Roman"/>
                <w:color w:val="FFFFFF"/>
                <w:sz w:val="24"/>
                <w:szCs w:val="24"/>
                <w:u w:val="single"/>
                <w:lang w:val="sr-Cyrl-CS"/>
              </w:rPr>
            </w:pPr>
            <w:r w:rsidRPr="00CC35F0">
              <w:rPr>
                <w:rFonts w:ascii="Times New Roman" w:eastAsia="Times New Roman" w:hAnsi="Times New Roman"/>
                <w:color w:val="FFFFFF"/>
                <w:sz w:val="24"/>
                <w:szCs w:val="24"/>
                <w:lang w:val="sr-Cyrl-CS"/>
              </w:rPr>
              <w:t>дови</w:t>
            </w:r>
          </w:p>
        </w:tc>
        <w:tc>
          <w:tcPr>
            <w:tcW w:w="1169" w:type="dxa"/>
            <w:shd w:val="clear" w:color="auto" w:fill="44546A"/>
            <w:vAlign w:val="center"/>
          </w:tcPr>
          <w:p w14:paraId="4A0AC0F4" w14:textId="77777777" w:rsidR="00A0251B" w:rsidRPr="00CC35F0" w:rsidRDefault="008D6506">
            <w:pPr>
              <w:spacing w:after="0" w:line="240" w:lineRule="auto"/>
              <w:ind w:left="-142" w:right="-74"/>
              <w:jc w:val="cente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Државни буџет</w:t>
            </w:r>
          </w:p>
        </w:tc>
      </w:tr>
      <w:tr w:rsidR="00A0251B" w:rsidRPr="00CC35F0" w14:paraId="3EE48F31" w14:textId="77777777" w:rsidTr="007B0718">
        <w:tc>
          <w:tcPr>
            <w:tcW w:w="565" w:type="dxa"/>
            <w:shd w:val="clear" w:color="auto" w:fill="D9D9D9"/>
            <w:vAlign w:val="center"/>
          </w:tcPr>
          <w:p w14:paraId="24F9971B"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1" w:type="dxa"/>
            <w:shd w:val="clear" w:color="auto" w:fill="D9D9D9"/>
            <w:vAlign w:val="center"/>
          </w:tcPr>
          <w:p w14:paraId="1626B2F0"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 xml:space="preserve">Укупни трошкови </w:t>
            </w:r>
          </w:p>
        </w:tc>
        <w:tc>
          <w:tcPr>
            <w:tcW w:w="1065" w:type="dxa"/>
            <w:shd w:val="clear" w:color="auto" w:fill="D9D9D9"/>
            <w:vAlign w:val="center"/>
          </w:tcPr>
          <w:p w14:paraId="65AB69A4"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color w:val="000000"/>
                <w:sz w:val="24"/>
                <w:szCs w:val="24"/>
                <w:lang w:val="sr-Cyrl-CS"/>
              </w:rPr>
              <w:t>642,8</w:t>
            </w:r>
          </w:p>
        </w:tc>
        <w:tc>
          <w:tcPr>
            <w:tcW w:w="930" w:type="dxa"/>
            <w:shd w:val="clear" w:color="auto" w:fill="D9D9D9"/>
            <w:vAlign w:val="center"/>
          </w:tcPr>
          <w:p w14:paraId="7C00AB37"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color w:val="000000"/>
                <w:sz w:val="24"/>
                <w:szCs w:val="24"/>
                <w:lang w:val="sr-Cyrl-CS"/>
              </w:rPr>
              <w:t>1951,9</w:t>
            </w:r>
          </w:p>
        </w:tc>
        <w:tc>
          <w:tcPr>
            <w:tcW w:w="565" w:type="dxa"/>
            <w:shd w:val="clear" w:color="auto" w:fill="D9D9D9"/>
            <w:vAlign w:val="center"/>
          </w:tcPr>
          <w:p w14:paraId="40B559BD"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color w:val="000000"/>
                <w:sz w:val="24"/>
                <w:szCs w:val="24"/>
                <w:lang w:val="sr-Cyrl-CS"/>
              </w:rPr>
              <w:t>0,0</w:t>
            </w:r>
          </w:p>
        </w:tc>
        <w:tc>
          <w:tcPr>
            <w:tcW w:w="983" w:type="dxa"/>
            <w:shd w:val="clear" w:color="auto" w:fill="D9D9D9"/>
            <w:vAlign w:val="center"/>
          </w:tcPr>
          <w:p w14:paraId="08406BC6"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color w:val="000000"/>
                <w:sz w:val="24"/>
                <w:szCs w:val="24"/>
                <w:lang w:val="sr-Cyrl-CS"/>
              </w:rPr>
              <w:t>0,0</w:t>
            </w:r>
          </w:p>
        </w:tc>
        <w:tc>
          <w:tcPr>
            <w:tcW w:w="815" w:type="dxa"/>
            <w:shd w:val="clear" w:color="auto" w:fill="D9D9D9"/>
            <w:vAlign w:val="center"/>
          </w:tcPr>
          <w:p w14:paraId="2A7342AE"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color w:val="000000"/>
                <w:sz w:val="24"/>
                <w:szCs w:val="24"/>
                <w:lang w:val="sr-Cyrl-CS"/>
              </w:rPr>
              <w:t>0,0</w:t>
            </w:r>
          </w:p>
        </w:tc>
        <w:tc>
          <w:tcPr>
            <w:tcW w:w="850" w:type="dxa"/>
            <w:shd w:val="clear" w:color="auto" w:fill="D9D9D9"/>
            <w:vAlign w:val="center"/>
          </w:tcPr>
          <w:p w14:paraId="22D1C615"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color w:val="000000"/>
                <w:sz w:val="24"/>
                <w:szCs w:val="24"/>
                <w:lang w:val="sr-Cyrl-CS"/>
              </w:rPr>
              <w:t>5,5</w:t>
            </w:r>
          </w:p>
        </w:tc>
        <w:tc>
          <w:tcPr>
            <w:tcW w:w="1169" w:type="dxa"/>
            <w:shd w:val="clear" w:color="auto" w:fill="D9D9D9"/>
            <w:vAlign w:val="center"/>
          </w:tcPr>
          <w:p w14:paraId="64A8E84C"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b/>
                <w:color w:val="000000"/>
                <w:sz w:val="24"/>
                <w:szCs w:val="24"/>
                <w:lang w:val="sr-Cyrl-CS"/>
              </w:rPr>
              <w:t>424,2</w:t>
            </w:r>
          </w:p>
        </w:tc>
      </w:tr>
      <w:tr w:rsidR="00A0251B" w:rsidRPr="00CC35F0" w14:paraId="48F236BC" w14:textId="77777777" w:rsidTr="007B0718">
        <w:tc>
          <w:tcPr>
            <w:tcW w:w="565" w:type="dxa"/>
            <w:shd w:val="clear" w:color="auto" w:fill="D9D9D9"/>
            <w:vAlign w:val="center"/>
          </w:tcPr>
          <w:p w14:paraId="61560DA3"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1" w:type="dxa"/>
            <w:shd w:val="clear" w:color="auto" w:fill="D9D9D9"/>
            <w:vAlign w:val="center"/>
          </w:tcPr>
          <w:p w14:paraId="3D5600F4" w14:textId="77777777" w:rsidR="00A0251B" w:rsidRPr="00CC35F0" w:rsidRDefault="008D6506">
            <w:pPr>
              <w:spacing w:after="0" w:line="240" w:lineRule="auto"/>
              <w:ind w:left="-107" w:right="-11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од којих за Посебни циљ  1</w:t>
            </w:r>
          </w:p>
        </w:tc>
        <w:tc>
          <w:tcPr>
            <w:tcW w:w="1065" w:type="dxa"/>
            <w:shd w:val="clear" w:color="auto" w:fill="D9D9D9"/>
            <w:vAlign w:val="bottom"/>
          </w:tcPr>
          <w:p w14:paraId="276F6935"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394,4</w:t>
            </w:r>
          </w:p>
        </w:tc>
        <w:tc>
          <w:tcPr>
            <w:tcW w:w="930" w:type="dxa"/>
            <w:shd w:val="clear" w:color="auto" w:fill="D9D9D9"/>
            <w:vAlign w:val="bottom"/>
          </w:tcPr>
          <w:p w14:paraId="7823E48D"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1951,9</w:t>
            </w:r>
          </w:p>
        </w:tc>
        <w:tc>
          <w:tcPr>
            <w:tcW w:w="565" w:type="dxa"/>
            <w:shd w:val="clear" w:color="auto" w:fill="D9D9D9"/>
            <w:vAlign w:val="bottom"/>
          </w:tcPr>
          <w:p w14:paraId="1403EE4F"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983" w:type="dxa"/>
            <w:shd w:val="clear" w:color="auto" w:fill="D9D9D9"/>
            <w:vAlign w:val="bottom"/>
          </w:tcPr>
          <w:p w14:paraId="75DA148D"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815" w:type="dxa"/>
            <w:shd w:val="clear" w:color="auto" w:fill="D9D9D9"/>
            <w:vAlign w:val="bottom"/>
          </w:tcPr>
          <w:p w14:paraId="4A536CD8" w14:textId="77777777" w:rsidR="00A0251B" w:rsidRPr="00CC35F0" w:rsidRDefault="008D6506">
            <w:pPr>
              <w:spacing w:after="0" w:line="240" w:lineRule="auto"/>
              <w:ind w:left="-142" w:right="-74"/>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850" w:type="dxa"/>
            <w:shd w:val="clear" w:color="auto" w:fill="D9D9D9"/>
            <w:vAlign w:val="bottom"/>
          </w:tcPr>
          <w:p w14:paraId="7D836B9D" w14:textId="77777777" w:rsidR="00A0251B" w:rsidRPr="00CC35F0" w:rsidRDefault="008D6506">
            <w:pPr>
              <w:spacing w:after="0" w:line="240" w:lineRule="auto"/>
              <w:ind w:left="-142" w:right="-74"/>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3,7</w:t>
            </w:r>
          </w:p>
        </w:tc>
        <w:tc>
          <w:tcPr>
            <w:tcW w:w="1169" w:type="dxa"/>
            <w:shd w:val="clear" w:color="auto" w:fill="D9D9D9"/>
            <w:vAlign w:val="bottom"/>
          </w:tcPr>
          <w:p w14:paraId="35C45B60" w14:textId="77777777" w:rsidR="00A0251B" w:rsidRPr="00CC35F0" w:rsidRDefault="008D6506">
            <w:pPr>
              <w:spacing w:after="0" w:line="240" w:lineRule="auto"/>
              <w:ind w:left="-142" w:right="-74"/>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420,5</w:t>
            </w:r>
          </w:p>
        </w:tc>
      </w:tr>
      <w:tr w:rsidR="00A0251B" w:rsidRPr="00CC35F0" w14:paraId="73C7F714" w14:textId="77777777" w:rsidTr="007B0718">
        <w:tc>
          <w:tcPr>
            <w:tcW w:w="565" w:type="dxa"/>
            <w:shd w:val="clear" w:color="auto" w:fill="D9D9D9"/>
            <w:vAlign w:val="center"/>
          </w:tcPr>
          <w:p w14:paraId="0F2AA15E"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1" w:type="dxa"/>
            <w:shd w:val="clear" w:color="auto" w:fill="D9D9D9"/>
            <w:vAlign w:val="center"/>
          </w:tcPr>
          <w:p w14:paraId="717D492B" w14:textId="77777777" w:rsidR="00A0251B" w:rsidRPr="00CC35F0" w:rsidRDefault="008D6506">
            <w:pPr>
              <w:spacing w:after="0" w:line="240" w:lineRule="auto"/>
              <w:ind w:left="-107" w:right="-11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од којих за Посебни циљ  2</w:t>
            </w:r>
          </w:p>
        </w:tc>
        <w:tc>
          <w:tcPr>
            <w:tcW w:w="1065" w:type="dxa"/>
            <w:shd w:val="clear" w:color="auto" w:fill="D9D9D9"/>
            <w:vAlign w:val="bottom"/>
          </w:tcPr>
          <w:p w14:paraId="6E6CF566"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195,6</w:t>
            </w:r>
          </w:p>
        </w:tc>
        <w:tc>
          <w:tcPr>
            <w:tcW w:w="930" w:type="dxa"/>
            <w:shd w:val="clear" w:color="auto" w:fill="D9D9D9"/>
            <w:vAlign w:val="bottom"/>
          </w:tcPr>
          <w:p w14:paraId="650F30C8"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565" w:type="dxa"/>
            <w:shd w:val="clear" w:color="auto" w:fill="D9D9D9"/>
            <w:vAlign w:val="bottom"/>
          </w:tcPr>
          <w:p w14:paraId="12CF43B2"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983" w:type="dxa"/>
            <w:shd w:val="clear" w:color="auto" w:fill="D9D9D9"/>
            <w:vAlign w:val="bottom"/>
          </w:tcPr>
          <w:p w14:paraId="3464D1BE"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815" w:type="dxa"/>
            <w:shd w:val="clear" w:color="auto" w:fill="D9D9D9"/>
            <w:vAlign w:val="bottom"/>
          </w:tcPr>
          <w:p w14:paraId="1ACF23D8" w14:textId="77777777" w:rsidR="00A0251B" w:rsidRPr="00CC35F0" w:rsidRDefault="008D6506">
            <w:pPr>
              <w:spacing w:after="0" w:line="240" w:lineRule="auto"/>
              <w:ind w:left="-142" w:right="-74"/>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850" w:type="dxa"/>
            <w:shd w:val="clear" w:color="auto" w:fill="D9D9D9"/>
            <w:vAlign w:val="bottom"/>
          </w:tcPr>
          <w:p w14:paraId="179EC354" w14:textId="77777777" w:rsidR="00A0251B" w:rsidRPr="00CC35F0" w:rsidRDefault="008D6506">
            <w:pPr>
              <w:spacing w:after="0" w:line="240" w:lineRule="auto"/>
              <w:ind w:left="-142" w:right="-74"/>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1169" w:type="dxa"/>
            <w:shd w:val="clear" w:color="auto" w:fill="D9D9D9"/>
            <w:vAlign w:val="bottom"/>
          </w:tcPr>
          <w:p w14:paraId="40B82749" w14:textId="77777777" w:rsidR="00A0251B" w:rsidRPr="00CC35F0" w:rsidRDefault="008D6506">
            <w:pPr>
              <w:spacing w:after="0" w:line="240" w:lineRule="auto"/>
              <w:ind w:left="-142" w:right="-74"/>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r>
      <w:tr w:rsidR="00A0251B" w:rsidRPr="00CC35F0" w14:paraId="382A0662" w14:textId="77777777" w:rsidTr="007B0718">
        <w:tc>
          <w:tcPr>
            <w:tcW w:w="565" w:type="dxa"/>
            <w:shd w:val="clear" w:color="auto" w:fill="D9D9D9"/>
            <w:vAlign w:val="center"/>
          </w:tcPr>
          <w:p w14:paraId="595EB91E"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1" w:type="dxa"/>
            <w:shd w:val="clear" w:color="auto" w:fill="D9D9D9"/>
            <w:vAlign w:val="center"/>
          </w:tcPr>
          <w:p w14:paraId="21F0A1AC" w14:textId="77777777" w:rsidR="00A0251B" w:rsidRPr="00CC35F0" w:rsidRDefault="008D6506">
            <w:pPr>
              <w:spacing w:after="0" w:line="240" w:lineRule="auto"/>
              <w:ind w:right="-11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од којих за Посебни циљ  3</w:t>
            </w:r>
          </w:p>
        </w:tc>
        <w:tc>
          <w:tcPr>
            <w:tcW w:w="1065" w:type="dxa"/>
            <w:shd w:val="clear" w:color="auto" w:fill="D9D9D9"/>
            <w:vAlign w:val="bottom"/>
          </w:tcPr>
          <w:p w14:paraId="2776FAEF"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52,7</w:t>
            </w:r>
          </w:p>
        </w:tc>
        <w:tc>
          <w:tcPr>
            <w:tcW w:w="930" w:type="dxa"/>
            <w:shd w:val="clear" w:color="auto" w:fill="D9D9D9"/>
            <w:vAlign w:val="bottom"/>
          </w:tcPr>
          <w:p w14:paraId="1A856630"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565" w:type="dxa"/>
            <w:shd w:val="clear" w:color="auto" w:fill="D9D9D9"/>
            <w:vAlign w:val="bottom"/>
          </w:tcPr>
          <w:p w14:paraId="0AADFE3B"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983" w:type="dxa"/>
            <w:shd w:val="clear" w:color="auto" w:fill="D9D9D9"/>
            <w:vAlign w:val="bottom"/>
          </w:tcPr>
          <w:p w14:paraId="4FFED927"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815" w:type="dxa"/>
            <w:shd w:val="clear" w:color="auto" w:fill="D9D9D9"/>
            <w:vAlign w:val="bottom"/>
          </w:tcPr>
          <w:p w14:paraId="7EDD7E16" w14:textId="77777777" w:rsidR="00A0251B" w:rsidRPr="00CC35F0" w:rsidRDefault="008D6506">
            <w:pPr>
              <w:spacing w:after="0" w:line="240" w:lineRule="auto"/>
              <w:ind w:left="-142" w:right="-74"/>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0,0</w:t>
            </w:r>
          </w:p>
        </w:tc>
        <w:tc>
          <w:tcPr>
            <w:tcW w:w="850" w:type="dxa"/>
            <w:shd w:val="clear" w:color="auto" w:fill="D9D9D9"/>
            <w:vAlign w:val="bottom"/>
          </w:tcPr>
          <w:p w14:paraId="123B18CB" w14:textId="77777777" w:rsidR="00A0251B" w:rsidRPr="00CC35F0" w:rsidRDefault="008D6506">
            <w:pPr>
              <w:spacing w:after="0" w:line="240" w:lineRule="auto"/>
              <w:ind w:left="-142" w:right="-74"/>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0,8</w:t>
            </w:r>
          </w:p>
        </w:tc>
        <w:tc>
          <w:tcPr>
            <w:tcW w:w="1169" w:type="dxa"/>
            <w:shd w:val="clear" w:color="auto" w:fill="D9D9D9"/>
            <w:vAlign w:val="bottom"/>
          </w:tcPr>
          <w:p w14:paraId="0032CE89" w14:textId="77777777" w:rsidR="00A0251B" w:rsidRPr="00CC35F0" w:rsidRDefault="008D6506">
            <w:pPr>
              <w:spacing w:after="0" w:line="240" w:lineRule="auto"/>
              <w:ind w:left="-142" w:right="-74"/>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3,7</w:t>
            </w:r>
          </w:p>
        </w:tc>
      </w:tr>
      <w:tr w:rsidR="00A0251B" w:rsidRPr="00CC35F0" w14:paraId="2C47D9B6" w14:textId="77777777" w:rsidTr="007B0718">
        <w:tc>
          <w:tcPr>
            <w:tcW w:w="565" w:type="dxa"/>
            <w:shd w:val="clear" w:color="auto" w:fill="D9D9D9"/>
            <w:vAlign w:val="center"/>
          </w:tcPr>
          <w:p w14:paraId="3F43A250"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671" w:type="dxa"/>
            <w:shd w:val="clear" w:color="auto" w:fill="D9D9D9"/>
            <w:vAlign w:val="center"/>
          </w:tcPr>
          <w:p w14:paraId="20B6AE95" w14:textId="77777777" w:rsidR="00A0251B" w:rsidRPr="00CC35F0" w:rsidRDefault="008D6506">
            <w:pPr>
              <w:spacing w:after="0" w:line="240" w:lineRule="auto"/>
              <w:ind w:right="-11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од којих за Посебни циљ  4</w:t>
            </w:r>
          </w:p>
        </w:tc>
        <w:tc>
          <w:tcPr>
            <w:tcW w:w="1065" w:type="dxa"/>
            <w:shd w:val="clear" w:color="auto" w:fill="D9D9D9"/>
            <w:vAlign w:val="bottom"/>
          </w:tcPr>
          <w:p w14:paraId="1B54439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w:t>
            </w:r>
          </w:p>
        </w:tc>
        <w:tc>
          <w:tcPr>
            <w:tcW w:w="930" w:type="dxa"/>
            <w:shd w:val="clear" w:color="auto" w:fill="D9D9D9"/>
            <w:vAlign w:val="bottom"/>
          </w:tcPr>
          <w:p w14:paraId="0AB22AA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w:t>
            </w:r>
          </w:p>
        </w:tc>
        <w:tc>
          <w:tcPr>
            <w:tcW w:w="565" w:type="dxa"/>
            <w:shd w:val="clear" w:color="auto" w:fill="D9D9D9"/>
            <w:vAlign w:val="bottom"/>
          </w:tcPr>
          <w:p w14:paraId="701A71D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w:t>
            </w:r>
          </w:p>
        </w:tc>
        <w:tc>
          <w:tcPr>
            <w:tcW w:w="983" w:type="dxa"/>
            <w:shd w:val="clear" w:color="auto" w:fill="D9D9D9"/>
            <w:vAlign w:val="bottom"/>
          </w:tcPr>
          <w:p w14:paraId="418D97D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w:t>
            </w:r>
          </w:p>
        </w:tc>
        <w:tc>
          <w:tcPr>
            <w:tcW w:w="815" w:type="dxa"/>
            <w:shd w:val="clear" w:color="auto" w:fill="D9D9D9"/>
            <w:vAlign w:val="bottom"/>
          </w:tcPr>
          <w:p w14:paraId="700744C2"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w:t>
            </w:r>
          </w:p>
        </w:tc>
        <w:tc>
          <w:tcPr>
            <w:tcW w:w="850" w:type="dxa"/>
            <w:shd w:val="clear" w:color="auto" w:fill="D9D9D9"/>
            <w:vAlign w:val="bottom"/>
          </w:tcPr>
          <w:p w14:paraId="61E5BA0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1,0</w:t>
            </w:r>
          </w:p>
        </w:tc>
        <w:tc>
          <w:tcPr>
            <w:tcW w:w="1169" w:type="dxa"/>
            <w:shd w:val="clear" w:color="auto" w:fill="D9D9D9"/>
            <w:vAlign w:val="bottom"/>
          </w:tcPr>
          <w:p w14:paraId="451E08E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w:t>
            </w:r>
          </w:p>
        </w:tc>
      </w:tr>
      <w:tr w:rsidR="00A0251B" w:rsidRPr="00CC35F0" w14:paraId="5092B76B" w14:textId="77777777" w:rsidTr="007B0718">
        <w:trPr>
          <w:trHeight w:val="410"/>
        </w:trPr>
        <w:tc>
          <w:tcPr>
            <w:tcW w:w="565" w:type="dxa"/>
            <w:shd w:val="clear" w:color="auto" w:fill="auto"/>
            <w:vAlign w:val="center"/>
          </w:tcPr>
          <w:p w14:paraId="5B77EE83" w14:textId="77777777" w:rsidR="00A0251B" w:rsidRPr="00CC35F0" w:rsidRDefault="00A0251B">
            <w:pPr>
              <w:spacing w:after="0" w:line="240" w:lineRule="auto"/>
              <w:ind w:left="-103" w:right="-98"/>
              <w:jc w:val="center"/>
              <w:rPr>
                <w:rFonts w:ascii="Times New Roman" w:eastAsia="Times New Roman" w:hAnsi="Times New Roman"/>
                <w:color w:val="0563C1"/>
                <w:sz w:val="24"/>
                <w:szCs w:val="24"/>
                <w:u w:val="single"/>
                <w:lang w:val="sr-Cyrl-CS"/>
              </w:rPr>
            </w:pPr>
          </w:p>
        </w:tc>
        <w:tc>
          <w:tcPr>
            <w:tcW w:w="5671" w:type="dxa"/>
            <w:shd w:val="clear" w:color="auto" w:fill="auto"/>
            <w:vAlign w:val="center"/>
          </w:tcPr>
          <w:p w14:paraId="2305F7CD"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b/>
                <w:sz w:val="24"/>
                <w:szCs w:val="24"/>
                <w:lang w:val="sr-Cyrl-CS"/>
              </w:rPr>
              <w:t>Кумулативни инвестициони трошкови у периоду 2022-2030. године</w:t>
            </w:r>
          </w:p>
        </w:tc>
        <w:tc>
          <w:tcPr>
            <w:tcW w:w="1065" w:type="dxa"/>
            <w:shd w:val="clear" w:color="auto" w:fill="auto"/>
            <w:vAlign w:val="center"/>
          </w:tcPr>
          <w:p w14:paraId="37002FA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b/>
                <w:color w:val="000000"/>
                <w:sz w:val="24"/>
                <w:szCs w:val="24"/>
                <w:lang w:val="sr-Cyrl-CS"/>
              </w:rPr>
              <w:t>2594,6</w:t>
            </w:r>
          </w:p>
        </w:tc>
        <w:tc>
          <w:tcPr>
            <w:tcW w:w="930" w:type="dxa"/>
            <w:shd w:val="clear" w:color="auto" w:fill="auto"/>
            <w:vAlign w:val="bottom"/>
          </w:tcPr>
          <w:p w14:paraId="1D307AF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65" w:type="dxa"/>
            <w:shd w:val="clear" w:color="auto" w:fill="auto"/>
            <w:vAlign w:val="bottom"/>
          </w:tcPr>
          <w:p w14:paraId="67E983F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983" w:type="dxa"/>
            <w:shd w:val="clear" w:color="auto" w:fill="auto"/>
            <w:vAlign w:val="bottom"/>
          </w:tcPr>
          <w:p w14:paraId="04792DD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15" w:type="dxa"/>
            <w:shd w:val="clear" w:color="auto" w:fill="auto"/>
            <w:vAlign w:val="bottom"/>
          </w:tcPr>
          <w:p w14:paraId="37E176E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850" w:type="dxa"/>
            <w:shd w:val="clear" w:color="auto" w:fill="auto"/>
            <w:vAlign w:val="bottom"/>
          </w:tcPr>
          <w:p w14:paraId="5F9AC91D"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69" w:type="dxa"/>
            <w:shd w:val="clear" w:color="auto" w:fill="auto"/>
            <w:vAlign w:val="bottom"/>
          </w:tcPr>
          <w:p w14:paraId="502257E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r>
    </w:tbl>
    <w:p w14:paraId="27936BCC" w14:textId="77777777" w:rsidR="00954B5A" w:rsidRPr="00CC35F0" w:rsidRDefault="00954B5A" w:rsidP="00954B5A">
      <w:pPr>
        <w:rPr>
          <w:rFonts w:ascii="Times New Roman" w:eastAsia="Times New Roman" w:hAnsi="Times New Roman"/>
          <w:sz w:val="24"/>
          <w:szCs w:val="24"/>
          <w:lang w:val="sr-Cyrl-CS"/>
        </w:rPr>
      </w:pPr>
    </w:p>
    <w:p w14:paraId="5D9B4879" w14:textId="77777777" w:rsidR="00954B5A" w:rsidRPr="00CC35F0" w:rsidRDefault="00954B5A" w:rsidP="0078697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Динамика инвестиција и финансијски најзначајније мере и активности</w:t>
      </w:r>
    </w:p>
    <w:p w14:paraId="29384238" w14:textId="77777777" w:rsidR="00954B5A" w:rsidRPr="00CC35F0" w:rsidRDefault="00954B5A" w:rsidP="0078697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Анализом динамике планираних инвестиција у циљу реал</w:t>
      </w:r>
      <w:r w:rsidR="006A1D7F" w:rsidRPr="00CC35F0">
        <w:rPr>
          <w:rFonts w:ascii="Times New Roman" w:eastAsia="Times New Roman" w:hAnsi="Times New Roman"/>
          <w:sz w:val="24"/>
          <w:szCs w:val="24"/>
          <w:lang w:val="sr-Cyrl-CS"/>
        </w:rPr>
        <w:t>изације Програма</w:t>
      </w:r>
      <w:r w:rsidRPr="00CC35F0">
        <w:rPr>
          <w:rFonts w:ascii="Times New Roman" w:eastAsia="Times New Roman" w:hAnsi="Times New Roman"/>
          <w:sz w:val="24"/>
          <w:szCs w:val="24"/>
          <w:lang w:val="sr-Cyrl-CS"/>
        </w:rPr>
        <w:t xml:space="preserve"> може се уочити благи раст инвестиција у 2024. години у поређењу са 2023. годином при чему су планиране инвестиције у 2023. и 2024. години у апсолутном износу најзначајније у целокупном посматраном периоду (2022-2030). Вредност инвестиција само у те две године износи 1.393,7 мил</w:t>
      </w:r>
      <w:r w:rsidR="003E231F" w:rsidRPr="00CC35F0">
        <w:rPr>
          <w:rFonts w:ascii="Times New Roman" w:eastAsia="Times New Roman" w:hAnsi="Times New Roman"/>
          <w:sz w:val="24"/>
          <w:szCs w:val="24"/>
          <w:lang w:val="sr-Cyrl-CS"/>
        </w:rPr>
        <w:t>иона</w:t>
      </w:r>
      <w:r w:rsidRPr="00CC35F0">
        <w:rPr>
          <w:rFonts w:ascii="Times New Roman" w:eastAsia="Times New Roman" w:hAnsi="Times New Roman"/>
          <w:sz w:val="24"/>
          <w:szCs w:val="24"/>
          <w:lang w:val="sr-Cyrl-CS"/>
        </w:rPr>
        <w:t xml:space="preserve"> </w:t>
      </w:r>
      <w:r w:rsidR="008C353B"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xml:space="preserve">, односно, 66,4% укупно планираних инвестиција. У 2025. и 2026. години износ инвестиција се значајно смањује на 433,8 </w:t>
      </w:r>
      <w:r w:rsidR="003E231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8C353B"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xml:space="preserve"> (2025. године), односно 272,7 </w:t>
      </w:r>
      <w:r w:rsidR="003E231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8C353B"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xml:space="preserve"> (2026. године), а након тога, у периоду 2027-2030. године, годишње инвестиције показују тенденцију постепеног смањења да би у 2030. години износиле 14,5 </w:t>
      </w:r>
      <w:r w:rsidR="003E231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8C353B"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w:t>
      </w:r>
    </w:p>
    <w:p w14:paraId="6E512646" w14:textId="77777777" w:rsidR="00954B5A" w:rsidRPr="00CC35F0" w:rsidRDefault="00954B5A" w:rsidP="00362563">
      <w:pPr>
        <w:ind w:firstLine="144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Потребно је нагласити да у периоду најинтензивнијих инвестиционих активн</w:t>
      </w:r>
      <w:r w:rsidR="00001071">
        <w:rPr>
          <w:rFonts w:ascii="Times New Roman" w:eastAsia="Times New Roman" w:hAnsi="Times New Roman"/>
          <w:sz w:val="24"/>
          <w:szCs w:val="24"/>
          <w:lang w:val="sr-Cyrl-CS"/>
        </w:rPr>
        <w:t>ости (2023-2026. године) домин</w:t>
      </w:r>
      <w:r w:rsidRPr="00CC35F0">
        <w:rPr>
          <w:rFonts w:ascii="Times New Roman" w:eastAsia="Times New Roman" w:hAnsi="Times New Roman"/>
          <w:sz w:val="24"/>
          <w:szCs w:val="24"/>
          <w:lang w:val="sr-Cyrl-CS"/>
        </w:rPr>
        <w:t>а</w:t>
      </w:r>
      <w:r w:rsidR="00001071">
        <w:rPr>
          <w:rFonts w:ascii="Times New Roman" w:eastAsia="Times New Roman" w:hAnsi="Times New Roman"/>
          <w:sz w:val="24"/>
          <w:szCs w:val="24"/>
          <w:lang w:val="sr-Cyrl-CS"/>
        </w:rPr>
        <w:t>н</w:t>
      </w:r>
      <w:r w:rsidRPr="00CC35F0">
        <w:rPr>
          <w:rFonts w:ascii="Times New Roman" w:eastAsia="Times New Roman" w:hAnsi="Times New Roman"/>
          <w:sz w:val="24"/>
          <w:szCs w:val="24"/>
          <w:lang w:val="sr-Cyrl-CS"/>
        </w:rPr>
        <w:t xml:space="preserve">тно учешће имају инвестиције приватног сектора (88,4%), при чему се на потрошаче односи 65,8%, а на инвеститоре 22,6%. У периоду 2023-2026. године мањи део инвестиција представљају инвестиције из буџета </w:t>
      </w:r>
      <w:r w:rsidR="004E2E3F" w:rsidRPr="00CC35F0">
        <w:rPr>
          <w:rFonts w:ascii="Times New Roman" w:eastAsia="Times New Roman" w:hAnsi="Times New Roman"/>
          <w:bCs/>
          <w:sz w:val="24"/>
          <w:szCs w:val="24"/>
          <w:lang w:val="sr-Cyrl-CS"/>
        </w:rPr>
        <w:t>Републике Србије</w:t>
      </w:r>
      <w:r w:rsidRPr="00CC35F0">
        <w:rPr>
          <w:rFonts w:ascii="Times New Roman" w:eastAsia="Times New Roman" w:hAnsi="Times New Roman"/>
          <w:sz w:val="24"/>
          <w:szCs w:val="24"/>
          <w:lang w:val="sr-Cyrl-CS"/>
        </w:rPr>
        <w:t xml:space="preserve"> (7,7%), при чему се највећи део односи на финансијске подстицаје (7,5%), а остатак на додатне административне трошкове и трошкове сервисирања (0,2%). Остатак од 3,7 % представљају средства која су планирана из кредитних ар</w:t>
      </w:r>
      <w:r w:rsidR="00215C82">
        <w:rPr>
          <w:rFonts w:ascii="Times New Roman" w:eastAsia="Times New Roman" w:hAnsi="Times New Roman"/>
          <w:sz w:val="24"/>
          <w:szCs w:val="24"/>
          <w:lang w:val="sr-Cyrl-CS"/>
        </w:rPr>
        <w:t>анжмана са међународним финанси</w:t>
      </w:r>
      <w:r w:rsidRPr="00CC35F0">
        <w:rPr>
          <w:rFonts w:ascii="Times New Roman" w:eastAsia="Times New Roman" w:hAnsi="Times New Roman"/>
          <w:sz w:val="24"/>
          <w:szCs w:val="24"/>
          <w:lang w:val="sr-Cyrl-CS"/>
        </w:rPr>
        <w:t>ј</w:t>
      </w:r>
      <w:r w:rsidR="00215C82">
        <w:rPr>
          <w:rFonts w:ascii="Times New Roman" w:eastAsia="Times New Roman" w:hAnsi="Times New Roman"/>
          <w:sz w:val="24"/>
          <w:szCs w:val="24"/>
          <w:lang w:val="sr-Cyrl-CS"/>
        </w:rPr>
        <w:t>с</w:t>
      </w:r>
      <w:r w:rsidRPr="00CC35F0">
        <w:rPr>
          <w:rFonts w:ascii="Times New Roman" w:eastAsia="Times New Roman" w:hAnsi="Times New Roman"/>
          <w:sz w:val="24"/>
          <w:szCs w:val="24"/>
          <w:lang w:val="sr-Cyrl-CS"/>
        </w:rPr>
        <w:t xml:space="preserve">ким институцијама, а 0,2% представљају средства из донација ЕУ и других фондова. У периоду 2027-2030. године структура извора финансирања се мења тако да средства из приватног сектора бележе постепено смањење док средства из буџета </w:t>
      </w:r>
      <w:r w:rsidR="004E2E3F" w:rsidRPr="00CC35F0">
        <w:rPr>
          <w:rFonts w:ascii="Times New Roman" w:eastAsia="Times New Roman" w:hAnsi="Times New Roman"/>
          <w:bCs/>
          <w:sz w:val="24"/>
          <w:szCs w:val="24"/>
          <w:lang w:val="sr-Cyrl-CS"/>
        </w:rPr>
        <w:t>Републике Србије</w:t>
      </w:r>
      <w:r w:rsidRPr="00CC35F0">
        <w:rPr>
          <w:rFonts w:ascii="Times New Roman" w:eastAsia="Times New Roman" w:hAnsi="Times New Roman"/>
          <w:sz w:val="24"/>
          <w:szCs w:val="24"/>
          <w:lang w:val="sr-Cyrl-CS"/>
        </w:rPr>
        <w:t xml:space="preserve"> имају благу тенденцију релативног раста у укупним изворима финансирања.</w:t>
      </w:r>
    </w:p>
    <w:p w14:paraId="3A3633A8" w14:textId="77777777" w:rsidR="00954B5A" w:rsidRPr="00CC35F0" w:rsidRDefault="00954B5A" w:rsidP="00B86B2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Претходно је поменуто да се највеће инвестиције очекују у првим годинама </w:t>
      </w:r>
      <w:r w:rsidR="005E7B50" w:rsidRPr="00CC35F0">
        <w:rPr>
          <w:rFonts w:ascii="Times New Roman" w:eastAsia="Times New Roman" w:hAnsi="Times New Roman"/>
          <w:sz w:val="24"/>
          <w:szCs w:val="24"/>
          <w:lang w:val="sr-Cyrl-CS"/>
        </w:rPr>
        <w:t>примене Програма</w:t>
      </w:r>
      <w:r w:rsidRPr="00CC35F0">
        <w:rPr>
          <w:rFonts w:ascii="Times New Roman" w:eastAsia="Times New Roman" w:hAnsi="Times New Roman"/>
          <w:sz w:val="24"/>
          <w:szCs w:val="24"/>
          <w:lang w:val="sr-Cyrl-CS"/>
        </w:rPr>
        <w:t>, тј. у периоду до 2024. године. С тим у вези, као финансијски најзахтевније могуће је издвојити две мере које се односе на спровођење Euro стандарда за половна увезена возила и обнову возног парка помоћу финансијских подстицаја за дерегистрацију/отпремање најстаријих Euro 1, 2 и 3 дизел путничких возила и теретних возила (изузев N3), и EURO I, II и III дизел аутобуса у рециклажне центре.</w:t>
      </w:r>
    </w:p>
    <w:p w14:paraId="4C6880FB" w14:textId="77777777" w:rsidR="00954B5A" w:rsidRPr="00CC35F0" w:rsidRDefault="00954B5A" w:rsidP="00954B5A">
      <w:pPr>
        <w:rPr>
          <w:rFonts w:ascii="Times New Roman" w:eastAsia="Times New Roman" w:hAnsi="Times New Roman"/>
          <w:sz w:val="24"/>
          <w:szCs w:val="24"/>
          <w:lang w:val="sr-Cyrl-CS"/>
        </w:rPr>
      </w:pPr>
    </w:p>
    <w:p w14:paraId="60290BED" w14:textId="77777777" w:rsidR="00954B5A" w:rsidRPr="00CC35F0" w:rsidRDefault="00954B5A" w:rsidP="0078697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Учешће и значај највећих инвестиција неопходних за испуњење</w:t>
      </w:r>
      <w:r w:rsidR="00F40C81" w:rsidRPr="00CC35F0">
        <w:rPr>
          <w:rFonts w:ascii="Times New Roman" w:eastAsia="Times New Roman" w:hAnsi="Times New Roman"/>
          <w:sz w:val="24"/>
          <w:szCs w:val="24"/>
          <w:lang w:val="sr-Cyrl-CS"/>
        </w:rPr>
        <w:t xml:space="preserve"> циљева Програма</w:t>
      </w:r>
    </w:p>
    <w:p w14:paraId="21BB6EC6" w14:textId="77777777" w:rsidR="00954B5A" w:rsidRPr="00CC35F0" w:rsidRDefault="00786979" w:rsidP="00786979">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Програм </w:t>
      </w:r>
      <w:r w:rsidR="00954B5A" w:rsidRPr="00CC35F0">
        <w:rPr>
          <w:rFonts w:ascii="Times New Roman" w:eastAsia="Times New Roman" w:hAnsi="Times New Roman"/>
          <w:sz w:val="24"/>
          <w:szCs w:val="24"/>
          <w:lang w:val="sr-Cyrl-CS"/>
        </w:rPr>
        <w:t xml:space="preserve">дефинише велики број мера (17) и активности (49) које је потребно спровести у наредним годинама у циљу подизања квалитета ваздуха у Републици Србији. Имајући то у виду, детаљном анализом појединачних активности могуће је посебно издвојити одређене активности које се истичу по вредности и значају. Анализирани подаци указују на чињеницу да се појединачно највећа активност (1.243,4 </w:t>
      </w:r>
      <w:r w:rsidR="00020AA1" w:rsidRPr="00CC35F0">
        <w:rPr>
          <w:rFonts w:ascii="Times New Roman" w:eastAsia="Times New Roman" w:hAnsi="Times New Roman"/>
          <w:sz w:val="24"/>
          <w:szCs w:val="24"/>
          <w:lang w:val="sr-Cyrl-CS"/>
        </w:rPr>
        <w:t>милиона</w:t>
      </w:r>
      <w:r w:rsidR="00954B5A" w:rsidRPr="00CC35F0">
        <w:rPr>
          <w:rFonts w:ascii="Times New Roman" w:eastAsia="Times New Roman" w:hAnsi="Times New Roman"/>
          <w:sz w:val="24"/>
          <w:szCs w:val="24"/>
          <w:lang w:val="sr-Cyrl-CS"/>
        </w:rPr>
        <w:t xml:space="preserve"> </w:t>
      </w:r>
      <w:r w:rsidR="008C353B" w:rsidRPr="00CC35F0">
        <w:rPr>
          <w:rFonts w:ascii="Times New Roman" w:eastAsia="Times New Roman" w:hAnsi="Times New Roman"/>
          <w:sz w:val="24"/>
          <w:szCs w:val="24"/>
          <w:lang w:val="sr-Cyrl-CS"/>
        </w:rPr>
        <w:t>евра</w:t>
      </w:r>
      <w:r w:rsidR="00954B5A" w:rsidRPr="00CC35F0">
        <w:rPr>
          <w:rFonts w:ascii="Times New Roman" w:eastAsia="Times New Roman" w:hAnsi="Times New Roman"/>
          <w:sz w:val="24"/>
          <w:szCs w:val="24"/>
          <w:lang w:val="sr-Cyrl-CS"/>
        </w:rPr>
        <w:t>) односи на усаглашавање са ажурираним минималним захтевима за путничке аутомобиле, теретна возила и аутобусе и представља 47,7% укупне вредности свих активности. Након претходно наведене, по в</w:t>
      </w:r>
      <w:r w:rsidR="002D23D0" w:rsidRPr="00CC35F0">
        <w:rPr>
          <w:rFonts w:ascii="Times New Roman" w:eastAsia="Times New Roman" w:hAnsi="Times New Roman"/>
          <w:sz w:val="24"/>
          <w:szCs w:val="24"/>
          <w:lang w:val="sr-Cyrl-CS"/>
        </w:rPr>
        <w:t>редности се могу и</w:t>
      </w:r>
      <w:r w:rsidR="0073511A">
        <w:rPr>
          <w:rFonts w:ascii="Times New Roman" w:eastAsia="Times New Roman" w:hAnsi="Times New Roman"/>
          <w:sz w:val="24"/>
          <w:szCs w:val="24"/>
          <w:lang w:val="sr-Cyrl-CS"/>
        </w:rPr>
        <w:t>з</w:t>
      </w:r>
      <w:r w:rsidR="002D23D0" w:rsidRPr="00CC35F0">
        <w:rPr>
          <w:rFonts w:ascii="Times New Roman" w:eastAsia="Times New Roman" w:hAnsi="Times New Roman"/>
          <w:sz w:val="24"/>
          <w:szCs w:val="24"/>
          <w:lang w:val="sr-Cyrl-CS"/>
        </w:rPr>
        <w:t xml:space="preserve">двојити још </w:t>
      </w:r>
      <w:r w:rsidR="00954B5A" w:rsidRPr="00CC35F0">
        <w:rPr>
          <w:rFonts w:ascii="Times New Roman" w:eastAsia="Times New Roman" w:hAnsi="Times New Roman"/>
          <w:sz w:val="24"/>
          <w:szCs w:val="24"/>
          <w:lang w:val="sr-Cyrl-CS"/>
        </w:rPr>
        <w:t xml:space="preserve">две активности: успостављање и примена механизма за финансијске подстицаје за замену постојећих грејних тела у домаћинствима новим еко-дизајнираним уређајима и топлотним пумпама (476,9 </w:t>
      </w:r>
      <w:r w:rsidR="00020AA1" w:rsidRPr="00CC35F0">
        <w:rPr>
          <w:rFonts w:ascii="Times New Roman" w:eastAsia="Times New Roman" w:hAnsi="Times New Roman"/>
          <w:sz w:val="24"/>
          <w:szCs w:val="24"/>
          <w:lang w:val="sr-Cyrl-CS"/>
        </w:rPr>
        <w:t>милиона</w:t>
      </w:r>
      <w:r w:rsidR="00954B5A" w:rsidRPr="00CC35F0">
        <w:rPr>
          <w:rFonts w:ascii="Times New Roman" w:eastAsia="Times New Roman" w:hAnsi="Times New Roman"/>
          <w:sz w:val="24"/>
          <w:szCs w:val="24"/>
          <w:lang w:val="sr-Cyrl-CS"/>
        </w:rPr>
        <w:t xml:space="preserve"> </w:t>
      </w:r>
      <w:r w:rsidR="008C353B" w:rsidRPr="00CC35F0">
        <w:rPr>
          <w:rFonts w:ascii="Times New Roman" w:eastAsia="Times New Roman" w:hAnsi="Times New Roman"/>
          <w:sz w:val="24"/>
          <w:szCs w:val="24"/>
          <w:lang w:val="sr-Cyrl-CS"/>
        </w:rPr>
        <w:t>евра</w:t>
      </w:r>
      <w:r w:rsidR="00954B5A" w:rsidRPr="00CC35F0">
        <w:rPr>
          <w:rFonts w:ascii="Times New Roman" w:eastAsia="Times New Roman" w:hAnsi="Times New Roman"/>
          <w:sz w:val="24"/>
          <w:szCs w:val="24"/>
          <w:lang w:val="sr-Cyrl-CS"/>
        </w:rPr>
        <w:t xml:space="preserve">) са учешћем од 18,3% и успостављање и спровођење механизама подршке из јавних средстава за дерегистрацију/отпремање старих дизел путничких аутомобила, теретних возила (изузев N3), и аутобуса (који одговарају Еуро 1, Еуро 2, Еуро 3 и Еуро I, Еуро II и Еуро III) у рециклажне центре (453,6 </w:t>
      </w:r>
      <w:r w:rsidR="00020AA1" w:rsidRPr="00CC35F0">
        <w:rPr>
          <w:rFonts w:ascii="Times New Roman" w:eastAsia="Times New Roman" w:hAnsi="Times New Roman"/>
          <w:sz w:val="24"/>
          <w:szCs w:val="24"/>
          <w:lang w:val="sr-Cyrl-CS"/>
        </w:rPr>
        <w:t xml:space="preserve">милиона </w:t>
      </w:r>
      <w:r w:rsidR="008C353B" w:rsidRPr="00CC35F0">
        <w:rPr>
          <w:rFonts w:ascii="Times New Roman" w:eastAsia="Times New Roman" w:hAnsi="Times New Roman"/>
          <w:sz w:val="24"/>
          <w:szCs w:val="24"/>
          <w:lang w:val="sr-Cyrl-CS"/>
        </w:rPr>
        <w:t>евра</w:t>
      </w:r>
      <w:r w:rsidR="00954B5A" w:rsidRPr="00CC35F0">
        <w:rPr>
          <w:rFonts w:ascii="Times New Roman" w:eastAsia="Times New Roman" w:hAnsi="Times New Roman"/>
          <w:sz w:val="24"/>
          <w:szCs w:val="24"/>
          <w:lang w:val="sr-Cyrl-CS"/>
        </w:rPr>
        <w:t>) која у укупним инвестицијама учествује са 17,4%.</w:t>
      </w:r>
    </w:p>
    <w:p w14:paraId="2E955615" w14:textId="77777777" w:rsidR="00954B5A" w:rsidRPr="00CC35F0" w:rsidRDefault="002D23D0" w:rsidP="00F40C81">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Претходно наведене </w:t>
      </w:r>
      <w:r w:rsidR="00954B5A" w:rsidRPr="00CC35F0">
        <w:rPr>
          <w:rFonts w:ascii="Times New Roman" w:eastAsia="Times New Roman" w:hAnsi="Times New Roman"/>
          <w:sz w:val="24"/>
          <w:szCs w:val="24"/>
          <w:lang w:val="sr-Cyrl-CS"/>
        </w:rPr>
        <w:t xml:space="preserve">три активности имају укупну вредност од 2.173,9 </w:t>
      </w:r>
      <w:r w:rsidR="00DA00CF" w:rsidRPr="00CC35F0">
        <w:rPr>
          <w:rFonts w:ascii="Times New Roman" w:eastAsia="Times New Roman" w:hAnsi="Times New Roman"/>
          <w:sz w:val="24"/>
          <w:szCs w:val="24"/>
          <w:lang w:val="sr-Cyrl-CS"/>
        </w:rPr>
        <w:t>милиона</w:t>
      </w:r>
      <w:r w:rsidR="00954B5A" w:rsidRPr="00CC35F0">
        <w:rPr>
          <w:rFonts w:ascii="Times New Roman" w:eastAsia="Times New Roman" w:hAnsi="Times New Roman"/>
          <w:sz w:val="24"/>
          <w:szCs w:val="24"/>
          <w:lang w:val="sr-Cyrl-CS"/>
        </w:rPr>
        <w:t xml:space="preserve"> </w:t>
      </w:r>
      <w:r w:rsidR="008C353B" w:rsidRPr="00CC35F0">
        <w:rPr>
          <w:rFonts w:ascii="Times New Roman" w:eastAsia="Times New Roman" w:hAnsi="Times New Roman"/>
          <w:sz w:val="24"/>
          <w:szCs w:val="24"/>
          <w:lang w:val="sr-Cyrl-CS"/>
        </w:rPr>
        <w:t>евра</w:t>
      </w:r>
      <w:r w:rsidR="00954B5A" w:rsidRPr="00CC35F0">
        <w:rPr>
          <w:rFonts w:ascii="Times New Roman" w:eastAsia="Times New Roman" w:hAnsi="Times New Roman"/>
          <w:sz w:val="24"/>
          <w:szCs w:val="24"/>
          <w:lang w:val="sr-Cyrl-CS"/>
        </w:rPr>
        <w:t xml:space="preserve"> и у укупним инвестицијама учествују са 83,4% што указује на изразито високу концентрацију инвестиција у малом броју активности и истиче значај које ове активности, односно, њихова реализација имају на успешност спровођења Програма. Вредност осталих 46 активности износи 433,5 </w:t>
      </w:r>
      <w:r w:rsidR="00020AA1" w:rsidRPr="00CC35F0">
        <w:rPr>
          <w:rFonts w:ascii="Times New Roman" w:eastAsia="Times New Roman" w:hAnsi="Times New Roman"/>
          <w:sz w:val="24"/>
          <w:szCs w:val="24"/>
          <w:lang w:val="sr-Cyrl-CS"/>
        </w:rPr>
        <w:t>милиона</w:t>
      </w:r>
      <w:r w:rsidR="00954B5A" w:rsidRPr="00CC35F0">
        <w:rPr>
          <w:rFonts w:ascii="Times New Roman" w:eastAsia="Times New Roman" w:hAnsi="Times New Roman"/>
          <w:sz w:val="24"/>
          <w:szCs w:val="24"/>
          <w:lang w:val="sr-Cyrl-CS"/>
        </w:rPr>
        <w:t xml:space="preserve"> </w:t>
      </w:r>
      <w:r w:rsidR="008C353B" w:rsidRPr="00CC35F0">
        <w:rPr>
          <w:rFonts w:ascii="Times New Roman" w:eastAsia="Times New Roman" w:hAnsi="Times New Roman"/>
          <w:sz w:val="24"/>
          <w:szCs w:val="24"/>
          <w:lang w:val="sr-Cyrl-CS"/>
        </w:rPr>
        <w:t>евра</w:t>
      </w:r>
      <w:r w:rsidR="00954B5A" w:rsidRPr="00CC35F0">
        <w:rPr>
          <w:rFonts w:ascii="Times New Roman" w:eastAsia="Times New Roman" w:hAnsi="Times New Roman"/>
          <w:sz w:val="24"/>
          <w:szCs w:val="24"/>
          <w:lang w:val="sr-Cyrl-CS"/>
        </w:rPr>
        <w:t xml:space="preserve"> и представља свега 16,6% укупне вредности инвестиција.</w:t>
      </w:r>
    </w:p>
    <w:p w14:paraId="3214274A" w14:textId="77777777" w:rsidR="00954B5A" w:rsidRPr="00CC35F0" w:rsidRDefault="00954B5A" w:rsidP="00F40C81">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Такође, важно је напоменути да анализа вредности и динамике реализације појединачних активности указује на чињеницу да се очекује да, уколико буде поштована динамика планираних инвестиционих активности, активности највеће вредности буду завршене до краја 2026. године (78,4%), а да преостали део активности ниже вредности (21,6%) буде завршен до краја 2030. године. Оваква временска дистрибуција инвестиција указује на чињеницу да је ризик за успешно спровођење Програма у највећој мери присутан у почетним годинама спровођења Програма (</w:t>
      </w:r>
      <w:r w:rsidR="00406D09" w:rsidRPr="00CC35F0">
        <w:rPr>
          <w:rFonts w:ascii="Times New Roman" w:eastAsia="Times New Roman" w:hAnsi="Times New Roman"/>
          <w:sz w:val="24"/>
          <w:szCs w:val="24"/>
          <w:lang w:val="sr-Cyrl-CS"/>
        </w:rPr>
        <w:t xml:space="preserve">од </w:t>
      </w:r>
      <w:r w:rsidRPr="00CC35F0">
        <w:rPr>
          <w:rFonts w:ascii="Times New Roman" w:eastAsia="Times New Roman" w:hAnsi="Times New Roman"/>
          <w:sz w:val="24"/>
          <w:szCs w:val="24"/>
          <w:lang w:val="sr-Cyrl-CS"/>
        </w:rPr>
        <w:t>2023</w:t>
      </w:r>
      <w:r w:rsidR="00406D09" w:rsidRPr="00CC35F0">
        <w:rPr>
          <w:rFonts w:ascii="Times New Roman" w:eastAsia="Times New Roman" w:hAnsi="Times New Roman"/>
          <w:sz w:val="24"/>
          <w:szCs w:val="24"/>
          <w:lang w:val="sr-Cyrl-CS"/>
        </w:rPr>
        <w:t xml:space="preserve">. до </w:t>
      </w:r>
      <w:r w:rsidRPr="00CC35F0">
        <w:rPr>
          <w:rFonts w:ascii="Times New Roman" w:eastAsia="Times New Roman" w:hAnsi="Times New Roman"/>
          <w:sz w:val="24"/>
          <w:szCs w:val="24"/>
          <w:lang w:val="sr-Cyrl-CS"/>
        </w:rPr>
        <w:t>2026. године), али то не значи да тај ризик треба потценити у годинама које следе.</w:t>
      </w:r>
    </w:p>
    <w:p w14:paraId="4A341C8C" w14:textId="77777777" w:rsidR="00954B5A" w:rsidRPr="00CC35F0" w:rsidRDefault="00954B5A" w:rsidP="00954B5A">
      <w:pPr>
        <w:rPr>
          <w:rFonts w:ascii="Times New Roman" w:eastAsia="Times New Roman" w:hAnsi="Times New Roman"/>
          <w:sz w:val="24"/>
          <w:szCs w:val="24"/>
          <w:lang w:val="sr-Cyrl-CS"/>
        </w:rPr>
      </w:pPr>
    </w:p>
    <w:p w14:paraId="4C37F875" w14:textId="77777777" w:rsidR="00954B5A" w:rsidRPr="00CC35F0" w:rsidRDefault="00954B5A" w:rsidP="00F40C81">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Финансирање активности из буџета </w:t>
      </w:r>
      <w:r w:rsidR="004E2E3F" w:rsidRPr="00CC35F0">
        <w:rPr>
          <w:rFonts w:ascii="Times New Roman" w:eastAsia="Times New Roman" w:hAnsi="Times New Roman"/>
          <w:bCs/>
          <w:sz w:val="24"/>
          <w:szCs w:val="24"/>
          <w:lang w:val="sr-Cyrl-CS"/>
        </w:rPr>
        <w:t>Републике Србије</w:t>
      </w:r>
    </w:p>
    <w:p w14:paraId="1A4372ED" w14:textId="77777777" w:rsidR="00954B5A" w:rsidRPr="00CC35F0" w:rsidRDefault="00954B5A" w:rsidP="00F40C81">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Увидом у структуру извора финансирања активности дефин</w:t>
      </w:r>
      <w:r w:rsidR="007F326B" w:rsidRPr="00CC35F0">
        <w:rPr>
          <w:rFonts w:ascii="Times New Roman" w:eastAsia="Times New Roman" w:hAnsi="Times New Roman"/>
          <w:sz w:val="24"/>
          <w:szCs w:val="24"/>
          <w:lang w:val="sr-Cyrl-CS"/>
        </w:rPr>
        <w:t>исаних Програмом</w:t>
      </w:r>
      <w:r w:rsidRPr="00CC35F0">
        <w:rPr>
          <w:rFonts w:ascii="Times New Roman" w:eastAsia="Times New Roman" w:hAnsi="Times New Roman"/>
          <w:sz w:val="24"/>
          <w:szCs w:val="24"/>
          <w:lang w:val="sr-Cyrl-CS"/>
        </w:rPr>
        <w:t xml:space="preserve"> може се констатовати да планирана средства из буџета </w:t>
      </w:r>
      <w:r w:rsidR="004E2E3F" w:rsidRPr="00CC35F0">
        <w:rPr>
          <w:rFonts w:ascii="Times New Roman" w:eastAsia="Times New Roman" w:hAnsi="Times New Roman"/>
          <w:bCs/>
          <w:sz w:val="24"/>
          <w:szCs w:val="24"/>
          <w:lang w:val="sr-Cyrl-CS"/>
        </w:rPr>
        <w:t>Републике Србије</w:t>
      </w:r>
      <w:r w:rsidRPr="00CC35F0">
        <w:rPr>
          <w:rFonts w:ascii="Times New Roman" w:eastAsia="Times New Roman" w:hAnsi="Times New Roman"/>
          <w:sz w:val="24"/>
          <w:szCs w:val="24"/>
          <w:lang w:val="sr-Cyrl-CS"/>
        </w:rPr>
        <w:t xml:space="preserve"> у периоду 2023-2026</w:t>
      </w:r>
      <w:r w:rsidR="007C5F09"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г</w:t>
      </w:r>
      <w:r w:rsidR="007C5F09" w:rsidRPr="00CC35F0">
        <w:rPr>
          <w:rFonts w:ascii="Times New Roman" w:eastAsia="Times New Roman" w:hAnsi="Times New Roman"/>
          <w:sz w:val="24"/>
          <w:szCs w:val="24"/>
          <w:lang w:val="sr-Cyrl-CS"/>
        </w:rPr>
        <w:t>одине</w:t>
      </w:r>
      <w:r w:rsidRPr="00CC35F0">
        <w:rPr>
          <w:rFonts w:ascii="Times New Roman" w:eastAsia="Times New Roman" w:hAnsi="Times New Roman"/>
          <w:sz w:val="24"/>
          <w:szCs w:val="24"/>
          <w:lang w:val="sr-Cyrl-CS"/>
        </w:rPr>
        <w:t xml:space="preserve"> (161,34 </w:t>
      </w:r>
      <w:r w:rsidR="00020AA1"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2A16A3"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учествују са 7,7% у укупним изворима финансирања свих активности. У оквиру буџетски</w:t>
      </w:r>
      <w:r w:rsidR="00D60D85" w:rsidRPr="00CC35F0">
        <w:rPr>
          <w:rFonts w:ascii="Times New Roman" w:eastAsia="Times New Roman" w:hAnsi="Times New Roman"/>
          <w:sz w:val="24"/>
          <w:szCs w:val="24"/>
          <w:lang w:val="sr-Cyrl-CS"/>
        </w:rPr>
        <w:t xml:space="preserve">х средстава могу се издвојити </w:t>
      </w:r>
      <w:r w:rsidRPr="00CC35F0">
        <w:rPr>
          <w:rFonts w:ascii="Times New Roman" w:eastAsia="Times New Roman" w:hAnsi="Times New Roman"/>
          <w:sz w:val="24"/>
          <w:szCs w:val="24"/>
          <w:lang w:val="sr-Cyrl-CS"/>
        </w:rPr>
        <w:t>три врсте трошкова:</w:t>
      </w:r>
    </w:p>
    <w:p w14:paraId="289CC072" w14:textId="77777777" w:rsidR="00954B5A" w:rsidRPr="00CC35F0" w:rsidRDefault="00954B5A" w:rsidP="00382EC6">
      <w:pPr>
        <w:pStyle w:val="ListParagraph"/>
        <w:numPr>
          <w:ilvl w:val="0"/>
          <w:numId w:val="22"/>
        </w:numPr>
        <w:rPr>
          <w:rFonts w:ascii="Times New Roman" w:hAnsi="Times New Roman"/>
          <w:sz w:val="24"/>
          <w:szCs w:val="24"/>
          <w:lang w:val="sr-Cyrl-CS"/>
        </w:rPr>
      </w:pPr>
      <w:r w:rsidRPr="00CC35F0">
        <w:rPr>
          <w:rFonts w:ascii="Times New Roman" w:hAnsi="Times New Roman"/>
          <w:sz w:val="24"/>
          <w:szCs w:val="24"/>
          <w:lang w:val="sr-Cyrl-CS"/>
        </w:rPr>
        <w:t>финансијски подстицаји;</w:t>
      </w:r>
    </w:p>
    <w:p w14:paraId="208FA0CB" w14:textId="77777777" w:rsidR="00954B5A" w:rsidRPr="00CC35F0" w:rsidRDefault="00954B5A" w:rsidP="00382EC6">
      <w:pPr>
        <w:pStyle w:val="ListParagraph"/>
        <w:numPr>
          <w:ilvl w:val="0"/>
          <w:numId w:val="22"/>
        </w:numPr>
        <w:rPr>
          <w:rFonts w:ascii="Times New Roman" w:hAnsi="Times New Roman"/>
          <w:sz w:val="24"/>
          <w:szCs w:val="24"/>
          <w:lang w:val="sr-Cyrl-CS"/>
        </w:rPr>
      </w:pPr>
      <w:r w:rsidRPr="00CC35F0">
        <w:rPr>
          <w:rFonts w:ascii="Times New Roman" w:hAnsi="Times New Roman"/>
          <w:sz w:val="24"/>
          <w:szCs w:val="24"/>
          <w:lang w:val="sr-Cyrl-CS"/>
        </w:rPr>
        <w:t>додатни административни трошкови</w:t>
      </w:r>
      <w:r w:rsidR="00F40C81" w:rsidRPr="00CC35F0">
        <w:rPr>
          <w:rFonts w:ascii="Times New Roman" w:hAnsi="Times New Roman"/>
          <w:sz w:val="24"/>
          <w:szCs w:val="24"/>
          <w:lang w:val="sr-Cyrl-CS"/>
        </w:rPr>
        <w:t>;</w:t>
      </w:r>
    </w:p>
    <w:p w14:paraId="41185B3F" w14:textId="77777777" w:rsidR="00954B5A" w:rsidRPr="00CC35F0" w:rsidRDefault="00954B5A" w:rsidP="00382EC6">
      <w:pPr>
        <w:pStyle w:val="ListParagraph"/>
        <w:numPr>
          <w:ilvl w:val="0"/>
          <w:numId w:val="22"/>
        </w:numPr>
        <w:rPr>
          <w:rFonts w:ascii="Times New Roman" w:hAnsi="Times New Roman"/>
          <w:sz w:val="24"/>
          <w:szCs w:val="24"/>
          <w:lang w:val="sr-Cyrl-CS"/>
        </w:rPr>
      </w:pPr>
      <w:r w:rsidRPr="00CC35F0">
        <w:rPr>
          <w:rFonts w:ascii="Times New Roman" w:hAnsi="Times New Roman"/>
          <w:sz w:val="24"/>
          <w:szCs w:val="24"/>
          <w:lang w:val="sr-Cyrl-CS"/>
        </w:rPr>
        <w:lastRenderedPageBreak/>
        <w:t>додатни трошкови сервисирања.</w:t>
      </w:r>
    </w:p>
    <w:p w14:paraId="5E714F02" w14:textId="77777777" w:rsidR="00954B5A" w:rsidRPr="00CC35F0" w:rsidRDefault="00954B5A" w:rsidP="00F40C81">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Финансијски подстицаји представљају најзначајнију врсту трошкова са учешћем од 98,3%, док додатни административни трошкови и додатни трошкови сервисирања имају знатно мање учешће у укупним буџетским средствима, односно 1% и 0,7%, респективно. Анализа динамике коришћења буџетских средстава у периоду 2023-2026. г</w:t>
      </w:r>
      <w:r w:rsidR="004E2E3F" w:rsidRPr="00CC35F0">
        <w:rPr>
          <w:rFonts w:ascii="Times New Roman" w:eastAsia="Times New Roman" w:hAnsi="Times New Roman"/>
          <w:sz w:val="24"/>
          <w:szCs w:val="24"/>
          <w:lang w:val="sr-Cyrl-CS"/>
        </w:rPr>
        <w:t>одине</w:t>
      </w:r>
      <w:r w:rsidRPr="00CC35F0">
        <w:rPr>
          <w:rFonts w:ascii="Times New Roman" w:eastAsia="Times New Roman" w:hAnsi="Times New Roman"/>
          <w:sz w:val="24"/>
          <w:szCs w:val="24"/>
          <w:lang w:val="sr-Cyrl-CS"/>
        </w:rPr>
        <w:t xml:space="preserve"> показује да се највећи удео буџетских средстава у укупним изворима финансирања очекује у 2025. г</w:t>
      </w:r>
      <w:r w:rsidR="003D77B8" w:rsidRPr="00CC35F0">
        <w:rPr>
          <w:rFonts w:ascii="Times New Roman" w:eastAsia="Times New Roman" w:hAnsi="Times New Roman"/>
          <w:sz w:val="24"/>
          <w:szCs w:val="24"/>
          <w:lang w:val="sr-Cyrl-CS"/>
        </w:rPr>
        <w:t>одини</w:t>
      </w:r>
      <w:r w:rsidRPr="00CC35F0">
        <w:rPr>
          <w:rFonts w:ascii="Times New Roman" w:eastAsia="Times New Roman" w:hAnsi="Times New Roman"/>
          <w:sz w:val="24"/>
          <w:szCs w:val="24"/>
          <w:lang w:val="sr-Cyrl-CS"/>
        </w:rPr>
        <w:t xml:space="preserve"> и односи се финансијске подстицаје за обнову возног парка (33,8% у 2025. години) и у наредним годинама се очекује његово смањење како у апсолутном, тако и у релативном смислу. Финансијски подстицаји као доминантан буџетски трошак (</w:t>
      </w:r>
      <w:r w:rsidR="00D63C10" w:rsidRPr="00CC35F0">
        <w:rPr>
          <w:rFonts w:ascii="Times New Roman" w:eastAsia="Times New Roman" w:hAnsi="Times New Roman"/>
          <w:sz w:val="24"/>
          <w:szCs w:val="24"/>
          <w:lang w:val="sr-Cyrl-CS"/>
        </w:rPr>
        <w:t xml:space="preserve">236,34 </w:t>
      </w:r>
      <w:r w:rsidR="00020AA1" w:rsidRPr="00CC35F0">
        <w:rPr>
          <w:rFonts w:ascii="Times New Roman" w:eastAsia="Times New Roman" w:hAnsi="Times New Roman"/>
          <w:sz w:val="24"/>
          <w:szCs w:val="24"/>
          <w:lang w:val="sr-Cyrl-CS"/>
        </w:rPr>
        <w:t>милиона</w:t>
      </w:r>
      <w:r w:rsidR="00D63C10" w:rsidRPr="00CC35F0">
        <w:rPr>
          <w:rFonts w:ascii="Times New Roman" w:eastAsia="Times New Roman" w:hAnsi="Times New Roman"/>
          <w:sz w:val="24"/>
          <w:szCs w:val="24"/>
          <w:lang w:val="sr-Cyrl-CS"/>
        </w:rPr>
        <w:t xml:space="preserve"> </w:t>
      </w:r>
      <w:r w:rsidR="002A16A3" w:rsidRPr="00CC35F0">
        <w:rPr>
          <w:rFonts w:ascii="Times New Roman" w:eastAsia="Times New Roman" w:hAnsi="Times New Roman"/>
          <w:sz w:val="24"/>
          <w:szCs w:val="24"/>
          <w:lang w:val="sr-Cyrl-CS"/>
        </w:rPr>
        <w:t>евра</w:t>
      </w:r>
      <w:r w:rsidR="00D63C10" w:rsidRPr="00CC35F0">
        <w:rPr>
          <w:rFonts w:ascii="Times New Roman" w:eastAsia="Times New Roman" w:hAnsi="Times New Roman"/>
          <w:sz w:val="24"/>
          <w:szCs w:val="24"/>
          <w:lang w:val="sr-Cyrl-CS"/>
        </w:rPr>
        <w:t xml:space="preserve">) односе се на </w:t>
      </w:r>
      <w:r w:rsidRPr="00CC35F0">
        <w:rPr>
          <w:rFonts w:ascii="Times New Roman" w:eastAsia="Times New Roman" w:hAnsi="Times New Roman"/>
          <w:sz w:val="24"/>
          <w:szCs w:val="24"/>
          <w:lang w:val="sr-Cyrl-CS"/>
        </w:rPr>
        <w:t>две најзначајније активности:</w:t>
      </w:r>
    </w:p>
    <w:p w14:paraId="3BF0F8BC" w14:textId="77777777" w:rsidR="00954B5A" w:rsidRPr="00CC35F0" w:rsidRDefault="00954B5A" w:rsidP="00382EC6">
      <w:pPr>
        <w:pStyle w:val="ListParagraph"/>
        <w:numPr>
          <w:ilvl w:val="0"/>
          <w:numId w:val="38"/>
        </w:numPr>
        <w:tabs>
          <w:tab w:val="clear" w:pos="3825"/>
        </w:tabs>
        <w:ind w:left="0" w:firstLine="360"/>
        <w:rPr>
          <w:rFonts w:ascii="Times New Roman" w:hAnsi="Times New Roman"/>
          <w:sz w:val="24"/>
          <w:szCs w:val="24"/>
          <w:lang w:val="sr-Cyrl-CS"/>
        </w:rPr>
      </w:pPr>
      <w:r w:rsidRPr="00CC35F0">
        <w:rPr>
          <w:rFonts w:ascii="Times New Roman" w:hAnsi="Times New Roman"/>
          <w:sz w:val="24"/>
          <w:szCs w:val="24"/>
          <w:lang w:val="sr-Cyrl-CS"/>
        </w:rPr>
        <w:t>успостављање и спровођење механизама подршке из јавних средстава за дерегистрацију/отпремање старих дизел путничких аутомобила, теретних возила и аутобуса (изузев N3) који одговарају Еуро 1, Еуро 2, Еуро 3 и Еуро I, Еуро II и Еуро III у рецик</w:t>
      </w:r>
      <w:r w:rsidR="005424A6" w:rsidRPr="00CC35F0">
        <w:rPr>
          <w:rFonts w:ascii="Times New Roman" w:hAnsi="Times New Roman"/>
          <w:sz w:val="24"/>
          <w:szCs w:val="24"/>
          <w:lang w:val="sr-Cyrl-CS"/>
        </w:rPr>
        <w:t xml:space="preserve">лажне центре (158,6 </w:t>
      </w:r>
      <w:r w:rsidR="00020AA1" w:rsidRPr="00CC35F0">
        <w:rPr>
          <w:rFonts w:ascii="Times New Roman" w:hAnsi="Times New Roman"/>
          <w:sz w:val="24"/>
          <w:szCs w:val="24"/>
          <w:lang w:val="sr-Cyrl-CS"/>
        </w:rPr>
        <w:t>милиона</w:t>
      </w:r>
      <w:r w:rsidR="005424A6" w:rsidRPr="00CC35F0">
        <w:rPr>
          <w:rFonts w:ascii="Times New Roman" w:hAnsi="Times New Roman"/>
          <w:sz w:val="24"/>
          <w:szCs w:val="24"/>
          <w:lang w:val="sr-Cyrl-CS"/>
        </w:rPr>
        <w:t xml:space="preserve"> </w:t>
      </w:r>
      <w:r w:rsidR="002A16A3" w:rsidRPr="00CC35F0">
        <w:rPr>
          <w:rFonts w:ascii="Times New Roman" w:hAnsi="Times New Roman"/>
          <w:sz w:val="24"/>
          <w:szCs w:val="24"/>
          <w:lang w:val="sr-Cyrl-CS"/>
        </w:rPr>
        <w:t>евра</w:t>
      </w:r>
      <w:r w:rsidR="005424A6" w:rsidRPr="00CC35F0">
        <w:rPr>
          <w:rFonts w:ascii="Times New Roman" w:hAnsi="Times New Roman"/>
          <w:sz w:val="24"/>
          <w:szCs w:val="24"/>
          <w:lang w:val="sr-Cyrl-CS"/>
        </w:rPr>
        <w:t xml:space="preserve">); </w:t>
      </w:r>
    </w:p>
    <w:p w14:paraId="26832B8D" w14:textId="77777777" w:rsidR="00954B5A" w:rsidRPr="00CC35F0" w:rsidRDefault="00954B5A" w:rsidP="00382EC6">
      <w:pPr>
        <w:pStyle w:val="ListParagraph"/>
        <w:numPr>
          <w:ilvl w:val="0"/>
          <w:numId w:val="38"/>
        </w:numPr>
        <w:tabs>
          <w:tab w:val="clear" w:pos="3825"/>
          <w:tab w:val="left" w:pos="709"/>
        </w:tabs>
        <w:ind w:left="0" w:firstLine="360"/>
        <w:rPr>
          <w:rFonts w:ascii="Times New Roman" w:hAnsi="Times New Roman"/>
          <w:sz w:val="24"/>
          <w:szCs w:val="24"/>
          <w:lang w:val="sr-Cyrl-CS"/>
        </w:rPr>
      </w:pPr>
      <w:r w:rsidRPr="00CC35F0">
        <w:rPr>
          <w:rFonts w:ascii="Times New Roman" w:hAnsi="Times New Roman"/>
          <w:sz w:val="24"/>
          <w:szCs w:val="24"/>
          <w:lang w:val="sr-Cyrl-CS"/>
        </w:rPr>
        <w:t xml:space="preserve">успостављање и примена механизма за финансијске подстицаје за замену постојећих грејних тела у домаћинствима новим еко-дизајнираним уређајима и топлотним пумпама (77,74 </w:t>
      </w:r>
      <w:r w:rsidR="00020AA1" w:rsidRPr="00CC35F0">
        <w:rPr>
          <w:rFonts w:ascii="Times New Roman" w:hAnsi="Times New Roman"/>
          <w:sz w:val="24"/>
          <w:szCs w:val="24"/>
          <w:lang w:val="sr-Cyrl-CS"/>
        </w:rPr>
        <w:t>милиона</w:t>
      </w:r>
      <w:r w:rsidRPr="00CC35F0">
        <w:rPr>
          <w:rFonts w:ascii="Times New Roman" w:hAnsi="Times New Roman"/>
          <w:sz w:val="24"/>
          <w:szCs w:val="24"/>
          <w:lang w:val="sr-Cyrl-CS"/>
        </w:rPr>
        <w:t xml:space="preserve"> </w:t>
      </w:r>
      <w:r w:rsidR="002A16A3" w:rsidRPr="00CC35F0">
        <w:rPr>
          <w:rFonts w:ascii="Times New Roman" w:hAnsi="Times New Roman"/>
          <w:sz w:val="24"/>
          <w:szCs w:val="24"/>
          <w:lang w:val="sr-Cyrl-CS"/>
        </w:rPr>
        <w:t>евра</w:t>
      </w:r>
      <w:r w:rsidRPr="00CC35F0">
        <w:rPr>
          <w:rFonts w:ascii="Times New Roman" w:hAnsi="Times New Roman"/>
          <w:sz w:val="24"/>
          <w:szCs w:val="24"/>
          <w:lang w:val="sr-Cyrl-CS"/>
        </w:rPr>
        <w:t>).</w:t>
      </w:r>
    </w:p>
    <w:p w14:paraId="112A7F3E" w14:textId="77777777" w:rsidR="00954B5A" w:rsidRPr="00CC35F0" w:rsidRDefault="00AC1E09" w:rsidP="00954B5A">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ab/>
      </w:r>
      <w:r w:rsidR="00954B5A" w:rsidRPr="00CC35F0">
        <w:rPr>
          <w:rFonts w:ascii="Times New Roman" w:eastAsia="Times New Roman" w:hAnsi="Times New Roman"/>
          <w:sz w:val="24"/>
          <w:szCs w:val="24"/>
          <w:lang w:val="sr-Cyrl-CS"/>
        </w:rPr>
        <w:t>Удео буџетских извора у укупним изворима финансирања, у релативном смислу, зависи од вредности и динамике инвестиција приватног сектора као највећег извора финансирања активности обухв</w:t>
      </w:r>
      <w:r w:rsidR="008B0247" w:rsidRPr="00CC35F0">
        <w:rPr>
          <w:rFonts w:ascii="Times New Roman" w:eastAsia="Times New Roman" w:hAnsi="Times New Roman"/>
          <w:sz w:val="24"/>
          <w:szCs w:val="24"/>
          <w:lang w:val="sr-Cyrl-CS"/>
        </w:rPr>
        <w:t>аћених Програмом</w:t>
      </w:r>
      <w:r w:rsidR="00954B5A" w:rsidRPr="00CC35F0">
        <w:rPr>
          <w:rFonts w:ascii="Times New Roman" w:eastAsia="Times New Roman" w:hAnsi="Times New Roman"/>
          <w:sz w:val="24"/>
          <w:szCs w:val="24"/>
          <w:lang w:val="sr-Cyrl-CS"/>
        </w:rPr>
        <w:t>. Посматрано у апсолутним износима, буџетска издвајања у 2022. години нису предвиђена. Средства за спр</w:t>
      </w:r>
      <w:r w:rsidR="008B0247" w:rsidRPr="00CC35F0">
        <w:rPr>
          <w:rFonts w:ascii="Times New Roman" w:eastAsia="Times New Roman" w:hAnsi="Times New Roman"/>
          <w:sz w:val="24"/>
          <w:szCs w:val="24"/>
          <w:lang w:val="sr-Cyrl-CS"/>
        </w:rPr>
        <w:t>овођење Програма</w:t>
      </w:r>
      <w:r w:rsidR="00954B5A" w:rsidRPr="00CC35F0">
        <w:rPr>
          <w:rFonts w:ascii="Times New Roman" w:eastAsia="Times New Roman" w:hAnsi="Times New Roman"/>
          <w:sz w:val="24"/>
          <w:szCs w:val="24"/>
          <w:lang w:val="sr-Cyrl-CS"/>
        </w:rPr>
        <w:t xml:space="preserve"> у 2023. години биће обезбеђена у оквиру лимита опредељеним законом о буџету, за органе који спроводе програмске активности. Највећа издвајања из буџета се очекују у</w:t>
      </w:r>
      <w:r w:rsidR="00ED40D0" w:rsidRPr="00CC35F0">
        <w:rPr>
          <w:rFonts w:ascii="Times New Roman" w:eastAsia="Times New Roman" w:hAnsi="Times New Roman"/>
          <w:sz w:val="24"/>
          <w:szCs w:val="24"/>
          <w:lang w:val="sr-Cyrl-CS"/>
        </w:rPr>
        <w:t xml:space="preserve"> 2025. години (146,6 </w:t>
      </w:r>
      <w:r w:rsidR="00020AA1" w:rsidRPr="00CC35F0">
        <w:rPr>
          <w:rFonts w:ascii="Times New Roman" w:eastAsia="Times New Roman" w:hAnsi="Times New Roman"/>
          <w:sz w:val="24"/>
          <w:szCs w:val="24"/>
          <w:lang w:val="sr-Cyrl-CS"/>
        </w:rPr>
        <w:t>милиона</w:t>
      </w:r>
      <w:r w:rsidR="00ED40D0" w:rsidRPr="00CC35F0">
        <w:rPr>
          <w:rFonts w:ascii="Times New Roman" w:eastAsia="Times New Roman" w:hAnsi="Times New Roman"/>
          <w:sz w:val="24"/>
          <w:szCs w:val="24"/>
          <w:lang w:val="sr-Cyrl-CS"/>
        </w:rPr>
        <w:t xml:space="preserve"> </w:t>
      </w:r>
      <w:r w:rsidR="002A16A3" w:rsidRPr="00CC35F0">
        <w:rPr>
          <w:rFonts w:ascii="Times New Roman" w:eastAsia="Times New Roman" w:hAnsi="Times New Roman"/>
          <w:sz w:val="24"/>
          <w:szCs w:val="24"/>
          <w:lang w:val="sr-Cyrl-CS"/>
        </w:rPr>
        <w:t>евра</w:t>
      </w:r>
      <w:r w:rsidR="00ED40D0" w:rsidRPr="00CC35F0">
        <w:rPr>
          <w:rFonts w:ascii="Times New Roman" w:eastAsia="Times New Roman" w:hAnsi="Times New Roman"/>
          <w:sz w:val="24"/>
          <w:szCs w:val="24"/>
          <w:lang w:val="sr-Cyrl-CS"/>
        </w:rPr>
        <w:t>).</w:t>
      </w:r>
    </w:p>
    <w:p w14:paraId="266017C9" w14:textId="77777777" w:rsidR="00ED40D0" w:rsidRPr="00CC35F0" w:rsidRDefault="00ED40D0" w:rsidP="00954B5A">
      <w:pPr>
        <w:rPr>
          <w:rFonts w:ascii="Times New Roman" w:eastAsia="Times New Roman" w:hAnsi="Times New Roman"/>
          <w:sz w:val="24"/>
          <w:szCs w:val="24"/>
          <w:lang w:val="sr-Cyrl-CS"/>
        </w:rPr>
      </w:pPr>
    </w:p>
    <w:p w14:paraId="4F7D3E94" w14:textId="77777777" w:rsidR="00954B5A" w:rsidRPr="00CC35F0" w:rsidRDefault="00954B5A" w:rsidP="00ED40D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Структура извора финансирања укупних инвестиција</w:t>
      </w:r>
    </w:p>
    <w:p w14:paraId="12D69553" w14:textId="77777777" w:rsidR="00954B5A" w:rsidRPr="00CC35F0" w:rsidRDefault="00954B5A" w:rsidP="00ED40D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вредност инвестиција свих активности у</w:t>
      </w:r>
      <w:r w:rsidR="00987A60" w:rsidRPr="00CC35F0">
        <w:rPr>
          <w:rFonts w:ascii="Times New Roman" w:eastAsia="Times New Roman" w:hAnsi="Times New Roman"/>
          <w:sz w:val="24"/>
          <w:szCs w:val="24"/>
          <w:lang w:val="sr-Cyrl-CS"/>
        </w:rPr>
        <w:t xml:space="preserve"> оквиру Програма</w:t>
      </w:r>
      <w:r w:rsidRPr="00CC35F0">
        <w:rPr>
          <w:rFonts w:ascii="Times New Roman" w:eastAsia="Times New Roman" w:hAnsi="Times New Roman"/>
          <w:sz w:val="24"/>
          <w:szCs w:val="24"/>
          <w:lang w:val="sr-Cyrl-CS"/>
        </w:rPr>
        <w:t xml:space="preserve"> износи 2.607,38 </w:t>
      </w:r>
      <w:r w:rsidR="00020AA1"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2A16A3"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а извори за њихово фи</w:t>
      </w:r>
      <w:r w:rsidR="00ED40D0" w:rsidRPr="00CC35F0">
        <w:rPr>
          <w:rFonts w:ascii="Times New Roman" w:eastAsia="Times New Roman" w:hAnsi="Times New Roman"/>
          <w:sz w:val="24"/>
          <w:szCs w:val="24"/>
          <w:lang w:val="sr-Cyrl-CS"/>
        </w:rPr>
        <w:t xml:space="preserve">нансирање се могу поделити у </w:t>
      </w:r>
      <w:r w:rsidRPr="00CC35F0">
        <w:rPr>
          <w:rFonts w:ascii="Times New Roman" w:eastAsia="Times New Roman" w:hAnsi="Times New Roman"/>
          <w:sz w:val="24"/>
          <w:szCs w:val="24"/>
          <w:lang w:val="sr-Cyrl-CS"/>
        </w:rPr>
        <w:t>три групе:</w:t>
      </w:r>
    </w:p>
    <w:p w14:paraId="4D2B57A9" w14:textId="77777777" w:rsidR="00954B5A" w:rsidRPr="00CC35F0" w:rsidRDefault="00954B5A" w:rsidP="00382EC6">
      <w:pPr>
        <w:pStyle w:val="ListParagraph"/>
        <w:numPr>
          <w:ilvl w:val="1"/>
          <w:numId w:val="39"/>
        </w:numPr>
        <w:rPr>
          <w:rFonts w:ascii="Times New Roman" w:hAnsi="Times New Roman"/>
          <w:sz w:val="24"/>
          <w:szCs w:val="24"/>
          <w:lang w:val="sr-Cyrl-CS"/>
        </w:rPr>
      </w:pPr>
      <w:r w:rsidRPr="00CC35F0">
        <w:rPr>
          <w:rFonts w:ascii="Times New Roman" w:hAnsi="Times New Roman"/>
          <w:sz w:val="24"/>
          <w:szCs w:val="24"/>
          <w:lang w:val="sr-Cyrl-CS"/>
        </w:rPr>
        <w:t>Приватни сектор;</w:t>
      </w:r>
    </w:p>
    <w:p w14:paraId="12CEC550" w14:textId="77777777" w:rsidR="00954B5A" w:rsidRPr="00CC35F0" w:rsidRDefault="006663CD" w:rsidP="00382EC6">
      <w:pPr>
        <w:pStyle w:val="ListParagraph"/>
        <w:numPr>
          <w:ilvl w:val="1"/>
          <w:numId w:val="39"/>
        </w:numPr>
        <w:rPr>
          <w:rFonts w:ascii="Times New Roman" w:hAnsi="Times New Roman"/>
          <w:sz w:val="24"/>
          <w:szCs w:val="24"/>
          <w:lang w:val="sr-Cyrl-CS"/>
        </w:rPr>
      </w:pPr>
      <w:r w:rsidRPr="00CC35F0">
        <w:rPr>
          <w:rFonts w:ascii="Times New Roman" w:hAnsi="Times New Roman"/>
          <w:sz w:val="24"/>
          <w:szCs w:val="24"/>
          <w:lang w:val="sr-Cyrl-CS"/>
        </w:rPr>
        <w:t xml:space="preserve">Буџет </w:t>
      </w:r>
      <w:r w:rsidR="00AC1E09" w:rsidRPr="00CC35F0">
        <w:rPr>
          <w:rFonts w:ascii="Times New Roman" w:hAnsi="Times New Roman"/>
          <w:bCs/>
          <w:sz w:val="24"/>
          <w:szCs w:val="24"/>
          <w:lang w:val="sr-Cyrl-CS"/>
        </w:rPr>
        <w:t>Републике Србије</w:t>
      </w:r>
      <w:r w:rsidRPr="00CC35F0">
        <w:rPr>
          <w:rFonts w:ascii="Times New Roman" w:hAnsi="Times New Roman"/>
          <w:sz w:val="24"/>
          <w:szCs w:val="24"/>
          <w:lang w:val="sr-Cyrl-CS"/>
        </w:rPr>
        <w:t xml:space="preserve">; </w:t>
      </w:r>
    </w:p>
    <w:p w14:paraId="21745C84" w14:textId="77777777" w:rsidR="00954B5A" w:rsidRPr="00CC35F0" w:rsidRDefault="00954B5A" w:rsidP="00382EC6">
      <w:pPr>
        <w:pStyle w:val="ListParagraph"/>
        <w:numPr>
          <w:ilvl w:val="1"/>
          <w:numId w:val="39"/>
        </w:numPr>
        <w:rPr>
          <w:rFonts w:ascii="Times New Roman" w:hAnsi="Times New Roman"/>
          <w:sz w:val="24"/>
          <w:szCs w:val="24"/>
          <w:lang w:val="sr-Cyrl-CS"/>
        </w:rPr>
      </w:pPr>
      <w:r w:rsidRPr="00CC35F0">
        <w:rPr>
          <w:rFonts w:ascii="Times New Roman" w:hAnsi="Times New Roman"/>
          <w:sz w:val="24"/>
          <w:szCs w:val="24"/>
          <w:lang w:val="sr-Cyrl-CS"/>
        </w:rPr>
        <w:t>ЕУ и други фондови (донаторска средства).</w:t>
      </w:r>
    </w:p>
    <w:p w14:paraId="080DEE40" w14:textId="77777777" w:rsidR="00954B5A" w:rsidRPr="00CC35F0" w:rsidRDefault="00954B5A" w:rsidP="00172D4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Детаљнији увид у структуру извора финансирања показује да приватни сектор има доминантну улогу у финансирању активности са уделом од 83,5% у укупним изворима финансирања (2.177,65 </w:t>
      </w:r>
      <w:r w:rsidR="00DA00C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D91BE2"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У оквиру приватних извора ф</w:t>
      </w:r>
      <w:r w:rsidR="00A2062E" w:rsidRPr="00CC35F0">
        <w:rPr>
          <w:rFonts w:ascii="Times New Roman" w:eastAsia="Times New Roman" w:hAnsi="Times New Roman"/>
          <w:sz w:val="24"/>
          <w:szCs w:val="24"/>
          <w:lang w:val="sr-Cyrl-CS"/>
        </w:rPr>
        <w:t xml:space="preserve">инансирања могу се издвојити </w:t>
      </w:r>
      <w:r w:rsidRPr="00CC35F0">
        <w:rPr>
          <w:rFonts w:ascii="Times New Roman" w:eastAsia="Times New Roman" w:hAnsi="Times New Roman"/>
          <w:sz w:val="24"/>
          <w:szCs w:val="24"/>
          <w:lang w:val="sr-Cyrl-CS"/>
        </w:rPr>
        <w:t>две категорије: 1) потрошачи и 2) инвеститори.</w:t>
      </w:r>
    </w:p>
    <w:p w14:paraId="1979CCDE" w14:textId="77777777" w:rsidR="00954B5A" w:rsidRPr="00CC35F0" w:rsidRDefault="00954B5A" w:rsidP="00172D4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Потрошачи представљају значајнији извор финансирања са уделом од 58,9% (1.534,90 </w:t>
      </w:r>
      <w:r w:rsidR="00DA00C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D91BE2"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xml:space="preserve">), док инвеститори у укупним изворима финансирања учествују са 24,6% (642,75 </w:t>
      </w:r>
      <w:r w:rsidR="00DA00C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D91BE2"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xml:space="preserve">). Појединачно најзначајнија активност која треба да се финансира од стране потрошача односи се на усаглашавања са ажурираним минималним захтевима за путничке аутомобиле, теретна возила и аутобусе. Вредност ове активности износи 1.102,76 </w:t>
      </w:r>
      <w:r w:rsidR="00DA00C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D91BE2"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xml:space="preserve"> што представља 72% вредности инвестиција финансираних од стране потрошача.</w:t>
      </w:r>
    </w:p>
    <w:p w14:paraId="70B51C4A" w14:textId="77777777" w:rsidR="00954B5A" w:rsidRPr="00CC35F0" w:rsidRDefault="00954B5A" w:rsidP="00172D4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Укупна вредност активности које су предмет финансирања од стране инвеститора износи 642,75 </w:t>
      </w:r>
      <w:r w:rsidR="00DA00C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D91BE2"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xml:space="preserve"> и у оквиру ове категорије извора финансирања постоји већи број активности (6) чије се вредности крећу у распону од 46,23 </w:t>
      </w:r>
      <w:r w:rsidR="00DA00C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D91BE2"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xml:space="preserve"> до 140,64 </w:t>
      </w:r>
      <w:r w:rsidR="00DA00C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D91BE2"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xml:space="preserve"> и оне заједно представљају 90% вредности инвестиција финансираних од стране инвеститора.</w:t>
      </w:r>
    </w:p>
    <w:p w14:paraId="6F0B3333" w14:textId="77777777" w:rsidR="00954B5A" w:rsidRPr="00CC35F0" w:rsidRDefault="00954B5A" w:rsidP="00172D4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 учествују с</w:t>
      </w:r>
      <w:r w:rsidR="001D7EA2">
        <w:rPr>
          <w:rFonts w:ascii="Times New Roman" w:eastAsia="Times New Roman" w:hAnsi="Times New Roman"/>
          <w:sz w:val="24"/>
          <w:szCs w:val="24"/>
          <w:lang w:val="sr-Cyrl-CS"/>
        </w:rPr>
        <w:t>а 6,4% у укупним изворима финан</w:t>
      </w:r>
      <w:r w:rsidRPr="00CC35F0">
        <w:rPr>
          <w:rFonts w:ascii="Times New Roman" w:eastAsia="Times New Roman" w:hAnsi="Times New Roman"/>
          <w:sz w:val="24"/>
          <w:szCs w:val="24"/>
          <w:lang w:val="sr-Cyrl-CS"/>
        </w:rPr>
        <w:t>сирања активности Програма заштите ваздуха и представља значајан извор финансирања активности. Као што је претходно поменуто, у оквиру буџетски</w:t>
      </w:r>
      <w:r w:rsidR="00A2062E" w:rsidRPr="00CC35F0">
        <w:rPr>
          <w:rFonts w:ascii="Times New Roman" w:eastAsia="Times New Roman" w:hAnsi="Times New Roman"/>
          <w:sz w:val="24"/>
          <w:szCs w:val="24"/>
          <w:lang w:val="sr-Cyrl-CS"/>
        </w:rPr>
        <w:t xml:space="preserve">х средстава могу се издвојити </w:t>
      </w:r>
      <w:r w:rsidRPr="00CC35F0">
        <w:rPr>
          <w:rFonts w:ascii="Times New Roman" w:eastAsia="Times New Roman" w:hAnsi="Times New Roman"/>
          <w:sz w:val="24"/>
          <w:szCs w:val="24"/>
          <w:lang w:val="sr-Cyrl-CS"/>
        </w:rPr>
        <w:t>три врсте трошкова које се међусобно значајно разликују по вредности и учешћу у укупним буџетским средствима: финансијски подстицаји (98,3%), додатни административни трошкови (1%) и додатни трошкови сервисирања (0,7%).</w:t>
      </w:r>
    </w:p>
    <w:p w14:paraId="1BB81029" w14:textId="77777777" w:rsidR="00954B5A" w:rsidRPr="00CC35F0" w:rsidRDefault="00954B5A" w:rsidP="00172D4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За меру која се односи на замену постојећих уређаја за грејање у домаћинствима новим уређајима који испуњавају захтеве Директиве о еко-дизајну уз финансијске подстицаје (258 </w:t>
      </w:r>
      <w:r w:rsidR="00DA00CF" w:rsidRPr="00CC35F0">
        <w:rPr>
          <w:rFonts w:ascii="Times New Roman" w:eastAsia="Times New Roman" w:hAnsi="Times New Roman"/>
          <w:sz w:val="24"/>
          <w:szCs w:val="24"/>
          <w:lang w:val="sr-Cyrl-CS"/>
        </w:rPr>
        <w:t>милиона</w:t>
      </w:r>
      <w:r w:rsidRPr="00CC35F0">
        <w:rPr>
          <w:rFonts w:ascii="Times New Roman" w:eastAsia="Times New Roman" w:hAnsi="Times New Roman"/>
          <w:sz w:val="24"/>
          <w:szCs w:val="24"/>
          <w:lang w:val="sr-Cyrl-CS"/>
        </w:rPr>
        <w:t xml:space="preserve"> </w:t>
      </w:r>
      <w:r w:rsidR="00D91BE2"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предвиђено је делимично финансирање и средствима из кредита међународних финансијских организација.</w:t>
      </w:r>
    </w:p>
    <w:p w14:paraId="7F50A645" w14:textId="77777777" w:rsidR="00954B5A" w:rsidRPr="00CC35F0" w:rsidRDefault="00954B5A" w:rsidP="00172D4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Поред претходно наведених активности које су, у финансијском смислу, знатно захтевније, постоје одређене активности чије је спровођење неопходно, а које су највећим делом усмерене ка пружању стручне помоћи и подршке у различитим областима (правно-административна и, техничка питања, едукативне кампање, промотивне активности и сл). Наведене активности се у значајној мери финансирају уз помоћ финансијских средстава ЕУ и других фондова (донаторска средства). Програмом заштите ваздуха дефинисана је вредност средстава за финансирање 13 активности од стране ЕУ и других фондова у износу од 5,51 </w:t>
      </w:r>
      <w:r w:rsidR="00DA00CF" w:rsidRPr="00CC35F0">
        <w:rPr>
          <w:rFonts w:ascii="Times New Roman" w:eastAsia="Times New Roman" w:hAnsi="Times New Roman"/>
          <w:sz w:val="24"/>
          <w:szCs w:val="24"/>
          <w:lang w:val="sr-Cyrl-CS"/>
        </w:rPr>
        <w:t xml:space="preserve">милиона </w:t>
      </w:r>
      <w:r w:rsidR="00D91BE2"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xml:space="preserve"> што представља 0,2% учешћа у укупним изворима финансирања свих активности.</w:t>
      </w:r>
    </w:p>
    <w:p w14:paraId="540799CE" w14:textId="77777777" w:rsidR="00A0251B" w:rsidRPr="00CC35F0" w:rsidRDefault="00954B5A" w:rsidP="00F12734">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Вредност појединачних активности које се финансирају средствима ЕУ и других фондова се креће у распону од 10.000 – 1.000.000 </w:t>
      </w:r>
      <w:r w:rsidR="00D91BE2" w:rsidRPr="00CC35F0">
        <w:rPr>
          <w:rFonts w:ascii="Times New Roman" w:eastAsia="Times New Roman" w:hAnsi="Times New Roman"/>
          <w:sz w:val="24"/>
          <w:szCs w:val="24"/>
          <w:lang w:val="sr-Cyrl-CS"/>
        </w:rPr>
        <w:t>евра</w:t>
      </w:r>
      <w:r w:rsidRPr="00CC35F0">
        <w:rPr>
          <w:rFonts w:ascii="Times New Roman" w:eastAsia="Times New Roman" w:hAnsi="Times New Roman"/>
          <w:sz w:val="24"/>
          <w:szCs w:val="24"/>
          <w:lang w:val="sr-Cyrl-CS"/>
        </w:rPr>
        <w:t>, а спровођење ових активности обухвата временски период од 2022</w:t>
      </w:r>
      <w:r w:rsidR="00CE48D6" w:rsidRPr="00CC35F0">
        <w:rPr>
          <w:rFonts w:ascii="Times New Roman" w:eastAsia="Times New Roman" w:hAnsi="Times New Roman"/>
          <w:sz w:val="24"/>
          <w:szCs w:val="24"/>
          <w:lang w:val="sr-Cyrl-CS"/>
        </w:rPr>
        <w:t xml:space="preserve">. до </w:t>
      </w:r>
      <w:r w:rsidRPr="00CC35F0">
        <w:rPr>
          <w:rFonts w:ascii="Times New Roman" w:eastAsia="Times New Roman" w:hAnsi="Times New Roman"/>
          <w:sz w:val="24"/>
          <w:szCs w:val="24"/>
          <w:lang w:val="sr-Cyrl-CS"/>
        </w:rPr>
        <w:t>2027. године.</w:t>
      </w:r>
    </w:p>
    <w:p w14:paraId="42A44DAD" w14:textId="77777777" w:rsidR="00F50E6B" w:rsidRDefault="00F50E6B">
      <w:pPr>
        <w:rPr>
          <w:rFonts w:ascii="Times New Roman" w:eastAsia="Times New Roman" w:hAnsi="Times New Roman"/>
          <w:sz w:val="24"/>
          <w:szCs w:val="24"/>
          <w:lang w:val="sr-Cyrl-CS"/>
        </w:rPr>
      </w:pPr>
    </w:p>
    <w:p w14:paraId="3444B785" w14:textId="77777777" w:rsidR="00992202" w:rsidRDefault="00992202">
      <w:pPr>
        <w:rPr>
          <w:rFonts w:ascii="Times New Roman" w:eastAsia="Times New Roman" w:hAnsi="Times New Roman"/>
          <w:sz w:val="24"/>
          <w:szCs w:val="24"/>
          <w:lang w:val="sr-Cyrl-CS"/>
        </w:rPr>
      </w:pPr>
    </w:p>
    <w:p w14:paraId="4B4142B5" w14:textId="77777777" w:rsidR="00992202" w:rsidRDefault="00992202">
      <w:pPr>
        <w:rPr>
          <w:rFonts w:ascii="Times New Roman" w:eastAsia="Times New Roman" w:hAnsi="Times New Roman"/>
          <w:sz w:val="24"/>
          <w:szCs w:val="24"/>
          <w:lang w:val="sr-Cyrl-CS"/>
        </w:rPr>
      </w:pPr>
    </w:p>
    <w:p w14:paraId="21A8E7FB" w14:textId="77777777" w:rsidR="00992202" w:rsidRPr="00CC35F0" w:rsidRDefault="00992202">
      <w:pPr>
        <w:rPr>
          <w:rFonts w:ascii="Times New Roman" w:eastAsia="Times New Roman" w:hAnsi="Times New Roman"/>
          <w:sz w:val="24"/>
          <w:szCs w:val="24"/>
          <w:lang w:val="sr-Cyrl-CS"/>
        </w:rPr>
      </w:pPr>
    </w:p>
    <w:p w14:paraId="67D853EF" w14:textId="77777777" w:rsidR="00A0251B" w:rsidRPr="00CC35F0" w:rsidRDefault="008D6506">
      <w:pPr>
        <w:rPr>
          <w:rFonts w:ascii="Times New Roman" w:eastAsia="Times New Roman" w:hAnsi="Times New Roman"/>
          <w:b/>
          <w:sz w:val="24"/>
          <w:szCs w:val="24"/>
          <w:lang w:val="sr-Cyrl-CS"/>
        </w:rPr>
      </w:pPr>
      <w:bookmarkStart w:id="105" w:name="_heading=h.36ei31r" w:colFirst="0" w:colLast="0"/>
      <w:bookmarkEnd w:id="105"/>
      <w:r w:rsidRPr="00CC35F0">
        <w:rPr>
          <w:rFonts w:ascii="Times New Roman" w:eastAsia="Times New Roman" w:hAnsi="Times New Roman"/>
          <w:b/>
          <w:i/>
          <w:sz w:val="24"/>
          <w:szCs w:val="24"/>
          <w:lang w:val="sr-Cyrl-CS"/>
        </w:rPr>
        <w:lastRenderedPageBreak/>
        <w:t>Табела 7-7:</w:t>
      </w:r>
      <w:r w:rsidRPr="00CC35F0">
        <w:rPr>
          <w:rFonts w:ascii="Times New Roman" w:eastAsia="Times New Roman" w:hAnsi="Times New Roman"/>
          <w:b/>
          <w:sz w:val="24"/>
          <w:szCs w:val="24"/>
          <w:lang w:val="sr-Cyrl-CS"/>
        </w:rPr>
        <w:t xml:space="preserve"> Укупни инвестициони трошкови и трошкови државе и донатора за период 2022-2030. године у милионима евра, 2022-2030. године, константне цене из 2021. </w:t>
      </w:r>
      <w:r w:rsidR="00482DA6" w:rsidRPr="00CC35F0">
        <w:rPr>
          <w:rFonts w:ascii="Times New Roman" w:eastAsia="Times New Roman" w:hAnsi="Times New Roman"/>
          <w:b/>
          <w:sz w:val="24"/>
          <w:szCs w:val="24"/>
          <w:lang w:val="sr-Cyrl-CS"/>
        </w:rPr>
        <w:t>г</w:t>
      </w:r>
      <w:r w:rsidRPr="00CC35F0">
        <w:rPr>
          <w:rFonts w:ascii="Times New Roman" w:eastAsia="Times New Roman" w:hAnsi="Times New Roman"/>
          <w:b/>
          <w:sz w:val="24"/>
          <w:szCs w:val="24"/>
          <w:lang w:val="sr-Cyrl-CS"/>
        </w:rPr>
        <w:t>одине</w:t>
      </w:r>
    </w:p>
    <w:p w14:paraId="7118EA2A" w14:textId="77777777" w:rsidR="00482DA6" w:rsidRPr="00CC35F0" w:rsidRDefault="00482DA6">
      <w:pPr>
        <w:rPr>
          <w:rFonts w:ascii="Times New Roman" w:eastAsia="Times New Roman" w:hAnsi="Times New Roman"/>
          <w:b/>
          <w:sz w:val="24"/>
          <w:szCs w:val="24"/>
          <w:lang w:val="sr-Cyrl-CS"/>
        </w:rPr>
      </w:pPr>
    </w:p>
    <w:tbl>
      <w:tblPr>
        <w:tblStyle w:val="af5"/>
        <w:tblW w:w="13815" w:type="dxa"/>
        <w:tblLayout w:type="fixed"/>
        <w:tblLook w:val="0400" w:firstRow="0" w:lastRow="0" w:firstColumn="0" w:lastColumn="0" w:noHBand="0" w:noVBand="1"/>
      </w:tblPr>
      <w:tblGrid>
        <w:gridCol w:w="4620"/>
        <w:gridCol w:w="1695"/>
        <w:gridCol w:w="1515"/>
        <w:gridCol w:w="1080"/>
        <w:gridCol w:w="1095"/>
        <w:gridCol w:w="1350"/>
        <w:gridCol w:w="1125"/>
        <w:gridCol w:w="1335"/>
      </w:tblGrid>
      <w:tr w:rsidR="00A0251B" w:rsidRPr="00CC35F0" w14:paraId="74C6AE12" w14:textId="77777777">
        <w:trPr>
          <w:trHeight w:val="360"/>
        </w:trPr>
        <w:tc>
          <w:tcPr>
            <w:tcW w:w="4620" w:type="dxa"/>
            <w:vMerge w:val="restart"/>
            <w:tcBorders>
              <w:top w:val="single" w:sz="4" w:space="0" w:color="000000"/>
              <w:left w:val="single" w:sz="4" w:space="0" w:color="000000"/>
              <w:bottom w:val="single" w:sz="4" w:space="0" w:color="000000"/>
              <w:right w:val="single" w:sz="4" w:space="0" w:color="000000"/>
            </w:tcBorders>
            <w:shd w:val="clear" w:color="auto" w:fill="002060"/>
            <w:vAlign w:val="center"/>
          </w:tcPr>
          <w:p w14:paraId="63DC2E23"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Категорија</w:t>
            </w:r>
          </w:p>
        </w:tc>
        <w:tc>
          <w:tcPr>
            <w:tcW w:w="4290" w:type="dxa"/>
            <w:gridSpan w:val="3"/>
            <w:tcBorders>
              <w:top w:val="single" w:sz="4" w:space="0" w:color="000000"/>
              <w:left w:val="nil"/>
              <w:bottom w:val="single" w:sz="4" w:space="0" w:color="000000"/>
              <w:right w:val="single" w:sz="4" w:space="0" w:color="000000"/>
            </w:tcBorders>
            <w:shd w:val="clear" w:color="auto" w:fill="002060"/>
            <w:vAlign w:val="center"/>
          </w:tcPr>
          <w:p w14:paraId="10E2EFAD"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Инвестициони трошкови</w:t>
            </w:r>
          </w:p>
        </w:tc>
        <w:tc>
          <w:tcPr>
            <w:tcW w:w="3570" w:type="dxa"/>
            <w:gridSpan w:val="3"/>
            <w:tcBorders>
              <w:top w:val="single" w:sz="4" w:space="0" w:color="000000"/>
              <w:left w:val="nil"/>
              <w:bottom w:val="single" w:sz="4" w:space="0" w:color="000000"/>
              <w:right w:val="single" w:sz="4" w:space="0" w:color="000000"/>
            </w:tcBorders>
            <w:shd w:val="clear" w:color="auto" w:fill="002060"/>
            <w:vAlign w:val="center"/>
          </w:tcPr>
          <w:p w14:paraId="6D117618"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Остали трошкови имплементације</w:t>
            </w:r>
          </w:p>
        </w:tc>
        <w:tc>
          <w:tcPr>
            <w:tcW w:w="1335" w:type="dxa"/>
            <w:tcBorders>
              <w:top w:val="nil"/>
              <w:left w:val="nil"/>
              <w:bottom w:val="nil"/>
              <w:right w:val="nil"/>
            </w:tcBorders>
            <w:shd w:val="clear" w:color="auto" w:fill="002060"/>
            <w:vAlign w:val="center"/>
          </w:tcPr>
          <w:p w14:paraId="51EC640A"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 xml:space="preserve">Укупни </w:t>
            </w:r>
          </w:p>
        </w:tc>
      </w:tr>
      <w:tr w:rsidR="00A0251B" w:rsidRPr="00CC35F0" w14:paraId="6FDE2438" w14:textId="77777777">
        <w:trPr>
          <w:trHeight w:val="360"/>
        </w:trPr>
        <w:tc>
          <w:tcPr>
            <w:tcW w:w="4620" w:type="dxa"/>
            <w:vMerge/>
            <w:tcBorders>
              <w:top w:val="single" w:sz="4" w:space="0" w:color="000000"/>
              <w:left w:val="single" w:sz="4" w:space="0" w:color="000000"/>
              <w:bottom w:val="single" w:sz="4" w:space="0" w:color="000000"/>
              <w:right w:val="single" w:sz="4" w:space="0" w:color="000000"/>
            </w:tcBorders>
            <w:shd w:val="clear" w:color="auto" w:fill="002060"/>
            <w:vAlign w:val="center"/>
          </w:tcPr>
          <w:p w14:paraId="0510CB9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color w:val="FFFFFF"/>
                <w:sz w:val="24"/>
                <w:szCs w:val="24"/>
                <w:lang w:val="sr-Cyrl-CS"/>
              </w:rPr>
            </w:pPr>
          </w:p>
        </w:tc>
        <w:tc>
          <w:tcPr>
            <w:tcW w:w="1695" w:type="dxa"/>
            <w:tcBorders>
              <w:top w:val="nil"/>
              <w:left w:val="nil"/>
              <w:bottom w:val="single" w:sz="4" w:space="0" w:color="000000"/>
              <w:right w:val="single" w:sz="4" w:space="0" w:color="000000"/>
            </w:tcBorders>
            <w:shd w:val="clear" w:color="auto" w:fill="002060"/>
            <w:vAlign w:val="center"/>
          </w:tcPr>
          <w:p w14:paraId="705F6526" w14:textId="77777777" w:rsidR="00A0251B" w:rsidRPr="00CC35F0" w:rsidRDefault="008D6506">
            <w:pPr>
              <w:spacing w:after="0" w:line="240" w:lineRule="auto"/>
              <w:jc w:val="left"/>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Инвеститори</w:t>
            </w:r>
          </w:p>
        </w:tc>
        <w:tc>
          <w:tcPr>
            <w:tcW w:w="1515" w:type="dxa"/>
            <w:tcBorders>
              <w:top w:val="nil"/>
              <w:left w:val="nil"/>
              <w:bottom w:val="single" w:sz="4" w:space="0" w:color="000000"/>
              <w:right w:val="single" w:sz="4" w:space="0" w:color="000000"/>
            </w:tcBorders>
            <w:shd w:val="clear" w:color="auto" w:fill="002060"/>
            <w:vAlign w:val="center"/>
          </w:tcPr>
          <w:p w14:paraId="16B86854" w14:textId="77777777" w:rsidR="00A0251B" w:rsidRPr="00CC35F0" w:rsidRDefault="008D6506">
            <w:pPr>
              <w:spacing w:after="0" w:line="240" w:lineRule="auto"/>
              <w:jc w:val="left"/>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 xml:space="preserve">Потрошачи </w:t>
            </w:r>
          </w:p>
        </w:tc>
        <w:tc>
          <w:tcPr>
            <w:tcW w:w="1080" w:type="dxa"/>
            <w:tcBorders>
              <w:top w:val="nil"/>
              <w:left w:val="nil"/>
              <w:bottom w:val="single" w:sz="4" w:space="0" w:color="000000"/>
              <w:right w:val="single" w:sz="4" w:space="0" w:color="000000"/>
            </w:tcBorders>
            <w:shd w:val="clear" w:color="auto" w:fill="002060"/>
            <w:vAlign w:val="center"/>
          </w:tcPr>
          <w:p w14:paraId="3B872C5E" w14:textId="77777777" w:rsidR="00A0251B" w:rsidRPr="00CC35F0" w:rsidRDefault="008D6506">
            <w:pPr>
              <w:spacing w:after="0" w:line="240" w:lineRule="auto"/>
              <w:jc w:val="left"/>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Укупно</w:t>
            </w:r>
          </w:p>
        </w:tc>
        <w:tc>
          <w:tcPr>
            <w:tcW w:w="1095" w:type="dxa"/>
            <w:tcBorders>
              <w:top w:val="nil"/>
              <w:left w:val="nil"/>
              <w:bottom w:val="nil"/>
              <w:right w:val="single" w:sz="4" w:space="0" w:color="000000"/>
            </w:tcBorders>
            <w:shd w:val="clear" w:color="auto" w:fill="002060"/>
            <w:vAlign w:val="center"/>
          </w:tcPr>
          <w:p w14:paraId="4BBDE16C"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 xml:space="preserve">Држава </w:t>
            </w:r>
          </w:p>
        </w:tc>
        <w:tc>
          <w:tcPr>
            <w:tcW w:w="1350" w:type="dxa"/>
            <w:tcBorders>
              <w:top w:val="nil"/>
              <w:left w:val="nil"/>
              <w:bottom w:val="nil"/>
              <w:right w:val="single" w:sz="4" w:space="0" w:color="000000"/>
            </w:tcBorders>
            <w:shd w:val="clear" w:color="auto" w:fill="002060"/>
            <w:vAlign w:val="center"/>
          </w:tcPr>
          <w:p w14:paraId="4E7DCCD1"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Донатори</w:t>
            </w:r>
          </w:p>
        </w:tc>
        <w:tc>
          <w:tcPr>
            <w:tcW w:w="1125" w:type="dxa"/>
            <w:tcBorders>
              <w:top w:val="nil"/>
              <w:left w:val="nil"/>
              <w:bottom w:val="nil"/>
              <w:right w:val="nil"/>
            </w:tcBorders>
            <w:shd w:val="clear" w:color="auto" w:fill="002060"/>
            <w:vAlign w:val="center"/>
          </w:tcPr>
          <w:p w14:paraId="4B274CEF"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Укупно</w:t>
            </w:r>
          </w:p>
        </w:tc>
        <w:tc>
          <w:tcPr>
            <w:tcW w:w="1335" w:type="dxa"/>
            <w:tcBorders>
              <w:top w:val="nil"/>
              <w:left w:val="single" w:sz="4" w:space="0" w:color="000000"/>
              <w:right w:val="nil"/>
            </w:tcBorders>
            <w:shd w:val="clear" w:color="auto" w:fill="002060"/>
            <w:vAlign w:val="center"/>
          </w:tcPr>
          <w:p w14:paraId="3DBF52F4"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трошкови</w:t>
            </w:r>
          </w:p>
        </w:tc>
      </w:tr>
      <w:tr w:rsidR="00A0251B" w:rsidRPr="00CC35F0" w14:paraId="4247D4B6" w14:textId="77777777">
        <w:trPr>
          <w:trHeight w:val="360"/>
        </w:trPr>
        <w:tc>
          <w:tcPr>
            <w:tcW w:w="4620" w:type="dxa"/>
            <w:tcBorders>
              <w:top w:val="nil"/>
              <w:left w:val="single" w:sz="4" w:space="0" w:color="000000"/>
              <w:bottom w:val="single" w:sz="4" w:space="0" w:color="000000"/>
              <w:right w:val="single" w:sz="4" w:space="0" w:color="000000"/>
            </w:tcBorders>
            <w:shd w:val="clear" w:color="auto" w:fill="D9D9D9"/>
            <w:vAlign w:val="center"/>
          </w:tcPr>
          <w:p w14:paraId="3820606C" w14:textId="77777777" w:rsidR="00A0251B" w:rsidRPr="00CC35F0" w:rsidRDefault="008D6506">
            <w:pPr>
              <w:spacing w:after="0" w:line="240" w:lineRule="auto"/>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Инвестициони трошкови – инвеститори </w:t>
            </w:r>
          </w:p>
        </w:tc>
        <w:tc>
          <w:tcPr>
            <w:tcW w:w="1695" w:type="dxa"/>
            <w:tcBorders>
              <w:top w:val="nil"/>
              <w:left w:val="nil"/>
              <w:bottom w:val="single" w:sz="4" w:space="0" w:color="000000"/>
              <w:right w:val="single" w:sz="4" w:space="0" w:color="000000"/>
            </w:tcBorders>
            <w:shd w:val="clear" w:color="auto" w:fill="auto"/>
            <w:vAlign w:val="bottom"/>
          </w:tcPr>
          <w:p w14:paraId="4D1FCE4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642,75</w:t>
            </w:r>
          </w:p>
        </w:tc>
        <w:tc>
          <w:tcPr>
            <w:tcW w:w="1515" w:type="dxa"/>
            <w:tcBorders>
              <w:top w:val="nil"/>
              <w:left w:val="nil"/>
              <w:bottom w:val="single" w:sz="4" w:space="0" w:color="000000"/>
              <w:right w:val="single" w:sz="4" w:space="0" w:color="000000"/>
            </w:tcBorders>
            <w:shd w:val="clear" w:color="auto" w:fill="auto"/>
            <w:vAlign w:val="bottom"/>
          </w:tcPr>
          <w:p w14:paraId="58383DD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1951,86</w:t>
            </w:r>
          </w:p>
        </w:tc>
        <w:tc>
          <w:tcPr>
            <w:tcW w:w="1080" w:type="dxa"/>
            <w:tcBorders>
              <w:top w:val="nil"/>
              <w:left w:val="nil"/>
              <w:bottom w:val="single" w:sz="4" w:space="0" w:color="000000"/>
              <w:right w:val="single" w:sz="4" w:space="0" w:color="000000"/>
            </w:tcBorders>
            <w:shd w:val="clear" w:color="auto" w:fill="auto"/>
            <w:vAlign w:val="bottom"/>
          </w:tcPr>
          <w:p w14:paraId="00AA7EF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2594,61</w:t>
            </w:r>
          </w:p>
        </w:tc>
        <w:tc>
          <w:tcPr>
            <w:tcW w:w="1095" w:type="dxa"/>
            <w:tcBorders>
              <w:top w:val="nil"/>
              <w:left w:val="nil"/>
              <w:bottom w:val="nil"/>
              <w:right w:val="nil"/>
            </w:tcBorders>
            <w:shd w:val="clear" w:color="auto" w:fill="D9D9D9"/>
            <w:vAlign w:val="bottom"/>
          </w:tcPr>
          <w:p w14:paraId="27D47862"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350" w:type="dxa"/>
            <w:tcBorders>
              <w:top w:val="nil"/>
              <w:left w:val="nil"/>
              <w:bottom w:val="nil"/>
              <w:right w:val="nil"/>
            </w:tcBorders>
            <w:shd w:val="clear" w:color="auto" w:fill="D9D9D9"/>
            <w:vAlign w:val="bottom"/>
          </w:tcPr>
          <w:p w14:paraId="1D1B0E1D"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25" w:type="dxa"/>
            <w:tcBorders>
              <w:top w:val="nil"/>
              <w:left w:val="nil"/>
              <w:bottom w:val="nil"/>
              <w:right w:val="single" w:sz="4" w:space="0" w:color="000000"/>
            </w:tcBorders>
            <w:shd w:val="clear" w:color="auto" w:fill="D9D9D9"/>
            <w:vAlign w:val="bottom"/>
          </w:tcPr>
          <w:p w14:paraId="31F92A97"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335" w:type="dxa"/>
            <w:tcBorders>
              <w:top w:val="nil"/>
              <w:left w:val="nil"/>
              <w:bottom w:val="single" w:sz="4" w:space="0" w:color="000000"/>
              <w:right w:val="single" w:sz="4" w:space="0" w:color="000000"/>
            </w:tcBorders>
            <w:shd w:val="clear" w:color="auto" w:fill="auto"/>
            <w:vAlign w:val="bottom"/>
          </w:tcPr>
          <w:p w14:paraId="3EE3BFF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2594,61</w:t>
            </w:r>
          </w:p>
        </w:tc>
      </w:tr>
      <w:tr w:rsidR="00A0251B" w:rsidRPr="00CC35F0" w14:paraId="38E3E9B7" w14:textId="77777777">
        <w:trPr>
          <w:trHeight w:val="360"/>
        </w:trPr>
        <w:tc>
          <w:tcPr>
            <w:tcW w:w="4620" w:type="dxa"/>
            <w:tcBorders>
              <w:top w:val="nil"/>
              <w:left w:val="single" w:sz="4" w:space="0" w:color="000000"/>
              <w:bottom w:val="single" w:sz="4" w:space="0" w:color="000000"/>
              <w:right w:val="single" w:sz="4" w:space="0" w:color="000000"/>
            </w:tcBorders>
            <w:shd w:val="clear" w:color="auto" w:fill="D9D9D9"/>
            <w:vAlign w:val="center"/>
          </w:tcPr>
          <w:p w14:paraId="58B81CD6" w14:textId="77777777" w:rsidR="00A0251B" w:rsidRPr="00CC35F0" w:rsidRDefault="008D6506">
            <w:pPr>
              <w:spacing w:after="0" w:line="240" w:lineRule="auto"/>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Финансијски подстицаји (из државног буџета)</w:t>
            </w:r>
          </w:p>
        </w:tc>
        <w:tc>
          <w:tcPr>
            <w:tcW w:w="1695" w:type="dxa"/>
            <w:tcBorders>
              <w:top w:val="nil"/>
              <w:left w:val="nil"/>
              <w:bottom w:val="single" w:sz="4" w:space="0" w:color="000000"/>
              <w:right w:val="single" w:sz="4" w:space="0" w:color="000000"/>
            </w:tcBorders>
            <w:shd w:val="clear" w:color="auto" w:fill="auto"/>
            <w:vAlign w:val="bottom"/>
          </w:tcPr>
          <w:p w14:paraId="2A372BF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0,00</w:t>
            </w:r>
          </w:p>
        </w:tc>
        <w:tc>
          <w:tcPr>
            <w:tcW w:w="1515" w:type="dxa"/>
            <w:tcBorders>
              <w:top w:val="nil"/>
              <w:left w:val="nil"/>
              <w:bottom w:val="single" w:sz="4" w:space="0" w:color="000000"/>
              <w:right w:val="single" w:sz="4" w:space="0" w:color="000000"/>
            </w:tcBorders>
            <w:shd w:val="clear" w:color="auto" w:fill="auto"/>
            <w:vAlign w:val="bottom"/>
          </w:tcPr>
          <w:p w14:paraId="219E5DA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-416,96</w:t>
            </w:r>
          </w:p>
        </w:tc>
        <w:tc>
          <w:tcPr>
            <w:tcW w:w="1080" w:type="dxa"/>
            <w:tcBorders>
              <w:top w:val="nil"/>
              <w:left w:val="nil"/>
              <w:bottom w:val="single" w:sz="4" w:space="0" w:color="000000"/>
              <w:right w:val="single" w:sz="4" w:space="0" w:color="000000"/>
            </w:tcBorders>
            <w:shd w:val="clear" w:color="auto" w:fill="auto"/>
            <w:vAlign w:val="bottom"/>
          </w:tcPr>
          <w:p w14:paraId="537A941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-416,96</w:t>
            </w:r>
          </w:p>
        </w:tc>
        <w:tc>
          <w:tcPr>
            <w:tcW w:w="1095" w:type="dxa"/>
            <w:tcBorders>
              <w:top w:val="nil"/>
              <w:left w:val="nil"/>
              <w:bottom w:val="nil"/>
              <w:right w:val="nil"/>
            </w:tcBorders>
            <w:shd w:val="clear" w:color="auto" w:fill="D9D9D9"/>
            <w:vAlign w:val="bottom"/>
          </w:tcPr>
          <w:p w14:paraId="209150AA"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350" w:type="dxa"/>
            <w:tcBorders>
              <w:top w:val="nil"/>
              <w:left w:val="nil"/>
              <w:bottom w:val="nil"/>
              <w:right w:val="nil"/>
            </w:tcBorders>
            <w:shd w:val="clear" w:color="auto" w:fill="D9D9D9"/>
            <w:vAlign w:val="bottom"/>
          </w:tcPr>
          <w:p w14:paraId="01D056B7"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25" w:type="dxa"/>
            <w:tcBorders>
              <w:top w:val="nil"/>
              <w:left w:val="nil"/>
              <w:bottom w:val="nil"/>
              <w:right w:val="single" w:sz="4" w:space="0" w:color="000000"/>
            </w:tcBorders>
            <w:shd w:val="clear" w:color="auto" w:fill="D9D9D9"/>
            <w:vAlign w:val="bottom"/>
          </w:tcPr>
          <w:p w14:paraId="309B4C80"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335" w:type="dxa"/>
            <w:tcBorders>
              <w:top w:val="single" w:sz="4" w:space="0" w:color="000000"/>
              <w:left w:val="nil"/>
              <w:bottom w:val="single" w:sz="4" w:space="0" w:color="000000"/>
              <w:right w:val="single" w:sz="4" w:space="0" w:color="000000"/>
            </w:tcBorders>
            <w:shd w:val="clear" w:color="auto" w:fill="auto"/>
            <w:vAlign w:val="bottom"/>
          </w:tcPr>
          <w:p w14:paraId="50D28FC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-416,96</w:t>
            </w:r>
          </w:p>
        </w:tc>
      </w:tr>
      <w:tr w:rsidR="00A0251B" w:rsidRPr="00CC35F0" w14:paraId="47080600" w14:textId="77777777">
        <w:trPr>
          <w:trHeight w:val="360"/>
        </w:trPr>
        <w:tc>
          <w:tcPr>
            <w:tcW w:w="4620" w:type="dxa"/>
            <w:tcBorders>
              <w:top w:val="nil"/>
              <w:left w:val="single" w:sz="4" w:space="0" w:color="000000"/>
              <w:bottom w:val="single" w:sz="4" w:space="0" w:color="000000"/>
              <w:right w:val="single" w:sz="4" w:space="0" w:color="000000"/>
            </w:tcBorders>
            <w:shd w:val="clear" w:color="auto" w:fill="D9D9D9"/>
            <w:vAlign w:val="center"/>
          </w:tcPr>
          <w:p w14:paraId="1A89F271" w14:textId="77777777" w:rsidR="00A0251B" w:rsidRPr="00CC35F0" w:rsidRDefault="008D6506">
            <w:pPr>
              <w:spacing w:after="0" w:line="240" w:lineRule="auto"/>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Нето инвестициони трошкови</w:t>
            </w:r>
          </w:p>
        </w:tc>
        <w:tc>
          <w:tcPr>
            <w:tcW w:w="1695" w:type="dxa"/>
            <w:tcBorders>
              <w:top w:val="nil"/>
              <w:left w:val="nil"/>
              <w:bottom w:val="single" w:sz="4" w:space="0" w:color="000000"/>
              <w:right w:val="single" w:sz="4" w:space="0" w:color="000000"/>
            </w:tcBorders>
            <w:shd w:val="clear" w:color="auto" w:fill="auto"/>
            <w:vAlign w:val="bottom"/>
          </w:tcPr>
          <w:p w14:paraId="39268E2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642,75</w:t>
            </w:r>
          </w:p>
        </w:tc>
        <w:tc>
          <w:tcPr>
            <w:tcW w:w="1515" w:type="dxa"/>
            <w:tcBorders>
              <w:top w:val="nil"/>
              <w:left w:val="nil"/>
              <w:bottom w:val="single" w:sz="4" w:space="0" w:color="000000"/>
              <w:right w:val="single" w:sz="4" w:space="0" w:color="000000"/>
            </w:tcBorders>
            <w:shd w:val="clear" w:color="auto" w:fill="auto"/>
            <w:vAlign w:val="bottom"/>
          </w:tcPr>
          <w:p w14:paraId="172925D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1534,90</w:t>
            </w:r>
          </w:p>
        </w:tc>
        <w:tc>
          <w:tcPr>
            <w:tcW w:w="1080" w:type="dxa"/>
            <w:tcBorders>
              <w:top w:val="nil"/>
              <w:left w:val="nil"/>
              <w:bottom w:val="single" w:sz="4" w:space="0" w:color="000000"/>
              <w:right w:val="single" w:sz="4" w:space="0" w:color="000000"/>
            </w:tcBorders>
            <w:shd w:val="clear" w:color="auto" w:fill="auto"/>
            <w:vAlign w:val="bottom"/>
          </w:tcPr>
          <w:p w14:paraId="209EA77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2177,65</w:t>
            </w:r>
          </w:p>
        </w:tc>
        <w:tc>
          <w:tcPr>
            <w:tcW w:w="1095" w:type="dxa"/>
            <w:tcBorders>
              <w:top w:val="nil"/>
              <w:left w:val="nil"/>
              <w:bottom w:val="nil"/>
              <w:right w:val="nil"/>
            </w:tcBorders>
            <w:shd w:val="clear" w:color="auto" w:fill="D9D9D9"/>
            <w:vAlign w:val="bottom"/>
          </w:tcPr>
          <w:p w14:paraId="018B56B4"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350" w:type="dxa"/>
            <w:tcBorders>
              <w:top w:val="nil"/>
              <w:left w:val="nil"/>
              <w:bottom w:val="nil"/>
              <w:right w:val="nil"/>
            </w:tcBorders>
            <w:shd w:val="clear" w:color="auto" w:fill="D9D9D9"/>
            <w:vAlign w:val="bottom"/>
          </w:tcPr>
          <w:p w14:paraId="5989DC08"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125" w:type="dxa"/>
            <w:tcBorders>
              <w:top w:val="nil"/>
              <w:left w:val="nil"/>
              <w:bottom w:val="nil"/>
              <w:right w:val="single" w:sz="4" w:space="0" w:color="000000"/>
            </w:tcBorders>
            <w:shd w:val="clear" w:color="auto" w:fill="D9D9D9"/>
            <w:vAlign w:val="bottom"/>
          </w:tcPr>
          <w:p w14:paraId="18CAF1EE"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335" w:type="dxa"/>
            <w:tcBorders>
              <w:top w:val="nil"/>
              <w:left w:val="nil"/>
              <w:bottom w:val="single" w:sz="4" w:space="0" w:color="000000"/>
              <w:right w:val="single" w:sz="4" w:space="0" w:color="000000"/>
            </w:tcBorders>
            <w:shd w:val="clear" w:color="auto" w:fill="auto"/>
            <w:vAlign w:val="bottom"/>
          </w:tcPr>
          <w:p w14:paraId="3CB0004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2177,65</w:t>
            </w:r>
          </w:p>
        </w:tc>
      </w:tr>
      <w:tr w:rsidR="00A0251B" w:rsidRPr="00CC35F0" w14:paraId="760F2E6D" w14:textId="77777777">
        <w:trPr>
          <w:trHeight w:val="360"/>
        </w:trPr>
        <w:tc>
          <w:tcPr>
            <w:tcW w:w="4620" w:type="dxa"/>
            <w:tcBorders>
              <w:top w:val="nil"/>
              <w:left w:val="single" w:sz="4" w:space="0" w:color="000000"/>
              <w:bottom w:val="single" w:sz="4" w:space="0" w:color="000000"/>
              <w:right w:val="nil"/>
            </w:tcBorders>
            <w:shd w:val="clear" w:color="auto" w:fill="D9D9D9"/>
            <w:vAlign w:val="center"/>
          </w:tcPr>
          <w:p w14:paraId="19DB1627" w14:textId="77777777" w:rsidR="00A0251B" w:rsidRPr="00CC35F0" w:rsidRDefault="008D6506">
            <w:pPr>
              <w:spacing w:after="0" w:line="240" w:lineRule="auto"/>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Финансијски подстицаји</w:t>
            </w:r>
          </w:p>
        </w:tc>
        <w:tc>
          <w:tcPr>
            <w:tcW w:w="1695" w:type="dxa"/>
            <w:tcBorders>
              <w:top w:val="nil"/>
              <w:left w:val="single" w:sz="4" w:space="0" w:color="000000"/>
              <w:bottom w:val="nil"/>
              <w:right w:val="nil"/>
            </w:tcBorders>
            <w:shd w:val="clear" w:color="auto" w:fill="D9D9D9"/>
            <w:vAlign w:val="bottom"/>
          </w:tcPr>
          <w:p w14:paraId="04ED9C14"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515" w:type="dxa"/>
            <w:tcBorders>
              <w:top w:val="nil"/>
              <w:left w:val="nil"/>
              <w:bottom w:val="nil"/>
              <w:right w:val="nil"/>
            </w:tcBorders>
            <w:shd w:val="clear" w:color="auto" w:fill="D9D9D9"/>
            <w:vAlign w:val="bottom"/>
          </w:tcPr>
          <w:p w14:paraId="2A8970CD"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080" w:type="dxa"/>
            <w:tcBorders>
              <w:top w:val="nil"/>
              <w:left w:val="nil"/>
              <w:bottom w:val="nil"/>
              <w:right w:val="single" w:sz="4" w:space="0" w:color="000000"/>
            </w:tcBorders>
            <w:shd w:val="clear" w:color="auto" w:fill="D9D9D9"/>
            <w:vAlign w:val="bottom"/>
          </w:tcPr>
          <w:p w14:paraId="75B93186"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095" w:type="dxa"/>
            <w:tcBorders>
              <w:top w:val="single" w:sz="4" w:space="0" w:color="000000"/>
              <w:left w:val="nil"/>
              <w:bottom w:val="single" w:sz="4" w:space="0" w:color="000000"/>
              <w:right w:val="single" w:sz="4" w:space="0" w:color="000000"/>
            </w:tcBorders>
            <w:shd w:val="clear" w:color="auto" w:fill="auto"/>
            <w:vAlign w:val="bottom"/>
          </w:tcPr>
          <w:p w14:paraId="5CADE5B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416,96</w:t>
            </w:r>
          </w:p>
        </w:tc>
        <w:tc>
          <w:tcPr>
            <w:tcW w:w="1350" w:type="dxa"/>
            <w:tcBorders>
              <w:top w:val="single" w:sz="4" w:space="0" w:color="000000"/>
              <w:left w:val="nil"/>
              <w:bottom w:val="single" w:sz="4" w:space="0" w:color="000000"/>
              <w:right w:val="single" w:sz="4" w:space="0" w:color="000000"/>
            </w:tcBorders>
            <w:shd w:val="clear" w:color="auto" w:fill="auto"/>
            <w:vAlign w:val="bottom"/>
          </w:tcPr>
          <w:p w14:paraId="1652065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0,00</w:t>
            </w:r>
          </w:p>
        </w:tc>
        <w:tc>
          <w:tcPr>
            <w:tcW w:w="1125" w:type="dxa"/>
            <w:tcBorders>
              <w:top w:val="single" w:sz="4" w:space="0" w:color="000000"/>
              <w:left w:val="nil"/>
              <w:bottom w:val="single" w:sz="4" w:space="0" w:color="000000"/>
              <w:right w:val="single" w:sz="4" w:space="0" w:color="000000"/>
            </w:tcBorders>
            <w:shd w:val="clear" w:color="auto" w:fill="auto"/>
            <w:vAlign w:val="bottom"/>
          </w:tcPr>
          <w:p w14:paraId="63C9997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416,96</w:t>
            </w:r>
          </w:p>
        </w:tc>
        <w:tc>
          <w:tcPr>
            <w:tcW w:w="1335" w:type="dxa"/>
            <w:tcBorders>
              <w:top w:val="nil"/>
              <w:left w:val="nil"/>
              <w:bottom w:val="single" w:sz="4" w:space="0" w:color="000000"/>
              <w:right w:val="single" w:sz="4" w:space="0" w:color="000000"/>
            </w:tcBorders>
            <w:shd w:val="clear" w:color="auto" w:fill="auto"/>
            <w:vAlign w:val="bottom"/>
          </w:tcPr>
          <w:p w14:paraId="4812032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416,96</w:t>
            </w:r>
          </w:p>
        </w:tc>
      </w:tr>
      <w:tr w:rsidR="00A0251B" w:rsidRPr="00CC35F0" w14:paraId="4AD3F8B2" w14:textId="77777777">
        <w:trPr>
          <w:trHeight w:val="360"/>
        </w:trPr>
        <w:tc>
          <w:tcPr>
            <w:tcW w:w="4620" w:type="dxa"/>
            <w:tcBorders>
              <w:top w:val="nil"/>
              <w:left w:val="single" w:sz="4" w:space="0" w:color="000000"/>
              <w:bottom w:val="single" w:sz="4" w:space="0" w:color="000000"/>
              <w:right w:val="nil"/>
            </w:tcBorders>
            <w:shd w:val="clear" w:color="auto" w:fill="D9D9D9"/>
            <w:vAlign w:val="center"/>
          </w:tcPr>
          <w:p w14:paraId="3F750E33" w14:textId="77777777" w:rsidR="00A0251B" w:rsidRPr="00CC35F0" w:rsidRDefault="008D6506">
            <w:pPr>
              <w:spacing w:after="0" w:line="240" w:lineRule="auto"/>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Додатни административни трошкови</w:t>
            </w:r>
          </w:p>
        </w:tc>
        <w:tc>
          <w:tcPr>
            <w:tcW w:w="1695" w:type="dxa"/>
            <w:tcBorders>
              <w:top w:val="nil"/>
              <w:left w:val="single" w:sz="4" w:space="0" w:color="000000"/>
              <w:bottom w:val="nil"/>
              <w:right w:val="nil"/>
            </w:tcBorders>
            <w:shd w:val="clear" w:color="auto" w:fill="D9D9D9"/>
            <w:vAlign w:val="bottom"/>
          </w:tcPr>
          <w:p w14:paraId="08AE8516"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515" w:type="dxa"/>
            <w:tcBorders>
              <w:top w:val="nil"/>
              <w:left w:val="nil"/>
              <w:bottom w:val="nil"/>
              <w:right w:val="nil"/>
            </w:tcBorders>
            <w:shd w:val="clear" w:color="auto" w:fill="D9D9D9"/>
            <w:vAlign w:val="bottom"/>
          </w:tcPr>
          <w:p w14:paraId="2A344634"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080" w:type="dxa"/>
            <w:tcBorders>
              <w:top w:val="nil"/>
              <w:left w:val="nil"/>
              <w:bottom w:val="nil"/>
              <w:right w:val="single" w:sz="4" w:space="0" w:color="000000"/>
            </w:tcBorders>
            <w:shd w:val="clear" w:color="auto" w:fill="D9D9D9"/>
            <w:vAlign w:val="bottom"/>
          </w:tcPr>
          <w:p w14:paraId="32760EFC"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095" w:type="dxa"/>
            <w:tcBorders>
              <w:top w:val="nil"/>
              <w:left w:val="nil"/>
              <w:bottom w:val="single" w:sz="4" w:space="0" w:color="000000"/>
              <w:right w:val="single" w:sz="4" w:space="0" w:color="000000"/>
            </w:tcBorders>
            <w:shd w:val="clear" w:color="auto" w:fill="auto"/>
            <w:vAlign w:val="bottom"/>
          </w:tcPr>
          <w:p w14:paraId="7629A81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5,94</w:t>
            </w:r>
          </w:p>
        </w:tc>
        <w:tc>
          <w:tcPr>
            <w:tcW w:w="1350" w:type="dxa"/>
            <w:tcBorders>
              <w:top w:val="nil"/>
              <w:left w:val="nil"/>
              <w:bottom w:val="single" w:sz="4" w:space="0" w:color="000000"/>
              <w:right w:val="single" w:sz="4" w:space="0" w:color="000000"/>
            </w:tcBorders>
            <w:shd w:val="clear" w:color="auto" w:fill="auto"/>
            <w:vAlign w:val="bottom"/>
          </w:tcPr>
          <w:p w14:paraId="3721A22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0,00</w:t>
            </w:r>
          </w:p>
        </w:tc>
        <w:tc>
          <w:tcPr>
            <w:tcW w:w="1125" w:type="dxa"/>
            <w:tcBorders>
              <w:top w:val="nil"/>
              <w:left w:val="nil"/>
              <w:bottom w:val="single" w:sz="4" w:space="0" w:color="000000"/>
              <w:right w:val="single" w:sz="4" w:space="0" w:color="000000"/>
            </w:tcBorders>
            <w:shd w:val="clear" w:color="auto" w:fill="auto"/>
            <w:vAlign w:val="bottom"/>
          </w:tcPr>
          <w:p w14:paraId="2057073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5,94</w:t>
            </w:r>
          </w:p>
        </w:tc>
        <w:tc>
          <w:tcPr>
            <w:tcW w:w="1335" w:type="dxa"/>
            <w:tcBorders>
              <w:top w:val="nil"/>
              <w:left w:val="nil"/>
              <w:bottom w:val="single" w:sz="4" w:space="0" w:color="000000"/>
              <w:right w:val="single" w:sz="4" w:space="0" w:color="000000"/>
            </w:tcBorders>
            <w:shd w:val="clear" w:color="auto" w:fill="auto"/>
            <w:vAlign w:val="bottom"/>
          </w:tcPr>
          <w:p w14:paraId="45BBA5C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5,94</w:t>
            </w:r>
          </w:p>
        </w:tc>
      </w:tr>
      <w:tr w:rsidR="00A0251B" w:rsidRPr="00CC35F0" w14:paraId="3A872299" w14:textId="77777777">
        <w:trPr>
          <w:trHeight w:val="360"/>
        </w:trPr>
        <w:tc>
          <w:tcPr>
            <w:tcW w:w="4620" w:type="dxa"/>
            <w:tcBorders>
              <w:top w:val="nil"/>
              <w:left w:val="single" w:sz="4" w:space="0" w:color="000000"/>
              <w:bottom w:val="single" w:sz="4" w:space="0" w:color="000000"/>
              <w:right w:val="nil"/>
            </w:tcBorders>
            <w:shd w:val="clear" w:color="auto" w:fill="D9D9D9"/>
            <w:vAlign w:val="center"/>
          </w:tcPr>
          <w:p w14:paraId="40F894FD" w14:textId="77777777" w:rsidR="00A0251B" w:rsidRPr="00CC35F0" w:rsidRDefault="008D6506">
            <w:pPr>
              <w:spacing w:after="0" w:line="240" w:lineRule="auto"/>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Додатни трошкови сервисирања</w:t>
            </w:r>
          </w:p>
        </w:tc>
        <w:tc>
          <w:tcPr>
            <w:tcW w:w="1695" w:type="dxa"/>
            <w:tcBorders>
              <w:top w:val="nil"/>
              <w:left w:val="single" w:sz="4" w:space="0" w:color="000000"/>
              <w:bottom w:val="nil"/>
              <w:right w:val="nil"/>
            </w:tcBorders>
            <w:shd w:val="clear" w:color="auto" w:fill="D9D9D9"/>
            <w:vAlign w:val="bottom"/>
          </w:tcPr>
          <w:p w14:paraId="1B787CF6"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515" w:type="dxa"/>
            <w:tcBorders>
              <w:top w:val="nil"/>
              <w:left w:val="nil"/>
              <w:bottom w:val="nil"/>
              <w:right w:val="nil"/>
            </w:tcBorders>
            <w:shd w:val="clear" w:color="auto" w:fill="D9D9D9"/>
            <w:vAlign w:val="bottom"/>
          </w:tcPr>
          <w:p w14:paraId="785EB50B"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080" w:type="dxa"/>
            <w:tcBorders>
              <w:top w:val="nil"/>
              <w:left w:val="nil"/>
              <w:bottom w:val="nil"/>
              <w:right w:val="single" w:sz="4" w:space="0" w:color="000000"/>
            </w:tcBorders>
            <w:shd w:val="clear" w:color="auto" w:fill="D9D9D9"/>
            <w:vAlign w:val="bottom"/>
          </w:tcPr>
          <w:p w14:paraId="6454525E"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095" w:type="dxa"/>
            <w:tcBorders>
              <w:top w:val="nil"/>
              <w:left w:val="nil"/>
              <w:bottom w:val="single" w:sz="4" w:space="0" w:color="000000"/>
              <w:right w:val="single" w:sz="4" w:space="0" w:color="000000"/>
            </w:tcBorders>
            <w:shd w:val="clear" w:color="auto" w:fill="auto"/>
            <w:vAlign w:val="bottom"/>
          </w:tcPr>
          <w:p w14:paraId="11E8C53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1,32</w:t>
            </w:r>
          </w:p>
        </w:tc>
        <w:tc>
          <w:tcPr>
            <w:tcW w:w="1350" w:type="dxa"/>
            <w:tcBorders>
              <w:top w:val="nil"/>
              <w:left w:val="nil"/>
              <w:bottom w:val="single" w:sz="4" w:space="0" w:color="000000"/>
              <w:right w:val="single" w:sz="4" w:space="0" w:color="000000"/>
            </w:tcBorders>
            <w:shd w:val="clear" w:color="auto" w:fill="auto"/>
            <w:vAlign w:val="bottom"/>
          </w:tcPr>
          <w:p w14:paraId="29E31D2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0,00</w:t>
            </w:r>
          </w:p>
        </w:tc>
        <w:tc>
          <w:tcPr>
            <w:tcW w:w="1125" w:type="dxa"/>
            <w:tcBorders>
              <w:top w:val="nil"/>
              <w:left w:val="nil"/>
              <w:bottom w:val="single" w:sz="4" w:space="0" w:color="000000"/>
              <w:right w:val="single" w:sz="4" w:space="0" w:color="000000"/>
            </w:tcBorders>
            <w:shd w:val="clear" w:color="auto" w:fill="auto"/>
            <w:vAlign w:val="bottom"/>
          </w:tcPr>
          <w:p w14:paraId="08E3691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1,32</w:t>
            </w:r>
          </w:p>
        </w:tc>
        <w:tc>
          <w:tcPr>
            <w:tcW w:w="1335" w:type="dxa"/>
            <w:tcBorders>
              <w:top w:val="nil"/>
              <w:left w:val="nil"/>
              <w:bottom w:val="single" w:sz="4" w:space="0" w:color="000000"/>
              <w:right w:val="single" w:sz="4" w:space="0" w:color="000000"/>
            </w:tcBorders>
            <w:shd w:val="clear" w:color="auto" w:fill="auto"/>
            <w:vAlign w:val="bottom"/>
          </w:tcPr>
          <w:p w14:paraId="174483F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1,32</w:t>
            </w:r>
          </w:p>
        </w:tc>
      </w:tr>
      <w:tr w:rsidR="00A0251B" w:rsidRPr="00CC35F0" w14:paraId="5F07E005" w14:textId="77777777">
        <w:trPr>
          <w:trHeight w:val="360"/>
        </w:trPr>
        <w:tc>
          <w:tcPr>
            <w:tcW w:w="4620" w:type="dxa"/>
            <w:tcBorders>
              <w:top w:val="nil"/>
              <w:left w:val="single" w:sz="4" w:space="0" w:color="000000"/>
              <w:bottom w:val="nil"/>
              <w:right w:val="nil"/>
            </w:tcBorders>
            <w:shd w:val="clear" w:color="auto" w:fill="D9D9D9"/>
            <w:vAlign w:val="center"/>
          </w:tcPr>
          <w:p w14:paraId="6D472431" w14:textId="77777777" w:rsidR="00A0251B" w:rsidRPr="00CC35F0" w:rsidRDefault="008D6506">
            <w:pPr>
              <w:spacing w:after="0" w:line="240" w:lineRule="auto"/>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Додатна средства</w:t>
            </w:r>
          </w:p>
        </w:tc>
        <w:tc>
          <w:tcPr>
            <w:tcW w:w="1695" w:type="dxa"/>
            <w:tcBorders>
              <w:top w:val="nil"/>
              <w:left w:val="single" w:sz="4" w:space="0" w:color="000000"/>
              <w:bottom w:val="nil"/>
              <w:right w:val="nil"/>
            </w:tcBorders>
            <w:shd w:val="clear" w:color="auto" w:fill="D9D9D9"/>
            <w:vAlign w:val="bottom"/>
          </w:tcPr>
          <w:p w14:paraId="5D44591F"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515" w:type="dxa"/>
            <w:tcBorders>
              <w:top w:val="nil"/>
              <w:left w:val="nil"/>
              <w:bottom w:val="nil"/>
              <w:right w:val="nil"/>
            </w:tcBorders>
            <w:shd w:val="clear" w:color="auto" w:fill="D9D9D9"/>
            <w:vAlign w:val="bottom"/>
          </w:tcPr>
          <w:p w14:paraId="221BD4B4"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080" w:type="dxa"/>
            <w:tcBorders>
              <w:top w:val="nil"/>
              <w:left w:val="nil"/>
              <w:bottom w:val="nil"/>
              <w:right w:val="single" w:sz="4" w:space="0" w:color="000000"/>
            </w:tcBorders>
            <w:shd w:val="clear" w:color="auto" w:fill="D9D9D9"/>
            <w:vAlign w:val="bottom"/>
          </w:tcPr>
          <w:p w14:paraId="20BBBA16"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1095" w:type="dxa"/>
            <w:tcBorders>
              <w:top w:val="nil"/>
              <w:left w:val="nil"/>
              <w:bottom w:val="nil"/>
              <w:right w:val="single" w:sz="4" w:space="0" w:color="000000"/>
            </w:tcBorders>
            <w:shd w:val="clear" w:color="auto" w:fill="auto"/>
            <w:vAlign w:val="bottom"/>
          </w:tcPr>
          <w:p w14:paraId="5CDE966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0,00</w:t>
            </w:r>
          </w:p>
        </w:tc>
        <w:tc>
          <w:tcPr>
            <w:tcW w:w="1350" w:type="dxa"/>
            <w:tcBorders>
              <w:top w:val="nil"/>
              <w:left w:val="nil"/>
              <w:bottom w:val="nil"/>
              <w:right w:val="single" w:sz="4" w:space="0" w:color="000000"/>
            </w:tcBorders>
            <w:shd w:val="clear" w:color="auto" w:fill="auto"/>
            <w:vAlign w:val="bottom"/>
          </w:tcPr>
          <w:p w14:paraId="623D31B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5,51</w:t>
            </w:r>
          </w:p>
        </w:tc>
        <w:tc>
          <w:tcPr>
            <w:tcW w:w="1125" w:type="dxa"/>
            <w:tcBorders>
              <w:top w:val="nil"/>
              <w:left w:val="nil"/>
              <w:bottom w:val="nil"/>
              <w:right w:val="single" w:sz="4" w:space="0" w:color="000000"/>
            </w:tcBorders>
            <w:shd w:val="clear" w:color="auto" w:fill="auto"/>
            <w:vAlign w:val="bottom"/>
          </w:tcPr>
          <w:p w14:paraId="60A9A8E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5,51</w:t>
            </w:r>
          </w:p>
        </w:tc>
        <w:tc>
          <w:tcPr>
            <w:tcW w:w="1335" w:type="dxa"/>
            <w:tcBorders>
              <w:top w:val="nil"/>
              <w:left w:val="nil"/>
              <w:bottom w:val="nil"/>
              <w:right w:val="single" w:sz="4" w:space="0" w:color="000000"/>
            </w:tcBorders>
            <w:shd w:val="clear" w:color="auto" w:fill="auto"/>
            <w:vAlign w:val="bottom"/>
          </w:tcPr>
          <w:p w14:paraId="67C0805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5,51</w:t>
            </w:r>
          </w:p>
        </w:tc>
      </w:tr>
      <w:tr w:rsidR="00A0251B" w:rsidRPr="00CC35F0" w14:paraId="6D239367" w14:textId="77777777">
        <w:trPr>
          <w:trHeight w:val="420"/>
        </w:trPr>
        <w:tc>
          <w:tcPr>
            <w:tcW w:w="4620" w:type="dxa"/>
            <w:tcBorders>
              <w:top w:val="single" w:sz="6" w:space="0" w:color="000000"/>
              <w:left w:val="single" w:sz="4" w:space="0" w:color="000000"/>
              <w:bottom w:val="single" w:sz="6" w:space="0" w:color="000000"/>
              <w:right w:val="single" w:sz="4" w:space="0" w:color="000000"/>
            </w:tcBorders>
            <w:shd w:val="clear" w:color="auto" w:fill="D9D9D9"/>
            <w:vAlign w:val="center"/>
          </w:tcPr>
          <w:p w14:paraId="4C2A00EC" w14:textId="77777777" w:rsidR="00A0251B" w:rsidRPr="00CC35F0" w:rsidRDefault="008D6506">
            <w:pPr>
              <w:spacing w:after="0" w:line="240" w:lineRule="auto"/>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Укупни трошкови спровођења</w:t>
            </w:r>
          </w:p>
        </w:tc>
        <w:tc>
          <w:tcPr>
            <w:tcW w:w="1695" w:type="dxa"/>
            <w:tcBorders>
              <w:top w:val="single" w:sz="6" w:space="0" w:color="000000"/>
              <w:left w:val="nil"/>
              <w:bottom w:val="single" w:sz="6" w:space="0" w:color="000000"/>
              <w:right w:val="single" w:sz="4" w:space="0" w:color="000000"/>
            </w:tcBorders>
            <w:shd w:val="clear" w:color="auto" w:fill="auto"/>
            <w:vAlign w:val="bottom"/>
          </w:tcPr>
          <w:p w14:paraId="0272472A"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642,75</w:t>
            </w:r>
          </w:p>
        </w:tc>
        <w:tc>
          <w:tcPr>
            <w:tcW w:w="1515" w:type="dxa"/>
            <w:tcBorders>
              <w:top w:val="single" w:sz="6" w:space="0" w:color="000000"/>
              <w:left w:val="nil"/>
              <w:bottom w:val="single" w:sz="6" w:space="0" w:color="000000"/>
              <w:right w:val="single" w:sz="4" w:space="0" w:color="000000"/>
            </w:tcBorders>
            <w:shd w:val="clear" w:color="auto" w:fill="auto"/>
            <w:vAlign w:val="bottom"/>
          </w:tcPr>
          <w:p w14:paraId="7520B92C"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1534,90</w:t>
            </w:r>
          </w:p>
        </w:tc>
        <w:tc>
          <w:tcPr>
            <w:tcW w:w="1080" w:type="dxa"/>
            <w:tcBorders>
              <w:top w:val="single" w:sz="6" w:space="0" w:color="000000"/>
              <w:left w:val="nil"/>
              <w:bottom w:val="single" w:sz="6" w:space="0" w:color="000000"/>
              <w:right w:val="single" w:sz="4" w:space="0" w:color="000000"/>
            </w:tcBorders>
            <w:shd w:val="clear" w:color="auto" w:fill="auto"/>
            <w:vAlign w:val="bottom"/>
          </w:tcPr>
          <w:p w14:paraId="036CBF8E"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2177,65</w:t>
            </w:r>
          </w:p>
        </w:tc>
        <w:tc>
          <w:tcPr>
            <w:tcW w:w="1095" w:type="dxa"/>
            <w:tcBorders>
              <w:top w:val="single" w:sz="6" w:space="0" w:color="000000"/>
              <w:left w:val="nil"/>
              <w:bottom w:val="single" w:sz="6" w:space="0" w:color="000000"/>
              <w:right w:val="single" w:sz="4" w:space="0" w:color="000000"/>
            </w:tcBorders>
            <w:shd w:val="clear" w:color="auto" w:fill="auto"/>
            <w:vAlign w:val="bottom"/>
          </w:tcPr>
          <w:p w14:paraId="7DFD6AA5"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424,22</w:t>
            </w:r>
          </w:p>
        </w:tc>
        <w:tc>
          <w:tcPr>
            <w:tcW w:w="1350" w:type="dxa"/>
            <w:tcBorders>
              <w:top w:val="single" w:sz="6" w:space="0" w:color="000000"/>
              <w:left w:val="nil"/>
              <w:bottom w:val="single" w:sz="6" w:space="0" w:color="000000"/>
              <w:right w:val="single" w:sz="4" w:space="0" w:color="000000"/>
            </w:tcBorders>
            <w:shd w:val="clear" w:color="auto" w:fill="auto"/>
            <w:vAlign w:val="bottom"/>
          </w:tcPr>
          <w:p w14:paraId="7DF147C1"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5,51</w:t>
            </w:r>
          </w:p>
        </w:tc>
        <w:tc>
          <w:tcPr>
            <w:tcW w:w="1125" w:type="dxa"/>
            <w:tcBorders>
              <w:top w:val="single" w:sz="6" w:space="0" w:color="000000"/>
              <w:left w:val="nil"/>
              <w:bottom w:val="single" w:sz="6" w:space="0" w:color="000000"/>
              <w:right w:val="single" w:sz="4" w:space="0" w:color="000000"/>
            </w:tcBorders>
            <w:shd w:val="clear" w:color="auto" w:fill="auto"/>
            <w:vAlign w:val="bottom"/>
          </w:tcPr>
          <w:p w14:paraId="2C5AB538"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429,73</w:t>
            </w:r>
          </w:p>
        </w:tc>
        <w:tc>
          <w:tcPr>
            <w:tcW w:w="1335" w:type="dxa"/>
            <w:tcBorders>
              <w:top w:val="single" w:sz="6" w:space="0" w:color="000000"/>
              <w:left w:val="nil"/>
              <w:bottom w:val="single" w:sz="6" w:space="0" w:color="000000"/>
              <w:right w:val="single" w:sz="4" w:space="0" w:color="000000"/>
            </w:tcBorders>
            <w:shd w:val="clear" w:color="auto" w:fill="auto"/>
            <w:vAlign w:val="bottom"/>
          </w:tcPr>
          <w:p w14:paraId="2EE6F3CC"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2607,38</w:t>
            </w:r>
          </w:p>
        </w:tc>
      </w:tr>
    </w:tbl>
    <w:p w14:paraId="08DABC66" w14:textId="77777777" w:rsidR="00A0251B" w:rsidRPr="00CC35F0" w:rsidRDefault="008D6506">
      <w:pPr>
        <w:rPr>
          <w:rFonts w:ascii="Times New Roman" w:eastAsia="Times New Roman" w:hAnsi="Times New Roman"/>
          <w:sz w:val="24"/>
          <w:szCs w:val="24"/>
          <w:lang w:val="sr-Cyrl-CS"/>
        </w:rPr>
        <w:sectPr w:rsidR="00A0251B" w:rsidRPr="00CC35F0">
          <w:headerReference w:type="default" r:id="rId54"/>
          <w:footerReference w:type="default" r:id="rId55"/>
          <w:pgSz w:w="16817" w:h="11901" w:orient="landscape"/>
          <w:pgMar w:top="1418" w:right="862" w:bottom="1134" w:left="1418" w:header="142" w:footer="367" w:gutter="0"/>
          <w:cols w:space="720"/>
        </w:sectPr>
      </w:pPr>
      <w:r w:rsidRPr="00CC35F0">
        <w:rPr>
          <w:rFonts w:ascii="Times New Roman" w:eastAsia="Times New Roman" w:hAnsi="Times New Roman"/>
          <w:sz w:val="24"/>
          <w:szCs w:val="24"/>
          <w:lang w:val="sr-Cyrl-CS"/>
        </w:rPr>
        <w:tab/>
      </w:r>
    </w:p>
    <w:p w14:paraId="4A7A50C6" w14:textId="77777777" w:rsidR="00A0251B" w:rsidRPr="00CC35F0" w:rsidRDefault="008D6506" w:rsidP="001D29AA">
      <w:pPr>
        <w:pStyle w:val="Einzug1"/>
        <w:rPr>
          <w:rFonts w:ascii="Times New Roman" w:hAnsi="Times New Roman"/>
          <w:sz w:val="24"/>
          <w:szCs w:val="24"/>
          <w:lang w:val="sr-Cyrl-CS"/>
        </w:rPr>
      </w:pPr>
      <w:bookmarkStart w:id="106" w:name="_heading=h.1ljsd9k" w:colFirst="0" w:colLast="0"/>
      <w:bookmarkEnd w:id="106"/>
      <w:r w:rsidRPr="00CC35F0">
        <w:rPr>
          <w:rFonts w:ascii="Times New Roman" w:hAnsi="Times New Roman"/>
          <w:sz w:val="24"/>
          <w:szCs w:val="24"/>
          <w:lang w:val="sr-Cyrl-CS"/>
        </w:rPr>
        <w:lastRenderedPageBreak/>
        <w:t>ОКВИРИ ЗА МОНИТОРИНГ И ИЗВЕШТАВАЊЕ О СПРОВОЂЕЊУ ПРОГРАМА</w:t>
      </w:r>
    </w:p>
    <w:p w14:paraId="51798CDA" w14:textId="77777777" w:rsidR="00A0251B" w:rsidRPr="00CC35F0" w:rsidRDefault="008D6506" w:rsidP="00943352">
      <w:pPr>
        <w:ind w:firstLine="432"/>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Надлежни органи и организације дужни су да спроводе процену утицаја својих ПиМ на ниво емисија загађујућих материја у ваздуху и о томе извештавају МЗЖС.</w:t>
      </w:r>
    </w:p>
    <w:p w14:paraId="3F1D67A1" w14:textId="77777777" w:rsidR="00A0251B" w:rsidRPr="00CC35F0" w:rsidRDefault="008D6506" w:rsidP="00943352">
      <w:pPr>
        <w:ind w:firstLine="432"/>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 том смислу, контролу и надзор над спровођењем одређене мере вршиће надлежна институција и о томе ће извештавати </w:t>
      </w:r>
      <w:r w:rsidR="00D42952" w:rsidRPr="00CC35F0">
        <w:rPr>
          <w:rFonts w:ascii="Times New Roman" w:eastAsia="Times New Roman" w:hAnsi="Times New Roman"/>
          <w:sz w:val="24"/>
          <w:szCs w:val="24"/>
          <w:lang w:val="sr-Cyrl-CS"/>
        </w:rPr>
        <w:t>МЗЖС</w:t>
      </w:r>
      <w:r w:rsidRPr="00CC35F0">
        <w:rPr>
          <w:rFonts w:ascii="Times New Roman" w:eastAsia="Times New Roman" w:hAnsi="Times New Roman"/>
          <w:sz w:val="24"/>
          <w:szCs w:val="24"/>
          <w:lang w:val="sr-Cyrl-CS"/>
        </w:rPr>
        <w:t xml:space="preserve">. Спровођење мере ће се пратити и кроз инвентар </w:t>
      </w:r>
      <w:r w:rsidR="000314C7" w:rsidRPr="00CC35F0">
        <w:rPr>
          <w:rFonts w:ascii="Times New Roman" w:eastAsia="Times New Roman" w:hAnsi="Times New Roman"/>
          <w:sz w:val="24"/>
          <w:szCs w:val="24"/>
          <w:lang w:val="sr-Cyrl-CS"/>
        </w:rPr>
        <w:t>CLRTAP</w:t>
      </w:r>
      <w:r w:rsidRPr="00CC35F0">
        <w:rPr>
          <w:rFonts w:ascii="Times New Roman" w:eastAsia="Times New Roman" w:hAnsi="Times New Roman"/>
          <w:sz w:val="24"/>
          <w:szCs w:val="24"/>
          <w:lang w:val="sr-Cyrl-CS"/>
        </w:rPr>
        <w:t>,</w:t>
      </w:r>
      <w:r w:rsidR="00A80DC6"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Мрежу за праћење ква</w:t>
      </w:r>
      <w:r w:rsidR="00917F4E" w:rsidRPr="00CC35F0">
        <w:rPr>
          <w:rFonts w:ascii="Times New Roman" w:eastAsia="Times New Roman" w:hAnsi="Times New Roman"/>
          <w:sz w:val="24"/>
          <w:szCs w:val="24"/>
          <w:lang w:val="sr-Cyrl-CS"/>
        </w:rPr>
        <w:t>литета ваздуха и сет показатеља.</w:t>
      </w:r>
    </w:p>
    <w:p w14:paraId="661D5C8F" w14:textId="77777777" w:rsidR="00A0251B" w:rsidRPr="00CC35F0" w:rsidRDefault="008D6506" w:rsidP="00943352">
      <w:pPr>
        <w:pBdr>
          <w:top w:val="nil"/>
          <w:left w:val="nil"/>
          <w:bottom w:val="nil"/>
          <w:right w:val="nil"/>
          <w:between w:val="nil"/>
        </w:pBdr>
        <w:spacing w:before="120" w:after="60"/>
        <w:ind w:firstLine="432"/>
        <w:rPr>
          <w:rFonts w:ascii="Times New Roman" w:eastAsia="Times New Roman" w:hAnsi="Times New Roman"/>
          <w:b/>
          <w:color w:val="000000"/>
          <w:sz w:val="24"/>
          <w:szCs w:val="24"/>
          <w:lang w:val="sr-Cyrl-CS"/>
        </w:rPr>
      </w:pPr>
      <w:bookmarkStart w:id="107" w:name="_heading=h.45jfvxd" w:colFirst="0" w:colLast="0"/>
      <w:bookmarkEnd w:id="107"/>
      <w:r w:rsidRPr="00CC35F0">
        <w:rPr>
          <w:rFonts w:ascii="Times New Roman" w:eastAsia="Times New Roman" w:hAnsi="Times New Roman"/>
          <w:b/>
          <w:color w:val="000000"/>
          <w:sz w:val="24"/>
          <w:szCs w:val="24"/>
          <w:lang w:val="sr-Cyrl-CS"/>
        </w:rPr>
        <w:t>Слика 29: Оквир мониторинга</w:t>
      </w:r>
    </w:p>
    <w:p w14:paraId="0F74C85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471D02F1" wp14:editId="3F06B19D">
            <wp:extent cx="5010150" cy="3613150"/>
            <wp:effectExtent l="0" t="0" r="0" b="0"/>
            <wp:docPr id="55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6"/>
                    <a:srcRect/>
                    <a:stretch>
                      <a:fillRect/>
                    </a:stretch>
                  </pic:blipFill>
                  <pic:spPr>
                    <a:xfrm>
                      <a:off x="0" y="0"/>
                      <a:ext cx="5010150" cy="3613150"/>
                    </a:xfrm>
                    <a:prstGeom prst="rect">
                      <a:avLst/>
                    </a:prstGeom>
                    <a:ln/>
                  </pic:spPr>
                </pic:pic>
              </a:graphicData>
            </a:graphic>
          </wp:inline>
        </w:drawing>
      </w:r>
    </w:p>
    <w:p w14:paraId="0E35BA9F" w14:textId="77777777" w:rsidR="00A0251B" w:rsidRPr="00CC35F0" w:rsidRDefault="008D6506" w:rsidP="0094335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складу са чланом 43</w:t>
      </w:r>
      <w:r w:rsidR="00AC1E09"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Закона о план</w:t>
      </w:r>
      <w:r w:rsidR="004C111C" w:rsidRPr="00CC35F0">
        <w:rPr>
          <w:rFonts w:ascii="Times New Roman" w:eastAsia="Times New Roman" w:hAnsi="Times New Roman"/>
          <w:sz w:val="24"/>
          <w:szCs w:val="24"/>
          <w:lang w:val="sr-Cyrl-CS"/>
        </w:rPr>
        <w:t>ском систему Републике Србије</w:t>
      </w:r>
      <w:r w:rsidRPr="00CC35F0">
        <w:rPr>
          <w:rFonts w:ascii="Times New Roman" w:eastAsia="Times New Roman" w:hAnsi="Times New Roman"/>
          <w:sz w:val="24"/>
          <w:szCs w:val="24"/>
          <w:lang w:val="sr-Cyrl-CS"/>
        </w:rPr>
        <w:t>, МЗЖС извештава Влад</w:t>
      </w:r>
      <w:r w:rsidR="00AC1E09" w:rsidRPr="00CC35F0">
        <w:rPr>
          <w:rFonts w:ascii="Times New Roman" w:eastAsia="Times New Roman" w:hAnsi="Times New Roman"/>
          <w:sz w:val="24"/>
          <w:szCs w:val="24"/>
          <w:lang w:val="sr-Cyrl-CS"/>
        </w:rPr>
        <w:t>у</w:t>
      </w:r>
      <w:r w:rsidRPr="00CC35F0">
        <w:rPr>
          <w:rFonts w:ascii="Times New Roman" w:eastAsia="Times New Roman" w:hAnsi="Times New Roman"/>
          <w:sz w:val="24"/>
          <w:szCs w:val="24"/>
          <w:lang w:val="sr-Cyrl-CS"/>
        </w:rPr>
        <w:t xml:space="preserve"> о резултатима примене Програма, најкасније 120 дана по истеку сваке треће календарске године од усвајања, као и достављањем завршног извештаја који се подноси најкасније шест месеци од истека важења овог документа.</w:t>
      </w:r>
    </w:p>
    <w:p w14:paraId="3E452E84" w14:textId="77777777" w:rsidR="00A0251B" w:rsidRPr="00CC35F0" w:rsidRDefault="008D6506" w:rsidP="00943352">
      <w:pPr>
        <w:ind w:firstLine="720"/>
        <w:rPr>
          <w:rFonts w:ascii="Times New Roman" w:eastAsia="Times New Roman" w:hAnsi="Times New Roman"/>
          <w:b/>
          <w:i/>
          <w:sz w:val="24"/>
          <w:szCs w:val="24"/>
          <w:lang w:val="sr-Cyrl-CS"/>
        </w:rPr>
      </w:pPr>
      <w:r w:rsidRPr="00CC35F0">
        <w:rPr>
          <w:rFonts w:ascii="Times New Roman" w:eastAsia="Times New Roman" w:hAnsi="Times New Roman"/>
          <w:sz w:val="24"/>
          <w:szCs w:val="24"/>
          <w:lang w:val="sr-Cyrl-CS"/>
        </w:rPr>
        <w:t xml:space="preserve">Показатељи учинка на нивоу општег и посебних циљева представљени су у </w:t>
      </w:r>
      <w:r w:rsidRPr="00CC35F0">
        <w:rPr>
          <w:rFonts w:ascii="Times New Roman" w:eastAsia="Times New Roman" w:hAnsi="Times New Roman"/>
          <w:b/>
          <w:sz w:val="24"/>
          <w:szCs w:val="24"/>
          <w:lang w:val="sr-Cyrl-CS"/>
        </w:rPr>
        <w:t>Табели 8-1</w:t>
      </w:r>
      <w:r w:rsidRPr="00CC35F0">
        <w:rPr>
          <w:rFonts w:ascii="Times New Roman" w:eastAsia="Times New Roman" w:hAnsi="Times New Roman"/>
          <w:sz w:val="24"/>
          <w:szCs w:val="24"/>
          <w:lang w:val="sr-Cyrl-CS"/>
        </w:rPr>
        <w:t xml:space="preserve">, док је мониторинг мера на нивоу активности представљен у </w:t>
      </w:r>
      <w:r w:rsidRPr="00CC35F0">
        <w:rPr>
          <w:rFonts w:ascii="Times New Roman" w:eastAsia="Times New Roman" w:hAnsi="Times New Roman"/>
          <w:b/>
          <w:sz w:val="24"/>
          <w:szCs w:val="24"/>
          <w:lang w:val="sr-Cyrl-CS"/>
        </w:rPr>
        <w:t>Табели 8-2</w:t>
      </w:r>
      <w:r w:rsidRPr="00CC35F0">
        <w:rPr>
          <w:rFonts w:ascii="Times New Roman" w:eastAsia="Times New Roman" w:hAnsi="Times New Roman"/>
          <w:sz w:val="24"/>
          <w:szCs w:val="24"/>
          <w:lang w:val="sr-Cyrl-CS"/>
        </w:rPr>
        <w:t>.</w:t>
      </w:r>
    </w:p>
    <w:p w14:paraId="7F16661A" w14:textId="77777777" w:rsidR="00A0251B" w:rsidRPr="00CC35F0" w:rsidRDefault="00A0251B">
      <w:pPr>
        <w:rPr>
          <w:rFonts w:ascii="Times New Roman" w:eastAsia="Times New Roman" w:hAnsi="Times New Roman"/>
          <w:sz w:val="24"/>
          <w:szCs w:val="24"/>
          <w:lang w:val="sr-Cyrl-CS"/>
        </w:rPr>
        <w:sectPr w:rsidR="00A0251B" w:rsidRPr="00CC35F0">
          <w:headerReference w:type="default" r:id="rId57"/>
          <w:footerReference w:type="default" r:id="rId58"/>
          <w:pgSz w:w="11901" w:h="16817"/>
          <w:pgMar w:top="1843" w:right="1277" w:bottom="1276" w:left="1440" w:header="142" w:footer="247" w:gutter="0"/>
          <w:cols w:space="720"/>
        </w:sectPr>
      </w:pPr>
    </w:p>
    <w:p w14:paraId="1957DFB8" w14:textId="77777777" w:rsidR="00A0251B" w:rsidRPr="00CC35F0" w:rsidRDefault="00A0251B">
      <w:pPr>
        <w:pBdr>
          <w:top w:val="nil"/>
          <w:left w:val="nil"/>
          <w:bottom w:val="nil"/>
          <w:right w:val="nil"/>
          <w:between w:val="nil"/>
        </w:pBdr>
        <w:spacing w:before="120" w:after="60"/>
        <w:rPr>
          <w:rFonts w:ascii="Times New Roman" w:eastAsia="Times New Roman" w:hAnsi="Times New Roman"/>
          <w:i/>
          <w:color w:val="000000"/>
          <w:sz w:val="24"/>
          <w:szCs w:val="24"/>
          <w:lang w:val="sr-Cyrl-CS"/>
        </w:rPr>
      </w:pPr>
      <w:bookmarkStart w:id="108" w:name="_heading=h.2koq656" w:colFirst="0" w:colLast="0"/>
      <w:bookmarkEnd w:id="108"/>
    </w:p>
    <w:p w14:paraId="5B2E5B73" w14:textId="77777777" w:rsidR="00A0251B" w:rsidRPr="00CC35F0" w:rsidRDefault="00A0251B">
      <w:pPr>
        <w:pBdr>
          <w:top w:val="nil"/>
          <w:left w:val="nil"/>
          <w:bottom w:val="nil"/>
          <w:right w:val="nil"/>
          <w:between w:val="nil"/>
        </w:pBdr>
        <w:spacing w:before="120" w:after="60"/>
        <w:rPr>
          <w:rFonts w:ascii="Times New Roman" w:eastAsia="Times New Roman" w:hAnsi="Times New Roman"/>
          <w:i/>
          <w:color w:val="000000"/>
          <w:sz w:val="24"/>
          <w:szCs w:val="24"/>
          <w:lang w:val="sr-Cyrl-CS"/>
        </w:rPr>
      </w:pPr>
    </w:p>
    <w:p w14:paraId="1C77412B" w14:textId="77777777" w:rsidR="00A0251B" w:rsidRPr="00CC35F0" w:rsidRDefault="008D6506">
      <w:pPr>
        <w:pBdr>
          <w:top w:val="nil"/>
          <w:left w:val="nil"/>
          <w:bottom w:val="nil"/>
          <w:right w:val="nil"/>
          <w:between w:val="nil"/>
        </w:pBdr>
        <w:spacing w:before="120" w:after="60"/>
        <w:rPr>
          <w:rFonts w:ascii="Times New Roman" w:eastAsia="Times New Roman" w:hAnsi="Times New Roman"/>
          <w:b/>
          <w:i/>
          <w:color w:val="000000"/>
          <w:sz w:val="24"/>
          <w:szCs w:val="24"/>
          <w:lang w:val="sr-Cyrl-CS"/>
        </w:rPr>
      </w:pPr>
      <w:bookmarkStart w:id="109" w:name="_heading=h.zu0gcz" w:colFirst="0" w:colLast="0"/>
      <w:bookmarkEnd w:id="109"/>
      <w:r w:rsidRPr="00CC35F0">
        <w:rPr>
          <w:rFonts w:ascii="Times New Roman" w:eastAsia="Times New Roman" w:hAnsi="Times New Roman"/>
          <w:b/>
          <w:i/>
          <w:color w:val="000000"/>
          <w:sz w:val="24"/>
          <w:szCs w:val="24"/>
          <w:lang w:val="sr-Cyrl-CS"/>
        </w:rPr>
        <w:t>Табела 8-1: Показатељи на нивоу општег и посебних циљева</w:t>
      </w:r>
    </w:p>
    <w:tbl>
      <w:tblPr>
        <w:tblStyle w:val="af6"/>
        <w:tblW w:w="13675" w:type="dxa"/>
        <w:tblLayout w:type="fixed"/>
        <w:tblLook w:val="0400" w:firstRow="0" w:lastRow="0" w:firstColumn="0" w:lastColumn="0" w:noHBand="0" w:noVBand="1"/>
      </w:tblPr>
      <w:tblGrid>
        <w:gridCol w:w="4422"/>
        <w:gridCol w:w="2428"/>
        <w:gridCol w:w="1875"/>
        <w:gridCol w:w="1980"/>
        <w:gridCol w:w="2970"/>
      </w:tblGrid>
      <w:tr w:rsidR="00A0251B" w:rsidRPr="00CC35F0" w14:paraId="5D2DF686" w14:textId="77777777">
        <w:trPr>
          <w:trHeight w:val="660"/>
          <w:tblHeader/>
        </w:trPr>
        <w:tc>
          <w:tcPr>
            <w:tcW w:w="4422"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260BC1CD" w14:textId="77777777" w:rsidR="00A0251B" w:rsidRPr="00CC35F0" w:rsidRDefault="008D6506">
            <w:pPr>
              <w:spacing w:after="0"/>
              <w:jc w:val="center"/>
              <w:rPr>
                <w:rFonts w:ascii="Times New Roman" w:eastAsia="Times New Roman" w:hAnsi="Times New Roman"/>
                <w:b/>
                <w:sz w:val="24"/>
                <w:szCs w:val="24"/>
                <w:lang w:val="sr-Cyrl-CS"/>
              </w:rPr>
            </w:pPr>
            <w:bookmarkStart w:id="110" w:name="_heading=h.3jtnz0s" w:colFirst="0" w:colLast="0"/>
            <w:bookmarkEnd w:id="110"/>
            <w:r w:rsidRPr="00CC35F0">
              <w:rPr>
                <w:rFonts w:ascii="Times New Roman" w:eastAsia="Times New Roman" w:hAnsi="Times New Roman"/>
                <w:b/>
                <w:sz w:val="24"/>
                <w:szCs w:val="24"/>
                <w:lang w:val="sr-Cyrl-CS"/>
              </w:rPr>
              <w:t>Елементи Програма</w:t>
            </w:r>
          </w:p>
        </w:tc>
        <w:tc>
          <w:tcPr>
            <w:tcW w:w="2428" w:type="dxa"/>
            <w:vMerge w:val="restart"/>
            <w:tcBorders>
              <w:top w:val="single" w:sz="4" w:space="0" w:color="000000"/>
              <w:left w:val="single" w:sz="4" w:space="0" w:color="000000"/>
              <w:right w:val="single" w:sz="4" w:space="0" w:color="000000"/>
            </w:tcBorders>
            <w:shd w:val="clear" w:color="auto" w:fill="D9D9D9"/>
            <w:vAlign w:val="center"/>
          </w:tcPr>
          <w:p w14:paraId="2C168B46"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Показатељ</w:t>
            </w:r>
          </w:p>
        </w:tc>
        <w:tc>
          <w:tcPr>
            <w:tcW w:w="187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7E9BFF0"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Полазна вредност </w:t>
            </w:r>
          </w:p>
        </w:tc>
        <w:tc>
          <w:tcPr>
            <w:tcW w:w="198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D754D47"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Циљана вредност</w:t>
            </w:r>
          </w:p>
        </w:tc>
        <w:tc>
          <w:tcPr>
            <w:tcW w:w="297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782276A1"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Извор верификације</w:t>
            </w:r>
          </w:p>
        </w:tc>
      </w:tr>
      <w:tr w:rsidR="00A0251B" w:rsidRPr="00CC35F0" w14:paraId="1972D667" w14:textId="77777777">
        <w:trPr>
          <w:trHeight w:val="450"/>
          <w:tblHeader/>
        </w:trPr>
        <w:tc>
          <w:tcPr>
            <w:tcW w:w="4422"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47574C3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2428" w:type="dxa"/>
            <w:vMerge/>
            <w:tcBorders>
              <w:top w:val="single" w:sz="4" w:space="0" w:color="000000"/>
              <w:left w:val="single" w:sz="4" w:space="0" w:color="000000"/>
              <w:right w:val="single" w:sz="4" w:space="0" w:color="000000"/>
            </w:tcBorders>
            <w:shd w:val="clear" w:color="auto" w:fill="D9D9D9"/>
            <w:vAlign w:val="center"/>
          </w:tcPr>
          <w:p w14:paraId="7B13DC8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875" w:type="dxa"/>
            <w:vMerge w:val="restart"/>
            <w:tcBorders>
              <w:top w:val="single" w:sz="4" w:space="0" w:color="000000"/>
              <w:left w:val="single" w:sz="4" w:space="0" w:color="000000"/>
              <w:right w:val="single" w:sz="4" w:space="0" w:color="000000"/>
            </w:tcBorders>
            <w:shd w:val="clear" w:color="auto" w:fill="D9D9D9"/>
            <w:vAlign w:val="center"/>
          </w:tcPr>
          <w:p w14:paraId="43FF2ABD"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2015.</w:t>
            </w:r>
          </w:p>
        </w:tc>
        <w:tc>
          <w:tcPr>
            <w:tcW w:w="1980" w:type="dxa"/>
            <w:vMerge w:val="restart"/>
            <w:tcBorders>
              <w:top w:val="single" w:sz="4" w:space="0" w:color="000000"/>
              <w:left w:val="single" w:sz="4" w:space="0" w:color="000000"/>
              <w:right w:val="single" w:sz="4" w:space="0" w:color="000000"/>
            </w:tcBorders>
            <w:shd w:val="clear" w:color="auto" w:fill="D9D9D9"/>
            <w:vAlign w:val="center"/>
          </w:tcPr>
          <w:p w14:paraId="2F176177" w14:textId="77777777" w:rsidR="00A0251B" w:rsidRPr="00CC35F0" w:rsidRDefault="008D6506">
            <w:pPr>
              <w:spacing w:after="0"/>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2030.</w:t>
            </w:r>
          </w:p>
        </w:tc>
        <w:tc>
          <w:tcPr>
            <w:tcW w:w="297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2F02CCA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r>
      <w:tr w:rsidR="00A0251B" w:rsidRPr="00CC35F0" w14:paraId="2C5F121B" w14:textId="77777777" w:rsidTr="005D01F4">
        <w:trPr>
          <w:trHeight w:val="450"/>
          <w:tblHeader/>
        </w:trPr>
        <w:tc>
          <w:tcPr>
            <w:tcW w:w="4422" w:type="dxa"/>
            <w:vMerge/>
            <w:tcBorders>
              <w:top w:val="single" w:sz="4" w:space="0" w:color="000000"/>
              <w:left w:val="single" w:sz="4" w:space="0" w:color="000000"/>
              <w:bottom w:val="single" w:sz="4" w:space="0" w:color="auto"/>
              <w:right w:val="single" w:sz="4" w:space="0" w:color="000000"/>
            </w:tcBorders>
            <w:shd w:val="clear" w:color="auto" w:fill="D9D9D9"/>
            <w:vAlign w:val="center"/>
          </w:tcPr>
          <w:p w14:paraId="6597E0D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2428" w:type="dxa"/>
            <w:vMerge/>
            <w:tcBorders>
              <w:top w:val="single" w:sz="4" w:space="0" w:color="000000"/>
              <w:left w:val="single" w:sz="4" w:space="0" w:color="000000"/>
              <w:right w:val="single" w:sz="4" w:space="0" w:color="000000"/>
            </w:tcBorders>
            <w:shd w:val="clear" w:color="auto" w:fill="D9D9D9"/>
            <w:vAlign w:val="center"/>
          </w:tcPr>
          <w:p w14:paraId="0E98A2F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875" w:type="dxa"/>
            <w:vMerge/>
            <w:tcBorders>
              <w:top w:val="single" w:sz="4" w:space="0" w:color="000000"/>
              <w:left w:val="single" w:sz="4" w:space="0" w:color="000000"/>
              <w:right w:val="single" w:sz="4" w:space="0" w:color="000000"/>
            </w:tcBorders>
            <w:shd w:val="clear" w:color="auto" w:fill="D9D9D9"/>
            <w:vAlign w:val="center"/>
          </w:tcPr>
          <w:p w14:paraId="10B1C7C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980" w:type="dxa"/>
            <w:vMerge/>
            <w:tcBorders>
              <w:top w:val="single" w:sz="4" w:space="0" w:color="000000"/>
              <w:left w:val="single" w:sz="4" w:space="0" w:color="000000"/>
              <w:right w:val="single" w:sz="4" w:space="0" w:color="000000"/>
            </w:tcBorders>
            <w:shd w:val="clear" w:color="auto" w:fill="D9D9D9"/>
            <w:vAlign w:val="center"/>
          </w:tcPr>
          <w:p w14:paraId="0F4A37E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297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2D4E354A"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r>
      <w:tr w:rsidR="00A0251B" w:rsidRPr="00CC35F0" w14:paraId="2F0B5317" w14:textId="77777777" w:rsidTr="005D01F4">
        <w:trPr>
          <w:trHeight w:val="855"/>
        </w:trPr>
        <w:tc>
          <w:tcPr>
            <w:tcW w:w="44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464E74" w14:textId="77777777" w:rsidR="00A0251B" w:rsidRPr="00CC35F0" w:rsidRDefault="008D6506">
            <w:pPr>
              <w:spacing w:before="60" w:after="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Општи циљ:</w:t>
            </w:r>
          </w:p>
          <w:p w14:paraId="623C9E44" w14:textId="77777777" w:rsidR="00A0251B" w:rsidRPr="00CC35F0" w:rsidRDefault="008D6506">
            <w:pPr>
              <w:spacing w:after="0" w:line="240" w:lineRule="auto"/>
              <w:ind w:left="360"/>
              <w:rPr>
                <w:rFonts w:ascii="Times New Roman" w:eastAsia="Times New Roman" w:hAnsi="Times New Roman"/>
                <w:i/>
                <w:sz w:val="24"/>
                <w:szCs w:val="24"/>
                <w:lang w:val="sr-Cyrl-CS"/>
              </w:rPr>
            </w:pPr>
            <w:r w:rsidRPr="00CC35F0">
              <w:rPr>
                <w:rFonts w:ascii="Times New Roman" w:eastAsia="Times New Roman" w:hAnsi="Times New Roman"/>
                <w:i/>
                <w:sz w:val="24"/>
                <w:szCs w:val="24"/>
                <w:lang w:val="sr-Cyrl-CS"/>
              </w:rPr>
              <w:t>Смањење штетних утицаја на здравље услед излагања ваздуху лошег квалитета до 2030. у поређењу са 2015. годином смањењем излагања загађењу ваздуха, у исто време омогућавајући да се</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i/>
                <w:sz w:val="24"/>
                <w:szCs w:val="24"/>
                <w:lang w:val="sr-Cyrl-CS"/>
              </w:rPr>
              <w:t>Република Србија усклади са регулаторним ограничењима прописаним у Европској унији за загађење ваздуха, и ограничавајући штетне утицаје на екосистеме</w:t>
            </w:r>
          </w:p>
          <w:p w14:paraId="4A9086A5" w14:textId="77777777" w:rsidR="00A0251B" w:rsidRPr="00CC35F0" w:rsidRDefault="00A0251B">
            <w:pPr>
              <w:spacing w:after="0" w:line="240" w:lineRule="auto"/>
              <w:ind w:left="360"/>
              <w:jc w:val="left"/>
              <w:rPr>
                <w:rFonts w:ascii="Times New Roman" w:eastAsia="Times New Roman" w:hAnsi="Times New Roman"/>
                <w:sz w:val="24"/>
                <w:szCs w:val="24"/>
                <w:lang w:val="sr-Cyrl-CS"/>
              </w:rPr>
            </w:pPr>
          </w:p>
        </w:tc>
        <w:tc>
          <w:tcPr>
            <w:tcW w:w="2428" w:type="dxa"/>
            <w:tcBorders>
              <w:top w:val="single" w:sz="4" w:space="0" w:color="000000"/>
              <w:left w:val="single" w:sz="4" w:space="0" w:color="auto"/>
              <w:bottom w:val="nil"/>
              <w:right w:val="single" w:sz="4" w:space="0" w:color="000000"/>
            </w:tcBorders>
            <w:shd w:val="clear" w:color="auto" w:fill="auto"/>
            <w:vAlign w:val="center"/>
          </w:tcPr>
          <w:p w14:paraId="258A5005" w14:textId="77777777" w:rsidR="00A0251B" w:rsidRPr="00CC35F0" w:rsidRDefault="008D6506">
            <w:pPr>
              <w:spacing w:after="0" w:line="240" w:lineRule="auto"/>
              <w:jc w:val="center"/>
              <w:rPr>
                <w:rFonts w:ascii="Times New Roman" w:eastAsia="Times New Roman" w:hAnsi="Times New Roman"/>
                <w:strike/>
                <w:sz w:val="24"/>
                <w:szCs w:val="24"/>
                <w:lang w:val="sr-Cyrl-CS"/>
              </w:rPr>
            </w:pPr>
            <w:r w:rsidRPr="00CC35F0">
              <w:rPr>
                <w:rFonts w:ascii="Times New Roman" w:eastAsia="Times New Roman" w:hAnsi="Times New Roman"/>
                <w:sz w:val="24"/>
                <w:szCs w:val="24"/>
                <w:lang w:val="sr-Cyrl-CS"/>
              </w:rPr>
              <w:t>Удео мерних станица за праћење квалитета ваздуха на којима је више од 35 пута у једној календарској години прекорачена дневна гранична вредност</w:t>
            </w:r>
            <w:r w:rsidRPr="00CC35F0">
              <w:rPr>
                <w:rFonts w:ascii="Times New Roman" w:eastAsia="Times New Roman" w:hAnsi="Times New Roman"/>
                <w:strike/>
                <w:sz w:val="24"/>
                <w:szCs w:val="24"/>
                <w:lang w:val="sr-Cyrl-CS"/>
              </w:rPr>
              <w:t xml:space="preserve"> </w:t>
            </w:r>
            <w:r w:rsidRPr="00CC35F0">
              <w:rPr>
                <w:rFonts w:ascii="Times New Roman" w:eastAsia="Times New Roman" w:hAnsi="Times New Roman"/>
                <w:sz w:val="24"/>
                <w:szCs w:val="24"/>
                <w:lang w:val="sr-Cyrl-CS"/>
              </w:rPr>
              <w:t>од 50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за РМ</w:t>
            </w:r>
            <w:r w:rsidRPr="00CC35F0">
              <w:rPr>
                <w:rFonts w:ascii="Times New Roman" w:eastAsia="Times New Roman" w:hAnsi="Times New Roman"/>
                <w:sz w:val="24"/>
                <w:szCs w:val="24"/>
                <w:vertAlign w:val="subscript"/>
                <w:lang w:val="sr-Cyrl-CS"/>
              </w:rPr>
              <w:t xml:space="preserve">10 </w:t>
            </w:r>
            <w:r w:rsidRPr="00CC35F0">
              <w:rPr>
                <w:rFonts w:ascii="Times New Roman" w:eastAsia="Times New Roman" w:hAnsi="Times New Roman"/>
                <w:sz w:val="24"/>
                <w:szCs w:val="24"/>
                <w:lang w:val="sr-Cyrl-CS"/>
              </w:rPr>
              <w:t>(%)</w:t>
            </w:r>
          </w:p>
        </w:tc>
        <w:tc>
          <w:tcPr>
            <w:tcW w:w="1875" w:type="dxa"/>
            <w:tcBorders>
              <w:top w:val="single" w:sz="4" w:space="0" w:color="000000"/>
              <w:left w:val="nil"/>
              <w:bottom w:val="nil"/>
              <w:right w:val="single" w:sz="4" w:space="0" w:color="000000"/>
            </w:tcBorders>
            <w:shd w:val="clear" w:color="auto" w:fill="auto"/>
            <w:vAlign w:val="center"/>
          </w:tcPr>
          <w:p w14:paraId="462C8EC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83</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D722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04B09"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Годишњи извештај о квалитету ваздуха у Србији (АЗЖС)</w:t>
            </w:r>
          </w:p>
        </w:tc>
      </w:tr>
      <w:tr w:rsidR="00A0251B" w:rsidRPr="00CC35F0" w14:paraId="1DA52D0A" w14:textId="77777777" w:rsidTr="005D01F4">
        <w:trPr>
          <w:trHeight w:val="945"/>
        </w:trPr>
        <w:tc>
          <w:tcPr>
            <w:tcW w:w="44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07F6362"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2428" w:type="dxa"/>
            <w:tcBorders>
              <w:top w:val="single" w:sz="4" w:space="0" w:color="000000"/>
              <w:left w:val="single" w:sz="4" w:space="0" w:color="auto"/>
              <w:bottom w:val="single" w:sz="4" w:space="0" w:color="000000"/>
              <w:right w:val="single" w:sz="4" w:space="0" w:color="000000"/>
            </w:tcBorders>
            <w:shd w:val="clear" w:color="auto" w:fill="auto"/>
            <w:vAlign w:val="center"/>
          </w:tcPr>
          <w:p w14:paraId="12149220"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мерне станице за праћење квалитета ваздуха на којима је прекорачена годишња гранична вредност за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w:t>
            </w:r>
          </w:p>
        </w:tc>
        <w:tc>
          <w:tcPr>
            <w:tcW w:w="1875" w:type="dxa"/>
            <w:tcBorders>
              <w:top w:val="single" w:sz="4" w:space="0" w:color="000000"/>
              <w:left w:val="nil"/>
              <w:bottom w:val="nil"/>
              <w:right w:val="single" w:sz="4" w:space="0" w:color="000000"/>
            </w:tcBorders>
            <w:shd w:val="clear" w:color="auto" w:fill="auto"/>
            <w:vAlign w:val="center"/>
          </w:tcPr>
          <w:p w14:paraId="3A36A23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75</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970C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8F5A8"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Годишњи извештај о квалитету ваздуха у Србији (АЗЖС)</w:t>
            </w:r>
          </w:p>
        </w:tc>
      </w:tr>
      <w:tr w:rsidR="00A0251B" w:rsidRPr="00CC35F0" w14:paraId="6A6549A2" w14:textId="77777777" w:rsidTr="005D01F4">
        <w:trPr>
          <w:trHeight w:val="913"/>
        </w:trPr>
        <w:tc>
          <w:tcPr>
            <w:tcW w:w="44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4BD878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2428" w:type="dxa"/>
            <w:tcBorders>
              <w:top w:val="nil"/>
              <w:left w:val="single" w:sz="4" w:space="0" w:color="auto"/>
              <w:bottom w:val="single" w:sz="4" w:space="0" w:color="000000"/>
              <w:right w:val="single" w:sz="4" w:space="0" w:color="000000"/>
            </w:tcBorders>
            <w:shd w:val="clear" w:color="auto" w:fill="auto"/>
            <w:vAlign w:val="center"/>
          </w:tcPr>
          <w:p w14:paraId="560587BB"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Број дана када је у Бору прекорачена гранична вредност за SO</w:t>
            </w:r>
            <w:r w:rsidRPr="00CC35F0">
              <w:rPr>
                <w:rFonts w:ascii="Times New Roman" w:eastAsia="Times New Roman" w:hAnsi="Times New Roman"/>
                <w:sz w:val="24"/>
                <w:szCs w:val="24"/>
                <w:vertAlign w:val="subscript"/>
                <w:lang w:val="sr-Cyrl-CS"/>
              </w:rPr>
              <w:t xml:space="preserve">2 </w:t>
            </w:r>
            <w:r w:rsidRPr="00CC35F0">
              <w:rPr>
                <w:rFonts w:ascii="Times New Roman" w:eastAsia="Times New Roman" w:hAnsi="Times New Roman"/>
                <w:sz w:val="24"/>
                <w:szCs w:val="24"/>
                <w:lang w:val="sr-Cyrl-CS"/>
              </w:rPr>
              <w:t xml:space="preserve">за период усредњавања један дан </w:t>
            </w:r>
          </w:p>
        </w:tc>
        <w:tc>
          <w:tcPr>
            <w:tcW w:w="1875" w:type="dxa"/>
            <w:tcBorders>
              <w:top w:val="single" w:sz="4" w:space="0" w:color="000000"/>
              <w:left w:val="nil"/>
              <w:bottom w:val="single" w:sz="4" w:space="0" w:color="000000"/>
              <w:right w:val="single" w:sz="4" w:space="0" w:color="000000"/>
            </w:tcBorders>
            <w:shd w:val="clear" w:color="auto" w:fill="auto"/>
            <w:vAlign w:val="center"/>
          </w:tcPr>
          <w:p w14:paraId="2D34FF8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139</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BBBC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&lt;3</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FA40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Годишњи извештај о квалитету ваздуха у Србији (АЗЖС)</w:t>
            </w:r>
          </w:p>
        </w:tc>
      </w:tr>
      <w:tr w:rsidR="00A0251B" w:rsidRPr="00CC35F0" w14:paraId="3A30DE0C" w14:textId="77777777" w:rsidTr="005D01F4">
        <w:trPr>
          <w:trHeight w:val="262"/>
        </w:trPr>
        <w:tc>
          <w:tcPr>
            <w:tcW w:w="44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AC6AD8F"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2428" w:type="dxa"/>
            <w:tcBorders>
              <w:top w:val="single" w:sz="4" w:space="0" w:color="000000"/>
              <w:left w:val="single" w:sz="4" w:space="0" w:color="auto"/>
              <w:bottom w:val="single" w:sz="4" w:space="0" w:color="000000"/>
              <w:right w:val="single" w:sz="4" w:space="0" w:color="000000"/>
            </w:tcBorders>
            <w:shd w:val="clear" w:color="auto" w:fill="auto"/>
            <w:vAlign w:val="center"/>
          </w:tcPr>
          <w:p w14:paraId="42FD1B65"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Просечни нивои годишње концентрације арсена у Бору (ng/m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w:t>
            </w:r>
          </w:p>
        </w:tc>
        <w:tc>
          <w:tcPr>
            <w:tcW w:w="1875" w:type="dxa"/>
            <w:tcBorders>
              <w:top w:val="single" w:sz="4" w:space="0" w:color="000000"/>
              <w:left w:val="nil"/>
              <w:bottom w:val="single" w:sz="4" w:space="0" w:color="000000"/>
              <w:right w:val="single" w:sz="4" w:space="0" w:color="000000"/>
            </w:tcBorders>
            <w:shd w:val="clear" w:color="auto" w:fill="auto"/>
            <w:vAlign w:val="center"/>
          </w:tcPr>
          <w:p w14:paraId="0310C05F"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(НE)</w:t>
            </w:r>
            <w:r w:rsidRPr="00CC35F0">
              <w:rPr>
                <w:rFonts w:ascii="Times New Roman" w:eastAsia="Times New Roman" w:hAnsi="Times New Roman"/>
                <w:sz w:val="24"/>
                <w:szCs w:val="24"/>
                <w:vertAlign w:val="superscript"/>
                <w:lang w:val="sr-Cyrl-CS"/>
              </w:rPr>
              <w:footnoteReference w:id="64"/>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B0A559"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w:t>
            </w:r>
          </w:p>
        </w:tc>
        <w:tc>
          <w:tcPr>
            <w:tcW w:w="2970" w:type="dxa"/>
            <w:tcBorders>
              <w:top w:val="nil"/>
              <w:left w:val="single" w:sz="4" w:space="0" w:color="000000"/>
              <w:bottom w:val="single" w:sz="4" w:space="0" w:color="000000"/>
              <w:right w:val="single" w:sz="4" w:space="0" w:color="000000"/>
            </w:tcBorders>
            <w:shd w:val="clear" w:color="auto" w:fill="auto"/>
            <w:vAlign w:val="center"/>
          </w:tcPr>
          <w:p w14:paraId="77C420F2"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Годишњи извештај о квалитету ваздуха у Србији (АЗЖС)</w:t>
            </w:r>
          </w:p>
        </w:tc>
      </w:tr>
      <w:tr w:rsidR="00A0251B" w:rsidRPr="00CC35F0" w14:paraId="28CE812E" w14:textId="77777777" w:rsidTr="005D01F4">
        <w:trPr>
          <w:trHeight w:val="172"/>
        </w:trPr>
        <w:tc>
          <w:tcPr>
            <w:tcW w:w="44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FC34F31"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2428" w:type="dxa"/>
            <w:tcBorders>
              <w:top w:val="nil"/>
              <w:left w:val="single" w:sz="4" w:space="0" w:color="auto"/>
              <w:bottom w:val="single" w:sz="4" w:space="0" w:color="000000"/>
              <w:right w:val="single" w:sz="4" w:space="0" w:color="000000"/>
            </w:tcBorders>
            <w:shd w:val="clear" w:color="auto" w:fill="auto"/>
            <w:vAlign w:val="center"/>
          </w:tcPr>
          <w:p w14:paraId="02C20D08"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Просечни нивои годишње концентрације кадмијума у Бору (ng/m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w:t>
            </w:r>
          </w:p>
        </w:tc>
        <w:tc>
          <w:tcPr>
            <w:tcW w:w="1875" w:type="dxa"/>
            <w:tcBorders>
              <w:top w:val="single" w:sz="4" w:space="0" w:color="000000"/>
              <w:left w:val="nil"/>
              <w:bottom w:val="single" w:sz="4" w:space="0" w:color="000000"/>
              <w:right w:val="single" w:sz="4" w:space="0" w:color="000000"/>
            </w:tcBorders>
            <w:shd w:val="clear" w:color="auto" w:fill="auto"/>
            <w:vAlign w:val="center"/>
          </w:tcPr>
          <w:p w14:paraId="697A93B1"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(НE)</w:t>
            </w:r>
            <w:r w:rsidRPr="00CC35F0">
              <w:rPr>
                <w:rFonts w:ascii="Times New Roman" w:eastAsia="Times New Roman" w:hAnsi="Times New Roman"/>
                <w:sz w:val="24"/>
                <w:szCs w:val="24"/>
                <w:vertAlign w:val="superscript"/>
                <w:lang w:val="sr-Cyrl-CS"/>
              </w:rPr>
              <w:footnoteReference w:id="65"/>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0D874"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p>
        </w:tc>
        <w:tc>
          <w:tcPr>
            <w:tcW w:w="2970" w:type="dxa"/>
            <w:tcBorders>
              <w:top w:val="nil"/>
              <w:left w:val="single" w:sz="4" w:space="0" w:color="000000"/>
              <w:bottom w:val="single" w:sz="4" w:space="0" w:color="000000"/>
              <w:right w:val="single" w:sz="4" w:space="0" w:color="000000"/>
            </w:tcBorders>
            <w:shd w:val="clear" w:color="auto" w:fill="auto"/>
            <w:vAlign w:val="center"/>
          </w:tcPr>
          <w:p w14:paraId="4FFC9AE1" w14:textId="77777777" w:rsidR="00A0251B" w:rsidRPr="00CC35F0" w:rsidRDefault="008D6506">
            <w:pPr>
              <w:spacing w:after="0"/>
              <w:jc w:val="center"/>
              <w:rPr>
                <w:rFonts w:ascii="Times New Roman" w:eastAsia="Times New Roman" w:hAnsi="Times New Roman"/>
                <w:sz w:val="24"/>
                <w:szCs w:val="24"/>
                <w:lang w:val="sr-Cyrl-CS"/>
              </w:rPr>
            </w:pPr>
            <w:bookmarkStart w:id="111" w:name="bookmark=id.1yyy98l" w:colFirst="0" w:colLast="0"/>
            <w:bookmarkEnd w:id="111"/>
            <w:r w:rsidRPr="00CC35F0">
              <w:rPr>
                <w:rFonts w:ascii="Times New Roman" w:eastAsia="Times New Roman" w:hAnsi="Times New Roman"/>
                <w:sz w:val="24"/>
                <w:szCs w:val="24"/>
                <w:lang w:val="sr-Cyrl-CS"/>
              </w:rPr>
              <w:t>Годишњи извештај о квалитету ваздуха у Србији (АЗЖС)</w:t>
            </w:r>
          </w:p>
        </w:tc>
      </w:tr>
      <w:tr w:rsidR="00A0251B" w:rsidRPr="00CC35F0" w14:paraId="5C34FCA0" w14:textId="77777777" w:rsidTr="005D01F4">
        <w:trPr>
          <w:trHeight w:val="688"/>
        </w:trPr>
        <w:tc>
          <w:tcPr>
            <w:tcW w:w="44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53E9A94"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sz w:val="24"/>
                <w:szCs w:val="24"/>
                <w:lang w:val="sr-Cyrl-CS"/>
              </w:rPr>
            </w:pPr>
          </w:p>
        </w:tc>
        <w:tc>
          <w:tcPr>
            <w:tcW w:w="2428" w:type="dxa"/>
            <w:tcBorders>
              <w:top w:val="single" w:sz="4" w:space="0" w:color="000000"/>
              <w:left w:val="single" w:sz="4" w:space="0" w:color="auto"/>
              <w:bottom w:val="single" w:sz="4" w:space="0" w:color="000000"/>
              <w:right w:val="single" w:sz="4" w:space="0" w:color="000000"/>
            </w:tcBorders>
            <w:shd w:val="clear" w:color="auto" w:fill="auto"/>
            <w:vAlign w:val="center"/>
          </w:tcPr>
          <w:p w14:paraId="1DBCE394"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Просечан годишњи ниво концентрације (AEL) PM</w:t>
            </w:r>
            <w:r w:rsidRPr="00CC35F0">
              <w:rPr>
                <w:rFonts w:ascii="Times New Roman" w:eastAsia="Times New Roman" w:hAnsi="Times New Roman"/>
                <w:sz w:val="24"/>
                <w:szCs w:val="24"/>
                <w:vertAlign w:val="subscript"/>
                <w:lang w:val="sr-Cyrl-CS"/>
              </w:rPr>
              <w:t>2.5</w:t>
            </w:r>
          </w:p>
        </w:tc>
        <w:tc>
          <w:tcPr>
            <w:tcW w:w="1875" w:type="dxa"/>
            <w:tcBorders>
              <w:top w:val="single" w:sz="4" w:space="0" w:color="000000"/>
              <w:left w:val="nil"/>
              <w:bottom w:val="single" w:sz="4" w:space="0" w:color="000000"/>
              <w:right w:val="single" w:sz="4" w:space="0" w:color="000000"/>
            </w:tcBorders>
            <w:shd w:val="clear" w:color="auto" w:fill="auto"/>
            <w:vAlign w:val="center"/>
          </w:tcPr>
          <w:p w14:paraId="7273670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35AB8"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&lt;20</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FC181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Годишњи извештај о квалитету ваздуха у Србији (АЗЖС)</w:t>
            </w:r>
          </w:p>
        </w:tc>
      </w:tr>
      <w:tr w:rsidR="00A0251B" w:rsidRPr="00CC35F0" w14:paraId="47B7CA38" w14:textId="77777777" w:rsidTr="005D01F4">
        <w:trPr>
          <w:trHeight w:val="930"/>
        </w:trPr>
        <w:tc>
          <w:tcPr>
            <w:tcW w:w="44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CC70E5"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2428" w:type="dxa"/>
            <w:tcBorders>
              <w:top w:val="single" w:sz="4" w:space="0" w:color="000000"/>
              <w:left w:val="single" w:sz="4" w:space="0" w:color="auto"/>
              <w:bottom w:val="single" w:sz="4" w:space="0" w:color="000000"/>
              <w:right w:val="single" w:sz="4" w:space="0" w:color="000000"/>
            </w:tcBorders>
            <w:shd w:val="clear" w:color="auto" w:fill="auto"/>
            <w:vAlign w:val="center"/>
          </w:tcPr>
          <w:p w14:paraId="7913FB2C"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Случајеви превремене смрти од излагања честицама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w:t>
            </w:r>
          </w:p>
        </w:tc>
        <w:tc>
          <w:tcPr>
            <w:tcW w:w="1875" w:type="dxa"/>
            <w:tcBorders>
              <w:top w:val="nil"/>
              <w:left w:val="nil"/>
              <w:bottom w:val="single" w:sz="4" w:space="0" w:color="000000"/>
              <w:right w:val="single" w:sz="4" w:space="0" w:color="000000"/>
            </w:tcBorders>
            <w:shd w:val="clear" w:color="auto" w:fill="auto"/>
            <w:vAlign w:val="center"/>
          </w:tcPr>
          <w:p w14:paraId="0E97BC1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9773</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17E15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5401</w:t>
            </w:r>
          </w:p>
        </w:tc>
        <w:tc>
          <w:tcPr>
            <w:tcW w:w="2970" w:type="dxa"/>
            <w:tcBorders>
              <w:top w:val="nil"/>
              <w:left w:val="single" w:sz="4" w:space="0" w:color="000000"/>
              <w:bottom w:val="single" w:sz="4" w:space="0" w:color="000000"/>
              <w:right w:val="single" w:sz="4" w:space="0" w:color="000000"/>
            </w:tcBorders>
            <w:shd w:val="clear" w:color="auto" w:fill="auto"/>
            <w:vAlign w:val="center"/>
          </w:tcPr>
          <w:p w14:paraId="252C099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Квалитет ваздуха у Европи (ЕАЖС)</w:t>
            </w:r>
            <w:r w:rsidRPr="00CC35F0">
              <w:rPr>
                <w:rFonts w:ascii="Times New Roman" w:eastAsia="Times New Roman" w:hAnsi="Times New Roman"/>
                <w:color w:val="000000"/>
                <w:sz w:val="24"/>
                <w:szCs w:val="24"/>
                <w:lang w:val="sr-Cyrl-CS"/>
              </w:rPr>
              <w:br/>
              <w:t>(EEA)</w:t>
            </w:r>
          </w:p>
          <w:p w14:paraId="2579AB92" w14:textId="77777777" w:rsidR="00A0251B" w:rsidRPr="00CC35F0" w:rsidRDefault="00A0251B">
            <w:pPr>
              <w:spacing w:after="0"/>
              <w:jc w:val="center"/>
              <w:rPr>
                <w:rFonts w:ascii="Times New Roman" w:eastAsia="Times New Roman" w:hAnsi="Times New Roman"/>
                <w:color w:val="000000"/>
                <w:sz w:val="24"/>
                <w:szCs w:val="24"/>
                <w:lang w:val="sr-Cyrl-CS"/>
              </w:rPr>
            </w:pPr>
          </w:p>
        </w:tc>
      </w:tr>
      <w:tr w:rsidR="00A0251B" w:rsidRPr="00CC35F0" w14:paraId="4499D365" w14:textId="77777777" w:rsidTr="005D01F4">
        <w:trPr>
          <w:trHeight w:val="750"/>
        </w:trPr>
        <w:tc>
          <w:tcPr>
            <w:tcW w:w="44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0D59970" w14:textId="77777777" w:rsidR="00A0251B" w:rsidRPr="00CC35F0" w:rsidRDefault="008D6506">
            <w:pPr>
              <w:spacing w:after="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Посебни циљ 1:</w:t>
            </w:r>
          </w:p>
          <w:p w14:paraId="4D6C4863"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i/>
                <w:sz w:val="24"/>
                <w:szCs w:val="24"/>
                <w:lang w:val="sr-Cyrl-CS"/>
              </w:rPr>
              <w:t>Смањење емисија SO</w:t>
            </w:r>
            <w:r w:rsidRPr="00CC35F0">
              <w:rPr>
                <w:rFonts w:ascii="Times New Roman" w:eastAsia="Times New Roman" w:hAnsi="Times New Roman"/>
                <w:i/>
                <w:sz w:val="24"/>
                <w:szCs w:val="24"/>
                <w:vertAlign w:val="subscript"/>
                <w:lang w:val="sr-Cyrl-CS"/>
              </w:rPr>
              <w:t>2</w:t>
            </w:r>
            <w:r w:rsidRPr="00CC35F0">
              <w:rPr>
                <w:rFonts w:ascii="Times New Roman" w:eastAsia="Times New Roman" w:hAnsi="Times New Roman"/>
                <w:i/>
                <w:sz w:val="24"/>
                <w:szCs w:val="24"/>
                <w:lang w:val="sr-Cyrl-CS"/>
              </w:rPr>
              <w:t xml:space="preserve"> за 92% и суспендованих честица PM2.5 за 58,3% из сектора енергетике (укључујући </w:t>
            </w:r>
            <w:r w:rsidRPr="00CC35F0">
              <w:rPr>
                <w:rFonts w:ascii="Times New Roman" w:eastAsia="Times New Roman" w:hAnsi="Times New Roman"/>
                <w:i/>
                <w:sz w:val="24"/>
                <w:szCs w:val="24"/>
                <w:lang w:val="sr-Cyrl-CS"/>
              </w:rPr>
              <w:lastRenderedPageBreak/>
              <w:t>саобраћај и индивидуална ложишта) 2030. године у поређењу са 2015. годином</w:t>
            </w:r>
          </w:p>
        </w:tc>
        <w:tc>
          <w:tcPr>
            <w:tcW w:w="2428" w:type="dxa"/>
            <w:tcBorders>
              <w:top w:val="single" w:sz="4" w:space="0" w:color="000000"/>
              <w:left w:val="single" w:sz="4" w:space="0" w:color="auto"/>
              <w:bottom w:val="single" w:sz="4" w:space="0" w:color="000000"/>
              <w:right w:val="single" w:sz="4" w:space="0" w:color="000000"/>
            </w:tcBorders>
            <w:shd w:val="clear" w:color="auto" w:fill="auto"/>
            <w:vAlign w:val="center"/>
          </w:tcPr>
          <w:p w14:paraId="4E21CA9E"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Укупне емисије SO2 из сектора енергетике (ktSO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w:t>
            </w:r>
          </w:p>
        </w:tc>
        <w:tc>
          <w:tcPr>
            <w:tcW w:w="1875" w:type="dxa"/>
            <w:tcBorders>
              <w:top w:val="single" w:sz="4" w:space="0" w:color="000000"/>
              <w:left w:val="nil"/>
              <w:bottom w:val="single" w:sz="4" w:space="0" w:color="000000"/>
              <w:right w:val="single" w:sz="4" w:space="0" w:color="000000"/>
            </w:tcBorders>
            <w:shd w:val="clear" w:color="auto" w:fill="auto"/>
            <w:vAlign w:val="center"/>
          </w:tcPr>
          <w:p w14:paraId="0166E24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365,5</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346D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29,2</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23EF1"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Извештај о националном инвентару </w:t>
            </w:r>
            <w:r w:rsidR="000314C7" w:rsidRPr="00CC35F0">
              <w:rPr>
                <w:rFonts w:ascii="Times New Roman" w:eastAsia="Times New Roman" w:hAnsi="Times New Roman"/>
                <w:i/>
                <w:iCs/>
                <w:sz w:val="24"/>
                <w:szCs w:val="24"/>
                <w:lang w:val="sr-Cyrl-CS"/>
              </w:rPr>
              <w:t>CLRTAP</w:t>
            </w:r>
            <w:r w:rsidRPr="00CC35F0">
              <w:rPr>
                <w:rFonts w:ascii="Times New Roman" w:eastAsia="Times New Roman" w:hAnsi="Times New Roman"/>
                <w:sz w:val="24"/>
                <w:szCs w:val="24"/>
                <w:lang w:val="sr-Cyrl-CS"/>
              </w:rPr>
              <w:t xml:space="preserve"> – АЗЖС </w:t>
            </w:r>
          </w:p>
          <w:p w14:paraId="29F55A6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(Шифра A до D и F до I)</w:t>
            </w:r>
          </w:p>
        </w:tc>
      </w:tr>
      <w:tr w:rsidR="00A0251B" w:rsidRPr="00CC35F0" w14:paraId="050E46FD" w14:textId="77777777" w:rsidTr="005D01F4">
        <w:trPr>
          <w:trHeight w:val="750"/>
        </w:trPr>
        <w:tc>
          <w:tcPr>
            <w:tcW w:w="44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C4FA973"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2428" w:type="dxa"/>
            <w:tcBorders>
              <w:top w:val="single" w:sz="4" w:space="0" w:color="000000"/>
              <w:left w:val="single" w:sz="4" w:space="0" w:color="auto"/>
              <w:bottom w:val="single" w:sz="4" w:space="0" w:color="000000"/>
              <w:right w:val="single" w:sz="4" w:space="0" w:color="000000"/>
            </w:tcBorders>
            <w:shd w:val="clear" w:color="auto" w:fill="auto"/>
            <w:vAlign w:val="center"/>
          </w:tcPr>
          <w:p w14:paraId="77247FDC"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Укупне емисије PM2.5 из сектора енергетике (ktPM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w:t>
            </w:r>
          </w:p>
        </w:tc>
        <w:tc>
          <w:tcPr>
            <w:tcW w:w="1875" w:type="dxa"/>
            <w:tcBorders>
              <w:top w:val="single" w:sz="4" w:space="0" w:color="000000"/>
              <w:left w:val="nil"/>
              <w:bottom w:val="single" w:sz="4" w:space="0" w:color="000000"/>
              <w:right w:val="single" w:sz="4" w:space="0" w:color="000000"/>
            </w:tcBorders>
            <w:shd w:val="clear" w:color="auto" w:fill="auto"/>
          </w:tcPr>
          <w:p w14:paraId="4E4A0804" w14:textId="77777777" w:rsidR="00A0251B" w:rsidRPr="00CC35F0" w:rsidRDefault="00A0251B">
            <w:pPr>
              <w:spacing w:after="0"/>
              <w:jc w:val="center"/>
              <w:rPr>
                <w:rFonts w:ascii="Times New Roman" w:eastAsia="Times New Roman" w:hAnsi="Times New Roman"/>
                <w:sz w:val="24"/>
                <w:szCs w:val="24"/>
                <w:lang w:val="sr-Cyrl-CS"/>
              </w:rPr>
            </w:pPr>
          </w:p>
          <w:p w14:paraId="09226D47"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46,9</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08C6FEE2" w14:textId="77777777" w:rsidR="00A0251B" w:rsidRPr="00CC35F0" w:rsidRDefault="00A0251B">
            <w:pPr>
              <w:spacing w:after="0"/>
              <w:jc w:val="center"/>
              <w:rPr>
                <w:rFonts w:ascii="Times New Roman" w:eastAsia="Times New Roman" w:hAnsi="Times New Roman"/>
                <w:sz w:val="24"/>
                <w:szCs w:val="24"/>
                <w:lang w:val="sr-Cyrl-CS"/>
              </w:rPr>
            </w:pPr>
          </w:p>
          <w:p w14:paraId="552CDF8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21,5</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7CCBB"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Извештај о националном </w:t>
            </w:r>
            <w:r w:rsidRPr="00CC35F0">
              <w:rPr>
                <w:rFonts w:ascii="Times New Roman" w:eastAsia="Times New Roman" w:hAnsi="Times New Roman"/>
                <w:sz w:val="24"/>
                <w:szCs w:val="24"/>
                <w:lang w:val="sr-Cyrl-CS"/>
              </w:rPr>
              <w:t xml:space="preserve">инвентару </w:t>
            </w:r>
            <w:r w:rsidR="00D7552D" w:rsidRPr="00CC35F0">
              <w:rPr>
                <w:rFonts w:ascii="Times New Roman" w:eastAsia="Times New Roman" w:hAnsi="Times New Roman"/>
                <w:sz w:val="24"/>
                <w:szCs w:val="24"/>
                <w:lang w:val="sr-Cyrl-CS"/>
              </w:rPr>
              <w:t>CLRTAP</w:t>
            </w:r>
            <w:r w:rsidRPr="00CC35F0">
              <w:rPr>
                <w:rFonts w:ascii="Times New Roman" w:eastAsia="Times New Roman" w:hAnsi="Times New Roman"/>
                <w:sz w:val="24"/>
                <w:szCs w:val="24"/>
                <w:lang w:val="sr-Cyrl-CS"/>
              </w:rPr>
              <w:t xml:space="preserve"> – АЗЖС </w:t>
            </w:r>
          </w:p>
          <w:p w14:paraId="35C5EC7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(Шифра A до </w:t>
            </w:r>
            <w:r w:rsidRPr="00CC35F0">
              <w:rPr>
                <w:rFonts w:ascii="Times New Roman" w:eastAsia="Times New Roman" w:hAnsi="Times New Roman"/>
                <w:color w:val="000000"/>
                <w:sz w:val="24"/>
                <w:szCs w:val="24"/>
                <w:lang w:val="sr-Cyrl-CS"/>
              </w:rPr>
              <w:t>D и F до I)</w:t>
            </w:r>
          </w:p>
        </w:tc>
      </w:tr>
      <w:tr w:rsidR="00A0251B" w:rsidRPr="00CC35F0" w14:paraId="63CC0D30" w14:textId="77777777" w:rsidTr="005D01F4">
        <w:trPr>
          <w:trHeight w:val="1065"/>
        </w:trPr>
        <w:tc>
          <w:tcPr>
            <w:tcW w:w="44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FC607A5" w14:textId="77777777" w:rsidR="00A0251B" w:rsidRPr="00CC35F0" w:rsidRDefault="008D6506">
            <w:pPr>
              <w:spacing w:after="6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Посебни циљ 2:</w:t>
            </w:r>
          </w:p>
          <w:p w14:paraId="3B1FED1B" w14:textId="77777777" w:rsidR="00A0251B" w:rsidRPr="00CC35F0" w:rsidRDefault="008D6506">
            <w:pPr>
              <w:spacing w:after="0"/>
              <w:jc w:val="left"/>
              <w:rPr>
                <w:rFonts w:ascii="Times New Roman" w:eastAsia="Times New Roman" w:hAnsi="Times New Roman"/>
                <w:b/>
                <w:sz w:val="24"/>
                <w:szCs w:val="24"/>
                <w:lang w:val="sr-Cyrl-CS"/>
              </w:rPr>
            </w:pPr>
            <w:r w:rsidRPr="00CC35F0">
              <w:rPr>
                <w:rFonts w:ascii="Times New Roman" w:eastAsia="Times New Roman" w:hAnsi="Times New Roman"/>
                <w:i/>
                <w:sz w:val="24"/>
                <w:szCs w:val="24"/>
                <w:lang w:val="sr-Cyrl-CS"/>
              </w:rPr>
              <w:t>Смањење емисија загађујућих материја у ваздух и тешких метала из индустријских процеса и употребе производа кроз усаглашавање са BAT AELs</w:t>
            </w:r>
          </w:p>
        </w:tc>
        <w:tc>
          <w:tcPr>
            <w:tcW w:w="2428" w:type="dxa"/>
            <w:tcBorders>
              <w:top w:val="single" w:sz="4" w:space="0" w:color="000000"/>
              <w:left w:val="single" w:sz="4" w:space="0" w:color="auto"/>
              <w:bottom w:val="single" w:sz="4" w:space="0" w:color="000000"/>
              <w:right w:val="single" w:sz="4" w:space="0" w:color="000000"/>
            </w:tcBorders>
            <w:shd w:val="clear" w:color="auto" w:fill="auto"/>
            <w:vAlign w:val="center"/>
          </w:tcPr>
          <w:p w14:paraId="52D7E61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Удео индустријских постројења у потпуној сагласности са одговарајућим BAT  AELs, узимајући у обзир квалитет ваздуха у зонама и агломерацијама.</w:t>
            </w:r>
          </w:p>
        </w:tc>
        <w:tc>
          <w:tcPr>
            <w:tcW w:w="1875" w:type="dxa"/>
            <w:tcBorders>
              <w:top w:val="nil"/>
              <w:left w:val="nil"/>
              <w:bottom w:val="single" w:sz="4" w:space="0" w:color="000000"/>
              <w:right w:val="single" w:sz="4" w:space="0" w:color="000000"/>
            </w:tcBorders>
            <w:shd w:val="clear" w:color="auto" w:fill="auto"/>
            <w:vAlign w:val="center"/>
          </w:tcPr>
          <w:p w14:paraId="3FA2226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15%</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E5F1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100%</w:t>
            </w:r>
          </w:p>
        </w:tc>
        <w:tc>
          <w:tcPr>
            <w:tcW w:w="2970" w:type="dxa"/>
            <w:tcBorders>
              <w:top w:val="nil"/>
              <w:left w:val="single" w:sz="4" w:space="0" w:color="000000"/>
              <w:bottom w:val="single" w:sz="4" w:space="0" w:color="000000"/>
              <w:right w:val="single" w:sz="4" w:space="0" w:color="000000"/>
            </w:tcBorders>
            <w:shd w:val="clear" w:color="auto" w:fill="auto"/>
            <w:vAlign w:val="center"/>
          </w:tcPr>
          <w:p w14:paraId="2462225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Извештаји о мерењу емисија у постројењима (АЗЖС)</w:t>
            </w:r>
          </w:p>
        </w:tc>
      </w:tr>
      <w:tr w:rsidR="00A0251B" w:rsidRPr="00CC35F0" w14:paraId="40AFC3C7" w14:textId="77777777" w:rsidTr="005D01F4">
        <w:trPr>
          <w:trHeight w:val="1065"/>
        </w:trPr>
        <w:tc>
          <w:tcPr>
            <w:tcW w:w="44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622E36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2428" w:type="dxa"/>
            <w:tcBorders>
              <w:top w:val="single" w:sz="4" w:space="0" w:color="000000"/>
              <w:left w:val="single" w:sz="4" w:space="0" w:color="auto"/>
              <w:bottom w:val="single" w:sz="4" w:space="0" w:color="000000"/>
              <w:right w:val="single" w:sz="4" w:space="0" w:color="000000"/>
            </w:tcBorders>
            <w:shd w:val="clear" w:color="auto" w:fill="auto"/>
            <w:vAlign w:val="center"/>
          </w:tcPr>
          <w:p w14:paraId="237993C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Топионице бакра у складу са нижим </w:t>
            </w:r>
          </w:p>
          <w:p w14:paraId="0A27BC4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BAT AELs за производњу бакра од 50 mg/Nm</w:t>
            </w:r>
            <w:r w:rsidRPr="00CC35F0">
              <w:rPr>
                <w:rFonts w:ascii="Times New Roman" w:eastAsia="Times New Roman" w:hAnsi="Times New Roman"/>
                <w:color w:val="000000"/>
                <w:sz w:val="24"/>
                <w:szCs w:val="24"/>
                <w:vertAlign w:val="superscript"/>
                <w:lang w:val="sr-Cyrl-CS"/>
              </w:rPr>
              <w:t>3</w:t>
            </w:r>
            <w:r w:rsidRPr="00CC35F0">
              <w:rPr>
                <w:rFonts w:ascii="Times New Roman" w:eastAsia="Times New Roman" w:hAnsi="Times New Roman"/>
                <w:color w:val="000000"/>
                <w:sz w:val="24"/>
                <w:szCs w:val="24"/>
                <w:lang w:val="sr-Cyrl-CS"/>
              </w:rPr>
              <w:t xml:space="preserve"> за SO</w:t>
            </w:r>
            <w:r w:rsidRPr="00CC35F0">
              <w:rPr>
                <w:rFonts w:ascii="Times New Roman" w:eastAsia="Times New Roman" w:hAnsi="Times New Roman"/>
                <w:color w:val="000000"/>
                <w:sz w:val="24"/>
                <w:szCs w:val="24"/>
                <w:vertAlign w:val="subscript"/>
                <w:lang w:val="sr-Cyrl-CS"/>
              </w:rPr>
              <w:t>2</w:t>
            </w:r>
          </w:p>
        </w:tc>
        <w:tc>
          <w:tcPr>
            <w:tcW w:w="1875" w:type="dxa"/>
            <w:tcBorders>
              <w:top w:val="nil"/>
              <w:left w:val="nil"/>
              <w:bottom w:val="single" w:sz="4" w:space="0" w:color="000000"/>
              <w:right w:val="single" w:sz="4" w:space="0" w:color="000000"/>
            </w:tcBorders>
            <w:shd w:val="clear" w:color="auto" w:fill="auto"/>
            <w:vAlign w:val="center"/>
          </w:tcPr>
          <w:p w14:paraId="316D8D2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&gt;50 mg/Nm</w:t>
            </w:r>
            <w:r w:rsidRPr="00CC35F0">
              <w:rPr>
                <w:rFonts w:ascii="Times New Roman" w:eastAsia="Times New Roman" w:hAnsi="Times New Roman"/>
                <w:color w:val="000000"/>
                <w:sz w:val="24"/>
                <w:szCs w:val="24"/>
                <w:vertAlign w:val="superscript"/>
                <w:lang w:val="sr-Cyrl-CS"/>
              </w:rPr>
              <w:t>3</w:t>
            </w:r>
          </w:p>
        </w:tc>
        <w:tc>
          <w:tcPr>
            <w:tcW w:w="1980" w:type="dxa"/>
            <w:tcBorders>
              <w:top w:val="single" w:sz="4" w:space="0" w:color="000000"/>
              <w:left w:val="single" w:sz="4" w:space="0" w:color="000000"/>
              <w:bottom w:val="single" w:sz="4" w:space="0" w:color="000000"/>
              <w:right w:val="single" w:sz="4" w:space="0" w:color="000000"/>
            </w:tcBorders>
            <w:shd w:val="clear" w:color="auto" w:fill="auto"/>
          </w:tcPr>
          <w:p w14:paraId="52CC3FCC" w14:textId="77777777" w:rsidR="00A0251B" w:rsidRPr="00CC35F0" w:rsidRDefault="00A0251B">
            <w:pPr>
              <w:spacing w:after="0"/>
              <w:jc w:val="center"/>
              <w:rPr>
                <w:rFonts w:ascii="Times New Roman" w:eastAsia="Times New Roman" w:hAnsi="Times New Roman"/>
                <w:sz w:val="24"/>
                <w:szCs w:val="24"/>
                <w:lang w:val="sr-Cyrl-CS"/>
              </w:rPr>
            </w:pPr>
          </w:p>
          <w:p w14:paraId="00B844EA" w14:textId="77777777" w:rsidR="00A0251B" w:rsidRPr="00CC35F0" w:rsidRDefault="00A0251B">
            <w:pPr>
              <w:spacing w:after="0"/>
              <w:jc w:val="center"/>
              <w:rPr>
                <w:rFonts w:ascii="Times New Roman" w:eastAsia="Times New Roman" w:hAnsi="Times New Roman"/>
                <w:sz w:val="24"/>
                <w:szCs w:val="24"/>
                <w:lang w:val="sr-Cyrl-CS"/>
              </w:rPr>
            </w:pPr>
          </w:p>
          <w:p w14:paraId="38386348" w14:textId="77777777" w:rsidR="00A0251B" w:rsidRPr="00CC35F0" w:rsidRDefault="00A0251B">
            <w:pPr>
              <w:spacing w:after="0"/>
              <w:jc w:val="center"/>
              <w:rPr>
                <w:rFonts w:ascii="Times New Roman" w:eastAsia="Times New Roman" w:hAnsi="Times New Roman"/>
                <w:sz w:val="24"/>
                <w:szCs w:val="24"/>
                <w:lang w:val="sr-Cyrl-CS"/>
              </w:rPr>
            </w:pPr>
          </w:p>
          <w:p w14:paraId="6645835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50 mg/Nm</w:t>
            </w:r>
            <w:r w:rsidRPr="00CC35F0">
              <w:rPr>
                <w:rFonts w:ascii="Times New Roman" w:eastAsia="Times New Roman" w:hAnsi="Times New Roman"/>
                <w:sz w:val="24"/>
                <w:szCs w:val="24"/>
                <w:vertAlign w:val="superscript"/>
                <w:lang w:val="sr-Cyrl-CS"/>
              </w:rPr>
              <w:t>3</w:t>
            </w:r>
          </w:p>
        </w:tc>
        <w:tc>
          <w:tcPr>
            <w:tcW w:w="2970" w:type="dxa"/>
            <w:tcBorders>
              <w:top w:val="nil"/>
              <w:left w:val="single" w:sz="4" w:space="0" w:color="000000"/>
              <w:bottom w:val="single" w:sz="4" w:space="0" w:color="000000"/>
              <w:right w:val="single" w:sz="4" w:space="0" w:color="000000"/>
            </w:tcBorders>
            <w:shd w:val="clear" w:color="auto" w:fill="auto"/>
            <w:vAlign w:val="center"/>
          </w:tcPr>
          <w:p w14:paraId="13CBAEA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07F798D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(подаци о интегрисаним дозволама)</w:t>
            </w:r>
          </w:p>
        </w:tc>
      </w:tr>
      <w:tr w:rsidR="00A0251B" w:rsidRPr="00CC35F0" w14:paraId="1E999C9A" w14:textId="77777777" w:rsidTr="005D01F4">
        <w:trPr>
          <w:trHeight w:val="1183"/>
        </w:trPr>
        <w:tc>
          <w:tcPr>
            <w:tcW w:w="44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1F6884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2428" w:type="dxa"/>
            <w:tcBorders>
              <w:top w:val="single" w:sz="4" w:space="0" w:color="000000"/>
              <w:left w:val="single" w:sz="4" w:space="0" w:color="auto"/>
              <w:bottom w:val="single" w:sz="4" w:space="0" w:color="000000"/>
              <w:right w:val="single" w:sz="4" w:space="0" w:color="000000"/>
            </w:tcBorders>
            <w:shd w:val="clear" w:color="auto" w:fill="auto"/>
            <w:vAlign w:val="center"/>
          </w:tcPr>
          <w:p w14:paraId="59D7D81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Постројење за производњу сумпорне киселине</w:t>
            </w:r>
          </w:p>
          <w:p w14:paraId="488A2706"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у складу са доњим вредностима</w:t>
            </w:r>
          </w:p>
          <w:p w14:paraId="7707F94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 BAT AELs од 100 mg/Nm</w:t>
            </w:r>
            <w:r w:rsidRPr="00CC35F0">
              <w:rPr>
                <w:rFonts w:ascii="Times New Roman" w:eastAsia="Times New Roman" w:hAnsi="Times New Roman"/>
                <w:sz w:val="24"/>
                <w:szCs w:val="24"/>
                <w:vertAlign w:val="superscript"/>
                <w:lang w:val="sr-Cyrl-CS"/>
              </w:rPr>
              <w:t>3</w:t>
            </w:r>
          </w:p>
        </w:tc>
        <w:tc>
          <w:tcPr>
            <w:tcW w:w="1875" w:type="dxa"/>
            <w:tcBorders>
              <w:top w:val="single" w:sz="4" w:space="0" w:color="000000"/>
              <w:left w:val="nil"/>
              <w:bottom w:val="single" w:sz="4" w:space="0" w:color="000000"/>
              <w:right w:val="single" w:sz="4" w:space="0" w:color="000000"/>
            </w:tcBorders>
            <w:shd w:val="clear" w:color="auto" w:fill="auto"/>
            <w:vAlign w:val="center"/>
          </w:tcPr>
          <w:p w14:paraId="07F217EC"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&gt;100 mg/Nm</w:t>
            </w:r>
            <w:r w:rsidRPr="00CC35F0">
              <w:rPr>
                <w:rFonts w:ascii="Times New Roman" w:eastAsia="Times New Roman" w:hAnsi="Times New Roman"/>
                <w:color w:val="000000"/>
                <w:sz w:val="24"/>
                <w:szCs w:val="24"/>
                <w:vertAlign w:val="superscript"/>
                <w:lang w:val="sr-Cyrl-CS"/>
              </w:rPr>
              <w:t>3</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C5C06"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100 mg/Nm</w:t>
            </w:r>
            <w:r w:rsidRPr="00CC35F0">
              <w:rPr>
                <w:rFonts w:ascii="Times New Roman" w:eastAsia="Times New Roman" w:hAnsi="Times New Roman"/>
                <w:color w:val="000000"/>
                <w:sz w:val="24"/>
                <w:szCs w:val="24"/>
                <w:vertAlign w:val="superscript"/>
                <w:lang w:val="sr-Cyrl-CS"/>
              </w:rPr>
              <w:t>3</w:t>
            </w:r>
          </w:p>
        </w:tc>
        <w:tc>
          <w:tcPr>
            <w:tcW w:w="2970" w:type="dxa"/>
            <w:tcBorders>
              <w:top w:val="nil"/>
              <w:left w:val="single" w:sz="4" w:space="0" w:color="000000"/>
              <w:bottom w:val="single" w:sz="4" w:space="0" w:color="000000"/>
              <w:right w:val="single" w:sz="4" w:space="0" w:color="000000"/>
            </w:tcBorders>
            <w:shd w:val="clear" w:color="auto" w:fill="auto"/>
            <w:vAlign w:val="center"/>
          </w:tcPr>
          <w:p w14:paraId="3CB3413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43DA090A"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(подаци о интегрисаним дозволама)</w:t>
            </w:r>
          </w:p>
        </w:tc>
      </w:tr>
      <w:tr w:rsidR="00A0251B" w:rsidRPr="00CC35F0" w14:paraId="0D69A142" w14:textId="77777777" w:rsidTr="005D01F4">
        <w:trPr>
          <w:trHeight w:val="1183"/>
        </w:trPr>
        <w:tc>
          <w:tcPr>
            <w:tcW w:w="4422" w:type="dxa"/>
            <w:tcBorders>
              <w:top w:val="single" w:sz="4" w:space="0" w:color="auto"/>
              <w:left w:val="single" w:sz="4" w:space="0" w:color="000000"/>
              <w:right w:val="single" w:sz="4" w:space="0" w:color="000000"/>
            </w:tcBorders>
            <w:vAlign w:val="center"/>
          </w:tcPr>
          <w:p w14:paraId="06197CDE" w14:textId="77777777" w:rsidR="00A0251B" w:rsidRPr="00CC35F0" w:rsidRDefault="00A0251B">
            <w:pPr>
              <w:spacing w:after="0"/>
              <w:jc w:val="left"/>
              <w:rPr>
                <w:rFonts w:ascii="Times New Roman" w:eastAsia="Times New Roman" w:hAnsi="Times New Roman"/>
                <w:sz w:val="24"/>
                <w:szCs w:val="24"/>
                <w:lang w:val="sr-Cyrl-CS"/>
              </w:rPr>
            </w:pPr>
          </w:p>
        </w:tc>
        <w:tc>
          <w:tcPr>
            <w:tcW w:w="2428" w:type="dxa"/>
            <w:tcBorders>
              <w:top w:val="single" w:sz="4" w:space="0" w:color="000000"/>
              <w:left w:val="nil"/>
              <w:right w:val="single" w:sz="4" w:space="0" w:color="000000"/>
            </w:tcBorders>
            <w:shd w:val="clear" w:color="auto" w:fill="auto"/>
            <w:vAlign w:val="center"/>
          </w:tcPr>
          <w:p w14:paraId="1AD7F79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Емисије прашкастих материја ( mg/Nm3) из производње бакра у складу са табелом Спроведбене одлуке Комисије 2016/1032/ЕУ </w:t>
            </w:r>
          </w:p>
        </w:tc>
        <w:tc>
          <w:tcPr>
            <w:tcW w:w="1875" w:type="dxa"/>
            <w:tcBorders>
              <w:top w:val="single" w:sz="4" w:space="0" w:color="000000"/>
              <w:left w:val="nil"/>
              <w:bottom w:val="single" w:sz="4" w:space="0" w:color="000000"/>
              <w:right w:val="single" w:sz="4" w:space="0" w:color="000000"/>
            </w:tcBorders>
            <w:shd w:val="clear" w:color="auto" w:fill="auto"/>
            <w:vAlign w:val="center"/>
          </w:tcPr>
          <w:p w14:paraId="6A4306E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&gt;2-5 </w:t>
            </w:r>
          </w:p>
        </w:tc>
        <w:tc>
          <w:tcPr>
            <w:tcW w:w="1980" w:type="dxa"/>
            <w:tcBorders>
              <w:top w:val="single" w:sz="4" w:space="0" w:color="000000"/>
              <w:left w:val="single" w:sz="4" w:space="0" w:color="000000"/>
              <w:right w:val="single" w:sz="4" w:space="0" w:color="000000"/>
            </w:tcBorders>
            <w:shd w:val="clear" w:color="auto" w:fill="auto"/>
            <w:vAlign w:val="center"/>
          </w:tcPr>
          <w:p w14:paraId="286C564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2-5 </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5FE5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356C0E34"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(подаци о интегрисаним дозволама)</w:t>
            </w:r>
          </w:p>
        </w:tc>
      </w:tr>
      <w:tr w:rsidR="00A0251B" w:rsidRPr="00CC35F0" w14:paraId="4B05190C" w14:textId="77777777" w:rsidTr="005D01F4">
        <w:trPr>
          <w:trHeight w:val="39"/>
        </w:trPr>
        <w:tc>
          <w:tcPr>
            <w:tcW w:w="4422" w:type="dxa"/>
            <w:tcBorders>
              <w:top w:val="single" w:sz="4" w:space="0" w:color="000000"/>
              <w:left w:val="single" w:sz="4" w:space="0" w:color="000000"/>
              <w:bottom w:val="single" w:sz="4" w:space="0" w:color="auto"/>
              <w:right w:val="single" w:sz="4" w:space="0" w:color="000000"/>
            </w:tcBorders>
            <w:shd w:val="clear" w:color="auto" w:fill="FFFFFF"/>
            <w:vAlign w:val="center"/>
          </w:tcPr>
          <w:p w14:paraId="285C1594" w14:textId="77777777" w:rsidR="00A0251B" w:rsidRPr="00CC35F0" w:rsidRDefault="008D6506">
            <w:pPr>
              <w:spacing w:after="6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Посебни циљ 3:</w:t>
            </w:r>
          </w:p>
          <w:p w14:paraId="6FB495DF" w14:textId="77777777" w:rsidR="00A0251B" w:rsidRPr="00CC35F0" w:rsidRDefault="008D6506">
            <w:pPr>
              <w:spacing w:after="0"/>
              <w:jc w:val="left"/>
              <w:rPr>
                <w:rFonts w:ascii="Times New Roman" w:eastAsia="Times New Roman" w:hAnsi="Times New Roman"/>
                <w:sz w:val="24"/>
                <w:szCs w:val="24"/>
                <w:lang w:val="sr-Cyrl-CS"/>
              </w:rPr>
            </w:pPr>
            <w:r w:rsidRPr="00CC35F0">
              <w:rPr>
                <w:rFonts w:ascii="Times New Roman" w:eastAsia="Times New Roman" w:hAnsi="Times New Roman"/>
                <w:i/>
                <w:sz w:val="24"/>
                <w:szCs w:val="24"/>
                <w:lang w:val="sr-Cyrl-CS"/>
              </w:rPr>
              <w:t>Смањење емисија NH</w:t>
            </w:r>
            <w:r w:rsidRPr="00CC35F0">
              <w:rPr>
                <w:rFonts w:ascii="Times New Roman" w:eastAsia="Times New Roman" w:hAnsi="Times New Roman"/>
                <w:i/>
                <w:sz w:val="24"/>
                <w:szCs w:val="24"/>
                <w:vertAlign w:val="subscript"/>
                <w:lang w:val="sr-Cyrl-CS"/>
              </w:rPr>
              <w:t>3</w:t>
            </w:r>
            <w:r w:rsidRPr="00CC35F0">
              <w:rPr>
                <w:rFonts w:ascii="Times New Roman" w:eastAsia="Times New Roman" w:hAnsi="Times New Roman"/>
                <w:i/>
                <w:sz w:val="24"/>
                <w:szCs w:val="24"/>
                <w:lang w:val="sr-Cyrl-CS"/>
              </w:rPr>
              <w:t xml:space="preserve"> из сектора пољопривреде за 20,5% у поређењу са 2015. годином</w:t>
            </w:r>
          </w:p>
        </w:tc>
        <w:tc>
          <w:tcPr>
            <w:tcW w:w="2428" w:type="dxa"/>
            <w:tcBorders>
              <w:top w:val="single" w:sz="4" w:space="0" w:color="000000"/>
              <w:left w:val="nil"/>
              <w:bottom w:val="single" w:sz="4" w:space="0" w:color="000000"/>
              <w:right w:val="single" w:sz="4" w:space="0" w:color="000000"/>
            </w:tcBorders>
            <w:shd w:val="clear" w:color="auto" w:fill="FFFFFF"/>
            <w:vAlign w:val="center"/>
          </w:tcPr>
          <w:p w14:paraId="7DE6744F"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Укупне емисије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[kt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из сектора пољопривреде </w:t>
            </w:r>
          </w:p>
        </w:tc>
        <w:tc>
          <w:tcPr>
            <w:tcW w:w="1875" w:type="dxa"/>
            <w:tcBorders>
              <w:top w:val="single" w:sz="4" w:space="0" w:color="000000"/>
              <w:left w:val="nil"/>
              <w:bottom w:val="single" w:sz="4" w:space="0" w:color="000000"/>
              <w:right w:val="single" w:sz="4" w:space="0" w:color="000000"/>
            </w:tcBorders>
            <w:shd w:val="clear" w:color="auto" w:fill="FFFFFF"/>
            <w:vAlign w:val="center"/>
          </w:tcPr>
          <w:p w14:paraId="0D08F4E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72,3</w:t>
            </w:r>
          </w:p>
        </w:tc>
        <w:tc>
          <w:tcPr>
            <w:tcW w:w="19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A84C0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60,7</w:t>
            </w:r>
          </w:p>
        </w:tc>
        <w:tc>
          <w:tcPr>
            <w:tcW w:w="297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78DFDC" w14:textId="77777777" w:rsidR="00A0251B" w:rsidRPr="00CC35F0" w:rsidRDefault="008D6506">
            <w:pPr>
              <w:spacing w:after="0"/>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Извештај о националном инвентару </w:t>
            </w:r>
            <w:r w:rsidR="00D7552D" w:rsidRPr="00CC35F0">
              <w:rPr>
                <w:rFonts w:ascii="Times New Roman" w:eastAsia="Times New Roman" w:hAnsi="Times New Roman"/>
                <w:i/>
                <w:iCs/>
                <w:sz w:val="24"/>
                <w:szCs w:val="24"/>
                <w:lang w:val="sr-Cyrl-CS"/>
              </w:rPr>
              <w:t>CLRTAP</w:t>
            </w:r>
            <w:r w:rsidRPr="00CC35F0">
              <w:rPr>
                <w:rFonts w:ascii="Times New Roman" w:eastAsia="Times New Roman" w:hAnsi="Times New Roman"/>
                <w:sz w:val="24"/>
                <w:szCs w:val="24"/>
                <w:lang w:val="sr-Cyrl-CS"/>
              </w:rPr>
              <w:t xml:space="preserve"> – АЗЖС</w:t>
            </w:r>
          </w:p>
          <w:p w14:paraId="2230F3C9"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(шиф</w:t>
            </w:r>
            <w:r w:rsidRPr="00CC35F0">
              <w:rPr>
                <w:rFonts w:ascii="Times New Roman" w:eastAsia="Times New Roman" w:hAnsi="Times New Roman"/>
                <w:color w:val="000000"/>
                <w:sz w:val="24"/>
                <w:szCs w:val="24"/>
                <w:lang w:val="sr-Cyrl-CS"/>
              </w:rPr>
              <w:t>ра К и L)</w:t>
            </w:r>
          </w:p>
        </w:tc>
      </w:tr>
      <w:tr w:rsidR="00A0251B" w:rsidRPr="00CC35F0" w14:paraId="7D605489" w14:textId="77777777" w:rsidTr="005D01F4">
        <w:trPr>
          <w:trHeight w:val="477"/>
        </w:trPr>
        <w:tc>
          <w:tcPr>
            <w:tcW w:w="44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9EAF96" w14:textId="77777777" w:rsidR="00A0251B" w:rsidRPr="00CC35F0" w:rsidRDefault="008D6506">
            <w:pPr>
              <w:spacing w:after="6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Посебни циљ 4: </w:t>
            </w:r>
          </w:p>
          <w:p w14:paraId="6BC2D93E" w14:textId="77777777" w:rsidR="00A0251B" w:rsidRPr="00CC35F0" w:rsidRDefault="008D6506">
            <w:pPr>
              <w:spacing w:after="0"/>
              <w:jc w:val="left"/>
              <w:rPr>
                <w:rFonts w:ascii="Times New Roman" w:eastAsia="Times New Roman" w:hAnsi="Times New Roman"/>
                <w:i/>
                <w:sz w:val="24"/>
                <w:szCs w:val="24"/>
                <w:lang w:val="sr-Cyrl-CS"/>
              </w:rPr>
            </w:pPr>
            <w:r w:rsidRPr="00CC35F0">
              <w:rPr>
                <w:rFonts w:ascii="Times New Roman" w:eastAsia="Times New Roman" w:hAnsi="Times New Roman"/>
                <w:i/>
                <w:sz w:val="24"/>
                <w:szCs w:val="24"/>
                <w:lang w:val="sr-Cyrl-CS"/>
              </w:rPr>
              <w:t>Промоција преласка на чист ваздух за све</w:t>
            </w:r>
          </w:p>
          <w:p w14:paraId="2D1511DE" w14:textId="77777777" w:rsidR="00A0251B" w:rsidRPr="00CC35F0" w:rsidRDefault="008D6506">
            <w:pPr>
              <w:spacing w:after="0"/>
              <w:jc w:val="left"/>
              <w:rPr>
                <w:rFonts w:ascii="Times New Roman" w:eastAsia="Times New Roman" w:hAnsi="Times New Roman"/>
                <w:b/>
                <w:color w:val="000000"/>
                <w:sz w:val="24"/>
                <w:szCs w:val="24"/>
                <w:lang w:val="sr-Cyrl-CS"/>
              </w:rPr>
            </w:pPr>
            <w:r w:rsidRPr="00CC35F0">
              <w:rPr>
                <w:rFonts w:ascii="Times New Roman" w:eastAsia="Times New Roman" w:hAnsi="Times New Roman"/>
                <w:i/>
                <w:sz w:val="24"/>
                <w:szCs w:val="24"/>
                <w:lang w:val="sr-Cyrl-CS"/>
              </w:rPr>
              <w:t>(кроз пројекте за подизање свести)</w:t>
            </w:r>
            <w:r w:rsidRPr="00CC35F0">
              <w:rPr>
                <w:rFonts w:ascii="Times New Roman" w:eastAsia="Times New Roman" w:hAnsi="Times New Roman"/>
                <w:sz w:val="24"/>
                <w:szCs w:val="24"/>
                <w:lang w:val="sr-Cyrl-CS"/>
              </w:rPr>
              <w:t xml:space="preserve"> </w:t>
            </w:r>
          </w:p>
        </w:tc>
        <w:tc>
          <w:tcPr>
            <w:tcW w:w="2428" w:type="dxa"/>
            <w:tcBorders>
              <w:top w:val="single" w:sz="4" w:space="0" w:color="000000"/>
              <w:left w:val="single" w:sz="4" w:space="0" w:color="auto"/>
              <w:bottom w:val="single" w:sz="4" w:space="0" w:color="000000"/>
              <w:right w:val="single" w:sz="4" w:space="0" w:color="000000"/>
            </w:tcBorders>
            <w:shd w:val="clear" w:color="auto" w:fill="auto"/>
            <w:vAlign w:val="center"/>
          </w:tcPr>
          <w:p w14:paraId="1C5B2C52"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Спроведене активности на подизању свести код заинтересованих страна у вези са  загађењем ваздуха и његовим потенцијалним утицајима на друштво</w:t>
            </w:r>
          </w:p>
        </w:tc>
        <w:tc>
          <w:tcPr>
            <w:tcW w:w="1875" w:type="dxa"/>
            <w:tcBorders>
              <w:top w:val="single" w:sz="4" w:space="0" w:color="000000"/>
              <w:left w:val="nil"/>
              <w:bottom w:val="single" w:sz="4" w:space="0" w:color="000000"/>
              <w:right w:val="single" w:sz="4" w:space="0" w:color="000000"/>
            </w:tcBorders>
            <w:shd w:val="clear" w:color="auto" w:fill="auto"/>
            <w:vAlign w:val="center"/>
          </w:tcPr>
          <w:p w14:paraId="70C001E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Не </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5088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Да </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408C3"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План праћења и процене активности за подизање свести</w:t>
            </w:r>
          </w:p>
          <w:p w14:paraId="2301211F" w14:textId="77777777" w:rsidR="00A0251B" w:rsidRPr="00CC35F0" w:rsidRDefault="00A0251B">
            <w:pPr>
              <w:spacing w:after="0"/>
              <w:jc w:val="center"/>
              <w:rPr>
                <w:rFonts w:ascii="Times New Roman" w:eastAsia="Times New Roman" w:hAnsi="Times New Roman"/>
                <w:color w:val="000000"/>
                <w:sz w:val="24"/>
                <w:szCs w:val="24"/>
                <w:lang w:val="sr-Cyrl-CS"/>
              </w:rPr>
            </w:pPr>
          </w:p>
        </w:tc>
      </w:tr>
      <w:tr w:rsidR="00A0251B" w:rsidRPr="00CC35F0" w14:paraId="6741F731" w14:textId="77777777" w:rsidTr="005D01F4">
        <w:trPr>
          <w:trHeight w:val="642"/>
        </w:trPr>
        <w:tc>
          <w:tcPr>
            <w:tcW w:w="44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98076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2428" w:type="dxa"/>
            <w:tcBorders>
              <w:top w:val="single" w:sz="4" w:space="0" w:color="000000"/>
              <w:left w:val="single" w:sz="4" w:space="0" w:color="auto"/>
              <w:bottom w:val="single" w:sz="4" w:space="0" w:color="auto"/>
              <w:right w:val="single" w:sz="4" w:space="0" w:color="000000"/>
            </w:tcBorders>
            <w:shd w:val="clear" w:color="auto" w:fill="auto"/>
            <w:vAlign w:val="center"/>
          </w:tcPr>
          <w:p w14:paraId="2A60C92B"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Удео домаћинстава обавештен о правилној употреби огревног дрвета у </w:t>
            </w:r>
            <w:r w:rsidRPr="00CC35F0">
              <w:rPr>
                <w:rFonts w:ascii="Times New Roman" w:eastAsia="Times New Roman" w:hAnsi="Times New Roman"/>
                <w:color w:val="000000"/>
                <w:sz w:val="24"/>
                <w:szCs w:val="24"/>
                <w:lang w:val="sr-Cyrl-CS"/>
              </w:rPr>
              <w:lastRenderedPageBreak/>
              <w:t>малим грејним телима (%)</w:t>
            </w:r>
          </w:p>
        </w:tc>
        <w:tc>
          <w:tcPr>
            <w:tcW w:w="1875" w:type="dxa"/>
            <w:tcBorders>
              <w:top w:val="single" w:sz="4" w:space="0" w:color="000000"/>
              <w:left w:val="nil"/>
              <w:bottom w:val="single" w:sz="4" w:space="0" w:color="auto"/>
              <w:right w:val="single" w:sz="4" w:space="0" w:color="000000"/>
            </w:tcBorders>
            <w:shd w:val="clear" w:color="auto" w:fill="auto"/>
            <w:vAlign w:val="center"/>
          </w:tcPr>
          <w:p w14:paraId="5E124CDD"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w:t>
            </w:r>
          </w:p>
        </w:tc>
        <w:tc>
          <w:tcPr>
            <w:tcW w:w="1980" w:type="dxa"/>
            <w:tcBorders>
              <w:top w:val="single" w:sz="4" w:space="0" w:color="000000"/>
              <w:left w:val="single" w:sz="4" w:space="0" w:color="000000"/>
              <w:bottom w:val="single" w:sz="4" w:space="0" w:color="auto"/>
              <w:right w:val="single" w:sz="4" w:space="0" w:color="000000"/>
            </w:tcBorders>
            <w:shd w:val="clear" w:color="auto" w:fill="auto"/>
            <w:vAlign w:val="center"/>
          </w:tcPr>
          <w:p w14:paraId="7F1B96BE"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80 </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2FCC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План праћења и процене активности за подизање свести</w:t>
            </w:r>
          </w:p>
          <w:p w14:paraId="3657F43F" w14:textId="77777777" w:rsidR="00A0251B" w:rsidRPr="00CC35F0" w:rsidRDefault="00A0251B">
            <w:pPr>
              <w:spacing w:after="0"/>
              <w:jc w:val="center"/>
              <w:rPr>
                <w:rFonts w:ascii="Times New Roman" w:eastAsia="Times New Roman" w:hAnsi="Times New Roman"/>
                <w:color w:val="000000"/>
                <w:sz w:val="24"/>
                <w:szCs w:val="24"/>
                <w:lang w:val="sr-Cyrl-CS"/>
              </w:rPr>
            </w:pPr>
          </w:p>
        </w:tc>
      </w:tr>
      <w:tr w:rsidR="00A0251B" w:rsidRPr="00CC35F0" w14:paraId="6977C228" w14:textId="77777777" w:rsidTr="005D01F4">
        <w:trPr>
          <w:trHeight w:val="317"/>
        </w:trPr>
        <w:tc>
          <w:tcPr>
            <w:tcW w:w="4422" w:type="dxa"/>
            <w:vMerge/>
            <w:tcBorders>
              <w:top w:val="single" w:sz="4" w:space="0" w:color="auto"/>
              <w:left w:val="single" w:sz="4" w:space="0" w:color="auto"/>
              <w:right w:val="single" w:sz="4" w:space="0" w:color="auto"/>
            </w:tcBorders>
            <w:shd w:val="clear" w:color="auto" w:fill="auto"/>
            <w:vAlign w:val="center"/>
          </w:tcPr>
          <w:p w14:paraId="68B4F8A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242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B30C90"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Удео зона и агломерација које је посетио мобилни демонстрациони центар (или еквивалентни демо концепт) (%)</w:t>
            </w:r>
          </w:p>
        </w:tc>
        <w:tc>
          <w:tcPr>
            <w:tcW w:w="18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CF59C25"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19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741B4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100</w:t>
            </w:r>
          </w:p>
        </w:tc>
        <w:tc>
          <w:tcPr>
            <w:tcW w:w="2970" w:type="dxa"/>
            <w:vMerge w:val="restart"/>
            <w:tcBorders>
              <w:top w:val="single" w:sz="4" w:space="0" w:color="000000"/>
              <w:left w:val="single" w:sz="4" w:space="0" w:color="auto"/>
              <w:bottom w:val="single" w:sz="4" w:space="0" w:color="000000"/>
              <w:right w:val="single" w:sz="4" w:space="0" w:color="000000"/>
            </w:tcBorders>
            <w:shd w:val="clear" w:color="auto" w:fill="auto"/>
            <w:vAlign w:val="center"/>
          </w:tcPr>
          <w:p w14:paraId="52462EA1" w14:textId="77777777" w:rsidR="00A0251B" w:rsidRPr="00CC35F0" w:rsidRDefault="008D6506">
            <w:pPr>
              <w:spacing w:after="0"/>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План праћења и процене активности за подизање свести</w:t>
            </w:r>
          </w:p>
        </w:tc>
      </w:tr>
      <w:tr w:rsidR="00A0251B" w:rsidRPr="00CC35F0" w14:paraId="30B62536" w14:textId="77777777" w:rsidTr="005D01F4">
        <w:trPr>
          <w:trHeight w:val="1815"/>
        </w:trPr>
        <w:tc>
          <w:tcPr>
            <w:tcW w:w="4422" w:type="dxa"/>
            <w:tcBorders>
              <w:left w:val="single" w:sz="4" w:space="0" w:color="auto"/>
              <w:bottom w:val="single" w:sz="4" w:space="0" w:color="auto"/>
              <w:right w:val="single" w:sz="4" w:space="0" w:color="auto"/>
            </w:tcBorders>
            <w:shd w:val="clear" w:color="auto" w:fill="auto"/>
            <w:vAlign w:val="center"/>
          </w:tcPr>
          <w:p w14:paraId="32607969" w14:textId="77777777" w:rsidR="00A0251B" w:rsidRPr="00CC35F0" w:rsidRDefault="00A0251B">
            <w:pPr>
              <w:spacing w:after="0"/>
              <w:rPr>
                <w:rFonts w:ascii="Times New Roman" w:eastAsia="Times New Roman" w:hAnsi="Times New Roman"/>
                <w:b/>
                <w:sz w:val="24"/>
                <w:szCs w:val="24"/>
                <w:lang w:val="sr-Cyrl-CS"/>
              </w:rPr>
            </w:pPr>
          </w:p>
        </w:tc>
        <w:tc>
          <w:tcPr>
            <w:tcW w:w="242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A1E74CE"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8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D73DD8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19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054919"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c>
          <w:tcPr>
            <w:tcW w:w="2970" w:type="dxa"/>
            <w:vMerge/>
            <w:tcBorders>
              <w:top w:val="single" w:sz="4" w:space="0" w:color="000000"/>
              <w:left w:val="single" w:sz="4" w:space="0" w:color="auto"/>
              <w:bottom w:val="single" w:sz="4" w:space="0" w:color="000000"/>
              <w:right w:val="single" w:sz="4" w:space="0" w:color="000000"/>
            </w:tcBorders>
            <w:shd w:val="clear" w:color="auto" w:fill="auto"/>
            <w:vAlign w:val="center"/>
          </w:tcPr>
          <w:p w14:paraId="62D2168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b/>
                <w:sz w:val="24"/>
                <w:szCs w:val="24"/>
                <w:lang w:val="sr-Cyrl-CS"/>
              </w:rPr>
            </w:pPr>
          </w:p>
        </w:tc>
      </w:tr>
    </w:tbl>
    <w:p w14:paraId="56BE53FE" w14:textId="77777777" w:rsidR="00A0251B" w:rsidRPr="00CC35F0" w:rsidRDefault="00A0251B">
      <w:pPr>
        <w:ind w:left="-851"/>
        <w:rPr>
          <w:rFonts w:ascii="Times New Roman" w:eastAsia="Times New Roman" w:hAnsi="Times New Roman"/>
          <w:i/>
          <w:sz w:val="24"/>
          <w:szCs w:val="24"/>
          <w:lang w:val="sr-Cyrl-CS"/>
        </w:rPr>
        <w:sectPr w:rsidR="00A0251B" w:rsidRPr="00CC35F0">
          <w:headerReference w:type="default" r:id="rId59"/>
          <w:footerReference w:type="default" r:id="rId60"/>
          <w:pgSz w:w="16817" w:h="11901" w:orient="landscape"/>
          <w:pgMar w:top="1418" w:right="862" w:bottom="1134" w:left="1418" w:header="142" w:footer="367" w:gutter="0"/>
          <w:cols w:space="720"/>
        </w:sectPr>
      </w:pPr>
    </w:p>
    <w:p w14:paraId="5EA92D22" w14:textId="77777777" w:rsidR="00A0251B" w:rsidRPr="00CC35F0" w:rsidRDefault="00A0251B">
      <w:pPr>
        <w:ind w:left="-851"/>
        <w:rPr>
          <w:rFonts w:ascii="Times New Roman" w:eastAsia="Times New Roman" w:hAnsi="Times New Roman"/>
          <w:i/>
          <w:sz w:val="24"/>
          <w:szCs w:val="24"/>
          <w:lang w:val="sr-Cyrl-CS"/>
        </w:rPr>
      </w:pPr>
    </w:p>
    <w:p w14:paraId="1B3566D7" w14:textId="77777777" w:rsidR="00A0251B" w:rsidRPr="00CC35F0" w:rsidRDefault="008D6506">
      <w:pPr>
        <w:keepNext/>
        <w:ind w:left="-851"/>
        <w:rPr>
          <w:rFonts w:ascii="Times New Roman" w:eastAsia="Times New Roman" w:hAnsi="Times New Roman"/>
          <w:b/>
          <w:sz w:val="24"/>
          <w:szCs w:val="24"/>
          <w:lang w:val="sr-Cyrl-CS"/>
        </w:rPr>
      </w:pPr>
      <w:bookmarkStart w:id="112" w:name="_heading=h.4iylrwe" w:colFirst="0" w:colLast="0"/>
      <w:bookmarkEnd w:id="112"/>
      <w:r w:rsidRPr="00CC35F0">
        <w:rPr>
          <w:rFonts w:ascii="Times New Roman" w:eastAsia="Times New Roman" w:hAnsi="Times New Roman"/>
          <w:b/>
          <w:i/>
          <w:sz w:val="24"/>
          <w:szCs w:val="24"/>
          <w:lang w:val="sr-Cyrl-CS"/>
        </w:rPr>
        <w:t>Табела 8-2:</w:t>
      </w:r>
      <w:r w:rsidRPr="00CC35F0">
        <w:rPr>
          <w:rFonts w:ascii="Times New Roman" w:eastAsia="Times New Roman" w:hAnsi="Times New Roman"/>
          <w:b/>
          <w:sz w:val="24"/>
          <w:szCs w:val="24"/>
          <w:lang w:val="sr-Cyrl-CS"/>
        </w:rPr>
        <w:t xml:space="preserve"> Мониторинг спровођења мера</w:t>
      </w:r>
    </w:p>
    <w:tbl>
      <w:tblPr>
        <w:tblStyle w:val="af7"/>
        <w:tblW w:w="15451"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7"/>
        <w:gridCol w:w="5108"/>
        <w:gridCol w:w="2550"/>
        <w:gridCol w:w="2175"/>
        <w:gridCol w:w="1744"/>
        <w:gridCol w:w="1526"/>
        <w:gridCol w:w="1361"/>
      </w:tblGrid>
      <w:tr w:rsidR="00A0251B" w:rsidRPr="00CC35F0" w14:paraId="4F9AC792" w14:textId="77777777" w:rsidTr="009E674D">
        <w:trPr>
          <w:trHeight w:val="630"/>
          <w:tblHeader/>
        </w:trPr>
        <w:tc>
          <w:tcPr>
            <w:tcW w:w="987" w:type="dxa"/>
            <w:shd w:val="clear" w:color="auto" w:fill="44546A"/>
            <w:vAlign w:val="center"/>
          </w:tcPr>
          <w:p w14:paraId="6AB718C0" w14:textId="77777777" w:rsidR="00A0251B" w:rsidRPr="00CC35F0" w:rsidRDefault="008D6506">
            <w:pPr>
              <w:spacing w:after="0" w:line="240" w:lineRule="auto"/>
              <w:ind w:left="-103" w:right="-98"/>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Бр.</w:t>
            </w:r>
          </w:p>
        </w:tc>
        <w:tc>
          <w:tcPr>
            <w:tcW w:w="5108" w:type="dxa"/>
            <w:shd w:val="clear" w:color="auto" w:fill="44546A"/>
            <w:vAlign w:val="center"/>
          </w:tcPr>
          <w:p w14:paraId="0D3D6501" w14:textId="77777777" w:rsidR="00A0251B" w:rsidRPr="00CC35F0" w:rsidRDefault="008D6506">
            <w:pPr>
              <w:spacing w:after="0" w:line="240" w:lineRule="auto"/>
              <w:ind w:left="-107" w:right="-110"/>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Назив мере/активности</w:t>
            </w:r>
          </w:p>
        </w:tc>
        <w:tc>
          <w:tcPr>
            <w:tcW w:w="2550" w:type="dxa"/>
            <w:shd w:val="clear" w:color="auto" w:fill="44546A"/>
            <w:vAlign w:val="center"/>
          </w:tcPr>
          <w:p w14:paraId="07589662" w14:textId="77777777" w:rsidR="00A0251B" w:rsidRPr="00CC35F0" w:rsidRDefault="008D6506" w:rsidP="00917F4E">
            <w:pPr>
              <w:spacing w:after="0" w:line="240" w:lineRule="auto"/>
              <w:ind w:left="-71" w:right="-156"/>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Прописи</w:t>
            </w:r>
            <w:r w:rsidRPr="00CC35F0">
              <w:rPr>
                <w:rFonts w:ascii="Times New Roman" w:eastAsia="Times New Roman" w:hAnsi="Times New Roman"/>
                <w:b/>
                <w:color w:val="FF0000"/>
                <w:sz w:val="24"/>
                <w:szCs w:val="24"/>
                <w:lang w:val="sr-Cyrl-CS"/>
              </w:rPr>
              <w:t xml:space="preserve"> </w:t>
            </w:r>
            <w:r w:rsidRPr="00CC35F0">
              <w:rPr>
                <w:rFonts w:ascii="Times New Roman" w:eastAsia="Times New Roman" w:hAnsi="Times New Roman"/>
                <w:b/>
                <w:color w:val="FFFFFF"/>
                <w:sz w:val="24"/>
                <w:szCs w:val="24"/>
                <w:lang w:val="sr-Cyrl-CS"/>
              </w:rPr>
              <w:t>које је потребно донети/изменити ради спровођења мера</w:t>
            </w:r>
          </w:p>
        </w:tc>
        <w:tc>
          <w:tcPr>
            <w:tcW w:w="2175" w:type="dxa"/>
            <w:shd w:val="clear" w:color="auto" w:fill="44546A"/>
            <w:vAlign w:val="center"/>
          </w:tcPr>
          <w:p w14:paraId="6C8DD7DC" w14:textId="77777777" w:rsidR="00A0251B" w:rsidRPr="00CC35F0" w:rsidRDefault="008D6506">
            <w:pPr>
              <w:spacing w:after="0" w:line="240" w:lineRule="auto"/>
              <w:ind w:left="-71" w:right="-156"/>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Показатељи учинка</w:t>
            </w:r>
          </w:p>
        </w:tc>
        <w:tc>
          <w:tcPr>
            <w:tcW w:w="1744" w:type="dxa"/>
            <w:shd w:val="clear" w:color="auto" w:fill="44546A"/>
            <w:vAlign w:val="center"/>
          </w:tcPr>
          <w:p w14:paraId="189EFDD9" w14:textId="77777777" w:rsidR="00A0251B" w:rsidRPr="00CC35F0" w:rsidRDefault="008D6506">
            <w:pPr>
              <w:spacing w:after="0" w:line="240" w:lineRule="auto"/>
              <w:ind w:left="-71" w:right="-156"/>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Извор верификације</w:t>
            </w:r>
          </w:p>
        </w:tc>
        <w:tc>
          <w:tcPr>
            <w:tcW w:w="1526" w:type="dxa"/>
            <w:shd w:val="clear" w:color="auto" w:fill="44546A"/>
            <w:vAlign w:val="center"/>
          </w:tcPr>
          <w:p w14:paraId="267D291A" w14:textId="77777777" w:rsidR="00A0251B" w:rsidRPr="00CC35F0" w:rsidRDefault="008D6506">
            <w:pPr>
              <w:spacing w:after="0" w:line="240" w:lineRule="auto"/>
              <w:ind w:left="-131" w:right="-86"/>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Полазна вредност</w:t>
            </w:r>
          </w:p>
          <w:p w14:paraId="2A9E97EC" w14:textId="77777777" w:rsidR="00A0251B" w:rsidRPr="00CC35F0" w:rsidRDefault="008D6506">
            <w:pPr>
              <w:spacing w:after="0" w:line="240" w:lineRule="auto"/>
              <w:ind w:left="-131" w:right="-86"/>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[2015.]</w:t>
            </w:r>
          </w:p>
        </w:tc>
        <w:tc>
          <w:tcPr>
            <w:tcW w:w="1361" w:type="dxa"/>
            <w:shd w:val="clear" w:color="auto" w:fill="44546A"/>
            <w:vAlign w:val="center"/>
          </w:tcPr>
          <w:p w14:paraId="21370B88" w14:textId="77777777" w:rsidR="00A0251B" w:rsidRPr="00CC35F0" w:rsidRDefault="008D6506">
            <w:pPr>
              <w:spacing w:after="0" w:line="240" w:lineRule="auto"/>
              <w:ind w:left="-142" w:right="-74"/>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Циљана вредност</w:t>
            </w:r>
          </w:p>
          <w:p w14:paraId="57C22F3B" w14:textId="77777777" w:rsidR="00A0251B" w:rsidRPr="00CC35F0" w:rsidRDefault="008D6506">
            <w:pPr>
              <w:spacing w:after="0" w:line="240" w:lineRule="auto"/>
              <w:ind w:left="-142" w:right="-74"/>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[година]</w:t>
            </w:r>
          </w:p>
        </w:tc>
      </w:tr>
      <w:tr w:rsidR="00A0251B" w:rsidRPr="00CC35F0" w14:paraId="5B948906" w14:textId="77777777" w:rsidTr="009E674D">
        <w:trPr>
          <w:trHeight w:val="478"/>
        </w:trPr>
        <w:tc>
          <w:tcPr>
            <w:tcW w:w="15451" w:type="dxa"/>
            <w:gridSpan w:val="7"/>
            <w:shd w:val="clear" w:color="auto" w:fill="BDD7EE"/>
            <w:vAlign w:val="center"/>
          </w:tcPr>
          <w:p w14:paraId="7FE6FD68" w14:textId="77777777" w:rsidR="00A0251B" w:rsidRPr="00CC35F0" w:rsidRDefault="008D6506">
            <w:pPr>
              <w:spacing w:after="0" w:line="240" w:lineRule="auto"/>
              <w:ind w:right="-74"/>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Посебни циљ 1: Смањење емисија SO2 за 92% и суспендованих честица PM2.5 за 58,3% из сектора енергетике (укључујући саобраћај и индивидуална ложишта)</w:t>
            </w:r>
            <w:r w:rsidRPr="00CC35F0">
              <w:rPr>
                <w:rFonts w:ascii="Times New Roman" w:eastAsia="Times New Roman" w:hAnsi="Times New Roman"/>
                <w:i/>
                <w:sz w:val="24"/>
                <w:szCs w:val="24"/>
                <w:lang w:val="sr-Cyrl-CS"/>
              </w:rPr>
              <w:t xml:space="preserve"> </w:t>
            </w:r>
            <w:r w:rsidRPr="00CC35F0">
              <w:rPr>
                <w:rFonts w:ascii="Times New Roman" w:eastAsia="Times New Roman" w:hAnsi="Times New Roman"/>
                <w:b/>
                <w:sz w:val="24"/>
                <w:szCs w:val="24"/>
                <w:lang w:val="sr-Cyrl-CS"/>
              </w:rPr>
              <w:t>2030. године у поређењу са 2015. годином</w:t>
            </w:r>
          </w:p>
        </w:tc>
      </w:tr>
      <w:tr w:rsidR="00A0251B" w:rsidRPr="00CC35F0" w14:paraId="6FD38B4A" w14:textId="77777777" w:rsidTr="009E674D">
        <w:trPr>
          <w:trHeight w:val="603"/>
        </w:trPr>
        <w:tc>
          <w:tcPr>
            <w:tcW w:w="987" w:type="dxa"/>
            <w:shd w:val="clear" w:color="auto" w:fill="D9D9D9"/>
            <w:vAlign w:val="center"/>
          </w:tcPr>
          <w:p w14:paraId="6C5989F6"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w:t>
            </w:r>
          </w:p>
          <w:p w14:paraId="420E99F4"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B1)</w:t>
            </w:r>
          </w:p>
        </w:tc>
        <w:tc>
          <w:tcPr>
            <w:tcW w:w="5108" w:type="dxa"/>
            <w:shd w:val="clear" w:color="auto" w:fill="D9D9D9"/>
            <w:vAlign w:val="center"/>
          </w:tcPr>
          <w:p w14:paraId="4534FB95" w14:textId="77777777" w:rsidR="00A0251B" w:rsidRPr="00CC35F0" w:rsidRDefault="008D6506">
            <w:pPr>
              <w:spacing w:after="0" w:line="240" w:lineRule="auto"/>
              <w:ind w:right="-74"/>
              <w:jc w:val="lef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Спровођење Поглавља II Директиве ЕУ о индустријским емисијама за велика постројења за сагоревање, узимајући у обзир средње вредности горњих и доњих BAT AELs</w:t>
            </w:r>
          </w:p>
        </w:tc>
        <w:tc>
          <w:tcPr>
            <w:tcW w:w="2550" w:type="dxa"/>
            <w:shd w:val="clear" w:color="auto" w:fill="D9D9D9"/>
            <w:vAlign w:val="center"/>
          </w:tcPr>
          <w:p w14:paraId="1CA46A1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Измењени национални закони (Закон о интегрисаном спречавању и контроли загађивања животне средине, Закон о управљању отпадом, Закон о заштити ваздуха) и релевантни подзаконски акти, изградња капацитета (додатно запошљавање)</w:t>
            </w:r>
          </w:p>
        </w:tc>
        <w:tc>
          <w:tcPr>
            <w:tcW w:w="2175" w:type="dxa"/>
            <w:shd w:val="clear" w:color="auto" w:fill="D9D9D9"/>
            <w:vAlign w:val="center"/>
          </w:tcPr>
          <w:p w14:paraId="6A86712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Издате/измењене интегрисане дозволе, </w:t>
            </w:r>
            <w:r w:rsidRPr="00CC35F0">
              <w:rPr>
                <w:rFonts w:ascii="Times New Roman" w:eastAsia="Times New Roman" w:hAnsi="Times New Roman"/>
                <w:color w:val="000000"/>
                <w:sz w:val="24"/>
                <w:szCs w:val="24"/>
                <w:lang w:val="sr-Cyrl-CS"/>
              </w:rPr>
              <w:t>узимајући у обзир граничне вредности BAT AELs и квалитет ваздуха у зонама и агломерацијама, у циљу спровођења Поглавља II Директиве ЕУ о индустријским емисијама за велика постројења за сагоревање.</w:t>
            </w:r>
          </w:p>
        </w:tc>
        <w:tc>
          <w:tcPr>
            <w:tcW w:w="1744" w:type="dxa"/>
            <w:shd w:val="clear" w:color="auto" w:fill="D9D9D9"/>
            <w:vAlign w:val="center"/>
          </w:tcPr>
          <w:p w14:paraId="42AF067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Статистика о интегрисаним дозволама</w:t>
            </w:r>
          </w:p>
        </w:tc>
        <w:tc>
          <w:tcPr>
            <w:tcW w:w="1526" w:type="dxa"/>
            <w:shd w:val="clear" w:color="auto" w:fill="D9D9D9"/>
            <w:vAlign w:val="center"/>
          </w:tcPr>
          <w:p w14:paraId="4F979FE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361" w:type="dxa"/>
            <w:shd w:val="clear" w:color="auto" w:fill="D9D9D9"/>
            <w:vAlign w:val="center"/>
          </w:tcPr>
          <w:p w14:paraId="06DF36BF" w14:textId="77777777" w:rsidR="00A0251B" w:rsidRPr="00CC35F0" w:rsidRDefault="008D6506">
            <w:pPr>
              <w:spacing w:after="0"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Да </w:t>
            </w:r>
          </w:p>
          <w:p w14:paraId="3C43E33A" w14:textId="77777777" w:rsidR="00A0251B" w:rsidRPr="00CC35F0" w:rsidRDefault="008D6506">
            <w:pPr>
              <w:spacing w:after="0"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Сва велика постројења за сагоревање у складу су са BAT AELs</w:t>
            </w:r>
          </w:p>
          <w:p w14:paraId="1370F77F" w14:textId="77777777" w:rsidR="00A0251B" w:rsidRPr="00CC35F0" w:rsidRDefault="008D6506">
            <w:pPr>
              <w:spacing w:after="0"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r>
      <w:tr w:rsidR="00A0251B" w:rsidRPr="00CC35F0" w14:paraId="19634466" w14:textId="77777777" w:rsidTr="009E674D">
        <w:trPr>
          <w:trHeight w:val="562"/>
        </w:trPr>
        <w:tc>
          <w:tcPr>
            <w:tcW w:w="987" w:type="dxa"/>
            <w:shd w:val="clear" w:color="auto" w:fill="auto"/>
            <w:vAlign w:val="center"/>
          </w:tcPr>
          <w:p w14:paraId="21939304" w14:textId="77777777" w:rsidR="00A0251B" w:rsidRPr="00CC35F0" w:rsidRDefault="008D6506">
            <w:pPr>
              <w:spacing w:after="0" w:line="240" w:lineRule="auto"/>
              <w:ind w:left="-103" w:right="-98"/>
              <w:jc w:val="center"/>
              <w:rPr>
                <w:rFonts w:ascii="Times New Roman" w:eastAsia="Times New Roman" w:hAnsi="Times New Roman"/>
                <w:color w:val="0563C1"/>
                <w:sz w:val="24"/>
                <w:szCs w:val="24"/>
                <w:u w:val="single"/>
                <w:lang w:val="sr-Cyrl-CS"/>
              </w:rPr>
            </w:pPr>
            <w:r w:rsidRPr="00CC35F0">
              <w:rPr>
                <w:rFonts w:ascii="Times New Roman" w:eastAsia="Times New Roman" w:hAnsi="Times New Roman"/>
                <w:color w:val="000000"/>
                <w:sz w:val="24"/>
                <w:szCs w:val="24"/>
                <w:lang w:val="sr-Cyrl-CS"/>
              </w:rPr>
              <w:t>[A]</w:t>
            </w:r>
            <w:r w:rsidRPr="00CC35F0">
              <w:rPr>
                <w:rFonts w:ascii="Times New Roman" w:eastAsia="Times New Roman" w:hAnsi="Times New Roman"/>
                <w:color w:val="000000"/>
                <w:sz w:val="24"/>
                <w:szCs w:val="24"/>
                <w:vertAlign w:val="superscript"/>
                <w:lang w:val="sr-Cyrl-CS"/>
              </w:rPr>
              <w:footnoteReference w:id="66"/>
            </w:r>
          </w:p>
        </w:tc>
        <w:tc>
          <w:tcPr>
            <w:tcW w:w="5108" w:type="dxa"/>
            <w:shd w:val="clear" w:color="auto" w:fill="auto"/>
          </w:tcPr>
          <w:p w14:paraId="357BC11E"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Обезбеђивање потпуног усклађивања законодавства </w:t>
            </w:r>
            <w:r w:rsidR="00CD0F6E" w:rsidRPr="00CD0F6E">
              <w:rPr>
                <w:rFonts w:ascii="Times New Roman" w:eastAsia="Times New Roman" w:hAnsi="Times New Roman"/>
                <w:bCs/>
                <w:color w:val="000000"/>
                <w:sz w:val="24"/>
                <w:szCs w:val="24"/>
                <w:lang w:val="sr-Cyrl-RS"/>
              </w:rPr>
              <w:t>Републике Србије</w:t>
            </w:r>
            <w:r w:rsidR="00CD0F6E">
              <w:rPr>
                <w:rFonts w:ascii="Times New Roman" w:eastAsia="Times New Roman" w:hAnsi="Times New Roman"/>
                <w:color w:val="000000"/>
                <w:sz w:val="24"/>
                <w:szCs w:val="24"/>
                <w:lang w:val="sr-Cyrl-CS"/>
              </w:rPr>
              <w:t xml:space="preserve"> </w:t>
            </w:r>
            <w:r w:rsidRPr="00CC35F0">
              <w:rPr>
                <w:rFonts w:ascii="Times New Roman" w:eastAsia="Times New Roman" w:hAnsi="Times New Roman"/>
                <w:color w:val="000000"/>
                <w:sz w:val="24"/>
                <w:szCs w:val="24"/>
                <w:lang w:val="sr-Cyrl-CS"/>
              </w:rPr>
              <w:t>са Директивом о индустријским емисијама за велика постројења за сагоревање из Анекса I</w:t>
            </w:r>
          </w:p>
          <w:p w14:paraId="67AC6C5F"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Измене и допуне подзаконских аката </w:t>
            </w:r>
            <w:r w:rsidRPr="00CC35F0">
              <w:rPr>
                <w:rFonts w:ascii="Times New Roman" w:eastAsia="Times New Roman" w:hAnsi="Times New Roman"/>
                <w:color w:val="000000"/>
                <w:sz w:val="24"/>
                <w:szCs w:val="24"/>
                <w:vertAlign w:val="superscript"/>
                <w:lang w:val="sr-Cyrl-CS"/>
              </w:rPr>
              <w:footnoteReference w:id="67"/>
            </w:r>
          </w:p>
        </w:tc>
        <w:tc>
          <w:tcPr>
            <w:tcW w:w="2550" w:type="dxa"/>
            <w:shd w:val="clear" w:color="auto" w:fill="auto"/>
            <w:vAlign w:val="center"/>
          </w:tcPr>
          <w:p w14:paraId="5CC6557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2175" w:type="dxa"/>
            <w:shd w:val="clear" w:color="auto" w:fill="auto"/>
            <w:vAlign w:val="center"/>
          </w:tcPr>
          <w:p w14:paraId="3FCAD2F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Измењен Закон о интегрисаном спречавању и контроли загађивања </w:t>
            </w:r>
            <w:r w:rsidRPr="00CC35F0">
              <w:rPr>
                <w:rFonts w:ascii="Times New Roman" w:eastAsia="Times New Roman" w:hAnsi="Times New Roman"/>
                <w:color w:val="000000"/>
                <w:sz w:val="24"/>
                <w:szCs w:val="24"/>
                <w:lang w:val="sr-Cyrl-CS"/>
              </w:rPr>
              <w:lastRenderedPageBreak/>
              <w:t xml:space="preserve">животне средине и подзаконска акта </w:t>
            </w:r>
          </w:p>
        </w:tc>
        <w:tc>
          <w:tcPr>
            <w:tcW w:w="1744" w:type="dxa"/>
            <w:shd w:val="clear" w:color="auto" w:fill="auto"/>
            <w:vAlign w:val="center"/>
          </w:tcPr>
          <w:p w14:paraId="630B06F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xml:space="preserve">План за спровођење Директиве 2010/75/ЕУ </w:t>
            </w:r>
          </w:p>
        </w:tc>
        <w:tc>
          <w:tcPr>
            <w:tcW w:w="1526" w:type="dxa"/>
            <w:shd w:val="clear" w:color="auto" w:fill="auto"/>
            <w:vAlign w:val="center"/>
          </w:tcPr>
          <w:p w14:paraId="39164FE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280315AD"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 [2023]</w:t>
            </w:r>
          </w:p>
        </w:tc>
      </w:tr>
      <w:tr w:rsidR="00A0251B" w:rsidRPr="00CC35F0" w14:paraId="2E9BFFD3" w14:textId="77777777" w:rsidTr="009E674D">
        <w:trPr>
          <w:trHeight w:val="321"/>
        </w:trPr>
        <w:tc>
          <w:tcPr>
            <w:tcW w:w="987" w:type="dxa"/>
            <w:shd w:val="clear" w:color="auto" w:fill="auto"/>
            <w:vAlign w:val="center"/>
          </w:tcPr>
          <w:p w14:paraId="1043B986"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108" w:type="dxa"/>
            <w:shd w:val="clear" w:color="auto" w:fill="auto"/>
          </w:tcPr>
          <w:p w14:paraId="11311390"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Обезбеђивање повећања броја запослених у институцијама Републике Србије на пословима издавања интегрисане дозволе у складу са идентификованим потребама у Специфичном плану за спровођење ДИЕ (Пројекат ДИЕ Србија):</w:t>
            </w:r>
          </w:p>
          <w:p w14:paraId="22C83289"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 Одељење за интегрисане дозволе: 4 радна места, издаваоци дозвола, слободна радна места; 6 радних места са техничким квалификацијама (постепено повећање броја запослених у овом одељењу у средњорочној перспективи) и 1 радно место за правника</w:t>
            </w:r>
          </w:p>
          <w:p w14:paraId="75478696" w14:textId="77777777" w:rsidR="00A0251B" w:rsidRPr="00CC35F0" w:rsidRDefault="00D910F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АП</w:t>
            </w:r>
            <w:r w:rsidR="008D6506" w:rsidRPr="00CC35F0">
              <w:rPr>
                <w:rFonts w:ascii="Times New Roman" w:eastAsia="Times New Roman" w:hAnsi="Times New Roman"/>
                <w:color w:val="000000"/>
                <w:sz w:val="24"/>
                <w:szCs w:val="24"/>
                <w:lang w:val="sr-Cyrl-CS"/>
              </w:rPr>
              <w:t xml:space="preserve"> Војводина (Покрајински секретаријат за урбанизам и заштиту животне средине): 2 радна места, писци дозвола, 1 радно место за правника</w:t>
            </w:r>
          </w:p>
          <w:p w14:paraId="54031A02"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16099FC3"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ДИЕ Поглавље 3: 1 радно место за стручњака за велика постројења за сагоревање</w:t>
            </w:r>
          </w:p>
          <w:p w14:paraId="0A42B7F0"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ДИЕ Поглавље 4: 1 радно место за стручњака за инсинерацију отпада</w:t>
            </w:r>
          </w:p>
          <w:p w14:paraId="3C97193A"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ДИЕ Поглавље 5: 1 радно место, службеник са искуством у хемијском инжењерингу</w:t>
            </w:r>
          </w:p>
          <w:p w14:paraId="0BAF91E7"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w:t>
            </w:r>
          </w:p>
          <w:p w14:paraId="697CF780"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ДИЕ Поглавље 5: 1 радно место, службеник са искуством у хемијском инжењерингу</w:t>
            </w:r>
          </w:p>
        </w:tc>
        <w:tc>
          <w:tcPr>
            <w:tcW w:w="2550" w:type="dxa"/>
            <w:shd w:val="clear" w:color="auto" w:fill="auto"/>
            <w:vAlign w:val="center"/>
          </w:tcPr>
          <w:p w14:paraId="7A2FC64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2175" w:type="dxa"/>
            <w:shd w:val="clear" w:color="auto" w:fill="auto"/>
            <w:vAlign w:val="center"/>
          </w:tcPr>
          <w:p w14:paraId="15D5CD3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Број додатних административних капацитета у МЖЗС и АП Војводина </w:t>
            </w:r>
          </w:p>
        </w:tc>
        <w:tc>
          <w:tcPr>
            <w:tcW w:w="1744" w:type="dxa"/>
            <w:shd w:val="clear" w:color="auto" w:fill="auto"/>
          </w:tcPr>
          <w:p w14:paraId="462F48FE"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1F101C15"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4812030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760A3219"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0030E924"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6F6CA78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3663A848"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283BA9E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13F1AAEF"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3937462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План за спровођење Директиве 2010/75/ЕУ </w:t>
            </w:r>
          </w:p>
        </w:tc>
        <w:tc>
          <w:tcPr>
            <w:tcW w:w="1526" w:type="dxa"/>
            <w:shd w:val="clear" w:color="auto" w:fill="auto"/>
            <w:vAlign w:val="center"/>
          </w:tcPr>
          <w:p w14:paraId="188B09E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w:t>
            </w:r>
          </w:p>
        </w:tc>
        <w:tc>
          <w:tcPr>
            <w:tcW w:w="1361" w:type="dxa"/>
            <w:shd w:val="clear" w:color="auto" w:fill="auto"/>
            <w:vAlign w:val="center"/>
          </w:tcPr>
          <w:p w14:paraId="2907C48D"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11 и 2 </w:t>
            </w:r>
          </w:p>
          <w:p w14:paraId="2A0C22B3"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[2025] </w:t>
            </w:r>
          </w:p>
        </w:tc>
      </w:tr>
      <w:tr w:rsidR="00A0251B" w:rsidRPr="00CC35F0" w14:paraId="3E826A39" w14:textId="77777777" w:rsidTr="009E674D">
        <w:trPr>
          <w:trHeight w:val="473"/>
        </w:trPr>
        <w:tc>
          <w:tcPr>
            <w:tcW w:w="987" w:type="dxa"/>
            <w:shd w:val="clear" w:color="auto" w:fill="auto"/>
            <w:vAlign w:val="center"/>
          </w:tcPr>
          <w:p w14:paraId="31B2107A"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w:t>
            </w:r>
          </w:p>
        </w:tc>
        <w:tc>
          <w:tcPr>
            <w:tcW w:w="5108" w:type="dxa"/>
            <w:shd w:val="clear" w:color="auto" w:fill="auto"/>
          </w:tcPr>
          <w:p w14:paraId="172EF576"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Обезбедити да сва велика постројења за сагоревање послују у складу са ажурираним интегрисаним дозволама.</w:t>
            </w:r>
          </w:p>
        </w:tc>
        <w:tc>
          <w:tcPr>
            <w:tcW w:w="2550" w:type="dxa"/>
            <w:shd w:val="clear" w:color="auto" w:fill="auto"/>
            <w:vAlign w:val="center"/>
          </w:tcPr>
          <w:p w14:paraId="7F8B5AD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2175" w:type="dxa"/>
            <w:shd w:val="clear" w:color="auto" w:fill="auto"/>
            <w:vAlign w:val="center"/>
          </w:tcPr>
          <w:p w14:paraId="202A274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Број издатих дозвола</w:t>
            </w:r>
          </w:p>
        </w:tc>
        <w:tc>
          <w:tcPr>
            <w:tcW w:w="1744" w:type="dxa"/>
            <w:shd w:val="clear" w:color="auto" w:fill="auto"/>
          </w:tcPr>
          <w:p w14:paraId="0C30C76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План за спровођење Директиве 2010/87/ЕУ </w:t>
            </w:r>
          </w:p>
        </w:tc>
        <w:tc>
          <w:tcPr>
            <w:tcW w:w="1526" w:type="dxa"/>
            <w:shd w:val="clear" w:color="auto" w:fill="auto"/>
            <w:vAlign w:val="center"/>
          </w:tcPr>
          <w:p w14:paraId="465E654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2E602ABD" w14:textId="77777777" w:rsidR="00A0251B" w:rsidRPr="00CC35F0" w:rsidRDefault="008D6506">
            <w:pPr>
              <w:spacing w:after="0"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p w14:paraId="3A545540" w14:textId="77777777" w:rsidR="00A0251B" w:rsidRPr="00CC35F0" w:rsidRDefault="008D6506">
            <w:pPr>
              <w:spacing w:after="0"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Сва велика постројења за сагоревање имају дозволе у складу са BAT AELs</w:t>
            </w:r>
          </w:p>
          <w:p w14:paraId="505741C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[2030]</w:t>
            </w:r>
          </w:p>
        </w:tc>
      </w:tr>
      <w:tr w:rsidR="00A0251B" w:rsidRPr="00CC35F0" w14:paraId="004DFFEF" w14:textId="77777777" w:rsidTr="009E674D">
        <w:trPr>
          <w:trHeight w:val="1490"/>
        </w:trPr>
        <w:tc>
          <w:tcPr>
            <w:tcW w:w="987" w:type="dxa"/>
            <w:shd w:val="clear" w:color="auto" w:fill="auto"/>
            <w:vAlign w:val="center"/>
          </w:tcPr>
          <w:p w14:paraId="2C31CFC5"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108" w:type="dxa"/>
            <w:shd w:val="clear" w:color="auto" w:fill="auto"/>
          </w:tcPr>
          <w:p w14:paraId="0DFC81DA"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Обезбедити да сва постројења из делокруга Директиве о индустријским емисијама извештавају Националном регистру извора загађења (који испуњава E-PRTR). Успоставити програм за проверу квалитета и доследности извештаја о емисијама у ваздух који се достављају Националном регистру извора загађења (доследност и тачност извештаја о емисијама морају проверити локални инспектори, а затим и АЗЖС пре објављивања. Штавише, пријављени подаци могу се користити као улазни подаци за попис емисија ради повећања тачности инвентара (користе се методе вишег реда уместо подразумеваних граничних вредности)).</w:t>
            </w:r>
          </w:p>
        </w:tc>
        <w:tc>
          <w:tcPr>
            <w:tcW w:w="2550" w:type="dxa"/>
            <w:shd w:val="clear" w:color="auto" w:fill="auto"/>
            <w:vAlign w:val="center"/>
          </w:tcPr>
          <w:p w14:paraId="2B0E2E0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2175" w:type="dxa"/>
            <w:shd w:val="clear" w:color="auto" w:fill="auto"/>
            <w:vAlign w:val="center"/>
          </w:tcPr>
          <w:p w14:paraId="5A08DEB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Успостављено  </w:t>
            </w:r>
            <w:r w:rsidRPr="00CC35F0">
              <w:rPr>
                <w:rFonts w:ascii="Times New Roman" w:eastAsia="Times New Roman" w:hAnsi="Times New Roman"/>
                <w:i/>
                <w:sz w:val="24"/>
                <w:szCs w:val="24"/>
                <w:lang w:val="sr-Cyrl-CS"/>
              </w:rPr>
              <w:t>обезбеђење и контрола квалитета (QA/QC) за повезивање E-PRTR</w:t>
            </w:r>
            <w:r w:rsidRPr="00CC35F0">
              <w:rPr>
                <w:rFonts w:ascii="Times New Roman" w:eastAsia="Times New Roman" w:hAnsi="Times New Roman"/>
                <w:sz w:val="24"/>
                <w:szCs w:val="24"/>
                <w:lang w:val="sr-Cyrl-CS"/>
              </w:rPr>
              <w:t xml:space="preserve"> са инвентаром </w:t>
            </w:r>
            <w:r w:rsidR="00D7552D" w:rsidRPr="00CC35F0">
              <w:rPr>
                <w:rFonts w:ascii="Times New Roman" w:eastAsia="Times New Roman" w:hAnsi="Times New Roman"/>
                <w:i/>
                <w:iCs/>
                <w:sz w:val="24"/>
                <w:szCs w:val="24"/>
                <w:lang w:val="sr-Cyrl-CS"/>
              </w:rPr>
              <w:t>CLRTAP</w:t>
            </w:r>
            <w:r w:rsidRPr="00CC35F0">
              <w:rPr>
                <w:rFonts w:ascii="Times New Roman" w:eastAsia="Times New Roman" w:hAnsi="Times New Roman"/>
                <w:i/>
                <w:sz w:val="24"/>
                <w:szCs w:val="24"/>
                <w:lang w:val="sr-Cyrl-CS"/>
              </w:rPr>
              <w:t xml:space="preserve"> </w:t>
            </w:r>
          </w:p>
        </w:tc>
        <w:tc>
          <w:tcPr>
            <w:tcW w:w="1744" w:type="dxa"/>
            <w:shd w:val="clear" w:color="auto" w:fill="auto"/>
            <w:vAlign w:val="center"/>
          </w:tcPr>
          <w:p w14:paraId="21541AD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Извештај о инвентару </w:t>
            </w:r>
            <w:r w:rsidR="00D7552D" w:rsidRPr="00CC35F0">
              <w:rPr>
                <w:rFonts w:ascii="Times New Roman" w:eastAsia="Times New Roman" w:hAnsi="Times New Roman"/>
                <w:i/>
                <w:iCs/>
                <w:sz w:val="24"/>
                <w:szCs w:val="24"/>
                <w:lang w:val="sr-Cyrl-CS"/>
              </w:rPr>
              <w:t>CLRTAP</w:t>
            </w:r>
          </w:p>
        </w:tc>
        <w:tc>
          <w:tcPr>
            <w:tcW w:w="1526" w:type="dxa"/>
            <w:shd w:val="clear" w:color="auto" w:fill="auto"/>
            <w:vAlign w:val="center"/>
          </w:tcPr>
          <w:p w14:paraId="3295C10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361C1CF7"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Да </w:t>
            </w:r>
          </w:p>
          <w:p w14:paraId="6F8FF24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[2027] </w:t>
            </w:r>
          </w:p>
        </w:tc>
      </w:tr>
      <w:tr w:rsidR="00A0251B" w:rsidRPr="00CC35F0" w14:paraId="6BC9907B" w14:textId="77777777" w:rsidTr="009E674D">
        <w:trPr>
          <w:trHeight w:val="368"/>
        </w:trPr>
        <w:tc>
          <w:tcPr>
            <w:tcW w:w="987" w:type="dxa"/>
            <w:shd w:val="clear" w:color="auto" w:fill="D9D9D9"/>
            <w:vAlign w:val="center"/>
          </w:tcPr>
          <w:p w14:paraId="4B603696"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Бр.2</w:t>
            </w:r>
          </w:p>
          <w:p w14:paraId="451AEC43"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A2)</w:t>
            </w:r>
          </w:p>
        </w:tc>
        <w:tc>
          <w:tcPr>
            <w:tcW w:w="5108" w:type="dxa"/>
            <w:shd w:val="clear" w:color="auto" w:fill="D9D9D9"/>
            <w:vAlign w:val="center"/>
          </w:tcPr>
          <w:p w14:paraId="34E6B16A"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Спровођење Директиве ЕУ 2015/2193 о ограничењу емисија одређених загађујућих материја у ваздух из средњих постројења за сагоревање</w:t>
            </w:r>
          </w:p>
        </w:tc>
        <w:tc>
          <w:tcPr>
            <w:tcW w:w="2550" w:type="dxa"/>
            <w:shd w:val="clear" w:color="auto" w:fill="D9D9D9"/>
            <w:vAlign w:val="center"/>
          </w:tcPr>
          <w:p w14:paraId="1130F8A4"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 xml:space="preserve">Измењени национални закони (Закон о заштити ваздуха), институционална </w:t>
            </w:r>
            <w:r w:rsidRPr="00CC35F0">
              <w:rPr>
                <w:rFonts w:ascii="Times New Roman" w:eastAsia="Times New Roman" w:hAnsi="Times New Roman"/>
                <w:color w:val="000000"/>
                <w:sz w:val="24"/>
                <w:szCs w:val="24"/>
                <w:lang w:val="sr-Cyrl-CS"/>
              </w:rPr>
              <w:lastRenderedPageBreak/>
              <w:t>контрола и надзор (додатно запошљавање)</w:t>
            </w:r>
          </w:p>
        </w:tc>
        <w:tc>
          <w:tcPr>
            <w:tcW w:w="2175" w:type="dxa"/>
            <w:shd w:val="clear" w:color="auto" w:fill="D9D9D9"/>
            <w:vAlign w:val="center"/>
          </w:tcPr>
          <w:p w14:paraId="1EBF69D9"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lastRenderedPageBreak/>
              <w:t xml:space="preserve">Удео средњих постројења за сагоревање усклађених са Директивом ЕУ </w:t>
            </w:r>
            <w:r w:rsidRPr="00CC35F0">
              <w:rPr>
                <w:rFonts w:ascii="Times New Roman" w:eastAsia="Times New Roman" w:hAnsi="Times New Roman"/>
                <w:sz w:val="24"/>
                <w:szCs w:val="24"/>
                <w:lang w:val="sr-Cyrl-CS"/>
              </w:rPr>
              <w:lastRenderedPageBreak/>
              <w:t>2015/2193 о ограничењу емисија одређених загађујућих материја у ваздух из средњих постројења за сагоревање</w:t>
            </w:r>
          </w:p>
        </w:tc>
        <w:tc>
          <w:tcPr>
            <w:tcW w:w="1744" w:type="dxa"/>
            <w:shd w:val="clear" w:color="auto" w:fill="D9D9D9"/>
            <w:vAlign w:val="center"/>
          </w:tcPr>
          <w:p w14:paraId="304C5B2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АЗЖС </w:t>
            </w:r>
          </w:p>
          <w:p w14:paraId="7C51151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Регистар средњих постројења за сагоревање</w:t>
            </w:r>
          </w:p>
        </w:tc>
        <w:tc>
          <w:tcPr>
            <w:tcW w:w="1526" w:type="dxa"/>
            <w:shd w:val="clear" w:color="auto" w:fill="D9D9D9"/>
            <w:vAlign w:val="center"/>
          </w:tcPr>
          <w:p w14:paraId="4DA42412"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w:t>
            </w:r>
          </w:p>
        </w:tc>
        <w:tc>
          <w:tcPr>
            <w:tcW w:w="1361" w:type="dxa"/>
            <w:shd w:val="clear" w:color="auto" w:fill="D9D9D9"/>
            <w:vAlign w:val="center"/>
          </w:tcPr>
          <w:p w14:paraId="2D08B044" w14:textId="77777777" w:rsidR="00A0251B" w:rsidRPr="00CC35F0" w:rsidRDefault="008D6506">
            <w:pPr>
              <w:spacing w:after="0"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w:t>
            </w:r>
          </w:p>
          <w:p w14:paraId="415EDF7E" w14:textId="77777777" w:rsidR="00A0251B" w:rsidRPr="00CC35F0" w:rsidRDefault="008D6506">
            <w:pPr>
              <w:spacing w:after="0"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Сва средња постројења за сагоревање имају </w:t>
            </w:r>
            <w:r w:rsidRPr="00CC35F0">
              <w:rPr>
                <w:rFonts w:ascii="Times New Roman" w:eastAsia="Times New Roman" w:hAnsi="Times New Roman"/>
                <w:sz w:val="24"/>
                <w:szCs w:val="24"/>
                <w:lang w:val="sr-Cyrl-CS"/>
              </w:rPr>
              <w:lastRenderedPageBreak/>
              <w:t xml:space="preserve">емисије у складу са </w:t>
            </w:r>
            <w:r w:rsidRPr="00CC35F0">
              <w:rPr>
                <w:rFonts w:ascii="Times New Roman" w:eastAsia="Times New Roman" w:hAnsi="Times New Roman"/>
                <w:color w:val="000000"/>
                <w:sz w:val="24"/>
                <w:szCs w:val="24"/>
                <w:lang w:val="sr-Cyrl-CS"/>
              </w:rPr>
              <w:t>Директивом ЕУ 2015/2193</w:t>
            </w:r>
          </w:p>
          <w:p w14:paraId="6FB0C6DA"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[2030]</w:t>
            </w:r>
          </w:p>
        </w:tc>
      </w:tr>
      <w:tr w:rsidR="00A0251B" w:rsidRPr="00CC35F0" w14:paraId="4C52CAA9" w14:textId="77777777" w:rsidTr="009E674D">
        <w:trPr>
          <w:trHeight w:val="563"/>
        </w:trPr>
        <w:tc>
          <w:tcPr>
            <w:tcW w:w="987" w:type="dxa"/>
            <w:shd w:val="clear" w:color="auto" w:fill="auto"/>
            <w:vAlign w:val="center"/>
          </w:tcPr>
          <w:p w14:paraId="2EB89F1E" w14:textId="77777777" w:rsidR="00A0251B" w:rsidRPr="00CC35F0" w:rsidRDefault="008D6506">
            <w:pPr>
              <w:spacing w:after="0" w:line="240" w:lineRule="auto"/>
              <w:ind w:left="-103" w:right="-98"/>
              <w:jc w:val="center"/>
              <w:rPr>
                <w:rFonts w:ascii="Times New Roman" w:eastAsia="Times New Roman" w:hAnsi="Times New Roman"/>
                <w:color w:val="0563C1"/>
                <w:sz w:val="24"/>
                <w:szCs w:val="24"/>
                <w:u w:val="single"/>
                <w:lang w:val="sr-Cyrl-CS"/>
              </w:rPr>
            </w:pPr>
            <w:r w:rsidRPr="00CC35F0">
              <w:rPr>
                <w:rFonts w:ascii="Times New Roman" w:eastAsia="Times New Roman" w:hAnsi="Times New Roman"/>
                <w:color w:val="0563C1"/>
                <w:sz w:val="24"/>
                <w:szCs w:val="24"/>
                <w:u w:val="single"/>
                <w:lang w:val="sr-Cyrl-CS"/>
              </w:rPr>
              <w:lastRenderedPageBreak/>
              <w:t>[A]</w:t>
            </w:r>
          </w:p>
        </w:tc>
        <w:tc>
          <w:tcPr>
            <w:tcW w:w="5108" w:type="dxa"/>
            <w:shd w:val="clear" w:color="auto" w:fill="auto"/>
          </w:tcPr>
          <w:p w14:paraId="7BBD130B"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Завршити потпуно усклађивање националног законодавства са Директивом о средњим постројењима за сагоревање, и то:</w:t>
            </w:r>
          </w:p>
          <w:p w14:paraId="1F908256" w14:textId="77777777" w:rsidR="00A0251B" w:rsidRPr="00CC35F0" w:rsidRDefault="00A0251B">
            <w:pPr>
              <w:spacing w:after="0" w:line="240" w:lineRule="auto"/>
              <w:ind w:left="-107" w:right="-110"/>
              <w:jc w:val="left"/>
              <w:rPr>
                <w:rFonts w:ascii="Times New Roman" w:eastAsia="Times New Roman" w:hAnsi="Times New Roman"/>
                <w:color w:val="000000"/>
                <w:sz w:val="24"/>
                <w:szCs w:val="24"/>
                <w:lang w:val="sr-Cyrl-CS"/>
              </w:rPr>
            </w:pPr>
          </w:p>
          <w:p w14:paraId="05E4E21B"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Доношењем Уредбе о граничним вредностима емисија загађујућих материја у ваздух из средњих постројења за сагоревање. Ова уредба ће морати да обједини захтеве Директиве и домаће Уредбе о граничним вредностима емисије загађујућих материја у ваздуху из постројења за сагоревање. Када се националним прописом примењују строже граничне вредности од оних прописаних Директивом, оне се морају задржати. Строже граничне вредности из Директиве морају бити транспоноване, као и сви остали строжи захтеви. </w:t>
            </w:r>
          </w:p>
        </w:tc>
        <w:tc>
          <w:tcPr>
            <w:tcW w:w="2550" w:type="dxa"/>
            <w:shd w:val="clear" w:color="auto" w:fill="auto"/>
            <w:vAlign w:val="center"/>
          </w:tcPr>
          <w:p w14:paraId="38C2D68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2175" w:type="dxa"/>
            <w:shd w:val="clear" w:color="auto" w:fill="auto"/>
            <w:vAlign w:val="center"/>
          </w:tcPr>
          <w:p w14:paraId="25AC3BF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Уредба о граничним вредностима емисије загађујућих материја у ваздух из средњих постројења за сагоревање</w:t>
            </w:r>
          </w:p>
        </w:tc>
        <w:tc>
          <w:tcPr>
            <w:tcW w:w="1744" w:type="dxa"/>
            <w:shd w:val="clear" w:color="auto" w:fill="auto"/>
            <w:vAlign w:val="center"/>
          </w:tcPr>
          <w:p w14:paraId="5B85BE3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Годишњи извештаји о напредовању мониторинга</w:t>
            </w:r>
          </w:p>
        </w:tc>
        <w:tc>
          <w:tcPr>
            <w:tcW w:w="1526" w:type="dxa"/>
            <w:shd w:val="clear" w:color="auto" w:fill="auto"/>
            <w:vAlign w:val="center"/>
          </w:tcPr>
          <w:p w14:paraId="34DFEA8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0D34F1A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p w14:paraId="43270E0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w:t>
            </w:r>
            <w:r w:rsidR="00174F09" w:rsidRPr="00CC35F0">
              <w:rPr>
                <w:rFonts w:ascii="Times New Roman" w:eastAsia="Times New Roman" w:hAnsi="Times New Roman"/>
                <w:color w:val="000000"/>
                <w:sz w:val="24"/>
                <w:szCs w:val="24"/>
                <w:lang w:val="sr-Cyrl-CS"/>
              </w:rPr>
              <w:t>4</w:t>
            </w:r>
            <w:r w:rsidRPr="00CC35F0">
              <w:rPr>
                <w:rFonts w:ascii="Times New Roman" w:eastAsia="Times New Roman" w:hAnsi="Times New Roman"/>
                <w:color w:val="000000"/>
                <w:sz w:val="24"/>
                <w:szCs w:val="24"/>
                <w:lang w:val="sr-Cyrl-CS"/>
              </w:rPr>
              <w:t>]</w:t>
            </w:r>
          </w:p>
        </w:tc>
      </w:tr>
      <w:tr w:rsidR="00A0251B" w:rsidRPr="00CC35F0" w14:paraId="74350D53" w14:textId="77777777" w:rsidTr="009E674D">
        <w:trPr>
          <w:trHeight w:val="498"/>
        </w:trPr>
        <w:tc>
          <w:tcPr>
            <w:tcW w:w="987" w:type="dxa"/>
            <w:shd w:val="clear" w:color="auto" w:fill="auto"/>
            <w:vAlign w:val="center"/>
          </w:tcPr>
          <w:p w14:paraId="1F35893E"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108" w:type="dxa"/>
            <w:shd w:val="clear" w:color="auto" w:fill="auto"/>
          </w:tcPr>
          <w:p w14:paraId="63DECCD0"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Како би се осигурало спровођење захтева из Директиве  о средњим постројењима за сагоревање, треба обезбедити</w:t>
            </w:r>
            <w:r w:rsidRPr="00CC35F0">
              <w:rPr>
                <w:rFonts w:ascii="Times New Roman" w:eastAsia="Times New Roman" w:hAnsi="Times New Roman"/>
                <w:color w:val="000000"/>
                <w:sz w:val="24"/>
                <w:szCs w:val="24"/>
                <w:lang w:val="sr-Cyrl-CS"/>
              </w:rPr>
              <w:br/>
              <w:t>- наставак анализе тренутно доступних података о средњим постројењима за сагоревање;</w:t>
            </w:r>
            <w:r w:rsidRPr="00CC35F0">
              <w:rPr>
                <w:rFonts w:ascii="Times New Roman" w:eastAsia="Times New Roman" w:hAnsi="Times New Roman"/>
                <w:color w:val="000000"/>
                <w:sz w:val="24"/>
                <w:szCs w:val="24"/>
                <w:lang w:val="sr-Cyrl-CS"/>
              </w:rPr>
              <w:br/>
            </w:r>
            <w:r w:rsidRPr="00CC35F0">
              <w:rPr>
                <w:rFonts w:ascii="Times New Roman" w:eastAsia="Times New Roman" w:hAnsi="Times New Roman"/>
                <w:color w:val="000000"/>
                <w:sz w:val="24"/>
                <w:szCs w:val="24"/>
                <w:lang w:val="sr-Cyrl-CS"/>
              </w:rPr>
              <w:lastRenderedPageBreak/>
              <w:t>- допуњавање базе података тако да садржи укупан број средњих постројења за сагоревање;</w:t>
            </w:r>
            <w:r w:rsidRPr="00CC35F0">
              <w:rPr>
                <w:rFonts w:ascii="Times New Roman" w:eastAsia="Times New Roman" w:hAnsi="Times New Roman"/>
                <w:color w:val="000000"/>
                <w:sz w:val="24"/>
                <w:szCs w:val="24"/>
                <w:lang w:val="sr-Cyrl-CS"/>
              </w:rPr>
              <w:br/>
              <w:t>- успоставити систем извештавања и базу података (члан 11)</w:t>
            </w:r>
            <w:r w:rsidRPr="00CC35F0">
              <w:rPr>
                <w:rFonts w:ascii="Times New Roman" w:eastAsia="Times New Roman" w:hAnsi="Times New Roman"/>
                <w:color w:val="000000"/>
                <w:sz w:val="24"/>
                <w:szCs w:val="24"/>
                <w:vertAlign w:val="superscript"/>
                <w:lang w:val="sr-Cyrl-CS"/>
              </w:rPr>
              <w:footnoteReference w:id="68"/>
            </w:r>
          </w:p>
        </w:tc>
        <w:tc>
          <w:tcPr>
            <w:tcW w:w="2550" w:type="dxa"/>
            <w:shd w:val="clear" w:color="auto" w:fill="auto"/>
            <w:vAlign w:val="center"/>
          </w:tcPr>
          <w:p w14:paraId="756437B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w:t>
            </w:r>
          </w:p>
        </w:tc>
        <w:tc>
          <w:tcPr>
            <w:tcW w:w="2175" w:type="dxa"/>
            <w:shd w:val="clear" w:color="auto" w:fill="auto"/>
            <w:vAlign w:val="center"/>
          </w:tcPr>
          <w:p w14:paraId="20BAD78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Успостављен систем извештавања и база података</w:t>
            </w:r>
          </w:p>
        </w:tc>
        <w:tc>
          <w:tcPr>
            <w:tcW w:w="1744" w:type="dxa"/>
            <w:shd w:val="clear" w:color="auto" w:fill="auto"/>
            <w:vAlign w:val="center"/>
          </w:tcPr>
          <w:p w14:paraId="3AEC152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w:t>
            </w:r>
          </w:p>
          <w:p w14:paraId="0DF4B70A" w14:textId="77777777" w:rsidR="00A0251B" w:rsidRPr="00CC35F0" w:rsidRDefault="00A0251B">
            <w:pPr>
              <w:spacing w:after="0" w:line="240" w:lineRule="auto"/>
              <w:jc w:val="right"/>
              <w:rPr>
                <w:rFonts w:ascii="Times New Roman" w:eastAsia="Times New Roman" w:hAnsi="Times New Roman"/>
                <w:strike/>
                <w:color w:val="000000"/>
                <w:sz w:val="24"/>
                <w:szCs w:val="24"/>
                <w:lang w:val="sr-Cyrl-CS"/>
              </w:rPr>
            </w:pPr>
          </w:p>
        </w:tc>
        <w:tc>
          <w:tcPr>
            <w:tcW w:w="1526" w:type="dxa"/>
            <w:shd w:val="clear" w:color="auto" w:fill="auto"/>
            <w:vAlign w:val="center"/>
          </w:tcPr>
          <w:p w14:paraId="001EB8C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35A2677B"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Да </w:t>
            </w:r>
          </w:p>
          <w:p w14:paraId="3268A956"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w:t>
            </w:r>
            <w:r w:rsidR="001D7A4A" w:rsidRPr="00CC35F0">
              <w:rPr>
                <w:rFonts w:ascii="Times New Roman" w:eastAsia="Times New Roman" w:hAnsi="Times New Roman"/>
                <w:color w:val="000000"/>
                <w:sz w:val="24"/>
                <w:szCs w:val="24"/>
                <w:lang w:val="sr-Cyrl-CS"/>
              </w:rPr>
              <w:t>4</w:t>
            </w:r>
            <w:r w:rsidRPr="00CC35F0">
              <w:rPr>
                <w:rFonts w:ascii="Times New Roman" w:eastAsia="Times New Roman" w:hAnsi="Times New Roman"/>
                <w:color w:val="000000"/>
                <w:sz w:val="24"/>
                <w:szCs w:val="24"/>
                <w:lang w:val="sr-Cyrl-CS"/>
              </w:rPr>
              <w:t>]</w:t>
            </w:r>
          </w:p>
        </w:tc>
      </w:tr>
      <w:tr w:rsidR="00A0251B" w:rsidRPr="00CC35F0" w14:paraId="630DCB8B" w14:textId="77777777" w:rsidTr="009E674D">
        <w:trPr>
          <w:trHeight w:val="316"/>
        </w:trPr>
        <w:tc>
          <w:tcPr>
            <w:tcW w:w="987" w:type="dxa"/>
            <w:shd w:val="clear" w:color="auto" w:fill="auto"/>
            <w:vAlign w:val="center"/>
          </w:tcPr>
          <w:p w14:paraId="324D1520"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108" w:type="dxa"/>
            <w:shd w:val="clear" w:color="auto" w:fill="auto"/>
            <w:vAlign w:val="center"/>
          </w:tcPr>
          <w:p w14:paraId="52303CB9"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Усаглашавање средњих постројења за сагоревање са граничним вредностима.</w:t>
            </w:r>
          </w:p>
        </w:tc>
        <w:tc>
          <w:tcPr>
            <w:tcW w:w="2550" w:type="dxa"/>
            <w:shd w:val="clear" w:color="auto" w:fill="auto"/>
            <w:vAlign w:val="center"/>
          </w:tcPr>
          <w:p w14:paraId="1F9665B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2175" w:type="dxa"/>
            <w:shd w:val="clear" w:color="auto" w:fill="auto"/>
            <w:vAlign w:val="center"/>
          </w:tcPr>
          <w:p w14:paraId="67C8F58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Додатне годишње инспекције средњих постројења за сагоревање у Београду, Крагујевцу, Нишу, Ваљеву, Ужицу</w:t>
            </w:r>
          </w:p>
        </w:tc>
        <w:tc>
          <w:tcPr>
            <w:tcW w:w="1744" w:type="dxa"/>
            <w:shd w:val="clear" w:color="auto" w:fill="auto"/>
            <w:vAlign w:val="center"/>
          </w:tcPr>
          <w:p w14:paraId="237FD99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МЗЖС </w:t>
            </w:r>
          </w:p>
          <w:p w14:paraId="7ACA58E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Годишњи извештај инспекције за заштиту животне средине</w:t>
            </w:r>
          </w:p>
        </w:tc>
        <w:tc>
          <w:tcPr>
            <w:tcW w:w="1526" w:type="dxa"/>
            <w:shd w:val="clear" w:color="auto" w:fill="auto"/>
            <w:vAlign w:val="center"/>
          </w:tcPr>
          <w:p w14:paraId="3FC09B5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5B1405C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p w14:paraId="2A2EDE2A"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[30] </w:t>
            </w:r>
          </w:p>
        </w:tc>
      </w:tr>
      <w:tr w:rsidR="00A0251B" w:rsidRPr="00CC35F0" w14:paraId="16588263" w14:textId="77777777" w:rsidTr="009E674D">
        <w:trPr>
          <w:trHeight w:val="1490"/>
        </w:trPr>
        <w:tc>
          <w:tcPr>
            <w:tcW w:w="987" w:type="dxa"/>
            <w:shd w:val="clear" w:color="auto" w:fill="auto"/>
            <w:vAlign w:val="center"/>
          </w:tcPr>
          <w:p w14:paraId="23468EFB"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108" w:type="dxa"/>
            <w:shd w:val="clear" w:color="auto" w:fill="auto"/>
          </w:tcPr>
          <w:p w14:paraId="64E7F3D8"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Обезбедити повећање броја запослених у институцијама Републике Србије који би радили на пословима у вези са средњим постројењима за сагоревање (али и другим, као што су мала постројења за сагоревање и кућна грејна тела):  МЗЖС: 2 радна места за стручњака за средња постројења за сагоревање (али и за мала постројења за сагоревање и за кућна грејна тела) </w:t>
            </w:r>
          </w:p>
          <w:p w14:paraId="31829C4E"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w:t>
            </w:r>
            <w:r w:rsidR="004A0229" w:rsidRPr="00CC35F0">
              <w:rPr>
                <w:rFonts w:ascii="Times New Roman" w:eastAsia="Times New Roman" w:hAnsi="Times New Roman"/>
                <w:color w:val="000000"/>
                <w:sz w:val="24"/>
                <w:szCs w:val="24"/>
                <w:lang w:val="sr-Cyrl-CS"/>
              </w:rPr>
              <w:t>П</w:t>
            </w:r>
            <w:r w:rsidRPr="00CC35F0">
              <w:rPr>
                <w:rFonts w:ascii="Times New Roman" w:eastAsia="Times New Roman" w:hAnsi="Times New Roman"/>
                <w:color w:val="000000"/>
                <w:sz w:val="24"/>
                <w:szCs w:val="24"/>
                <w:lang w:val="sr-Cyrl-CS"/>
              </w:rPr>
              <w:t xml:space="preserve"> Војводина (Покрајински секретаријат за урбанизам и заштиту животне средине): 1 радно место за стручњака за средња постројења за сагоревање (али и за мала постројења за сагоревање  и за кућна грејна тела)</w:t>
            </w:r>
          </w:p>
          <w:p w14:paraId="7AB33952"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xml:space="preserve"> АЗЖС: 1 службеник за средња постројења за сагоревање (али и за мала постројења за сагоревање  и за кућна грејна тела).</w:t>
            </w:r>
          </w:p>
        </w:tc>
        <w:tc>
          <w:tcPr>
            <w:tcW w:w="2550" w:type="dxa"/>
            <w:shd w:val="clear" w:color="auto" w:fill="auto"/>
            <w:vAlign w:val="center"/>
          </w:tcPr>
          <w:p w14:paraId="48AAE89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w:t>
            </w:r>
          </w:p>
        </w:tc>
        <w:tc>
          <w:tcPr>
            <w:tcW w:w="2175" w:type="dxa"/>
            <w:shd w:val="clear" w:color="auto" w:fill="auto"/>
            <w:vAlign w:val="center"/>
          </w:tcPr>
          <w:p w14:paraId="5FA9AE9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Број додатних административних капацитета у МЗЖС, АЗЖС и  АП Војводини </w:t>
            </w:r>
          </w:p>
        </w:tc>
        <w:tc>
          <w:tcPr>
            <w:tcW w:w="1744" w:type="dxa"/>
            <w:shd w:val="clear" w:color="auto" w:fill="auto"/>
            <w:vAlign w:val="center"/>
          </w:tcPr>
          <w:p w14:paraId="0B9C9B0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11F2F9F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 и  АП Војводина</w:t>
            </w:r>
          </w:p>
        </w:tc>
        <w:tc>
          <w:tcPr>
            <w:tcW w:w="1526" w:type="dxa"/>
            <w:shd w:val="clear" w:color="auto" w:fill="auto"/>
            <w:vAlign w:val="center"/>
          </w:tcPr>
          <w:p w14:paraId="316B22B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w:t>
            </w:r>
          </w:p>
        </w:tc>
        <w:tc>
          <w:tcPr>
            <w:tcW w:w="1361" w:type="dxa"/>
            <w:shd w:val="clear" w:color="auto" w:fill="auto"/>
            <w:vAlign w:val="center"/>
          </w:tcPr>
          <w:p w14:paraId="76206920"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2, 1 и 1 </w:t>
            </w:r>
          </w:p>
          <w:p w14:paraId="546DE0D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[2025] </w:t>
            </w:r>
          </w:p>
        </w:tc>
      </w:tr>
      <w:tr w:rsidR="00A0251B" w:rsidRPr="00CC35F0" w14:paraId="75F24317" w14:textId="77777777" w:rsidTr="009E674D">
        <w:trPr>
          <w:trHeight w:val="361"/>
        </w:trPr>
        <w:tc>
          <w:tcPr>
            <w:tcW w:w="987" w:type="dxa"/>
            <w:shd w:val="clear" w:color="auto" w:fill="D9D9D9"/>
            <w:vAlign w:val="center"/>
          </w:tcPr>
          <w:p w14:paraId="5C8ECC5B"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Бр.3 (WAM A3)</w:t>
            </w:r>
          </w:p>
        </w:tc>
        <w:tc>
          <w:tcPr>
            <w:tcW w:w="5108" w:type="dxa"/>
            <w:shd w:val="clear" w:color="auto" w:fill="D9D9D9"/>
            <w:vAlign w:val="center"/>
          </w:tcPr>
          <w:p w14:paraId="6D42A855"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Спровођење Уредбе о граничним вредностима емисија загађујућих материја у ваздух из постројења за сагоревање у малим постројењима за сагоревање (капацитет до 1 MW) која не подлежу Директиви о еко-дизајну </w:t>
            </w:r>
          </w:p>
        </w:tc>
        <w:tc>
          <w:tcPr>
            <w:tcW w:w="2550" w:type="dxa"/>
            <w:shd w:val="clear" w:color="auto" w:fill="D9D9D9"/>
            <w:vAlign w:val="center"/>
          </w:tcPr>
          <w:p w14:paraId="3140A696" w14:textId="77777777" w:rsidR="00A0251B" w:rsidRPr="00CC35F0" w:rsidRDefault="008D6506" w:rsidP="00917F4E">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Измењена регулатива о смањењу граничних вредности емисије за мала постројења за сагоревање</w:t>
            </w:r>
          </w:p>
        </w:tc>
        <w:tc>
          <w:tcPr>
            <w:tcW w:w="2175" w:type="dxa"/>
            <w:shd w:val="clear" w:color="auto" w:fill="D9D9D9"/>
            <w:vAlign w:val="center"/>
          </w:tcPr>
          <w:p w14:paraId="18439CF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 xml:space="preserve">Удео малих постројења за сагоревање која не подлежу Директиви о еко-дизајну у складу са нижим граничним  вредностима емисије из Уредбе о граничним вредностима емисија загађујућих материја у ваздух из постројења са сагоревањем у делу који се односи на мала постројења за сагоревање (капацитет до 1 MW)  </w:t>
            </w:r>
          </w:p>
        </w:tc>
        <w:tc>
          <w:tcPr>
            <w:tcW w:w="1744" w:type="dxa"/>
            <w:shd w:val="clear" w:color="auto" w:fill="D9D9D9"/>
            <w:vAlign w:val="center"/>
          </w:tcPr>
          <w:p w14:paraId="74E871DC" w14:textId="77777777" w:rsidR="00A0251B" w:rsidRPr="00CC35F0" w:rsidRDefault="008D6506" w:rsidP="00632379">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Инспекција М</w:t>
            </w:r>
            <w:r w:rsidR="00632379" w:rsidRPr="00CC35F0">
              <w:rPr>
                <w:rFonts w:ascii="Times New Roman" w:eastAsia="Times New Roman" w:hAnsi="Times New Roman"/>
                <w:sz w:val="24"/>
                <w:szCs w:val="24"/>
                <w:lang w:val="sr-Cyrl-CS"/>
              </w:rPr>
              <w:t>ЗЖС</w:t>
            </w:r>
            <w:r w:rsidRPr="00CC35F0">
              <w:rPr>
                <w:rFonts w:ascii="Times New Roman" w:eastAsia="Times New Roman" w:hAnsi="Times New Roman"/>
                <w:sz w:val="24"/>
                <w:szCs w:val="24"/>
                <w:lang w:val="sr-Cyrl-CS"/>
              </w:rPr>
              <w:t xml:space="preserve"> </w:t>
            </w:r>
          </w:p>
        </w:tc>
        <w:tc>
          <w:tcPr>
            <w:tcW w:w="1526" w:type="dxa"/>
            <w:shd w:val="clear" w:color="auto" w:fill="D9D9D9"/>
            <w:vAlign w:val="center"/>
          </w:tcPr>
          <w:p w14:paraId="1464FA7D"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w:t>
            </w:r>
          </w:p>
        </w:tc>
        <w:tc>
          <w:tcPr>
            <w:tcW w:w="1361" w:type="dxa"/>
            <w:shd w:val="clear" w:color="auto" w:fill="D9D9D9"/>
            <w:vAlign w:val="center"/>
          </w:tcPr>
          <w:p w14:paraId="00EA40BD" w14:textId="77777777" w:rsidR="00A0251B" w:rsidRPr="00CC35F0" w:rsidRDefault="008D6506">
            <w:pPr>
              <w:spacing w:after="0"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w:t>
            </w:r>
          </w:p>
          <w:p w14:paraId="35C25665" w14:textId="77777777" w:rsidR="00A0251B" w:rsidRPr="00CC35F0" w:rsidRDefault="008D6506">
            <w:pPr>
              <w:spacing w:after="0"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Сва мала постројења за сагоревање усклађена са доњим границама емисије</w:t>
            </w:r>
          </w:p>
          <w:p w14:paraId="7B794252"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r>
      <w:tr w:rsidR="00A0251B" w:rsidRPr="00CC35F0" w14:paraId="0BDD7EAC" w14:textId="77777777" w:rsidTr="009E674D">
        <w:trPr>
          <w:trHeight w:val="389"/>
        </w:trPr>
        <w:tc>
          <w:tcPr>
            <w:tcW w:w="987" w:type="dxa"/>
            <w:shd w:val="clear" w:color="auto" w:fill="auto"/>
            <w:vAlign w:val="center"/>
          </w:tcPr>
          <w:p w14:paraId="6A04BA92" w14:textId="77777777" w:rsidR="00A0251B" w:rsidRPr="00CC35F0" w:rsidRDefault="00000000">
            <w:pPr>
              <w:spacing w:after="0" w:line="240" w:lineRule="auto"/>
              <w:ind w:left="-103" w:right="-98"/>
              <w:jc w:val="center"/>
              <w:rPr>
                <w:rFonts w:ascii="Times New Roman" w:eastAsia="Times New Roman" w:hAnsi="Times New Roman"/>
                <w:color w:val="0563C1"/>
                <w:sz w:val="24"/>
                <w:szCs w:val="24"/>
                <w:u w:val="single"/>
                <w:lang w:val="sr-Cyrl-CS"/>
              </w:rPr>
            </w:pPr>
            <w:hyperlink r:id="rId61">
              <w:r w:rsidR="008D6506" w:rsidRPr="00CC35F0">
                <w:rPr>
                  <w:rFonts w:ascii="Times New Roman" w:eastAsia="Times New Roman" w:hAnsi="Times New Roman"/>
                  <w:color w:val="0563C1"/>
                  <w:sz w:val="24"/>
                  <w:szCs w:val="24"/>
                  <w:u w:val="single"/>
                  <w:lang w:val="sr-Cyrl-CS"/>
                </w:rPr>
                <w:t>[A][4]</w:t>
              </w:r>
            </w:hyperlink>
          </w:p>
        </w:tc>
        <w:tc>
          <w:tcPr>
            <w:tcW w:w="5108" w:type="dxa"/>
            <w:shd w:val="clear" w:color="auto" w:fill="auto"/>
            <w:vAlign w:val="center"/>
          </w:tcPr>
          <w:p w14:paraId="52765E8F"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Ажурирање граничних вредности емисије за мала постројења за сагоревање капацитета до 1 MW (котлови или стационарни мотори).</w:t>
            </w:r>
          </w:p>
        </w:tc>
        <w:tc>
          <w:tcPr>
            <w:tcW w:w="2550" w:type="dxa"/>
            <w:shd w:val="clear" w:color="auto" w:fill="auto"/>
            <w:vAlign w:val="center"/>
          </w:tcPr>
          <w:p w14:paraId="221686E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2175" w:type="dxa"/>
            <w:shd w:val="clear" w:color="auto" w:fill="auto"/>
            <w:vAlign w:val="center"/>
          </w:tcPr>
          <w:p w14:paraId="5541A4B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Измењена и допуњена Уредба о граничним вредностима емисија загађујућих материја у ваздух из постројења за сагоревање </w:t>
            </w:r>
          </w:p>
        </w:tc>
        <w:tc>
          <w:tcPr>
            <w:tcW w:w="1744" w:type="dxa"/>
            <w:shd w:val="clear" w:color="auto" w:fill="auto"/>
            <w:vAlign w:val="center"/>
          </w:tcPr>
          <w:p w14:paraId="525973D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Годишњи извештаји о напредовању мониторинга</w:t>
            </w:r>
          </w:p>
        </w:tc>
        <w:tc>
          <w:tcPr>
            <w:tcW w:w="1526" w:type="dxa"/>
            <w:shd w:val="clear" w:color="auto" w:fill="auto"/>
            <w:vAlign w:val="center"/>
          </w:tcPr>
          <w:p w14:paraId="4CBE247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358A0B3A"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 [2023]</w:t>
            </w:r>
          </w:p>
        </w:tc>
      </w:tr>
      <w:tr w:rsidR="00A0251B" w:rsidRPr="00CC35F0" w14:paraId="334D7249" w14:textId="77777777" w:rsidTr="009E674D">
        <w:trPr>
          <w:trHeight w:val="70"/>
        </w:trPr>
        <w:tc>
          <w:tcPr>
            <w:tcW w:w="987" w:type="dxa"/>
            <w:shd w:val="clear" w:color="auto" w:fill="auto"/>
            <w:vAlign w:val="center"/>
          </w:tcPr>
          <w:p w14:paraId="4B5154B7" w14:textId="77777777" w:rsidR="00A0251B" w:rsidRPr="00CC35F0" w:rsidRDefault="00A0251B">
            <w:pPr>
              <w:spacing w:after="0" w:line="240" w:lineRule="auto"/>
              <w:ind w:left="-103" w:right="-98"/>
              <w:jc w:val="center"/>
              <w:rPr>
                <w:rFonts w:ascii="Times New Roman" w:eastAsia="Times New Roman" w:hAnsi="Times New Roman"/>
                <w:sz w:val="24"/>
                <w:szCs w:val="24"/>
                <w:lang w:val="sr-Cyrl-CS"/>
              </w:rPr>
            </w:pPr>
          </w:p>
        </w:tc>
        <w:tc>
          <w:tcPr>
            <w:tcW w:w="5108" w:type="dxa"/>
            <w:shd w:val="clear" w:color="auto" w:fill="auto"/>
            <w:vAlign w:val="center"/>
          </w:tcPr>
          <w:p w14:paraId="0A2BCE38"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Обезбеђивање усаглашености са строжим граничним вредностима емисије за мала постројења за сагоревање која не подлежу Директиви о еко</w:t>
            </w:r>
            <w:r w:rsidR="00346A28"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дизајну.</w:t>
            </w:r>
          </w:p>
        </w:tc>
        <w:tc>
          <w:tcPr>
            <w:tcW w:w="2550" w:type="dxa"/>
            <w:shd w:val="clear" w:color="auto" w:fill="auto"/>
            <w:vAlign w:val="center"/>
          </w:tcPr>
          <w:p w14:paraId="4D92F6B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2175" w:type="dxa"/>
            <w:shd w:val="clear" w:color="auto" w:fill="auto"/>
            <w:vAlign w:val="center"/>
          </w:tcPr>
          <w:p w14:paraId="1A10739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Додатне годишње инспекције малих постројења за сагоревање у Београду, Крагујевцу, Нишу, Ваљеву, Ужицу</w:t>
            </w:r>
          </w:p>
        </w:tc>
        <w:tc>
          <w:tcPr>
            <w:tcW w:w="1744" w:type="dxa"/>
            <w:shd w:val="clear" w:color="auto" w:fill="auto"/>
            <w:vAlign w:val="center"/>
          </w:tcPr>
          <w:p w14:paraId="042E89C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Годишњи извештај о емисијама из малих постројења за сагоревање</w:t>
            </w:r>
          </w:p>
        </w:tc>
        <w:tc>
          <w:tcPr>
            <w:tcW w:w="1526" w:type="dxa"/>
            <w:shd w:val="clear" w:color="auto" w:fill="auto"/>
            <w:vAlign w:val="center"/>
          </w:tcPr>
          <w:p w14:paraId="086738D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7AFC120D"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Да [2025-2030] </w:t>
            </w:r>
          </w:p>
        </w:tc>
      </w:tr>
      <w:tr w:rsidR="00A0251B" w:rsidRPr="00CC35F0" w14:paraId="448E1142" w14:textId="77777777" w:rsidTr="009E674D">
        <w:trPr>
          <w:trHeight w:val="660"/>
        </w:trPr>
        <w:tc>
          <w:tcPr>
            <w:tcW w:w="987" w:type="dxa"/>
            <w:shd w:val="clear" w:color="auto" w:fill="D9D9D9"/>
            <w:vAlign w:val="center"/>
          </w:tcPr>
          <w:p w14:paraId="3D263436"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 4</w:t>
            </w:r>
          </w:p>
          <w:p w14:paraId="7DADBF59"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B4)</w:t>
            </w:r>
          </w:p>
        </w:tc>
        <w:tc>
          <w:tcPr>
            <w:tcW w:w="5108" w:type="dxa"/>
            <w:shd w:val="clear" w:color="auto" w:fill="D9D9D9"/>
            <w:vAlign w:val="center"/>
          </w:tcPr>
          <w:p w14:paraId="0D92C155"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Спровођење најмање Euro стандарда за половна увезена возила: Euro 5/V од 1. јануара 2024. и Euro 6/VI од 1. јануара 2025. године</w:t>
            </w:r>
          </w:p>
        </w:tc>
        <w:tc>
          <w:tcPr>
            <w:tcW w:w="2550" w:type="dxa"/>
            <w:shd w:val="clear" w:color="auto" w:fill="D9D9D9"/>
            <w:vAlign w:val="center"/>
          </w:tcPr>
          <w:p w14:paraId="520F811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Уредба о уво</w:t>
            </w:r>
            <w:r w:rsidR="00784A53" w:rsidRPr="00CC35F0">
              <w:rPr>
                <w:rFonts w:ascii="Times New Roman" w:eastAsia="Times New Roman" w:hAnsi="Times New Roman"/>
                <w:color w:val="000000"/>
                <w:sz w:val="24"/>
                <w:szCs w:val="24"/>
                <w:lang w:val="sr-Cyrl-CS"/>
              </w:rPr>
              <w:t>зу моторних возила</w:t>
            </w:r>
          </w:p>
        </w:tc>
        <w:tc>
          <w:tcPr>
            <w:tcW w:w="2175" w:type="dxa"/>
            <w:shd w:val="clear" w:color="auto" w:fill="D9D9D9"/>
            <w:vAlign w:val="center"/>
          </w:tcPr>
          <w:p w14:paraId="37D742F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Спроведени минимални стандарди за увезена половна возила: Euro 5/V од 1. јануара 2024. и Euro 6/VI од 1. јануара 2025. године</w:t>
            </w:r>
          </w:p>
        </w:tc>
        <w:tc>
          <w:tcPr>
            <w:tcW w:w="1744" w:type="dxa"/>
            <w:shd w:val="clear" w:color="auto" w:fill="D9D9D9"/>
            <w:vAlign w:val="center"/>
          </w:tcPr>
          <w:p w14:paraId="582FE24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Годишњи извештај о напредовању мониторинга</w:t>
            </w:r>
          </w:p>
        </w:tc>
        <w:tc>
          <w:tcPr>
            <w:tcW w:w="1526" w:type="dxa"/>
            <w:shd w:val="clear" w:color="auto" w:fill="D9D9D9"/>
          </w:tcPr>
          <w:p w14:paraId="4007B52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p w14:paraId="02BC5A7B" w14:textId="77777777" w:rsidR="00A0251B" w:rsidRPr="00CC35F0" w:rsidRDefault="00A0251B">
            <w:pPr>
              <w:shd w:val="clear" w:color="auto" w:fill="FFFFFF"/>
              <w:rPr>
                <w:rFonts w:ascii="Times New Roman" w:eastAsia="Times New Roman" w:hAnsi="Times New Roman"/>
                <w:sz w:val="24"/>
                <w:szCs w:val="24"/>
                <w:lang w:val="sr-Cyrl-CS"/>
              </w:rPr>
            </w:pPr>
          </w:p>
          <w:p w14:paraId="0EE7C999" w14:textId="77777777" w:rsidR="00A0251B" w:rsidRPr="00CC35F0" w:rsidRDefault="00A0251B">
            <w:pPr>
              <w:shd w:val="clear" w:color="auto" w:fill="FFFFFF"/>
              <w:rPr>
                <w:rFonts w:ascii="Times New Roman" w:eastAsia="Times New Roman" w:hAnsi="Times New Roman"/>
                <w:sz w:val="24"/>
                <w:szCs w:val="24"/>
                <w:lang w:val="sr-Cyrl-CS"/>
              </w:rPr>
            </w:pPr>
          </w:p>
          <w:p w14:paraId="6D2DACC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361" w:type="dxa"/>
            <w:shd w:val="clear" w:color="auto" w:fill="D9D9D9"/>
          </w:tcPr>
          <w:p w14:paraId="0C4B2A7D"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p w14:paraId="3AA9B42F" w14:textId="77777777" w:rsidR="00A0251B" w:rsidRPr="00CC35F0" w:rsidRDefault="00A0251B">
            <w:pPr>
              <w:shd w:val="clear" w:color="auto" w:fill="FFFFFF"/>
              <w:rPr>
                <w:rFonts w:ascii="Times New Roman" w:eastAsia="Times New Roman" w:hAnsi="Times New Roman"/>
                <w:sz w:val="24"/>
                <w:szCs w:val="24"/>
                <w:lang w:val="sr-Cyrl-CS"/>
              </w:rPr>
            </w:pPr>
          </w:p>
          <w:p w14:paraId="1B724073" w14:textId="77777777" w:rsidR="00A0251B" w:rsidRPr="00CC35F0" w:rsidRDefault="00A0251B">
            <w:pPr>
              <w:shd w:val="clear" w:color="auto" w:fill="FFFFFF"/>
              <w:rPr>
                <w:rFonts w:ascii="Times New Roman" w:eastAsia="Times New Roman" w:hAnsi="Times New Roman"/>
                <w:sz w:val="24"/>
                <w:szCs w:val="24"/>
                <w:lang w:val="sr-Cyrl-CS"/>
              </w:rPr>
            </w:pPr>
          </w:p>
          <w:p w14:paraId="091F394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p w14:paraId="0DE5D0F5"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(Прва  регистрација у Србији дозвољена је  само за возила  </w:t>
            </w:r>
            <w:r w:rsidRPr="00CC35F0">
              <w:rPr>
                <w:rFonts w:ascii="Times New Roman" w:eastAsia="Times New Roman" w:hAnsi="Times New Roman"/>
                <w:sz w:val="24"/>
                <w:szCs w:val="24"/>
                <w:lang w:val="sr-Cyrl-CS"/>
              </w:rPr>
              <w:lastRenderedPageBreak/>
              <w:t>EURO 6/VI или новија)</w:t>
            </w:r>
          </w:p>
        </w:tc>
      </w:tr>
      <w:tr w:rsidR="00A0251B" w:rsidRPr="00CC35F0" w14:paraId="0BB67B43" w14:textId="77777777" w:rsidTr="009E674D">
        <w:trPr>
          <w:trHeight w:val="569"/>
        </w:trPr>
        <w:tc>
          <w:tcPr>
            <w:tcW w:w="987" w:type="dxa"/>
            <w:shd w:val="clear" w:color="auto" w:fill="auto"/>
            <w:vAlign w:val="center"/>
          </w:tcPr>
          <w:p w14:paraId="1938EB0B"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A</w:t>
            </w:r>
          </w:p>
        </w:tc>
        <w:tc>
          <w:tcPr>
            <w:tcW w:w="5108" w:type="dxa"/>
            <w:shd w:val="clear" w:color="auto" w:fill="auto"/>
          </w:tcPr>
          <w:p w14:paraId="379DC536"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Измена и допуна Уредбе о увозу моторних во</w:t>
            </w:r>
            <w:r w:rsidR="00A34872" w:rsidRPr="00CC35F0">
              <w:rPr>
                <w:rFonts w:ascii="Times New Roman" w:eastAsia="Times New Roman" w:hAnsi="Times New Roman"/>
                <w:color w:val="000000"/>
                <w:sz w:val="24"/>
                <w:szCs w:val="24"/>
                <w:lang w:val="sr-Cyrl-CS"/>
              </w:rPr>
              <w:t>зила</w:t>
            </w:r>
            <w:r w:rsidRPr="00CC35F0">
              <w:rPr>
                <w:rFonts w:ascii="Times New Roman" w:eastAsia="Times New Roman" w:hAnsi="Times New Roman"/>
                <w:color w:val="000000"/>
                <w:sz w:val="24"/>
                <w:szCs w:val="24"/>
                <w:lang w:val="sr-Cyrl-CS"/>
              </w:rPr>
              <w:t>, стандарда за увезене путничке аутомобиле,</w:t>
            </w:r>
            <w:r w:rsidR="008328B8" w:rsidRPr="00CC35F0">
              <w:rPr>
                <w:rFonts w:ascii="Times New Roman" w:eastAsia="Times New Roman" w:hAnsi="Times New Roman"/>
                <w:color w:val="000000"/>
                <w:sz w:val="24"/>
                <w:szCs w:val="24"/>
                <w:lang w:val="sr-Cyrl-CS"/>
              </w:rPr>
              <w:t xml:space="preserve"> </w:t>
            </w:r>
            <w:r w:rsidRPr="00CC35F0">
              <w:rPr>
                <w:rFonts w:ascii="Times New Roman" w:eastAsia="Times New Roman" w:hAnsi="Times New Roman"/>
                <w:color w:val="000000"/>
                <w:sz w:val="24"/>
                <w:szCs w:val="24"/>
                <w:lang w:val="sr-Cyrl-CS"/>
              </w:rPr>
              <w:t>теретна возила и аутобусе. Минимални стандарди су Euro 5/V од 1. јануара 2024. и Euro 6/VI од 1. јануара 2025. године.</w:t>
            </w:r>
          </w:p>
        </w:tc>
        <w:tc>
          <w:tcPr>
            <w:tcW w:w="2550" w:type="dxa"/>
            <w:shd w:val="clear" w:color="auto" w:fill="auto"/>
            <w:vAlign w:val="center"/>
          </w:tcPr>
          <w:p w14:paraId="3AA375A5"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2BE50A4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Измењена Уредба о увозу моторних возила</w:t>
            </w:r>
            <w:r w:rsidR="00A265F5" w:rsidRPr="00CC35F0">
              <w:rPr>
                <w:rFonts w:ascii="Times New Roman" w:eastAsia="Times New Roman" w:hAnsi="Times New Roman"/>
                <w:sz w:val="24"/>
                <w:szCs w:val="24"/>
                <w:lang w:val="sr-Cyrl-CS"/>
              </w:rPr>
              <w:t>(„Службени гласник РС”, бр. 23/2010 и 5/18)</w:t>
            </w:r>
          </w:p>
          <w:p w14:paraId="0CC8A070" w14:textId="77777777" w:rsidR="00A265F5" w:rsidRPr="00CC35F0" w:rsidRDefault="00A265F5">
            <w:pPr>
              <w:spacing w:after="0" w:line="240" w:lineRule="auto"/>
              <w:jc w:val="right"/>
              <w:rPr>
                <w:rFonts w:ascii="Times New Roman" w:eastAsia="Times New Roman" w:hAnsi="Times New Roman"/>
                <w:color w:val="000000"/>
                <w:sz w:val="24"/>
                <w:szCs w:val="24"/>
                <w:lang w:val="sr-Cyrl-CS"/>
              </w:rPr>
            </w:pPr>
          </w:p>
        </w:tc>
        <w:tc>
          <w:tcPr>
            <w:tcW w:w="1744" w:type="dxa"/>
            <w:shd w:val="clear" w:color="auto" w:fill="auto"/>
            <w:vAlign w:val="center"/>
          </w:tcPr>
          <w:p w14:paraId="07BF9D3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Годишњи извештаји о напредовању мониторинга</w:t>
            </w:r>
          </w:p>
        </w:tc>
        <w:tc>
          <w:tcPr>
            <w:tcW w:w="1526" w:type="dxa"/>
            <w:shd w:val="clear" w:color="auto" w:fill="auto"/>
            <w:vAlign w:val="center"/>
          </w:tcPr>
          <w:p w14:paraId="5CFF071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3EC0F652"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 [2023]</w:t>
            </w:r>
          </w:p>
        </w:tc>
      </w:tr>
      <w:tr w:rsidR="00A0251B" w:rsidRPr="00CC35F0" w14:paraId="7B3BE000" w14:textId="77777777" w:rsidTr="009E674D">
        <w:trPr>
          <w:trHeight w:val="151"/>
        </w:trPr>
        <w:tc>
          <w:tcPr>
            <w:tcW w:w="987" w:type="dxa"/>
            <w:shd w:val="clear" w:color="auto" w:fill="auto"/>
            <w:vAlign w:val="center"/>
          </w:tcPr>
          <w:p w14:paraId="72A37A26"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108" w:type="dxa"/>
            <w:shd w:val="clear" w:color="auto" w:fill="auto"/>
          </w:tcPr>
          <w:p w14:paraId="04920895"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Усаглашавање са ажурираним минималним захтевима за путничке аутомобиле,</w:t>
            </w:r>
            <w:r w:rsidR="0046236E">
              <w:rPr>
                <w:rFonts w:ascii="Times New Roman" w:eastAsia="Times New Roman" w:hAnsi="Times New Roman"/>
                <w:color w:val="000000"/>
                <w:sz w:val="24"/>
                <w:szCs w:val="24"/>
                <w:lang w:val="sr-Cyrl-CS"/>
              </w:rPr>
              <w:t xml:space="preserve"> </w:t>
            </w:r>
            <w:r w:rsidRPr="00CC35F0">
              <w:rPr>
                <w:rFonts w:ascii="Times New Roman" w:eastAsia="Times New Roman" w:hAnsi="Times New Roman"/>
                <w:color w:val="000000"/>
                <w:sz w:val="24"/>
                <w:szCs w:val="24"/>
                <w:lang w:val="sr-Cyrl-CS"/>
              </w:rPr>
              <w:t>теретна возила и аутобусе.</w:t>
            </w:r>
          </w:p>
        </w:tc>
        <w:tc>
          <w:tcPr>
            <w:tcW w:w="2550" w:type="dxa"/>
            <w:shd w:val="clear" w:color="auto" w:fill="auto"/>
            <w:vAlign w:val="center"/>
          </w:tcPr>
          <w:p w14:paraId="715FEA8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07B467C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Број половних EURO 3 возила први пут регистрованих у Србији</w:t>
            </w:r>
          </w:p>
        </w:tc>
        <w:tc>
          <w:tcPr>
            <w:tcW w:w="1744" w:type="dxa"/>
            <w:shd w:val="clear" w:color="auto" w:fill="auto"/>
            <w:vAlign w:val="center"/>
          </w:tcPr>
          <w:p w14:paraId="2EFDFC2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p>
          <w:p w14:paraId="60BF7394" w14:textId="77777777" w:rsidR="00A0251B" w:rsidRPr="00CC35F0" w:rsidRDefault="008D6506" w:rsidP="00917F4E">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i/>
                <w:sz w:val="24"/>
                <w:szCs w:val="24"/>
                <w:lang w:val="sr-Cyrl-CS"/>
              </w:rPr>
              <w:t>COPERT</w:t>
            </w:r>
            <w:r w:rsidRPr="00CC35F0">
              <w:rPr>
                <w:rFonts w:ascii="Times New Roman" w:eastAsia="Times New Roman" w:hAnsi="Times New Roman"/>
                <w:sz w:val="24"/>
                <w:szCs w:val="24"/>
                <w:lang w:val="sr-Cyrl-CS"/>
              </w:rPr>
              <w:t xml:space="preserve"> база података о возилима (на основу података МУП-а)</w:t>
            </w:r>
          </w:p>
        </w:tc>
        <w:tc>
          <w:tcPr>
            <w:tcW w:w="1526" w:type="dxa"/>
            <w:shd w:val="clear" w:color="auto" w:fill="auto"/>
            <w:vAlign w:val="center"/>
          </w:tcPr>
          <w:p w14:paraId="2BC1E7EF"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Euro 3/III – 127.325</w:t>
            </w:r>
          </w:p>
          <w:p w14:paraId="48EB7645"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p w14:paraId="0C25029F"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Euro 4/IV – 55.701</w:t>
            </w:r>
          </w:p>
          <w:p w14:paraId="02E2412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[2015]</w:t>
            </w:r>
          </w:p>
        </w:tc>
        <w:tc>
          <w:tcPr>
            <w:tcW w:w="1361" w:type="dxa"/>
            <w:shd w:val="clear" w:color="auto" w:fill="auto"/>
            <w:vAlign w:val="center"/>
          </w:tcPr>
          <w:p w14:paraId="3CEAB2F6"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Euro 3/III - 0</w:t>
            </w:r>
          </w:p>
          <w:p w14:paraId="12E064E2"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w:t>
            </w:r>
          </w:p>
          <w:p w14:paraId="458AF097"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Euro 4/IV – 0</w:t>
            </w:r>
          </w:p>
          <w:p w14:paraId="7E3CBD6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[2025]</w:t>
            </w:r>
          </w:p>
        </w:tc>
      </w:tr>
      <w:tr w:rsidR="00A0251B" w:rsidRPr="00CC35F0" w14:paraId="7BE1196D" w14:textId="77777777" w:rsidTr="009E674D">
        <w:trPr>
          <w:trHeight w:val="519"/>
        </w:trPr>
        <w:tc>
          <w:tcPr>
            <w:tcW w:w="987" w:type="dxa"/>
            <w:shd w:val="clear" w:color="auto" w:fill="D9D9D9"/>
            <w:vAlign w:val="center"/>
          </w:tcPr>
          <w:p w14:paraId="430D654C"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 5</w:t>
            </w:r>
          </w:p>
          <w:p w14:paraId="73F3F3D7"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B5)</w:t>
            </w:r>
          </w:p>
        </w:tc>
        <w:tc>
          <w:tcPr>
            <w:tcW w:w="5108" w:type="dxa"/>
            <w:shd w:val="clear" w:color="auto" w:fill="D9D9D9"/>
            <w:vAlign w:val="center"/>
          </w:tcPr>
          <w:p w14:paraId="70DE7A23"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sz w:val="24"/>
                <w:szCs w:val="24"/>
                <w:lang w:val="sr-Cyrl-CS"/>
              </w:rPr>
              <w:t xml:space="preserve">Додатна обнова возног парка од финансијских подстицаја за дерегистрацију/отпремање најстаријих Euro 1, 2 и 3 дизел путничких возила и теретних возила (изузев N3), и EURO I, II и III дизел аутобуса у рециклажне центре </w:t>
            </w:r>
          </w:p>
        </w:tc>
        <w:tc>
          <w:tcPr>
            <w:tcW w:w="2550" w:type="dxa"/>
            <w:shd w:val="clear" w:color="auto" w:fill="D9D9D9"/>
            <w:vAlign w:val="center"/>
          </w:tcPr>
          <w:p w14:paraId="2200747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Финансијски подстицаји за постепено укидање возила са лошим учинком у животној средини</w:t>
            </w:r>
          </w:p>
        </w:tc>
        <w:tc>
          <w:tcPr>
            <w:tcW w:w="2175" w:type="dxa"/>
            <w:shd w:val="clear" w:color="auto" w:fill="D9D9D9"/>
            <w:vAlign w:val="center"/>
          </w:tcPr>
          <w:p w14:paraId="06800A4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Број регистрованих возила послатих на дерегистрацију/ у рециклажне центре кроз шему подстицаја</w:t>
            </w:r>
          </w:p>
        </w:tc>
        <w:tc>
          <w:tcPr>
            <w:tcW w:w="1744" w:type="dxa"/>
            <w:shd w:val="clear" w:color="auto" w:fill="D9D9D9"/>
            <w:vAlign w:val="center"/>
          </w:tcPr>
          <w:p w14:paraId="791685C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Министарство финансија </w:t>
            </w:r>
          </w:p>
        </w:tc>
        <w:tc>
          <w:tcPr>
            <w:tcW w:w="1526" w:type="dxa"/>
            <w:shd w:val="clear" w:color="auto" w:fill="D9D9D9"/>
            <w:vAlign w:val="center"/>
          </w:tcPr>
          <w:p w14:paraId="7018050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 возила послатих на дерегистрацију/ у рециклажне центре и ни један подстицај исплаћен</w:t>
            </w:r>
          </w:p>
        </w:tc>
        <w:tc>
          <w:tcPr>
            <w:tcW w:w="1361" w:type="dxa"/>
            <w:shd w:val="clear" w:color="auto" w:fill="D9D9D9"/>
            <w:vAlign w:val="center"/>
          </w:tcPr>
          <w:p w14:paraId="6485CB9C"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140.200 возила послатих на дерегистрацију/ у рециклажне центре и исплаћено 453,1 милиона евра</w:t>
            </w:r>
          </w:p>
        </w:tc>
      </w:tr>
      <w:tr w:rsidR="00A0251B" w:rsidRPr="00CC35F0" w14:paraId="4F2F9DAF" w14:textId="77777777" w:rsidTr="009E674D">
        <w:trPr>
          <w:trHeight w:val="515"/>
        </w:trPr>
        <w:tc>
          <w:tcPr>
            <w:tcW w:w="987" w:type="dxa"/>
            <w:shd w:val="clear" w:color="auto" w:fill="auto"/>
            <w:vAlign w:val="center"/>
          </w:tcPr>
          <w:p w14:paraId="0599712C"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108" w:type="dxa"/>
            <w:shd w:val="clear" w:color="auto" w:fill="auto"/>
          </w:tcPr>
          <w:p w14:paraId="6A976126"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Припрема и усвајање плана управљања отпадним возилима и побољшање центара за рециклажу возила.</w:t>
            </w:r>
          </w:p>
        </w:tc>
        <w:tc>
          <w:tcPr>
            <w:tcW w:w="2550" w:type="dxa"/>
            <w:shd w:val="clear" w:color="auto" w:fill="auto"/>
            <w:vAlign w:val="center"/>
          </w:tcPr>
          <w:p w14:paraId="4C76E989"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08EA1AD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Број возила послатих на дерегистрацију/ у </w:t>
            </w:r>
            <w:r w:rsidRPr="00CC35F0">
              <w:rPr>
                <w:rFonts w:ascii="Times New Roman" w:eastAsia="Times New Roman" w:hAnsi="Times New Roman"/>
                <w:color w:val="000000"/>
                <w:sz w:val="24"/>
                <w:szCs w:val="24"/>
                <w:lang w:val="sr-Cyrl-CS"/>
              </w:rPr>
              <w:lastRenderedPageBreak/>
              <w:t>рециклажне центре</w:t>
            </w:r>
          </w:p>
        </w:tc>
        <w:tc>
          <w:tcPr>
            <w:tcW w:w="1744" w:type="dxa"/>
            <w:shd w:val="clear" w:color="auto" w:fill="auto"/>
            <w:vAlign w:val="center"/>
          </w:tcPr>
          <w:p w14:paraId="18147D6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Удружење рециклера Србије</w:t>
            </w:r>
          </w:p>
        </w:tc>
        <w:tc>
          <w:tcPr>
            <w:tcW w:w="1526" w:type="dxa"/>
            <w:shd w:val="clear" w:color="auto" w:fill="auto"/>
            <w:vAlign w:val="center"/>
          </w:tcPr>
          <w:p w14:paraId="651C97D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 возила послатих на дерегистрац</w:t>
            </w:r>
            <w:r w:rsidRPr="00CC35F0">
              <w:rPr>
                <w:rFonts w:ascii="Times New Roman" w:eastAsia="Times New Roman" w:hAnsi="Times New Roman"/>
                <w:color w:val="000000"/>
                <w:sz w:val="24"/>
                <w:szCs w:val="24"/>
                <w:lang w:val="sr-Cyrl-CS"/>
              </w:rPr>
              <w:lastRenderedPageBreak/>
              <w:t>ију/ у рециклажне центре</w:t>
            </w:r>
          </w:p>
        </w:tc>
        <w:tc>
          <w:tcPr>
            <w:tcW w:w="1361" w:type="dxa"/>
            <w:shd w:val="clear" w:color="auto" w:fill="auto"/>
            <w:vAlign w:val="center"/>
          </w:tcPr>
          <w:p w14:paraId="14F9D366"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lastRenderedPageBreak/>
              <w:t xml:space="preserve">140.200 EURO 3/III и других </w:t>
            </w:r>
            <w:r w:rsidRPr="00CC35F0">
              <w:rPr>
                <w:rFonts w:ascii="Times New Roman" w:eastAsia="Times New Roman" w:hAnsi="Times New Roman"/>
                <w:sz w:val="24"/>
                <w:szCs w:val="24"/>
                <w:lang w:val="sr-Cyrl-CS"/>
              </w:rPr>
              <w:lastRenderedPageBreak/>
              <w:t>возила послатих на дерегистрацију/ у рециклажне центре</w:t>
            </w:r>
          </w:p>
        </w:tc>
      </w:tr>
      <w:tr w:rsidR="00A0251B" w:rsidRPr="00CC35F0" w14:paraId="24714107" w14:textId="77777777" w:rsidTr="009E674D">
        <w:trPr>
          <w:trHeight w:val="888"/>
        </w:trPr>
        <w:tc>
          <w:tcPr>
            <w:tcW w:w="987" w:type="dxa"/>
            <w:shd w:val="clear" w:color="auto" w:fill="auto"/>
            <w:vAlign w:val="center"/>
          </w:tcPr>
          <w:p w14:paraId="70C1342A"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108" w:type="dxa"/>
            <w:shd w:val="clear" w:color="auto" w:fill="auto"/>
          </w:tcPr>
          <w:p w14:paraId="3EFB172F"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Успостављање и спровођење механизама подршке из јавних средстава за дерегистрацију/отпремање старих дизел путничких аутомобила, теретних возила (изузев N3), и аутобуса (који одговарају Euro 1, Euro 2, Euro 3 и Euro I, Euro II и Euro III) у рециклажне центре. </w:t>
            </w:r>
          </w:p>
        </w:tc>
        <w:tc>
          <w:tcPr>
            <w:tcW w:w="2550" w:type="dxa"/>
            <w:shd w:val="clear" w:color="auto" w:fill="auto"/>
            <w:vAlign w:val="center"/>
          </w:tcPr>
          <w:p w14:paraId="41B53D84"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6105C9D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Износ исплаћених подстицаја </w:t>
            </w:r>
          </w:p>
        </w:tc>
        <w:tc>
          <w:tcPr>
            <w:tcW w:w="1744" w:type="dxa"/>
            <w:shd w:val="clear" w:color="auto" w:fill="auto"/>
            <w:vAlign w:val="center"/>
          </w:tcPr>
          <w:p w14:paraId="361C411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Министарство финансија </w:t>
            </w:r>
          </w:p>
        </w:tc>
        <w:tc>
          <w:tcPr>
            <w:tcW w:w="1526" w:type="dxa"/>
            <w:shd w:val="clear" w:color="auto" w:fill="auto"/>
            <w:vAlign w:val="center"/>
          </w:tcPr>
          <w:p w14:paraId="74FA44A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 милиона евра</w:t>
            </w:r>
          </w:p>
        </w:tc>
        <w:tc>
          <w:tcPr>
            <w:tcW w:w="1361" w:type="dxa"/>
            <w:shd w:val="clear" w:color="auto" w:fill="auto"/>
            <w:vAlign w:val="center"/>
          </w:tcPr>
          <w:p w14:paraId="4029B6E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453,1 милина евра укупно у периоду 2024-2026.</w:t>
            </w:r>
          </w:p>
          <w:p w14:paraId="1B5B9BB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[2026]</w:t>
            </w:r>
          </w:p>
        </w:tc>
      </w:tr>
      <w:tr w:rsidR="00A0251B" w:rsidRPr="00CC35F0" w14:paraId="4660072F" w14:textId="77777777" w:rsidTr="009E674D">
        <w:trPr>
          <w:trHeight w:val="364"/>
        </w:trPr>
        <w:tc>
          <w:tcPr>
            <w:tcW w:w="987" w:type="dxa"/>
            <w:shd w:val="clear" w:color="auto" w:fill="auto"/>
            <w:vAlign w:val="center"/>
          </w:tcPr>
          <w:p w14:paraId="27D86DF4"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highlight w:val="yellow"/>
                <w:lang w:val="sr-Cyrl-CS"/>
              </w:rPr>
            </w:pPr>
          </w:p>
        </w:tc>
        <w:tc>
          <w:tcPr>
            <w:tcW w:w="5108" w:type="dxa"/>
            <w:shd w:val="clear" w:color="auto" w:fill="auto"/>
          </w:tcPr>
          <w:p w14:paraId="34FEFD43" w14:textId="77777777" w:rsidR="00A0251B" w:rsidRPr="00CC35F0" w:rsidRDefault="008D6506">
            <w:pPr>
              <w:spacing w:after="16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Промена Закона о порезима на употребу, држање и ношење добара у делу пореза на употребу моторних возила </w:t>
            </w:r>
          </w:p>
          <w:p w14:paraId="3546C217" w14:textId="77777777" w:rsidR="00A0251B" w:rsidRPr="00CC35F0" w:rsidRDefault="00A0251B">
            <w:pPr>
              <w:spacing w:after="0" w:line="240" w:lineRule="auto"/>
              <w:ind w:left="-107" w:right="-110"/>
              <w:jc w:val="left"/>
              <w:rPr>
                <w:rFonts w:ascii="Times New Roman" w:eastAsia="Times New Roman" w:hAnsi="Times New Roman"/>
                <w:strike/>
                <w:color w:val="000000"/>
                <w:sz w:val="24"/>
                <w:szCs w:val="24"/>
                <w:highlight w:val="yellow"/>
                <w:lang w:val="sr-Cyrl-CS"/>
              </w:rPr>
            </w:pPr>
          </w:p>
        </w:tc>
        <w:tc>
          <w:tcPr>
            <w:tcW w:w="2550" w:type="dxa"/>
            <w:shd w:val="clear" w:color="auto" w:fill="auto"/>
            <w:vAlign w:val="center"/>
          </w:tcPr>
          <w:p w14:paraId="7690C285" w14:textId="77777777" w:rsidR="00A0251B" w:rsidRPr="00CC35F0" w:rsidRDefault="00A0251B">
            <w:pPr>
              <w:spacing w:after="0" w:line="240" w:lineRule="auto"/>
              <w:jc w:val="right"/>
              <w:rPr>
                <w:rFonts w:ascii="Times New Roman" w:eastAsia="Times New Roman" w:hAnsi="Times New Roman"/>
                <w:color w:val="000000"/>
                <w:sz w:val="24"/>
                <w:szCs w:val="24"/>
                <w:highlight w:val="yellow"/>
                <w:lang w:val="sr-Cyrl-CS"/>
              </w:rPr>
            </w:pPr>
          </w:p>
        </w:tc>
        <w:tc>
          <w:tcPr>
            <w:tcW w:w="2175" w:type="dxa"/>
            <w:shd w:val="clear" w:color="auto" w:fill="auto"/>
            <w:vAlign w:val="center"/>
          </w:tcPr>
          <w:p w14:paraId="2A83642D" w14:textId="77777777" w:rsidR="00A0251B" w:rsidRPr="00CC35F0" w:rsidRDefault="008D6506">
            <w:pPr>
              <w:spacing w:after="0" w:line="240" w:lineRule="auto"/>
              <w:jc w:val="right"/>
              <w:rPr>
                <w:rFonts w:ascii="Times New Roman" w:eastAsia="Times New Roman" w:hAnsi="Times New Roman"/>
                <w:color w:val="000000"/>
                <w:sz w:val="24"/>
                <w:szCs w:val="24"/>
                <w:highlight w:val="yellow"/>
                <w:lang w:val="sr-Cyrl-CS"/>
              </w:rPr>
            </w:pPr>
            <w:r w:rsidRPr="00CC35F0">
              <w:rPr>
                <w:rFonts w:ascii="Times New Roman" w:eastAsia="Times New Roman" w:hAnsi="Times New Roman"/>
                <w:color w:val="000000"/>
                <w:sz w:val="24"/>
                <w:szCs w:val="24"/>
                <w:lang w:val="sr-Cyrl-CS"/>
              </w:rPr>
              <w:t>Приходи прикупљени</w:t>
            </w:r>
            <w:r w:rsidRPr="00CC35F0">
              <w:rPr>
                <w:rFonts w:ascii="Times New Roman" w:eastAsia="Times New Roman" w:hAnsi="Times New Roman"/>
                <w:strike/>
                <w:color w:val="000000"/>
                <w:sz w:val="24"/>
                <w:szCs w:val="24"/>
                <w:lang w:val="sr-Cyrl-CS"/>
              </w:rPr>
              <w:t xml:space="preserve"> </w:t>
            </w:r>
            <w:r w:rsidRPr="00CC35F0">
              <w:rPr>
                <w:rFonts w:ascii="Times New Roman" w:eastAsia="Times New Roman" w:hAnsi="Times New Roman"/>
                <w:color w:val="000000"/>
                <w:sz w:val="24"/>
                <w:szCs w:val="24"/>
                <w:lang w:val="sr-Cyrl-CS"/>
              </w:rPr>
              <w:t>Изменом Закона</w:t>
            </w:r>
            <w:r w:rsidRPr="00CC35F0">
              <w:rPr>
                <w:rFonts w:ascii="Times New Roman" w:eastAsia="Times New Roman" w:hAnsi="Times New Roman"/>
                <w:sz w:val="24"/>
                <w:szCs w:val="24"/>
                <w:lang w:val="sr-Cyrl-CS"/>
              </w:rPr>
              <w:t xml:space="preserve"> о порезима на употребу, држање и ношење добара</w:t>
            </w:r>
            <w:r w:rsidRPr="00CC35F0">
              <w:rPr>
                <w:rFonts w:ascii="Times New Roman" w:eastAsia="Times New Roman" w:hAnsi="Times New Roman"/>
                <w:color w:val="000000"/>
                <w:sz w:val="24"/>
                <w:szCs w:val="24"/>
                <w:lang w:val="sr-Cyrl-CS"/>
              </w:rPr>
              <w:t xml:space="preserve"> </w:t>
            </w:r>
          </w:p>
        </w:tc>
        <w:tc>
          <w:tcPr>
            <w:tcW w:w="1744" w:type="dxa"/>
            <w:shd w:val="clear" w:color="auto" w:fill="auto"/>
            <w:vAlign w:val="center"/>
          </w:tcPr>
          <w:p w14:paraId="0DA6CF9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Министарство финансија </w:t>
            </w:r>
          </w:p>
        </w:tc>
        <w:tc>
          <w:tcPr>
            <w:tcW w:w="1526" w:type="dxa"/>
            <w:shd w:val="clear" w:color="auto" w:fill="auto"/>
            <w:vAlign w:val="center"/>
          </w:tcPr>
          <w:p w14:paraId="5375B08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 милиона евра</w:t>
            </w:r>
          </w:p>
        </w:tc>
        <w:tc>
          <w:tcPr>
            <w:tcW w:w="1361" w:type="dxa"/>
            <w:shd w:val="clear" w:color="auto" w:fill="auto"/>
            <w:vAlign w:val="center"/>
          </w:tcPr>
          <w:p w14:paraId="65016C53" w14:textId="77777777" w:rsidR="00A0251B" w:rsidRPr="00CC35F0" w:rsidRDefault="009047C0">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[2030]</w:t>
            </w:r>
            <w:r w:rsidR="008D6506" w:rsidRPr="00CC35F0">
              <w:rPr>
                <w:rFonts w:ascii="Times New Roman" w:eastAsia="Times New Roman" w:hAnsi="Times New Roman"/>
                <w:color w:val="000000"/>
                <w:sz w:val="24"/>
                <w:szCs w:val="24"/>
                <w:lang w:val="sr-Cyrl-CS"/>
              </w:rPr>
              <w:t>**</w:t>
            </w:r>
            <w:r w:rsidR="008D6506" w:rsidRPr="00CC35F0">
              <w:rPr>
                <w:rFonts w:ascii="Times New Roman" w:eastAsia="Times New Roman" w:hAnsi="Times New Roman"/>
                <w:color w:val="000000"/>
                <w:sz w:val="24"/>
                <w:szCs w:val="24"/>
                <w:vertAlign w:val="superscript"/>
                <w:lang w:val="sr-Cyrl-CS"/>
              </w:rPr>
              <w:footnoteReference w:id="69"/>
            </w:r>
          </w:p>
          <w:p w14:paraId="02A5AB16" w14:textId="77777777" w:rsidR="00A0251B" w:rsidRPr="00CC35F0" w:rsidRDefault="00A0251B">
            <w:pPr>
              <w:spacing w:after="0" w:line="240" w:lineRule="auto"/>
              <w:ind w:left="-142" w:right="-74"/>
              <w:jc w:val="center"/>
              <w:rPr>
                <w:rFonts w:ascii="Times New Roman" w:eastAsia="Times New Roman" w:hAnsi="Times New Roman"/>
                <w:color w:val="000000"/>
                <w:sz w:val="24"/>
                <w:szCs w:val="24"/>
                <w:lang w:val="sr-Cyrl-CS"/>
              </w:rPr>
            </w:pPr>
          </w:p>
          <w:p w14:paraId="28A112EE"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r>
      <w:tr w:rsidR="00A0251B" w:rsidRPr="00CC35F0" w14:paraId="406D52A5" w14:textId="77777777" w:rsidTr="009E674D">
        <w:trPr>
          <w:trHeight w:val="1139"/>
        </w:trPr>
        <w:tc>
          <w:tcPr>
            <w:tcW w:w="987" w:type="dxa"/>
            <w:shd w:val="clear" w:color="auto" w:fill="D9D9D9"/>
            <w:vAlign w:val="center"/>
          </w:tcPr>
          <w:p w14:paraId="6D0074EE"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 6</w:t>
            </w:r>
          </w:p>
          <w:p w14:paraId="4592CD04"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A6)</w:t>
            </w:r>
          </w:p>
        </w:tc>
        <w:tc>
          <w:tcPr>
            <w:tcW w:w="5108" w:type="dxa"/>
            <w:shd w:val="clear" w:color="auto" w:fill="D9D9D9"/>
            <w:vAlign w:val="center"/>
          </w:tcPr>
          <w:p w14:paraId="2BCFE45A"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ТМ</w:t>
            </w:r>
          </w:p>
        </w:tc>
        <w:tc>
          <w:tcPr>
            <w:tcW w:w="2550" w:type="dxa"/>
            <w:shd w:val="clear" w:color="auto" w:fill="D9D9D9"/>
            <w:vAlign w:val="center"/>
          </w:tcPr>
          <w:p w14:paraId="617818A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Измена домаће регулативе о ТМ и постепено укидање старе ТМ</w:t>
            </w:r>
          </w:p>
        </w:tc>
        <w:tc>
          <w:tcPr>
            <w:tcW w:w="2175" w:type="dxa"/>
            <w:shd w:val="clear" w:color="auto" w:fill="D9D9D9"/>
            <w:vAlign w:val="center"/>
          </w:tcPr>
          <w:p w14:paraId="57559A59"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 xml:space="preserve">Удео возила у складу са прописима о ТМ - спровођење Уредбе (ЕУ) 2016/1628 о захтевима који се односе на </w:t>
            </w:r>
            <w:r w:rsidRPr="00CC35F0">
              <w:rPr>
                <w:rFonts w:ascii="Times New Roman" w:eastAsia="Times New Roman" w:hAnsi="Times New Roman"/>
                <w:sz w:val="24"/>
                <w:szCs w:val="24"/>
                <w:lang w:val="sr-Cyrl-CS"/>
              </w:rPr>
              <w:lastRenderedPageBreak/>
              <w:t>граничне вредности емисија за гасовите и суспендоване честице загађујућих материја и за одобрење типа мотора са унутрашњим сагоревањем за ТМ, којом се мењају Уредбе (ЕУ) бр. 1024/2012 и (ЕУ) бр. 167/2013, и која замењује Директиву 97/68/ЕЗ</w:t>
            </w:r>
          </w:p>
        </w:tc>
        <w:tc>
          <w:tcPr>
            <w:tcW w:w="1744" w:type="dxa"/>
            <w:shd w:val="clear" w:color="auto" w:fill="D9D9D9"/>
            <w:vAlign w:val="center"/>
          </w:tcPr>
          <w:p w14:paraId="0A0F3B93" w14:textId="77777777" w:rsidR="00A0251B" w:rsidRPr="00CC35F0" w:rsidRDefault="008D6506">
            <w:pPr>
              <w:spacing w:after="0" w:line="240" w:lineRule="auto"/>
              <w:ind w:left="-61" w:right="74"/>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АЗЖС база података </w:t>
            </w:r>
            <w:r w:rsidRPr="00CC35F0">
              <w:rPr>
                <w:rFonts w:ascii="Times New Roman" w:eastAsia="Times New Roman" w:hAnsi="Times New Roman"/>
                <w:i/>
                <w:sz w:val="24"/>
                <w:szCs w:val="24"/>
                <w:lang w:val="sr-Cyrl-CS"/>
              </w:rPr>
              <w:t>COPERT</w:t>
            </w:r>
            <w:r w:rsidRPr="00CC35F0">
              <w:rPr>
                <w:rFonts w:ascii="Times New Roman" w:eastAsia="Times New Roman" w:hAnsi="Times New Roman"/>
                <w:sz w:val="24"/>
                <w:szCs w:val="24"/>
                <w:lang w:val="sr-Cyrl-CS"/>
              </w:rPr>
              <w:t xml:space="preserve"> (за регистроване тракторе) </w:t>
            </w:r>
          </w:p>
          <w:p w14:paraId="056D37D2" w14:textId="77777777" w:rsidR="00A0251B" w:rsidRPr="00CC35F0" w:rsidRDefault="008D6506">
            <w:pPr>
              <w:spacing w:after="0" w:line="240" w:lineRule="auto"/>
              <w:ind w:left="-61" w:right="74"/>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 xml:space="preserve">План мониторинга </w:t>
            </w:r>
            <w:r w:rsidRPr="00CC35F0">
              <w:rPr>
                <w:rFonts w:ascii="Times New Roman" w:eastAsia="Times New Roman" w:hAnsi="Times New Roman"/>
                <w:sz w:val="24"/>
                <w:szCs w:val="24"/>
                <w:lang w:val="sr-Cyrl-CS"/>
              </w:rPr>
              <w:lastRenderedPageBreak/>
              <w:t xml:space="preserve">Програма </w:t>
            </w:r>
            <w:r w:rsidRPr="00CC35F0">
              <w:rPr>
                <w:rFonts w:ascii="Times New Roman" w:eastAsia="Times New Roman" w:hAnsi="Times New Roman"/>
                <w:i/>
                <w:sz w:val="24"/>
                <w:szCs w:val="24"/>
                <w:lang w:val="sr-Cyrl-CS"/>
              </w:rPr>
              <w:t>IPARD</w:t>
            </w:r>
            <w:r w:rsidRPr="00CC35F0">
              <w:rPr>
                <w:rFonts w:ascii="Times New Roman" w:eastAsia="Times New Roman" w:hAnsi="Times New Roman"/>
                <w:sz w:val="24"/>
                <w:szCs w:val="24"/>
                <w:lang w:val="sr-Cyrl-CS"/>
              </w:rPr>
              <w:t xml:space="preserve"> </w:t>
            </w:r>
          </w:p>
        </w:tc>
        <w:tc>
          <w:tcPr>
            <w:tcW w:w="1526" w:type="dxa"/>
            <w:shd w:val="clear" w:color="auto" w:fill="D9D9D9"/>
            <w:vAlign w:val="center"/>
          </w:tcPr>
          <w:p w14:paraId="4A03165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0% пољопривредне и грађевинске ТМ усклађено</w:t>
            </w:r>
          </w:p>
          <w:p w14:paraId="737D7B32"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[2015]</w:t>
            </w:r>
          </w:p>
        </w:tc>
        <w:tc>
          <w:tcPr>
            <w:tcW w:w="1361" w:type="dxa"/>
            <w:shd w:val="clear" w:color="auto" w:fill="D9D9D9"/>
            <w:vAlign w:val="center"/>
          </w:tcPr>
          <w:p w14:paraId="2FEC1AB6"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 пољопривредне и индустријске ТМ у складу са Директивом</w:t>
            </w:r>
          </w:p>
          <w:p w14:paraId="0FC9812D"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 2016/1628/ЕУ</w:t>
            </w:r>
          </w:p>
        </w:tc>
      </w:tr>
      <w:tr w:rsidR="00A0251B" w:rsidRPr="00CC35F0" w14:paraId="1FEA0433" w14:textId="77777777" w:rsidTr="009E674D">
        <w:trPr>
          <w:trHeight w:val="710"/>
        </w:trPr>
        <w:tc>
          <w:tcPr>
            <w:tcW w:w="987" w:type="dxa"/>
            <w:shd w:val="clear" w:color="auto" w:fill="auto"/>
            <w:vAlign w:val="center"/>
          </w:tcPr>
          <w:p w14:paraId="3D085FBB" w14:textId="77777777" w:rsidR="00A0251B" w:rsidRPr="00CC35F0" w:rsidRDefault="008D6506">
            <w:pPr>
              <w:spacing w:after="0" w:line="240" w:lineRule="auto"/>
              <w:ind w:left="-103" w:right="-98"/>
              <w:jc w:val="center"/>
              <w:rPr>
                <w:rFonts w:ascii="Times New Roman" w:eastAsia="Times New Roman" w:hAnsi="Times New Roman"/>
                <w:color w:val="0563C1"/>
                <w:sz w:val="24"/>
                <w:szCs w:val="24"/>
                <w:u w:val="single"/>
                <w:lang w:val="sr-Cyrl-CS"/>
              </w:rPr>
            </w:pPr>
            <w:r w:rsidRPr="00CC35F0">
              <w:rPr>
                <w:rFonts w:ascii="Times New Roman" w:eastAsia="Times New Roman" w:hAnsi="Times New Roman"/>
                <w:color w:val="0563C1"/>
                <w:sz w:val="24"/>
                <w:szCs w:val="24"/>
                <w:u w:val="single"/>
                <w:lang w:val="sr-Cyrl-CS"/>
              </w:rPr>
              <w:lastRenderedPageBreak/>
              <w:t>A</w:t>
            </w:r>
          </w:p>
        </w:tc>
        <w:tc>
          <w:tcPr>
            <w:tcW w:w="5108" w:type="dxa"/>
            <w:shd w:val="clear" w:color="auto" w:fill="auto"/>
          </w:tcPr>
          <w:p w14:paraId="054D4FF8"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Завршити програм рада за потпуно усклађивање националног законодавства са Уредбом 2016/1628 кроз Правилник о граничним вредностима емисије гасовитих и суспендованих честица и хомологацији мотора са унутрашњим сагоревањем за ТМ.</w:t>
            </w:r>
          </w:p>
        </w:tc>
        <w:tc>
          <w:tcPr>
            <w:tcW w:w="2550" w:type="dxa"/>
            <w:shd w:val="clear" w:color="auto" w:fill="auto"/>
            <w:vAlign w:val="center"/>
          </w:tcPr>
          <w:p w14:paraId="02019811"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123375C8" w14:textId="77777777" w:rsidR="00A0251B" w:rsidRPr="00CC35F0" w:rsidRDefault="008D6506">
            <w:pPr>
              <w:spacing w:after="0" w:line="240" w:lineRule="auto"/>
              <w:ind w:left="-85"/>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Измењен Правилник о граничним вредностима емисије гасовитих и суспендованих честица и хомологацији мотора са </w:t>
            </w:r>
            <w:r w:rsidRPr="00CC35F0">
              <w:rPr>
                <w:rFonts w:ascii="Times New Roman" w:eastAsia="Times New Roman" w:hAnsi="Times New Roman"/>
                <w:color w:val="000000"/>
                <w:sz w:val="24"/>
                <w:szCs w:val="24"/>
                <w:lang w:val="sr-Cyrl-CS"/>
              </w:rPr>
              <w:lastRenderedPageBreak/>
              <w:t xml:space="preserve">унутрашњим сагоревањем за ТМ </w:t>
            </w:r>
          </w:p>
        </w:tc>
        <w:tc>
          <w:tcPr>
            <w:tcW w:w="1744" w:type="dxa"/>
            <w:shd w:val="clear" w:color="auto" w:fill="auto"/>
            <w:vAlign w:val="center"/>
          </w:tcPr>
          <w:p w14:paraId="5B3A369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МЗЖС Годишњи извештаји о напредовању мониторинга</w:t>
            </w:r>
          </w:p>
        </w:tc>
        <w:tc>
          <w:tcPr>
            <w:tcW w:w="1526" w:type="dxa"/>
            <w:shd w:val="clear" w:color="auto" w:fill="auto"/>
            <w:vAlign w:val="center"/>
          </w:tcPr>
          <w:p w14:paraId="634C89B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0A4CAD18" w14:textId="77777777" w:rsidR="00E03FD1"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Да </w:t>
            </w:r>
          </w:p>
          <w:p w14:paraId="3A99233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[2024]</w:t>
            </w:r>
          </w:p>
        </w:tc>
      </w:tr>
      <w:tr w:rsidR="00A0251B" w:rsidRPr="00CC35F0" w14:paraId="563C1880" w14:textId="77777777" w:rsidTr="009E674D">
        <w:trPr>
          <w:trHeight w:val="1216"/>
        </w:trPr>
        <w:tc>
          <w:tcPr>
            <w:tcW w:w="987" w:type="dxa"/>
            <w:shd w:val="clear" w:color="auto" w:fill="auto"/>
            <w:vAlign w:val="center"/>
          </w:tcPr>
          <w:p w14:paraId="6FAFE9F9"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108" w:type="dxa"/>
            <w:shd w:val="clear" w:color="auto" w:fill="auto"/>
          </w:tcPr>
          <w:p w14:paraId="4AAFE04E"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Осигурати повећање броја запослених у институцијама Републике Србије у циљу бављења ТМ (али и друмским саобраћајем и другим видовима саобраћаја):</w:t>
            </w:r>
          </w:p>
          <w:p w14:paraId="583CEB13"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МГСИ: 1 радно место за стручњака за ТМ (али и друмски саобраћај и друге врсте саобраћаја)</w:t>
            </w:r>
          </w:p>
          <w:p w14:paraId="34131078"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МГСИ: 1 службеник који ће се бавити питањима ТМ (али и друмским саобраћајем и другим видовима саобраћаја).</w:t>
            </w:r>
          </w:p>
        </w:tc>
        <w:tc>
          <w:tcPr>
            <w:tcW w:w="2550" w:type="dxa"/>
            <w:shd w:val="clear" w:color="auto" w:fill="auto"/>
            <w:vAlign w:val="center"/>
          </w:tcPr>
          <w:p w14:paraId="5A6B99E4"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6CFBB8E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Број додатних административних капацитета у МГСИ</w:t>
            </w:r>
          </w:p>
        </w:tc>
        <w:tc>
          <w:tcPr>
            <w:tcW w:w="1744" w:type="dxa"/>
            <w:shd w:val="clear" w:color="auto" w:fill="auto"/>
            <w:vAlign w:val="center"/>
          </w:tcPr>
          <w:p w14:paraId="0FF1B0D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МГСИ</w:t>
            </w:r>
          </w:p>
        </w:tc>
        <w:tc>
          <w:tcPr>
            <w:tcW w:w="1526" w:type="dxa"/>
            <w:shd w:val="clear" w:color="auto" w:fill="auto"/>
            <w:vAlign w:val="center"/>
          </w:tcPr>
          <w:p w14:paraId="461AEF9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w:t>
            </w:r>
          </w:p>
        </w:tc>
        <w:tc>
          <w:tcPr>
            <w:tcW w:w="1361" w:type="dxa"/>
            <w:shd w:val="clear" w:color="auto" w:fill="auto"/>
            <w:vAlign w:val="center"/>
          </w:tcPr>
          <w:p w14:paraId="1267585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2 </w:t>
            </w:r>
          </w:p>
          <w:p w14:paraId="21B5CB1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[2025] </w:t>
            </w:r>
          </w:p>
        </w:tc>
      </w:tr>
      <w:tr w:rsidR="00A0251B" w:rsidRPr="00CC35F0" w14:paraId="32355688" w14:textId="77777777" w:rsidTr="009E674D">
        <w:trPr>
          <w:trHeight w:val="724"/>
        </w:trPr>
        <w:tc>
          <w:tcPr>
            <w:tcW w:w="987" w:type="dxa"/>
            <w:shd w:val="clear" w:color="auto" w:fill="auto"/>
            <w:vAlign w:val="center"/>
          </w:tcPr>
          <w:p w14:paraId="5A84D1B9"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108" w:type="dxa"/>
            <w:shd w:val="clear" w:color="auto" w:fill="auto"/>
          </w:tcPr>
          <w:p w14:paraId="346E7D46"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граничних вредности емисије гасовитих и суспендованих честица и хомологација мотора са унутрашњим сагоревањем за ТМ.</w:t>
            </w:r>
          </w:p>
        </w:tc>
        <w:tc>
          <w:tcPr>
            <w:tcW w:w="2550" w:type="dxa"/>
            <w:shd w:val="clear" w:color="auto" w:fill="auto"/>
            <w:vAlign w:val="center"/>
          </w:tcPr>
          <w:p w14:paraId="0DC8C2D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69E6A45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Проценат укинутих старијих пољопривредних машина и друге ТМ у складу са Директивом</w:t>
            </w:r>
          </w:p>
          <w:p w14:paraId="503B845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2016/1628/ЕУ</w:t>
            </w:r>
          </w:p>
        </w:tc>
        <w:tc>
          <w:tcPr>
            <w:tcW w:w="1744" w:type="dxa"/>
            <w:shd w:val="clear" w:color="auto" w:fill="auto"/>
            <w:vAlign w:val="center"/>
          </w:tcPr>
          <w:p w14:paraId="16508BD8" w14:textId="77777777" w:rsidR="00A0251B" w:rsidRPr="00CC35F0" w:rsidRDefault="00994875">
            <w:pPr>
              <w:spacing w:after="0" w:line="240" w:lineRule="auto"/>
              <w:ind w:left="-61" w:right="-152"/>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r w:rsidR="008D6506" w:rsidRPr="00CC35F0">
              <w:rPr>
                <w:rFonts w:ascii="Times New Roman" w:eastAsia="Times New Roman" w:hAnsi="Times New Roman"/>
                <w:sz w:val="24"/>
                <w:szCs w:val="24"/>
                <w:lang w:val="sr-Cyrl-CS"/>
              </w:rPr>
              <w:t xml:space="preserve">база </w:t>
            </w:r>
            <w:r w:rsidRPr="00CC35F0">
              <w:rPr>
                <w:rFonts w:ascii="Times New Roman" w:eastAsia="Times New Roman" w:hAnsi="Times New Roman"/>
                <w:sz w:val="24"/>
                <w:szCs w:val="24"/>
                <w:lang w:val="sr-Cyrl-CS"/>
              </w:rPr>
              <w:t>података COPERT–</w:t>
            </w:r>
            <w:r w:rsidR="008D6506" w:rsidRPr="00CC35F0">
              <w:rPr>
                <w:rFonts w:ascii="Times New Roman" w:eastAsia="Times New Roman" w:hAnsi="Times New Roman"/>
                <w:sz w:val="24"/>
                <w:szCs w:val="24"/>
                <w:lang w:val="sr-Cyrl-CS"/>
              </w:rPr>
              <w:t xml:space="preserve">(за регистроване тракторе) </w:t>
            </w:r>
          </w:p>
          <w:p w14:paraId="2B11A494" w14:textId="77777777" w:rsidR="00A0251B" w:rsidRPr="00CC35F0" w:rsidRDefault="008D6506">
            <w:pPr>
              <w:spacing w:after="0" w:line="240" w:lineRule="auto"/>
              <w:ind w:left="-61" w:right="-152"/>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План мониторинга Програма IPARD</w:t>
            </w:r>
          </w:p>
        </w:tc>
        <w:tc>
          <w:tcPr>
            <w:tcW w:w="1526" w:type="dxa"/>
            <w:shd w:val="clear" w:color="auto" w:fill="auto"/>
            <w:vAlign w:val="center"/>
          </w:tcPr>
          <w:p w14:paraId="5EE383B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0% </w:t>
            </w:r>
          </w:p>
          <w:p w14:paraId="5940643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[2015]</w:t>
            </w:r>
          </w:p>
        </w:tc>
        <w:tc>
          <w:tcPr>
            <w:tcW w:w="1361" w:type="dxa"/>
            <w:shd w:val="clear" w:color="auto" w:fill="auto"/>
            <w:vAlign w:val="center"/>
          </w:tcPr>
          <w:p w14:paraId="16523574" w14:textId="77777777" w:rsidR="0047199A" w:rsidRPr="00CC35F0" w:rsidRDefault="0047199A" w:rsidP="0047199A">
            <w:pPr>
              <w:spacing w:after="0" w:line="240" w:lineRule="auto"/>
              <w:ind w:left="-142" w:right="-74"/>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r w:rsidR="008D6506" w:rsidRPr="00CC35F0">
              <w:rPr>
                <w:rFonts w:ascii="Times New Roman" w:eastAsia="Times New Roman" w:hAnsi="Times New Roman"/>
                <w:sz w:val="24"/>
                <w:szCs w:val="24"/>
                <w:lang w:val="sr-Cyrl-CS"/>
              </w:rPr>
              <w:t xml:space="preserve">40% </w:t>
            </w:r>
          </w:p>
          <w:p w14:paraId="6AD96CF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[2030]</w:t>
            </w:r>
          </w:p>
        </w:tc>
      </w:tr>
      <w:tr w:rsidR="00A0251B" w:rsidRPr="00CC35F0" w14:paraId="44AF5ABC" w14:textId="77777777" w:rsidTr="009E674D">
        <w:trPr>
          <w:trHeight w:val="1085"/>
        </w:trPr>
        <w:tc>
          <w:tcPr>
            <w:tcW w:w="987" w:type="dxa"/>
            <w:shd w:val="clear" w:color="auto" w:fill="D9D9D9"/>
            <w:vAlign w:val="center"/>
          </w:tcPr>
          <w:p w14:paraId="43457859"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Бр.7</w:t>
            </w:r>
          </w:p>
          <w:p w14:paraId="5B26B91C"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C1)</w:t>
            </w:r>
          </w:p>
        </w:tc>
        <w:tc>
          <w:tcPr>
            <w:tcW w:w="5108" w:type="dxa"/>
            <w:shd w:val="clear" w:color="auto" w:fill="D9D9D9"/>
            <w:vAlign w:val="center"/>
          </w:tcPr>
          <w:p w14:paraId="77984BA6"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Бржа  замена постојећих уређаја уређаја за грејање у домаћинствима кућних грејача простора новим уређајима који испуњавају захтеве Директиве о еко-дизајну уз финансијске подстицаје и уз већи проценат замене у градовима Крагујевац, Београд, Ниш, Ваљево и Ужице</w:t>
            </w:r>
          </w:p>
        </w:tc>
        <w:tc>
          <w:tcPr>
            <w:tcW w:w="2550" w:type="dxa"/>
            <w:shd w:val="clear" w:color="auto" w:fill="D9D9D9"/>
            <w:vAlign w:val="center"/>
          </w:tcPr>
          <w:p w14:paraId="289B0F6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Транспозиција и спровођење Уредбе о еко-дизајну 2015/1189/ЕУ и Уредбе 2015/1185/ЕУ, и успостављање инфраструктуре за пружање подстицаја за продор еко-</w:t>
            </w:r>
            <w:r w:rsidRPr="00CC35F0">
              <w:rPr>
                <w:rFonts w:ascii="Times New Roman" w:eastAsia="Times New Roman" w:hAnsi="Times New Roman"/>
                <w:sz w:val="24"/>
                <w:szCs w:val="24"/>
                <w:lang w:val="sr-Cyrl-CS"/>
              </w:rPr>
              <w:lastRenderedPageBreak/>
              <w:t xml:space="preserve">дизајнираних уређаја и топлотних пумпи </w:t>
            </w:r>
          </w:p>
        </w:tc>
        <w:tc>
          <w:tcPr>
            <w:tcW w:w="2175" w:type="dxa"/>
            <w:shd w:val="clear" w:color="auto" w:fill="D9D9D9"/>
            <w:vAlign w:val="center"/>
          </w:tcPr>
          <w:p w14:paraId="5FAA8BB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Износ финансијских подстицаја за бржу замену кућних грејних тела новим еко-дизајнираним уређајима и топлотним </w:t>
            </w:r>
            <w:r w:rsidRPr="00CC35F0">
              <w:rPr>
                <w:rFonts w:ascii="Times New Roman" w:eastAsia="Times New Roman" w:hAnsi="Times New Roman"/>
                <w:sz w:val="24"/>
                <w:szCs w:val="24"/>
                <w:lang w:val="sr-Cyrl-CS"/>
              </w:rPr>
              <w:lastRenderedPageBreak/>
              <w:t>пумпама, уз већи проценат замене у Крагујевцу, Београду, Нишу, Ваљеву и Ужицу</w:t>
            </w:r>
          </w:p>
        </w:tc>
        <w:tc>
          <w:tcPr>
            <w:tcW w:w="1744" w:type="dxa"/>
            <w:shd w:val="clear" w:color="auto" w:fill="D9D9D9"/>
            <w:vAlign w:val="center"/>
          </w:tcPr>
          <w:p w14:paraId="2CBE557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Министарство финансија  кроз статистику о подстицајима</w:t>
            </w:r>
          </w:p>
        </w:tc>
        <w:tc>
          <w:tcPr>
            <w:tcW w:w="1526" w:type="dxa"/>
            <w:shd w:val="clear" w:color="auto" w:fill="D9D9D9"/>
            <w:vAlign w:val="center"/>
          </w:tcPr>
          <w:p w14:paraId="1CE10D8C"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t>
            </w:r>
          </w:p>
        </w:tc>
        <w:tc>
          <w:tcPr>
            <w:tcW w:w="1361" w:type="dxa"/>
            <w:shd w:val="clear" w:color="auto" w:fill="D9D9D9"/>
            <w:vAlign w:val="center"/>
          </w:tcPr>
          <w:p w14:paraId="00D17580" w14:textId="77777777" w:rsidR="0047199A"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476,90 милиона евра финансијских подстицаја исплаћено, од чега</w:t>
            </w:r>
            <w:r w:rsidR="0047199A" w:rsidRPr="00CC35F0">
              <w:rPr>
                <w:rFonts w:ascii="Times New Roman" w:eastAsia="Times New Roman" w:hAnsi="Times New Roman"/>
                <w:sz w:val="24"/>
                <w:szCs w:val="24"/>
                <w:lang w:val="sr-Cyrl-CS"/>
              </w:rPr>
              <w:t xml:space="preserve"> </w:t>
            </w:r>
          </w:p>
          <w:p w14:paraId="7E956778" w14:textId="77777777" w:rsidR="00A0251B" w:rsidRPr="00CC35F0" w:rsidRDefault="0047199A">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за Републику </w:t>
            </w:r>
            <w:r w:rsidRPr="00CC35F0">
              <w:rPr>
                <w:rFonts w:ascii="Times New Roman" w:eastAsia="Times New Roman" w:hAnsi="Times New Roman"/>
                <w:sz w:val="24"/>
                <w:szCs w:val="24"/>
                <w:lang w:val="sr-Cyrl-CS"/>
              </w:rPr>
              <w:lastRenderedPageBreak/>
              <w:t xml:space="preserve">Србију 159,8 милиона евра, </w:t>
            </w:r>
            <w:r w:rsidR="008D6506" w:rsidRPr="00CC35F0">
              <w:rPr>
                <w:rFonts w:ascii="Times New Roman" w:eastAsia="Times New Roman" w:hAnsi="Times New Roman"/>
                <w:sz w:val="24"/>
                <w:szCs w:val="24"/>
                <w:lang w:val="sr-Cyrl-CS"/>
              </w:rPr>
              <w:t xml:space="preserve">Крагујевцу 5,6 милиона евра, Београду 36,6 милиона евра, Нишу 25,9 милиона евра, Ваљеву 13,9 милиона, Ужицу 13,6 милиона евра </w:t>
            </w:r>
          </w:p>
        </w:tc>
      </w:tr>
      <w:tr w:rsidR="00A0251B" w:rsidRPr="00CC35F0" w14:paraId="59491363" w14:textId="77777777" w:rsidTr="009E674D">
        <w:trPr>
          <w:trHeight w:val="473"/>
        </w:trPr>
        <w:tc>
          <w:tcPr>
            <w:tcW w:w="987" w:type="dxa"/>
            <w:shd w:val="clear" w:color="auto" w:fill="auto"/>
            <w:vAlign w:val="center"/>
          </w:tcPr>
          <w:p w14:paraId="1638B225" w14:textId="77777777" w:rsidR="00A0251B" w:rsidRPr="00CC35F0" w:rsidRDefault="00000000">
            <w:pPr>
              <w:spacing w:after="0" w:line="240" w:lineRule="auto"/>
              <w:ind w:left="-103" w:right="-98"/>
              <w:jc w:val="center"/>
              <w:rPr>
                <w:rFonts w:ascii="Times New Roman" w:eastAsia="Times New Roman" w:hAnsi="Times New Roman"/>
                <w:color w:val="0563C1"/>
                <w:sz w:val="24"/>
                <w:szCs w:val="24"/>
                <w:u w:val="single"/>
                <w:lang w:val="sr-Cyrl-CS"/>
              </w:rPr>
            </w:pPr>
            <w:hyperlink r:id="rId62">
              <w:r w:rsidR="008D6506" w:rsidRPr="00CC35F0">
                <w:rPr>
                  <w:rFonts w:ascii="Times New Roman" w:eastAsia="Times New Roman" w:hAnsi="Times New Roman"/>
                  <w:color w:val="0563C1"/>
                  <w:sz w:val="24"/>
                  <w:szCs w:val="24"/>
                  <w:u w:val="single"/>
                  <w:lang w:val="sr-Cyrl-CS"/>
                </w:rPr>
                <w:t>A</w:t>
              </w:r>
            </w:hyperlink>
          </w:p>
        </w:tc>
        <w:tc>
          <w:tcPr>
            <w:tcW w:w="5108" w:type="dxa"/>
            <w:shd w:val="clear" w:color="auto" w:fill="FFFFFF"/>
          </w:tcPr>
          <w:p w14:paraId="1816F2BC" w14:textId="77777777" w:rsidR="00A0251B" w:rsidRPr="00CC35F0" w:rsidRDefault="008D6506">
            <w:pPr>
              <w:spacing w:after="0" w:line="240" w:lineRule="auto"/>
              <w:ind w:left="-107" w:right="-11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Завршити рад на потпуном усклађивању националног законодавства са Директивом о еко-дизајну и радити на транспозицији два следећа прописа:</w:t>
            </w:r>
          </w:p>
          <w:p w14:paraId="436AE01A" w14:textId="77777777" w:rsidR="00A0251B" w:rsidRPr="00CC35F0" w:rsidRDefault="008D6506">
            <w:pPr>
              <w:spacing w:after="0" w:line="240" w:lineRule="auto"/>
              <w:ind w:left="-107" w:right="-11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Уредба 2015/1189 од 28. априла 2015. године којом се имплементира Директива 2009/125/ЕЗ Европског парламента и Савета у погледу захтева еко-дизајна за котлове на чврсто гориво.</w:t>
            </w:r>
          </w:p>
          <w:p w14:paraId="76241C0F"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Уредба 2015/1185 од 24. априла 2015. године којом се имплементира Директива 2009/125/ЕЗ Европског парламента и Савета у погледу </w:t>
            </w:r>
            <w:r w:rsidRPr="00CC35F0">
              <w:rPr>
                <w:rFonts w:ascii="Times New Roman" w:eastAsia="Times New Roman" w:hAnsi="Times New Roman"/>
                <w:sz w:val="24"/>
                <w:szCs w:val="24"/>
                <w:lang w:val="sr-Cyrl-CS"/>
              </w:rPr>
              <w:lastRenderedPageBreak/>
              <w:t>захтева еко-дизајна за локалне грејаче простора на чврста горива.</w:t>
            </w:r>
          </w:p>
        </w:tc>
        <w:tc>
          <w:tcPr>
            <w:tcW w:w="2550" w:type="dxa"/>
            <w:shd w:val="clear" w:color="auto" w:fill="FFFFFF"/>
            <w:vAlign w:val="center"/>
          </w:tcPr>
          <w:p w14:paraId="62556AC0" w14:textId="77777777" w:rsidR="00A0251B" w:rsidRPr="00CC35F0" w:rsidRDefault="00A0251B">
            <w:pPr>
              <w:spacing w:after="0" w:line="240" w:lineRule="auto"/>
              <w:jc w:val="right"/>
              <w:rPr>
                <w:rFonts w:ascii="Times New Roman" w:eastAsia="Times New Roman" w:hAnsi="Times New Roman"/>
                <w:sz w:val="24"/>
                <w:szCs w:val="24"/>
                <w:lang w:val="sr-Cyrl-CS"/>
              </w:rPr>
            </w:pPr>
          </w:p>
        </w:tc>
        <w:tc>
          <w:tcPr>
            <w:tcW w:w="2175" w:type="dxa"/>
            <w:shd w:val="clear" w:color="auto" w:fill="FFFFFF"/>
            <w:vAlign w:val="center"/>
          </w:tcPr>
          <w:p w14:paraId="01ED38F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Транспозиција Уредбе о еко-дизајну 2015/1189/ЕУ и Уредбе 2015/1185/ЕУ</w:t>
            </w:r>
          </w:p>
        </w:tc>
        <w:tc>
          <w:tcPr>
            <w:tcW w:w="1744" w:type="dxa"/>
            <w:shd w:val="clear" w:color="auto" w:fill="FFFFFF"/>
            <w:vAlign w:val="center"/>
          </w:tcPr>
          <w:p w14:paraId="04AF472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Годишњи извештај о напредовању мониторинга</w:t>
            </w:r>
          </w:p>
        </w:tc>
        <w:tc>
          <w:tcPr>
            <w:tcW w:w="1526" w:type="dxa"/>
            <w:shd w:val="clear" w:color="auto" w:fill="FFFFFF"/>
            <w:vAlign w:val="center"/>
          </w:tcPr>
          <w:p w14:paraId="534A755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361" w:type="dxa"/>
            <w:shd w:val="clear" w:color="auto" w:fill="FFFFFF"/>
            <w:vAlign w:val="center"/>
          </w:tcPr>
          <w:p w14:paraId="6A83B1CE"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 [2023]</w:t>
            </w:r>
          </w:p>
        </w:tc>
      </w:tr>
      <w:tr w:rsidR="00A0251B" w:rsidRPr="00CC35F0" w14:paraId="3541048D" w14:textId="77777777" w:rsidTr="009E674D">
        <w:trPr>
          <w:trHeight w:val="39"/>
        </w:trPr>
        <w:tc>
          <w:tcPr>
            <w:tcW w:w="987" w:type="dxa"/>
            <w:shd w:val="clear" w:color="auto" w:fill="auto"/>
            <w:vAlign w:val="center"/>
          </w:tcPr>
          <w:p w14:paraId="637997DA" w14:textId="77777777" w:rsidR="00A0251B" w:rsidRPr="00CC35F0" w:rsidRDefault="00A0251B">
            <w:pPr>
              <w:spacing w:after="0" w:line="240" w:lineRule="auto"/>
              <w:ind w:left="-103" w:right="-98"/>
              <w:jc w:val="center"/>
              <w:rPr>
                <w:rFonts w:ascii="Times New Roman" w:eastAsia="Times New Roman" w:hAnsi="Times New Roman"/>
                <w:color w:val="0563C1"/>
                <w:sz w:val="24"/>
                <w:szCs w:val="24"/>
                <w:u w:val="single"/>
                <w:lang w:val="sr-Cyrl-CS"/>
              </w:rPr>
            </w:pPr>
          </w:p>
        </w:tc>
        <w:tc>
          <w:tcPr>
            <w:tcW w:w="5108" w:type="dxa"/>
            <w:shd w:val="clear" w:color="auto" w:fill="FFFFFF"/>
            <w:vAlign w:val="center"/>
          </w:tcPr>
          <w:p w14:paraId="4AC36CB2" w14:textId="77777777" w:rsidR="00A0251B" w:rsidRPr="00CC35F0" w:rsidRDefault="008D6506">
            <w:pPr>
              <w:spacing w:after="0" w:line="240" w:lineRule="auto"/>
              <w:ind w:left="-107" w:right="-110"/>
              <w:rPr>
                <w:rFonts w:ascii="Times New Roman" w:eastAsia="Times New Roman" w:hAnsi="Times New Roman"/>
                <w:sz w:val="24"/>
                <w:szCs w:val="24"/>
                <w:lang w:val="sr-Cyrl-CS"/>
              </w:rPr>
            </w:pPr>
            <w:bookmarkStart w:id="113" w:name="_heading=h.2y3w247" w:colFirst="0" w:colLast="0"/>
            <w:bookmarkEnd w:id="113"/>
            <w:r w:rsidRPr="00CC35F0">
              <w:rPr>
                <w:rFonts w:ascii="Times New Roman" w:eastAsia="Times New Roman" w:hAnsi="Times New Roman"/>
                <w:sz w:val="24"/>
                <w:szCs w:val="24"/>
                <w:lang w:val="sr-Cyrl-CS"/>
              </w:rPr>
              <w:t>Успостављање и примена механизма за финансијске подстицаје за замену постојећих грејних тела у домаћинствима новим еко-дизајнираним уређајима и топлотним пумпама.</w:t>
            </w:r>
          </w:p>
          <w:p w14:paraId="462DD516" w14:textId="77777777" w:rsidR="00A0251B" w:rsidRPr="00CC35F0" w:rsidRDefault="00A0251B">
            <w:pPr>
              <w:spacing w:after="0" w:line="240" w:lineRule="auto"/>
              <w:ind w:left="-107" w:right="-110"/>
              <w:jc w:val="left"/>
              <w:rPr>
                <w:rFonts w:ascii="Times New Roman" w:eastAsia="Times New Roman" w:hAnsi="Times New Roman"/>
                <w:sz w:val="24"/>
                <w:szCs w:val="24"/>
                <w:lang w:val="sr-Cyrl-CS"/>
              </w:rPr>
            </w:pPr>
          </w:p>
        </w:tc>
        <w:tc>
          <w:tcPr>
            <w:tcW w:w="2550" w:type="dxa"/>
            <w:shd w:val="clear" w:color="auto" w:fill="auto"/>
            <w:vAlign w:val="center"/>
          </w:tcPr>
          <w:p w14:paraId="6754807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2175" w:type="dxa"/>
            <w:shd w:val="clear" w:color="auto" w:fill="auto"/>
            <w:vAlign w:val="center"/>
          </w:tcPr>
          <w:p w14:paraId="2FD1160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Проценат повлачења из употребе старе технологије и замена уређајима са ЕКО ознаком и топлотним пумпама</w:t>
            </w:r>
          </w:p>
          <w:p w14:paraId="0347826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w:t>
            </w:r>
          </w:p>
        </w:tc>
        <w:tc>
          <w:tcPr>
            <w:tcW w:w="1744" w:type="dxa"/>
            <w:shd w:val="clear" w:color="auto" w:fill="auto"/>
            <w:vAlign w:val="center"/>
          </w:tcPr>
          <w:p w14:paraId="6962A48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1526" w:type="dxa"/>
            <w:shd w:val="clear" w:color="auto" w:fill="auto"/>
            <w:vAlign w:val="center"/>
          </w:tcPr>
          <w:p w14:paraId="084E933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w:t>
            </w:r>
          </w:p>
        </w:tc>
        <w:tc>
          <w:tcPr>
            <w:tcW w:w="1361" w:type="dxa"/>
            <w:shd w:val="clear" w:color="auto" w:fill="auto"/>
            <w:vAlign w:val="center"/>
          </w:tcPr>
          <w:p w14:paraId="49731427" w14:textId="77777777" w:rsidR="00A0251B" w:rsidRPr="00CC35F0" w:rsidRDefault="008D6506">
            <w:pPr>
              <w:spacing w:after="0" w:line="216"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У Крагујевцу ће се најмање 58% уређаја заменити уређајима са еколошком ознаком, од којих ће најмање 25% бити на пелет</w:t>
            </w:r>
          </w:p>
          <w:p w14:paraId="5ED8EE37" w14:textId="77777777" w:rsidR="00A0251B" w:rsidRPr="00CC35F0" w:rsidRDefault="008D6506">
            <w:pPr>
              <w:spacing w:after="0" w:line="216"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У Београду ће најмање 58% уређаја бити замењено само уређајима на пелет</w:t>
            </w:r>
          </w:p>
          <w:p w14:paraId="433789D9" w14:textId="77777777" w:rsidR="00A0251B" w:rsidRPr="00CC35F0" w:rsidRDefault="008D6506">
            <w:pPr>
              <w:spacing w:after="0" w:line="216"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У Ваљеву и Нишу најмање 74% уређаја </w:t>
            </w:r>
            <w:r w:rsidRPr="00CC35F0">
              <w:rPr>
                <w:rFonts w:ascii="Times New Roman" w:eastAsia="Times New Roman" w:hAnsi="Times New Roman"/>
                <w:sz w:val="24"/>
                <w:szCs w:val="24"/>
                <w:lang w:val="sr-Cyrl-CS"/>
              </w:rPr>
              <w:lastRenderedPageBreak/>
              <w:t>треба заменити са до 50% уређаја на пелет и 50% или више топлотних пумпи</w:t>
            </w:r>
          </w:p>
          <w:p w14:paraId="44B029D1" w14:textId="77777777" w:rsidR="00A0251B" w:rsidRPr="00CC35F0" w:rsidRDefault="008D6506">
            <w:pPr>
              <w:spacing w:after="0" w:line="216" w:lineRule="auto"/>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У Ужицу ће се најмање 80% уређаја заменити са 85% или више топлотних пумпи и са до 15% уређајима на пелет </w:t>
            </w:r>
          </w:p>
        </w:tc>
      </w:tr>
      <w:tr w:rsidR="00A0251B" w:rsidRPr="00CC35F0" w14:paraId="6EC32B2E" w14:textId="77777777" w:rsidTr="009E674D">
        <w:trPr>
          <w:trHeight w:val="758"/>
        </w:trPr>
        <w:tc>
          <w:tcPr>
            <w:tcW w:w="987" w:type="dxa"/>
            <w:shd w:val="clear" w:color="auto" w:fill="auto"/>
            <w:vAlign w:val="center"/>
          </w:tcPr>
          <w:p w14:paraId="1A5875F5" w14:textId="77777777" w:rsidR="00A0251B" w:rsidRPr="00CC35F0" w:rsidRDefault="00A0251B">
            <w:pPr>
              <w:spacing w:after="0" w:line="240" w:lineRule="auto"/>
              <w:ind w:left="-103" w:right="-98"/>
              <w:jc w:val="center"/>
              <w:rPr>
                <w:rFonts w:ascii="Times New Roman" w:eastAsia="Times New Roman" w:hAnsi="Times New Roman"/>
                <w:color w:val="0563C1"/>
                <w:sz w:val="24"/>
                <w:szCs w:val="24"/>
                <w:u w:val="single"/>
                <w:lang w:val="sr-Cyrl-CS"/>
              </w:rPr>
            </w:pPr>
          </w:p>
        </w:tc>
        <w:tc>
          <w:tcPr>
            <w:tcW w:w="5108" w:type="dxa"/>
            <w:shd w:val="clear" w:color="auto" w:fill="FFFFFF"/>
            <w:vAlign w:val="center"/>
          </w:tcPr>
          <w:p w14:paraId="4EB1FE96"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Омогућавање механизма финансијских подстицаја запошљавањем додатних 6 лица са пуним радним временом у циљу информисања јавности о томе како смањити емисије из кућних грејних тела, и омогућити приступ финансијској подршци. </w:t>
            </w:r>
          </w:p>
        </w:tc>
        <w:tc>
          <w:tcPr>
            <w:tcW w:w="2550" w:type="dxa"/>
            <w:shd w:val="clear" w:color="auto" w:fill="auto"/>
            <w:vAlign w:val="center"/>
          </w:tcPr>
          <w:p w14:paraId="1D809E6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2175" w:type="dxa"/>
            <w:shd w:val="clear" w:color="auto" w:fill="auto"/>
            <w:vAlign w:val="center"/>
          </w:tcPr>
          <w:p w14:paraId="6A48B991" w14:textId="77777777" w:rsidR="00A0251B" w:rsidRPr="00CC35F0" w:rsidRDefault="008D6506" w:rsidP="007A6612">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Број додатних административних капацитета у </w:t>
            </w:r>
            <w:r w:rsidR="007A6612" w:rsidRPr="007A6612">
              <w:rPr>
                <w:rFonts w:ascii="Times New Roman" w:eastAsia="Times New Roman" w:hAnsi="Times New Roman"/>
                <w:color w:val="000000"/>
                <w:sz w:val="24"/>
                <w:szCs w:val="24"/>
                <w:lang w:val="sr-Cyrl-RS"/>
              </w:rPr>
              <w:t>Министарств</w:t>
            </w:r>
            <w:r w:rsidR="007A6612">
              <w:rPr>
                <w:rFonts w:ascii="Times New Roman" w:eastAsia="Times New Roman" w:hAnsi="Times New Roman"/>
                <w:color w:val="000000"/>
                <w:sz w:val="24"/>
                <w:szCs w:val="24"/>
                <w:lang w:val="sr-Cyrl-RS"/>
              </w:rPr>
              <w:t>у</w:t>
            </w:r>
            <w:r w:rsidR="007A6612" w:rsidRPr="007A6612">
              <w:rPr>
                <w:rFonts w:ascii="Times New Roman" w:eastAsia="Times New Roman" w:hAnsi="Times New Roman"/>
                <w:color w:val="000000"/>
                <w:sz w:val="24"/>
                <w:szCs w:val="24"/>
                <w:lang w:val="sr-Cyrl-RS"/>
              </w:rPr>
              <w:t xml:space="preserve"> рударства и енергетике</w:t>
            </w:r>
          </w:p>
        </w:tc>
        <w:tc>
          <w:tcPr>
            <w:tcW w:w="1744" w:type="dxa"/>
            <w:shd w:val="clear" w:color="auto" w:fill="auto"/>
            <w:vAlign w:val="center"/>
          </w:tcPr>
          <w:p w14:paraId="0303D0B6" w14:textId="77777777" w:rsidR="00A0251B" w:rsidRPr="00CC35F0" w:rsidRDefault="007A6612" w:rsidP="007A6612">
            <w:pPr>
              <w:spacing w:after="0" w:line="240" w:lineRule="auto"/>
              <w:ind w:left="-145" w:right="-61"/>
              <w:jc w:val="right"/>
              <w:rPr>
                <w:rFonts w:ascii="Times New Roman" w:eastAsia="Times New Roman" w:hAnsi="Times New Roman"/>
                <w:color w:val="000000"/>
                <w:sz w:val="24"/>
                <w:szCs w:val="24"/>
                <w:lang w:val="sr-Cyrl-CS"/>
              </w:rPr>
            </w:pPr>
            <w:r w:rsidRPr="007A6612">
              <w:rPr>
                <w:rFonts w:ascii="Times New Roman" w:eastAsia="Times New Roman" w:hAnsi="Times New Roman"/>
                <w:color w:val="000000"/>
                <w:sz w:val="24"/>
                <w:szCs w:val="24"/>
                <w:lang w:val="sr-Cyrl-RS"/>
              </w:rPr>
              <w:t>Министарств</w:t>
            </w:r>
            <w:r>
              <w:rPr>
                <w:rFonts w:ascii="Times New Roman" w:eastAsia="Times New Roman" w:hAnsi="Times New Roman"/>
                <w:color w:val="000000"/>
                <w:sz w:val="24"/>
                <w:szCs w:val="24"/>
                <w:lang w:val="sr-Cyrl-RS"/>
              </w:rPr>
              <w:t>о</w:t>
            </w:r>
            <w:r w:rsidRPr="007A6612">
              <w:rPr>
                <w:rFonts w:ascii="Times New Roman" w:eastAsia="Times New Roman" w:hAnsi="Times New Roman"/>
                <w:color w:val="000000"/>
                <w:sz w:val="24"/>
                <w:szCs w:val="24"/>
                <w:lang w:val="sr-Cyrl-RS"/>
              </w:rPr>
              <w:t xml:space="preserve"> рударства и енергетике</w:t>
            </w:r>
          </w:p>
        </w:tc>
        <w:tc>
          <w:tcPr>
            <w:tcW w:w="1526" w:type="dxa"/>
            <w:shd w:val="clear" w:color="auto" w:fill="auto"/>
            <w:vAlign w:val="center"/>
          </w:tcPr>
          <w:p w14:paraId="446A923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w:t>
            </w:r>
          </w:p>
        </w:tc>
        <w:tc>
          <w:tcPr>
            <w:tcW w:w="1361" w:type="dxa"/>
            <w:shd w:val="clear" w:color="auto" w:fill="auto"/>
            <w:vAlign w:val="center"/>
          </w:tcPr>
          <w:p w14:paraId="4777EF05" w14:textId="77777777" w:rsidR="00A0251B" w:rsidRPr="00CC35F0" w:rsidRDefault="008D6506">
            <w:pPr>
              <w:spacing w:after="0" w:line="240" w:lineRule="auto"/>
              <w:ind w:left="-47" w:right="-74"/>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Запослено </w:t>
            </w:r>
            <w:r w:rsidR="007A6612">
              <w:rPr>
                <w:rFonts w:ascii="Times New Roman" w:eastAsia="Times New Roman" w:hAnsi="Times New Roman"/>
                <w:color w:val="000000"/>
                <w:sz w:val="24"/>
                <w:szCs w:val="24"/>
                <w:lang w:val="sr-Cyrl-CS"/>
              </w:rPr>
              <w:t>шест</w:t>
            </w:r>
            <w:r w:rsidRPr="00CC35F0">
              <w:rPr>
                <w:rFonts w:ascii="Times New Roman" w:eastAsia="Times New Roman" w:hAnsi="Times New Roman"/>
                <w:color w:val="000000"/>
                <w:sz w:val="24"/>
                <w:szCs w:val="24"/>
                <w:lang w:val="sr-Cyrl-CS"/>
              </w:rPr>
              <w:t xml:space="preserve"> лица</w:t>
            </w:r>
          </w:p>
          <w:p w14:paraId="5F1975A5" w14:textId="77777777" w:rsidR="00A0251B" w:rsidRPr="00CC35F0" w:rsidRDefault="008D6506">
            <w:pPr>
              <w:spacing w:after="0" w:line="240" w:lineRule="auto"/>
              <w:ind w:left="-47" w:right="-74"/>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w:t>
            </w:r>
            <w:r w:rsidR="00A7482F" w:rsidRPr="00CC35F0">
              <w:rPr>
                <w:rFonts w:ascii="Times New Roman" w:eastAsia="Times New Roman" w:hAnsi="Times New Roman"/>
                <w:color w:val="000000"/>
                <w:sz w:val="24"/>
                <w:szCs w:val="24"/>
                <w:lang w:val="sr-Cyrl-CS"/>
              </w:rPr>
              <w:t>4</w:t>
            </w:r>
            <w:r w:rsidRPr="00CC35F0">
              <w:rPr>
                <w:rFonts w:ascii="Times New Roman" w:eastAsia="Times New Roman" w:hAnsi="Times New Roman"/>
                <w:color w:val="000000"/>
                <w:sz w:val="24"/>
                <w:szCs w:val="24"/>
                <w:lang w:val="sr-Cyrl-CS"/>
              </w:rPr>
              <w:t xml:space="preserve">] </w:t>
            </w:r>
          </w:p>
        </w:tc>
      </w:tr>
      <w:tr w:rsidR="00A0251B" w:rsidRPr="00CC35F0" w14:paraId="11451D1A" w14:textId="77777777" w:rsidTr="009E674D">
        <w:trPr>
          <w:trHeight w:val="434"/>
        </w:trPr>
        <w:tc>
          <w:tcPr>
            <w:tcW w:w="987" w:type="dxa"/>
            <w:shd w:val="clear" w:color="auto" w:fill="D9D9D9"/>
            <w:vAlign w:val="center"/>
          </w:tcPr>
          <w:p w14:paraId="505C87A9"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Бр.8</w:t>
            </w:r>
          </w:p>
          <w:p w14:paraId="08CD334B"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A7)</w:t>
            </w:r>
          </w:p>
        </w:tc>
        <w:tc>
          <w:tcPr>
            <w:tcW w:w="5108" w:type="dxa"/>
            <w:shd w:val="clear" w:color="auto" w:fill="D9D9D9"/>
            <w:vAlign w:val="center"/>
          </w:tcPr>
          <w:p w14:paraId="43357001"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Спровођење измењене Директиве 2009/30/EЗ о квалитету горива и Директиве 2016/802/EЗ о </w:t>
            </w:r>
            <w:r w:rsidRPr="00CC35F0">
              <w:rPr>
                <w:rFonts w:ascii="Times New Roman" w:eastAsia="Times New Roman" w:hAnsi="Times New Roman"/>
                <w:b/>
                <w:color w:val="000000"/>
                <w:sz w:val="24"/>
                <w:szCs w:val="24"/>
                <w:lang w:val="sr-Cyrl-CS"/>
              </w:rPr>
              <w:lastRenderedPageBreak/>
              <w:t>смањењу садржаја сумпора у одређеним течним горивима</w:t>
            </w:r>
          </w:p>
        </w:tc>
        <w:tc>
          <w:tcPr>
            <w:tcW w:w="2550" w:type="dxa"/>
            <w:shd w:val="clear" w:color="auto" w:fill="D9D9D9"/>
            <w:vAlign w:val="center"/>
          </w:tcPr>
          <w:p w14:paraId="7416B332"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lastRenderedPageBreak/>
              <w:t xml:space="preserve">Транспозиција и примена Директиве </w:t>
            </w:r>
            <w:r w:rsidRPr="00CC35F0">
              <w:rPr>
                <w:rFonts w:ascii="Times New Roman" w:eastAsia="Times New Roman" w:hAnsi="Times New Roman"/>
                <w:sz w:val="24"/>
                <w:szCs w:val="24"/>
                <w:lang w:val="sr-Cyrl-CS"/>
              </w:rPr>
              <w:lastRenderedPageBreak/>
              <w:t xml:space="preserve">2009/30/ЕУ са изменама и допунама </w:t>
            </w:r>
          </w:p>
        </w:tc>
        <w:tc>
          <w:tcPr>
            <w:tcW w:w="2175" w:type="dxa"/>
            <w:shd w:val="clear" w:color="auto" w:fill="D9D9D9"/>
            <w:vAlign w:val="center"/>
          </w:tcPr>
          <w:p w14:paraId="25E5876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Удео течних горива са ултра-ниским садржајем </w:t>
            </w:r>
            <w:r w:rsidRPr="00CC35F0">
              <w:rPr>
                <w:rFonts w:ascii="Times New Roman" w:eastAsia="Times New Roman" w:hAnsi="Times New Roman"/>
                <w:sz w:val="24"/>
                <w:szCs w:val="24"/>
                <w:lang w:val="sr-Cyrl-CS"/>
              </w:rPr>
              <w:lastRenderedPageBreak/>
              <w:t>сумпора стављених на тржиште Републике Србије у складу са захтевима Директива.</w:t>
            </w:r>
          </w:p>
        </w:tc>
        <w:tc>
          <w:tcPr>
            <w:tcW w:w="1744" w:type="dxa"/>
            <w:shd w:val="clear" w:color="auto" w:fill="D9D9D9"/>
            <w:vAlign w:val="center"/>
          </w:tcPr>
          <w:p w14:paraId="7187D57A"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lastRenderedPageBreak/>
              <w:t xml:space="preserve">завршни годишњи извештај о </w:t>
            </w:r>
            <w:r w:rsidRPr="00CC35F0">
              <w:rPr>
                <w:rFonts w:ascii="Times New Roman" w:eastAsia="Times New Roman" w:hAnsi="Times New Roman"/>
                <w:color w:val="000000"/>
                <w:sz w:val="24"/>
                <w:szCs w:val="24"/>
                <w:lang w:val="sr-Cyrl-CS"/>
              </w:rPr>
              <w:lastRenderedPageBreak/>
              <w:t>спроведеном мониторингу квалитета деривата нафте</w:t>
            </w:r>
          </w:p>
        </w:tc>
        <w:tc>
          <w:tcPr>
            <w:tcW w:w="1526" w:type="dxa"/>
            <w:shd w:val="clear" w:color="auto" w:fill="D9D9D9"/>
            <w:vAlign w:val="center"/>
          </w:tcPr>
          <w:p w14:paraId="0315947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Нема течних горива са </w:t>
            </w:r>
            <w:r w:rsidRPr="00CC35F0">
              <w:rPr>
                <w:rFonts w:ascii="Times New Roman" w:eastAsia="Times New Roman" w:hAnsi="Times New Roman"/>
                <w:sz w:val="24"/>
                <w:szCs w:val="24"/>
                <w:lang w:val="sr-Cyrl-CS"/>
              </w:rPr>
              <w:lastRenderedPageBreak/>
              <w:t>ултра-ниским садржајем сумпора на тржишту Републике Србије</w:t>
            </w:r>
          </w:p>
        </w:tc>
        <w:tc>
          <w:tcPr>
            <w:tcW w:w="1361" w:type="dxa"/>
            <w:shd w:val="clear" w:color="auto" w:fill="D9D9D9"/>
            <w:vAlign w:val="center"/>
          </w:tcPr>
          <w:p w14:paraId="6DED8FD7"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100% течних горива стављених </w:t>
            </w:r>
            <w:r w:rsidRPr="00CC35F0">
              <w:rPr>
                <w:rFonts w:ascii="Times New Roman" w:eastAsia="Times New Roman" w:hAnsi="Times New Roman"/>
                <w:sz w:val="24"/>
                <w:szCs w:val="24"/>
                <w:lang w:val="sr-Cyrl-CS"/>
              </w:rPr>
              <w:lastRenderedPageBreak/>
              <w:t>на тржиште Републике Србије у складу је са захтевима Директиве</w:t>
            </w:r>
          </w:p>
          <w:p w14:paraId="4DB4198D"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[2025</w:t>
            </w:r>
            <w:r w:rsidRPr="00CC35F0">
              <w:rPr>
                <w:rFonts w:ascii="Times New Roman" w:eastAsia="Times New Roman" w:hAnsi="Times New Roman"/>
                <w:b/>
                <w:sz w:val="24"/>
                <w:szCs w:val="24"/>
                <w:lang w:val="sr-Cyrl-CS"/>
              </w:rPr>
              <w:t>]</w:t>
            </w:r>
          </w:p>
        </w:tc>
      </w:tr>
      <w:tr w:rsidR="00A0251B" w:rsidRPr="00CC35F0" w14:paraId="24BB8F50" w14:textId="77777777" w:rsidTr="009E674D">
        <w:trPr>
          <w:trHeight w:val="190"/>
        </w:trPr>
        <w:tc>
          <w:tcPr>
            <w:tcW w:w="987" w:type="dxa"/>
            <w:shd w:val="clear" w:color="auto" w:fill="auto"/>
            <w:vAlign w:val="center"/>
          </w:tcPr>
          <w:p w14:paraId="237A30FC" w14:textId="77777777" w:rsidR="00A0251B" w:rsidRPr="00CC35F0" w:rsidRDefault="00000000">
            <w:pPr>
              <w:spacing w:after="0" w:line="240" w:lineRule="auto"/>
              <w:ind w:left="-103" w:right="-98"/>
              <w:jc w:val="center"/>
              <w:rPr>
                <w:rFonts w:ascii="Times New Roman" w:eastAsia="Times New Roman" w:hAnsi="Times New Roman"/>
                <w:color w:val="0563C1"/>
                <w:sz w:val="24"/>
                <w:szCs w:val="24"/>
                <w:u w:val="single"/>
                <w:lang w:val="sr-Cyrl-CS"/>
              </w:rPr>
            </w:pPr>
            <w:hyperlink r:id="rId63">
              <w:r w:rsidR="008D6506" w:rsidRPr="00CC35F0">
                <w:rPr>
                  <w:rFonts w:ascii="Times New Roman" w:eastAsia="Times New Roman" w:hAnsi="Times New Roman"/>
                  <w:color w:val="0563C1"/>
                  <w:sz w:val="24"/>
                  <w:szCs w:val="24"/>
                  <w:u w:val="single"/>
                  <w:lang w:val="sr-Cyrl-CS"/>
                </w:rPr>
                <w:t>A</w:t>
              </w:r>
            </w:hyperlink>
          </w:p>
        </w:tc>
        <w:tc>
          <w:tcPr>
            <w:tcW w:w="5108" w:type="dxa"/>
            <w:shd w:val="clear" w:color="auto" w:fill="auto"/>
          </w:tcPr>
          <w:p w14:paraId="21B5F26A"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Завршити програм рада за потпуно усклађивање националног законодавства са Директивом о квалитету горива 2009/30/ЕЗ и Директивом 2016/802/ЕУ о смањењу садржаја сумпора у одређеним течним горивима </w:t>
            </w:r>
            <w:r w:rsidRPr="00CC35F0">
              <w:rPr>
                <w:rFonts w:ascii="Times New Roman" w:eastAsia="Times New Roman" w:hAnsi="Times New Roman"/>
                <w:sz w:val="24"/>
                <w:szCs w:val="24"/>
                <w:vertAlign w:val="superscript"/>
                <w:lang w:val="sr-Cyrl-CS"/>
              </w:rPr>
              <w:footnoteReference w:id="70"/>
            </w:r>
            <w:r w:rsidRPr="00CC35F0">
              <w:rPr>
                <w:rFonts w:ascii="Times New Roman" w:eastAsia="Times New Roman" w:hAnsi="Times New Roman"/>
                <w:sz w:val="24"/>
                <w:szCs w:val="24"/>
                <w:lang w:val="sr-Cyrl-CS"/>
              </w:rPr>
              <w:t xml:space="preserve">. </w:t>
            </w:r>
          </w:p>
        </w:tc>
        <w:tc>
          <w:tcPr>
            <w:tcW w:w="2550" w:type="dxa"/>
            <w:shd w:val="clear" w:color="auto" w:fill="auto"/>
            <w:vAlign w:val="center"/>
          </w:tcPr>
          <w:p w14:paraId="5C218F31"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0E7F3DF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Транспозиција Директиве</w:t>
            </w:r>
            <w:r w:rsidRPr="00CC35F0">
              <w:rPr>
                <w:rFonts w:ascii="Times New Roman" w:eastAsia="Times New Roman" w:hAnsi="Times New Roman"/>
                <w:sz w:val="24"/>
                <w:szCs w:val="24"/>
                <w:lang w:val="sr-Cyrl-CS"/>
              </w:rPr>
              <w:t xml:space="preserve"> 2009/30/EЗ и Директиве 2016/802/EУ о смањењу садржаја сумпора у неким течним горивима</w:t>
            </w:r>
          </w:p>
        </w:tc>
        <w:tc>
          <w:tcPr>
            <w:tcW w:w="1744" w:type="dxa"/>
            <w:shd w:val="clear" w:color="auto" w:fill="auto"/>
            <w:vAlign w:val="center"/>
          </w:tcPr>
          <w:p w14:paraId="42790D8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завршни годишњи извештај о спроведеном мониторингу квалитета деривата нафте</w:t>
            </w:r>
          </w:p>
        </w:tc>
        <w:tc>
          <w:tcPr>
            <w:tcW w:w="1526" w:type="dxa"/>
            <w:shd w:val="clear" w:color="auto" w:fill="auto"/>
            <w:vAlign w:val="center"/>
          </w:tcPr>
          <w:p w14:paraId="390934A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3136F757"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Да [202</w:t>
            </w:r>
            <w:r w:rsidR="00CD0D1C" w:rsidRPr="00CC35F0">
              <w:rPr>
                <w:rFonts w:ascii="Times New Roman" w:eastAsia="Times New Roman" w:hAnsi="Times New Roman"/>
                <w:sz w:val="24"/>
                <w:szCs w:val="24"/>
                <w:lang w:val="sr-Cyrl-CS"/>
              </w:rPr>
              <w:t>5</w:t>
            </w:r>
            <w:r w:rsidRPr="00CC35F0">
              <w:rPr>
                <w:rFonts w:ascii="Times New Roman" w:eastAsia="Times New Roman" w:hAnsi="Times New Roman"/>
                <w:sz w:val="24"/>
                <w:szCs w:val="24"/>
                <w:lang w:val="sr-Cyrl-CS"/>
              </w:rPr>
              <w:t>]</w:t>
            </w:r>
          </w:p>
        </w:tc>
      </w:tr>
      <w:tr w:rsidR="00A0251B" w:rsidRPr="00CC35F0" w14:paraId="035A972A" w14:textId="77777777" w:rsidTr="009E674D">
        <w:trPr>
          <w:trHeight w:val="190"/>
        </w:trPr>
        <w:tc>
          <w:tcPr>
            <w:tcW w:w="987" w:type="dxa"/>
            <w:shd w:val="clear" w:color="auto" w:fill="auto"/>
            <w:vAlign w:val="center"/>
          </w:tcPr>
          <w:p w14:paraId="4A75A736" w14:textId="77777777" w:rsidR="00A0251B" w:rsidRPr="00CC35F0" w:rsidRDefault="00A0251B">
            <w:pPr>
              <w:spacing w:after="0" w:line="240" w:lineRule="auto"/>
              <w:ind w:left="-103" w:right="-98"/>
              <w:jc w:val="center"/>
              <w:rPr>
                <w:rFonts w:ascii="Times New Roman" w:eastAsia="Times New Roman" w:hAnsi="Times New Roman"/>
                <w:sz w:val="24"/>
                <w:szCs w:val="24"/>
                <w:lang w:val="sr-Cyrl-CS"/>
              </w:rPr>
            </w:pPr>
          </w:p>
        </w:tc>
        <w:tc>
          <w:tcPr>
            <w:tcW w:w="5108" w:type="dxa"/>
            <w:shd w:val="clear" w:color="auto" w:fill="auto"/>
          </w:tcPr>
          <w:p w14:paraId="1E9C9078"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Улагања потребна за  обезбеђивање усклађености са Директивом о квалитету горива и Директивом о смањењу садржаја сумпора у неким течним горивима.</w:t>
            </w:r>
          </w:p>
        </w:tc>
        <w:tc>
          <w:tcPr>
            <w:tcW w:w="2550" w:type="dxa"/>
            <w:shd w:val="clear" w:color="auto" w:fill="auto"/>
            <w:vAlign w:val="center"/>
          </w:tcPr>
          <w:p w14:paraId="775F1ADD"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1696973C" w14:textId="77777777" w:rsidR="00A0251B" w:rsidRPr="00CC35F0" w:rsidRDefault="008D6506">
            <w:pPr>
              <w:spacing w:after="0" w:line="216"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Износ инвестиције у јединицу за дубинску прераду у Рафинерији нафте у Панчеву</w:t>
            </w:r>
            <w:r w:rsidRPr="00CC35F0">
              <w:rPr>
                <w:rFonts w:ascii="Times New Roman" w:eastAsia="Times New Roman" w:hAnsi="Times New Roman"/>
                <w:color w:val="000000"/>
                <w:sz w:val="24"/>
                <w:szCs w:val="24"/>
                <w:vertAlign w:val="superscript"/>
                <w:lang w:val="sr-Cyrl-CS"/>
              </w:rPr>
              <w:footnoteReference w:id="71"/>
            </w:r>
          </w:p>
        </w:tc>
        <w:tc>
          <w:tcPr>
            <w:tcW w:w="1744" w:type="dxa"/>
            <w:shd w:val="clear" w:color="auto" w:fill="auto"/>
            <w:vAlign w:val="center"/>
          </w:tcPr>
          <w:p w14:paraId="2A34918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Специфични план за спровођење Директиве о квалитету горива и Директиве о садржају </w:t>
            </w:r>
            <w:r w:rsidRPr="00CC35F0">
              <w:rPr>
                <w:rFonts w:ascii="Times New Roman" w:eastAsia="Times New Roman" w:hAnsi="Times New Roman"/>
                <w:color w:val="000000"/>
                <w:sz w:val="24"/>
                <w:szCs w:val="24"/>
                <w:lang w:val="sr-Cyrl-CS"/>
              </w:rPr>
              <w:lastRenderedPageBreak/>
              <w:t>сумпора у одређеним течним горивима, план мониторинга</w:t>
            </w:r>
          </w:p>
        </w:tc>
        <w:tc>
          <w:tcPr>
            <w:tcW w:w="1526" w:type="dxa"/>
            <w:shd w:val="clear" w:color="auto" w:fill="auto"/>
            <w:vAlign w:val="center"/>
          </w:tcPr>
          <w:p w14:paraId="3DBF620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388 милиона евра</w:t>
            </w:r>
          </w:p>
        </w:tc>
        <w:tc>
          <w:tcPr>
            <w:tcW w:w="1361" w:type="dxa"/>
            <w:shd w:val="clear" w:color="auto" w:fill="auto"/>
            <w:vAlign w:val="center"/>
          </w:tcPr>
          <w:p w14:paraId="7221522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807 милиона евра</w:t>
            </w:r>
            <w:r w:rsidRPr="00CC35F0">
              <w:rPr>
                <w:rFonts w:ascii="Times New Roman" w:eastAsia="Times New Roman" w:hAnsi="Times New Roman"/>
                <w:color w:val="000000"/>
                <w:sz w:val="24"/>
                <w:szCs w:val="24"/>
                <w:vertAlign w:val="superscript"/>
                <w:lang w:val="sr-Cyrl-CS"/>
              </w:rPr>
              <w:footnoteReference w:id="72"/>
            </w:r>
          </w:p>
        </w:tc>
      </w:tr>
      <w:tr w:rsidR="00A0251B" w:rsidRPr="00CC35F0" w14:paraId="08C288BC" w14:textId="77777777" w:rsidTr="009E674D">
        <w:trPr>
          <w:trHeight w:val="318"/>
        </w:trPr>
        <w:tc>
          <w:tcPr>
            <w:tcW w:w="987" w:type="dxa"/>
            <w:shd w:val="clear" w:color="auto" w:fill="auto"/>
            <w:vAlign w:val="center"/>
          </w:tcPr>
          <w:p w14:paraId="4565E1D3"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108" w:type="dxa"/>
            <w:shd w:val="clear" w:color="auto" w:fill="auto"/>
            <w:vAlign w:val="center"/>
          </w:tcPr>
          <w:p w14:paraId="70954500"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Повећање броја запослених у институцијама:</w:t>
            </w:r>
            <w:r w:rsidRPr="00CC35F0">
              <w:rPr>
                <w:rFonts w:ascii="Times New Roman" w:eastAsia="Times New Roman" w:hAnsi="Times New Roman"/>
                <w:sz w:val="24"/>
                <w:szCs w:val="24"/>
                <w:lang w:val="sr-Cyrl-CS"/>
              </w:rPr>
              <w:br/>
              <w:t xml:space="preserve">Два лица за праћење спровођења ових директива. </w:t>
            </w:r>
          </w:p>
        </w:tc>
        <w:tc>
          <w:tcPr>
            <w:tcW w:w="2550" w:type="dxa"/>
            <w:shd w:val="clear" w:color="auto" w:fill="auto"/>
            <w:vAlign w:val="center"/>
          </w:tcPr>
          <w:p w14:paraId="2984F9AD"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6D6B323E" w14:textId="77777777" w:rsidR="00A0251B" w:rsidRPr="00CC35F0" w:rsidRDefault="008D6506" w:rsidP="00C50D4C">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број додатних административних капацитета у </w:t>
            </w:r>
            <w:r w:rsidR="00C50D4C" w:rsidRPr="00C50D4C">
              <w:rPr>
                <w:rFonts w:ascii="Times New Roman" w:eastAsia="Times New Roman" w:hAnsi="Times New Roman"/>
                <w:color w:val="000000"/>
                <w:sz w:val="24"/>
                <w:szCs w:val="24"/>
                <w:lang w:val="sr-Cyrl-RS"/>
              </w:rPr>
              <w:t>Министарств</w:t>
            </w:r>
            <w:r w:rsidR="00C50D4C">
              <w:rPr>
                <w:rFonts w:ascii="Times New Roman" w:eastAsia="Times New Roman" w:hAnsi="Times New Roman"/>
                <w:color w:val="000000"/>
                <w:sz w:val="24"/>
                <w:szCs w:val="24"/>
                <w:lang w:val="sr-Cyrl-RS"/>
              </w:rPr>
              <w:t>у</w:t>
            </w:r>
            <w:r w:rsidR="00C50D4C" w:rsidRPr="00C50D4C">
              <w:rPr>
                <w:rFonts w:ascii="Times New Roman" w:eastAsia="Times New Roman" w:hAnsi="Times New Roman"/>
                <w:color w:val="000000"/>
                <w:sz w:val="24"/>
                <w:szCs w:val="24"/>
                <w:lang w:val="sr-Cyrl-RS"/>
              </w:rPr>
              <w:t xml:space="preserve"> рударства и енергетике</w:t>
            </w:r>
          </w:p>
        </w:tc>
        <w:tc>
          <w:tcPr>
            <w:tcW w:w="1744" w:type="dxa"/>
            <w:shd w:val="clear" w:color="auto" w:fill="auto"/>
            <w:vAlign w:val="center"/>
          </w:tcPr>
          <w:p w14:paraId="447370E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рударства и енергетике</w:t>
            </w:r>
          </w:p>
        </w:tc>
        <w:tc>
          <w:tcPr>
            <w:tcW w:w="1526" w:type="dxa"/>
            <w:shd w:val="clear" w:color="auto" w:fill="auto"/>
            <w:vAlign w:val="center"/>
          </w:tcPr>
          <w:p w14:paraId="1BBF3BD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1361" w:type="dxa"/>
            <w:shd w:val="clear" w:color="auto" w:fill="auto"/>
            <w:vAlign w:val="center"/>
          </w:tcPr>
          <w:p w14:paraId="12676C7E" w14:textId="77777777" w:rsidR="0077108E"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2 </w:t>
            </w:r>
          </w:p>
          <w:p w14:paraId="24B9D8E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r>
      <w:tr w:rsidR="00A0251B" w:rsidRPr="00CC35F0" w14:paraId="67275DC1" w14:textId="77777777" w:rsidTr="009E674D">
        <w:trPr>
          <w:trHeight w:val="243"/>
        </w:trPr>
        <w:tc>
          <w:tcPr>
            <w:tcW w:w="987" w:type="dxa"/>
            <w:shd w:val="clear" w:color="auto" w:fill="D9D9D9"/>
            <w:vAlign w:val="center"/>
          </w:tcPr>
          <w:p w14:paraId="2A0448F9"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bookmarkStart w:id="114" w:name="_heading=h.1d96cc0" w:colFirst="0" w:colLast="0"/>
            <w:bookmarkEnd w:id="114"/>
            <w:r w:rsidRPr="00CC35F0">
              <w:rPr>
                <w:rFonts w:ascii="Times New Roman" w:eastAsia="Times New Roman" w:hAnsi="Times New Roman"/>
                <w:b/>
                <w:color w:val="000000"/>
                <w:sz w:val="24"/>
                <w:szCs w:val="24"/>
                <w:lang w:val="sr-Cyrl-CS"/>
              </w:rPr>
              <w:t>Бр.9</w:t>
            </w:r>
          </w:p>
          <w:p w14:paraId="01704689"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A8)</w:t>
            </w:r>
          </w:p>
        </w:tc>
        <w:tc>
          <w:tcPr>
            <w:tcW w:w="5108" w:type="dxa"/>
            <w:shd w:val="clear" w:color="auto" w:fill="D9D9D9"/>
            <w:vAlign w:val="center"/>
          </w:tcPr>
          <w:p w14:paraId="4B4EB396"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Ограничавање емисија VOC спровођењем 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w:t>
            </w:r>
          </w:p>
        </w:tc>
        <w:tc>
          <w:tcPr>
            <w:tcW w:w="2550" w:type="dxa"/>
            <w:shd w:val="clear" w:color="auto" w:fill="D9D9D9"/>
            <w:vAlign w:val="center"/>
          </w:tcPr>
          <w:p w14:paraId="254C55B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Транспозиција и спровођење Директива</w:t>
            </w:r>
            <w:r w:rsidRPr="00CC35F0">
              <w:rPr>
                <w:rFonts w:ascii="Times New Roman" w:eastAsia="Times New Roman" w:hAnsi="Times New Roman"/>
                <w:color w:val="000000"/>
                <w:sz w:val="24"/>
                <w:szCs w:val="24"/>
                <w:lang w:val="sr-Cyrl-CS"/>
              </w:rPr>
              <w:t xml:space="preserve"> 94/63/EЗ (Прва фаза) и 2009/126/EЗ (Друга фаза)</w:t>
            </w:r>
          </w:p>
        </w:tc>
        <w:tc>
          <w:tcPr>
            <w:tcW w:w="2175" w:type="dxa"/>
            <w:shd w:val="clear" w:color="auto" w:fill="D9D9D9"/>
            <w:vAlign w:val="center"/>
          </w:tcPr>
          <w:p w14:paraId="7C8112B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Удео инфраструктуре у складу са  Директивом 94/63/ЕЗ о контроли емисија испарљивих органских једињења (VOCs) као резултат складиштења бензина и његове дистрибуције са терминала до бензинских станица (Прва фаза) и </w:t>
            </w:r>
            <w:r w:rsidRPr="00CC35F0">
              <w:rPr>
                <w:rFonts w:ascii="Times New Roman" w:eastAsia="Times New Roman" w:hAnsi="Times New Roman"/>
                <w:sz w:val="24"/>
                <w:szCs w:val="24"/>
                <w:lang w:val="sr-Cyrl-CS"/>
              </w:rPr>
              <w:lastRenderedPageBreak/>
              <w:t>Директивом 2009/126/ЕЗ сакупљања бензинске паре током допуњавања моторних возила горивом на бензинским станицама (Друга фаза)</w:t>
            </w:r>
          </w:p>
        </w:tc>
        <w:tc>
          <w:tcPr>
            <w:tcW w:w="1744" w:type="dxa"/>
            <w:shd w:val="clear" w:color="auto" w:fill="D9D9D9"/>
          </w:tcPr>
          <w:p w14:paraId="7EB7CA06" w14:textId="77777777" w:rsidR="00A0251B" w:rsidRPr="00CC35F0" w:rsidRDefault="00A104A4">
            <w:pPr>
              <w:spacing w:after="0" w:line="240" w:lineRule="auto"/>
              <w:jc w:val="right"/>
              <w:rPr>
                <w:rFonts w:ascii="Times New Roman" w:eastAsia="Times New Roman" w:hAnsi="Times New Roman"/>
                <w:color w:val="000000"/>
                <w:sz w:val="24"/>
                <w:szCs w:val="24"/>
                <w:lang w:val="sr-Cyrl-CS"/>
              </w:rPr>
            </w:pPr>
            <w:r w:rsidRPr="00A104A4">
              <w:rPr>
                <w:rFonts w:ascii="Times New Roman" w:eastAsia="Times New Roman" w:hAnsi="Times New Roman"/>
                <w:color w:val="000000"/>
                <w:sz w:val="24"/>
                <w:szCs w:val="24"/>
                <w:lang w:val="sr-Cyrl-RS"/>
              </w:rPr>
              <w:lastRenderedPageBreak/>
              <w:t>Министарств</w:t>
            </w:r>
            <w:r>
              <w:rPr>
                <w:rFonts w:ascii="Times New Roman" w:eastAsia="Times New Roman" w:hAnsi="Times New Roman"/>
                <w:color w:val="000000"/>
                <w:sz w:val="24"/>
                <w:szCs w:val="24"/>
                <w:lang w:val="sr-Cyrl-RS"/>
              </w:rPr>
              <w:t>о</w:t>
            </w:r>
            <w:r w:rsidRPr="00A104A4">
              <w:rPr>
                <w:rFonts w:ascii="Times New Roman" w:eastAsia="Times New Roman" w:hAnsi="Times New Roman"/>
                <w:color w:val="000000"/>
                <w:sz w:val="24"/>
                <w:szCs w:val="24"/>
                <w:lang w:val="sr-Cyrl-RS"/>
              </w:rPr>
              <w:t xml:space="preserve"> рударства и енергетике</w:t>
            </w:r>
            <w:r w:rsidR="008D6506" w:rsidRPr="00CC35F0">
              <w:rPr>
                <w:rFonts w:ascii="Times New Roman" w:eastAsia="Times New Roman" w:hAnsi="Times New Roman"/>
                <w:color w:val="000000"/>
                <w:sz w:val="24"/>
                <w:szCs w:val="24"/>
                <w:lang w:val="sr-Cyrl-CS"/>
              </w:rPr>
              <w:t xml:space="preserve"> Годишњи извештај о напредовању мониторинга</w:t>
            </w:r>
          </w:p>
          <w:p w14:paraId="6BCE366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6109C863" w14:textId="77777777" w:rsidR="00A0251B" w:rsidRPr="00CC35F0" w:rsidRDefault="00994875">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А</w:t>
            </w:r>
            <w:r w:rsidR="008D6506" w:rsidRPr="00CC35F0">
              <w:rPr>
                <w:rFonts w:ascii="Times New Roman" w:eastAsia="Times New Roman" w:hAnsi="Times New Roman"/>
                <w:color w:val="000000"/>
                <w:sz w:val="24"/>
                <w:szCs w:val="24"/>
                <w:lang w:val="sr-Cyrl-CS"/>
              </w:rPr>
              <w:t xml:space="preserve">ЗЖС </w:t>
            </w:r>
          </w:p>
        </w:tc>
        <w:tc>
          <w:tcPr>
            <w:tcW w:w="1526" w:type="dxa"/>
            <w:shd w:val="clear" w:color="auto" w:fill="D9D9D9"/>
            <w:vAlign w:val="center"/>
          </w:tcPr>
          <w:p w14:paraId="4F59560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Ланац </w:t>
            </w:r>
            <w:r w:rsidRPr="00CC35F0">
              <w:rPr>
                <w:rFonts w:ascii="Times New Roman" w:eastAsia="Times New Roman" w:hAnsi="Times New Roman"/>
                <w:lang w:val="sr-Cyrl-CS"/>
              </w:rPr>
              <w:t>дистрибуције</w:t>
            </w:r>
            <w:r w:rsidRPr="00CC35F0">
              <w:rPr>
                <w:rFonts w:ascii="Times New Roman" w:eastAsia="Times New Roman" w:hAnsi="Times New Roman"/>
                <w:sz w:val="24"/>
                <w:szCs w:val="24"/>
                <w:lang w:val="sr-Cyrl-CS"/>
              </w:rPr>
              <w:t xml:space="preserve"> бензина није у складу са захтевима Директива</w:t>
            </w:r>
          </w:p>
        </w:tc>
        <w:tc>
          <w:tcPr>
            <w:tcW w:w="1361" w:type="dxa"/>
            <w:shd w:val="clear" w:color="auto" w:fill="D9D9D9"/>
            <w:vAlign w:val="center"/>
          </w:tcPr>
          <w:p w14:paraId="31454E9D" w14:textId="77777777" w:rsidR="00A0251B" w:rsidRPr="00CC35F0" w:rsidRDefault="008D6506">
            <w:pPr>
              <w:spacing w:after="0" w:line="240" w:lineRule="auto"/>
              <w:ind w:left="-142" w:right="-74"/>
              <w:jc w:val="right"/>
              <w:rPr>
                <w:rFonts w:ascii="Times New Roman" w:eastAsia="Times New Roman" w:hAnsi="Times New Roman"/>
                <w:lang w:val="sr-Cyrl-CS"/>
              </w:rPr>
            </w:pPr>
            <w:r w:rsidRPr="00CC35F0">
              <w:rPr>
                <w:rFonts w:ascii="Times New Roman" w:eastAsia="Times New Roman" w:hAnsi="Times New Roman"/>
                <w:lang w:val="sr-Cyrl-CS"/>
              </w:rPr>
              <w:t>100% бензинских пумпи и складишта бензина из делокруга Директива ЕУ усклађено; цео ланац дистрибуције бензина усклађен</w:t>
            </w:r>
          </w:p>
          <w:p w14:paraId="4AE5A63D" w14:textId="77777777" w:rsidR="00A0251B" w:rsidRPr="00CC35F0" w:rsidRDefault="008D6506">
            <w:pPr>
              <w:spacing w:after="0" w:line="240" w:lineRule="auto"/>
              <w:ind w:left="-142" w:right="-74"/>
              <w:jc w:val="right"/>
              <w:rPr>
                <w:rFonts w:ascii="Times New Roman" w:eastAsia="Times New Roman" w:hAnsi="Times New Roman"/>
                <w:lang w:val="sr-Cyrl-CS"/>
              </w:rPr>
            </w:pPr>
            <w:r w:rsidRPr="00CC35F0">
              <w:rPr>
                <w:rFonts w:ascii="Times New Roman" w:eastAsia="Times New Roman" w:hAnsi="Times New Roman"/>
                <w:lang w:val="sr-Cyrl-CS"/>
              </w:rPr>
              <w:t>[2028]</w:t>
            </w:r>
          </w:p>
        </w:tc>
      </w:tr>
      <w:tr w:rsidR="00A0251B" w:rsidRPr="00CC35F0" w14:paraId="4E143DCE" w14:textId="77777777" w:rsidTr="009E674D">
        <w:trPr>
          <w:trHeight w:val="103"/>
        </w:trPr>
        <w:tc>
          <w:tcPr>
            <w:tcW w:w="987" w:type="dxa"/>
            <w:shd w:val="clear" w:color="auto" w:fill="auto"/>
            <w:vAlign w:val="center"/>
          </w:tcPr>
          <w:p w14:paraId="6C44AF05" w14:textId="77777777" w:rsidR="00A0251B" w:rsidRPr="00CC35F0" w:rsidRDefault="00000000">
            <w:pPr>
              <w:spacing w:after="0" w:line="240" w:lineRule="auto"/>
              <w:ind w:left="-103" w:right="-98"/>
              <w:jc w:val="center"/>
              <w:rPr>
                <w:rFonts w:ascii="Times New Roman" w:eastAsia="Times New Roman" w:hAnsi="Times New Roman"/>
                <w:color w:val="0563C1"/>
                <w:sz w:val="24"/>
                <w:szCs w:val="24"/>
                <w:u w:val="single"/>
                <w:lang w:val="sr-Cyrl-CS"/>
              </w:rPr>
            </w:pPr>
            <w:hyperlink r:id="rId64">
              <w:r w:rsidR="008D6506" w:rsidRPr="00CC35F0">
                <w:rPr>
                  <w:rFonts w:ascii="Times New Roman" w:eastAsia="Times New Roman" w:hAnsi="Times New Roman"/>
                  <w:color w:val="0563C1"/>
                  <w:sz w:val="24"/>
                  <w:szCs w:val="24"/>
                  <w:u w:val="single"/>
                  <w:lang w:val="sr-Cyrl-CS"/>
                </w:rPr>
                <w:t>A</w:t>
              </w:r>
            </w:hyperlink>
          </w:p>
        </w:tc>
        <w:tc>
          <w:tcPr>
            <w:tcW w:w="5108" w:type="dxa"/>
            <w:shd w:val="clear" w:color="auto" w:fill="FFFFFF"/>
            <w:vAlign w:val="center"/>
          </w:tcPr>
          <w:p w14:paraId="21FB40F7"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Завршетак плана правне транспозиције за Директиве 1994/63/EЗ и 2009/126/EЗ</w:t>
            </w:r>
            <w:r w:rsidRPr="00CC35F0">
              <w:rPr>
                <w:rFonts w:ascii="Times New Roman" w:eastAsia="Times New Roman" w:hAnsi="Times New Roman"/>
                <w:sz w:val="24"/>
                <w:szCs w:val="24"/>
                <w:vertAlign w:val="superscript"/>
                <w:lang w:val="sr-Cyrl-CS"/>
              </w:rPr>
              <w:footnoteReference w:id="73"/>
            </w:r>
          </w:p>
        </w:tc>
        <w:tc>
          <w:tcPr>
            <w:tcW w:w="2550" w:type="dxa"/>
            <w:shd w:val="clear" w:color="auto" w:fill="auto"/>
            <w:vAlign w:val="center"/>
          </w:tcPr>
          <w:p w14:paraId="3EF7F7CE"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49EA7CE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Потпуна транспозиција Директива </w:t>
            </w:r>
            <w:r w:rsidRPr="00CC35F0">
              <w:rPr>
                <w:rFonts w:ascii="Times New Roman" w:eastAsia="Times New Roman" w:hAnsi="Times New Roman"/>
                <w:sz w:val="24"/>
                <w:szCs w:val="24"/>
                <w:lang w:val="sr-Cyrl-CS"/>
              </w:rPr>
              <w:t xml:space="preserve">1994/63/EЗ и 2009/126/EЗ </w:t>
            </w:r>
          </w:p>
        </w:tc>
        <w:tc>
          <w:tcPr>
            <w:tcW w:w="1744" w:type="dxa"/>
            <w:shd w:val="clear" w:color="auto" w:fill="auto"/>
          </w:tcPr>
          <w:p w14:paraId="43C6159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Годишњи извештај о напредовању мониторинга </w:t>
            </w:r>
          </w:p>
        </w:tc>
        <w:tc>
          <w:tcPr>
            <w:tcW w:w="1526" w:type="dxa"/>
            <w:shd w:val="clear" w:color="auto" w:fill="auto"/>
            <w:vAlign w:val="center"/>
          </w:tcPr>
          <w:p w14:paraId="2137F94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7B622EEA"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p w14:paraId="00AED454"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[2023]</w:t>
            </w:r>
          </w:p>
        </w:tc>
      </w:tr>
      <w:tr w:rsidR="00A0251B" w:rsidRPr="00CC35F0" w14:paraId="1C20F99B" w14:textId="77777777" w:rsidTr="009E674D">
        <w:trPr>
          <w:trHeight w:val="367"/>
        </w:trPr>
        <w:tc>
          <w:tcPr>
            <w:tcW w:w="987" w:type="dxa"/>
            <w:shd w:val="clear" w:color="auto" w:fill="auto"/>
            <w:vAlign w:val="center"/>
          </w:tcPr>
          <w:p w14:paraId="7993F6E1"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108" w:type="dxa"/>
            <w:shd w:val="clear" w:color="auto" w:fill="FFFFFF"/>
            <w:vAlign w:val="center"/>
          </w:tcPr>
          <w:p w14:paraId="3C730263"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Повећање броја запослених у АЗЖС и МЗЖС за спровођење Директива.</w:t>
            </w:r>
          </w:p>
        </w:tc>
        <w:tc>
          <w:tcPr>
            <w:tcW w:w="2550" w:type="dxa"/>
            <w:shd w:val="clear" w:color="auto" w:fill="auto"/>
            <w:vAlign w:val="center"/>
          </w:tcPr>
          <w:p w14:paraId="232F5221"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696E7E5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Број додатних административних капацитета у </w:t>
            </w:r>
            <w:r w:rsidRPr="00CC35F0">
              <w:rPr>
                <w:rFonts w:ascii="Times New Roman" w:eastAsia="Times New Roman" w:hAnsi="Times New Roman"/>
                <w:sz w:val="24"/>
                <w:szCs w:val="24"/>
                <w:lang w:val="sr-Cyrl-CS"/>
              </w:rPr>
              <w:t xml:space="preserve">АЗЖС и </w:t>
            </w:r>
            <w:r w:rsidRPr="00CC35F0">
              <w:rPr>
                <w:rFonts w:ascii="Times New Roman" w:eastAsia="Times New Roman" w:hAnsi="Times New Roman"/>
                <w:color w:val="000000"/>
                <w:sz w:val="24"/>
                <w:szCs w:val="24"/>
                <w:lang w:val="sr-Cyrl-CS"/>
              </w:rPr>
              <w:t>МЗЖС</w:t>
            </w:r>
          </w:p>
        </w:tc>
        <w:tc>
          <w:tcPr>
            <w:tcW w:w="1744" w:type="dxa"/>
            <w:shd w:val="clear" w:color="auto" w:fill="auto"/>
            <w:vAlign w:val="center"/>
          </w:tcPr>
          <w:p w14:paraId="4EF3002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w:t>
            </w:r>
          </w:p>
          <w:p w14:paraId="5B5A3C8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МЗЖС </w:t>
            </w:r>
          </w:p>
        </w:tc>
        <w:tc>
          <w:tcPr>
            <w:tcW w:w="1526" w:type="dxa"/>
            <w:shd w:val="clear" w:color="auto" w:fill="auto"/>
            <w:vAlign w:val="center"/>
          </w:tcPr>
          <w:p w14:paraId="2FD1B94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p>
        </w:tc>
        <w:tc>
          <w:tcPr>
            <w:tcW w:w="1361" w:type="dxa"/>
            <w:shd w:val="clear" w:color="auto" w:fill="auto"/>
            <w:vAlign w:val="center"/>
          </w:tcPr>
          <w:p w14:paraId="1BBD9A48"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1 и 1 </w:t>
            </w:r>
          </w:p>
          <w:p w14:paraId="53D48C8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r>
      <w:tr w:rsidR="00A0251B" w:rsidRPr="00CC35F0" w14:paraId="16580EA8" w14:textId="77777777" w:rsidTr="009E674D">
        <w:trPr>
          <w:trHeight w:val="473"/>
        </w:trPr>
        <w:tc>
          <w:tcPr>
            <w:tcW w:w="987" w:type="dxa"/>
            <w:shd w:val="clear" w:color="auto" w:fill="auto"/>
            <w:vAlign w:val="center"/>
          </w:tcPr>
          <w:p w14:paraId="381476DE"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108" w:type="dxa"/>
            <w:shd w:val="clear" w:color="auto" w:fill="FFFFFF"/>
            <w:vAlign w:val="center"/>
          </w:tcPr>
          <w:p w14:paraId="0420E809" w14:textId="77777777" w:rsidR="00A0251B" w:rsidRPr="00CC35F0" w:rsidRDefault="00994875">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Инфраструктура</w:t>
            </w:r>
            <w:r w:rsidR="008D6506" w:rsidRPr="00CC35F0">
              <w:rPr>
                <w:rFonts w:ascii="Times New Roman" w:eastAsia="Times New Roman" w:hAnsi="Times New Roman"/>
                <w:sz w:val="24"/>
                <w:szCs w:val="24"/>
                <w:lang w:val="sr-Cyrl-CS"/>
              </w:rPr>
              <w:t xml:space="preserve"> (систем за сакупљање пара у снабдевању, транспорту и дистрибуцији бензина) у складу са Директивама 1994/63/EЗ и 2009/126/EЗ .</w:t>
            </w:r>
          </w:p>
        </w:tc>
        <w:tc>
          <w:tcPr>
            <w:tcW w:w="2550" w:type="dxa"/>
            <w:shd w:val="clear" w:color="auto" w:fill="auto"/>
            <w:vAlign w:val="center"/>
          </w:tcPr>
          <w:p w14:paraId="7D725C6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274F27D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Директива</w:t>
            </w:r>
            <w:r w:rsidRPr="00CC35F0">
              <w:rPr>
                <w:rFonts w:ascii="Times New Roman" w:eastAsia="Times New Roman" w:hAnsi="Times New Roman"/>
                <w:sz w:val="24"/>
                <w:szCs w:val="24"/>
                <w:lang w:val="sr-Cyrl-CS"/>
              </w:rPr>
              <w:t xml:space="preserve"> 1994/63/EЗ и 2009/126/EЗ</w:t>
            </w:r>
          </w:p>
        </w:tc>
        <w:tc>
          <w:tcPr>
            <w:tcW w:w="1744" w:type="dxa"/>
            <w:shd w:val="clear" w:color="auto" w:fill="auto"/>
            <w:vAlign w:val="center"/>
          </w:tcPr>
          <w:p w14:paraId="22B94AB0" w14:textId="77777777" w:rsidR="00A0251B" w:rsidRPr="00CC35F0" w:rsidRDefault="00994875">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w:t>
            </w:r>
            <w:r w:rsidR="008D6506" w:rsidRPr="00CC35F0">
              <w:rPr>
                <w:rFonts w:ascii="Times New Roman" w:eastAsia="Times New Roman" w:hAnsi="Times New Roman"/>
                <w:color w:val="000000"/>
                <w:sz w:val="24"/>
                <w:szCs w:val="24"/>
                <w:lang w:val="sr-Cyrl-CS"/>
              </w:rPr>
              <w:t>ЗЖС</w:t>
            </w:r>
          </w:p>
        </w:tc>
        <w:tc>
          <w:tcPr>
            <w:tcW w:w="1526" w:type="dxa"/>
            <w:shd w:val="clear" w:color="auto" w:fill="auto"/>
            <w:vAlign w:val="center"/>
          </w:tcPr>
          <w:p w14:paraId="3973100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0E3A2746" w14:textId="77777777" w:rsidR="00394024"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p w14:paraId="6801564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[2028]  </w:t>
            </w:r>
          </w:p>
        </w:tc>
      </w:tr>
      <w:tr w:rsidR="00A0251B" w:rsidRPr="00CC35F0" w14:paraId="16DDC7ED" w14:textId="77777777" w:rsidTr="009E674D">
        <w:trPr>
          <w:trHeight w:val="473"/>
        </w:trPr>
        <w:tc>
          <w:tcPr>
            <w:tcW w:w="15451" w:type="dxa"/>
            <w:gridSpan w:val="7"/>
            <w:shd w:val="clear" w:color="auto" w:fill="BDD7EE"/>
            <w:vAlign w:val="center"/>
          </w:tcPr>
          <w:p w14:paraId="4B36F83B" w14:textId="77777777" w:rsidR="00A0251B" w:rsidRPr="00CC35F0" w:rsidRDefault="008D6506">
            <w:pPr>
              <w:spacing w:after="0" w:line="240" w:lineRule="auto"/>
              <w:ind w:right="-74"/>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Посебни циљ 2: Смањење емисија загађујућих материја у ваздух и тешких метала из индустријских процеса и употребе производа кроз усаглашавање са BAT AELs</w:t>
            </w:r>
          </w:p>
        </w:tc>
      </w:tr>
      <w:tr w:rsidR="00A0251B" w:rsidRPr="00CC35F0" w14:paraId="2FCFC50F" w14:textId="77777777" w:rsidTr="009E674D">
        <w:trPr>
          <w:trHeight w:val="904"/>
        </w:trPr>
        <w:tc>
          <w:tcPr>
            <w:tcW w:w="987" w:type="dxa"/>
            <w:shd w:val="clear" w:color="auto" w:fill="D9D9D9"/>
            <w:vAlign w:val="center"/>
          </w:tcPr>
          <w:p w14:paraId="554B966E"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bookmarkStart w:id="115" w:name="_heading=h.3x8tuzt" w:colFirst="0" w:colLast="0"/>
            <w:bookmarkEnd w:id="115"/>
            <w:r w:rsidRPr="00CC35F0">
              <w:rPr>
                <w:rFonts w:ascii="Times New Roman" w:eastAsia="Times New Roman" w:hAnsi="Times New Roman"/>
                <w:b/>
                <w:color w:val="000000"/>
                <w:sz w:val="24"/>
                <w:szCs w:val="24"/>
                <w:lang w:val="sr-Cyrl-CS"/>
              </w:rPr>
              <w:lastRenderedPageBreak/>
              <w:t>Бр.10</w:t>
            </w:r>
          </w:p>
          <w:p w14:paraId="4FD6D0CD"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C2)</w:t>
            </w:r>
          </w:p>
        </w:tc>
        <w:tc>
          <w:tcPr>
            <w:tcW w:w="5108" w:type="dxa"/>
            <w:shd w:val="clear" w:color="auto" w:fill="D9D9D9"/>
            <w:vAlign w:val="center"/>
          </w:tcPr>
          <w:p w14:paraId="7F153650"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Спровођење Поглавља II Директиве ЕУ о индустријским емисијама у индустријским процесима, узимајући у обзир средње и више BAT AELs, односно ниже нивое за производњу бакра и сумпорне киселине у Бору</w:t>
            </w:r>
          </w:p>
        </w:tc>
        <w:tc>
          <w:tcPr>
            <w:tcW w:w="2550" w:type="dxa"/>
            <w:shd w:val="clear" w:color="auto" w:fill="D9D9D9"/>
            <w:vAlign w:val="center"/>
          </w:tcPr>
          <w:p w14:paraId="6BD1A634" w14:textId="77777777" w:rsidR="00A0251B" w:rsidRPr="00CC35F0" w:rsidRDefault="008D6506">
            <w:pPr>
              <w:spacing w:after="0" w:line="240" w:lineRule="auto"/>
              <w:ind w:left="-104"/>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Граничне вредности емисије на основу BAT AELs из Закључака о најбољим доступним техникама (ДИЕ Поглавље II)</w:t>
            </w:r>
          </w:p>
          <w:p w14:paraId="64E1FE91" w14:textId="77777777" w:rsidR="00A0251B" w:rsidRPr="00CC35F0" w:rsidRDefault="008D6506">
            <w:pPr>
              <w:spacing w:after="0" w:line="240" w:lineRule="auto"/>
              <w:ind w:left="-104"/>
              <w:jc w:val="center"/>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За постројења која нису обухваћена ДИЕ Поглављем II</w:t>
            </w:r>
          </w:p>
        </w:tc>
        <w:tc>
          <w:tcPr>
            <w:tcW w:w="2175" w:type="dxa"/>
            <w:shd w:val="clear" w:color="auto" w:fill="D9D9D9"/>
            <w:vAlign w:val="center"/>
          </w:tcPr>
          <w:p w14:paraId="4CEFED3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емисија SO</w:t>
            </w:r>
            <w:r w:rsidRPr="00CC35F0">
              <w:rPr>
                <w:rFonts w:ascii="Times New Roman" w:eastAsia="Times New Roman" w:hAnsi="Times New Roman"/>
                <w:sz w:val="24"/>
                <w:szCs w:val="24"/>
                <w:vertAlign w:val="subscript"/>
                <w:lang w:val="sr-Cyrl-CS"/>
              </w:rPr>
              <w:t xml:space="preserve">2 </w:t>
            </w:r>
            <w:r w:rsidRPr="00CC35F0">
              <w:rPr>
                <w:rFonts w:ascii="Times New Roman" w:eastAsia="Times New Roman" w:hAnsi="Times New Roman"/>
                <w:sz w:val="24"/>
                <w:szCs w:val="24"/>
                <w:lang w:val="sr-Cyrl-CS"/>
              </w:rPr>
              <w:t>и прашкастих материја из специфичних индустријских процеса</w:t>
            </w:r>
          </w:p>
        </w:tc>
        <w:tc>
          <w:tcPr>
            <w:tcW w:w="1744" w:type="dxa"/>
            <w:shd w:val="clear" w:color="auto" w:fill="D9D9D9"/>
            <w:vAlign w:val="center"/>
          </w:tcPr>
          <w:p w14:paraId="2B6D6B4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Годишњи извештај о континуираним мерењима емисија</w:t>
            </w:r>
          </w:p>
          <w:p w14:paraId="1FB9FB2F" w14:textId="77777777" w:rsidR="00A0251B" w:rsidRPr="00CC35F0" w:rsidRDefault="00A34872">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(А</w:t>
            </w:r>
            <w:r w:rsidR="008D6506" w:rsidRPr="00CC35F0">
              <w:rPr>
                <w:rFonts w:ascii="Times New Roman" w:eastAsia="Times New Roman" w:hAnsi="Times New Roman"/>
                <w:color w:val="000000"/>
                <w:sz w:val="24"/>
                <w:szCs w:val="24"/>
                <w:lang w:val="sr-Cyrl-CS"/>
              </w:rPr>
              <w:t xml:space="preserve">ЗЖС) </w:t>
            </w:r>
          </w:p>
        </w:tc>
        <w:tc>
          <w:tcPr>
            <w:tcW w:w="1526" w:type="dxa"/>
            <w:shd w:val="clear" w:color="auto" w:fill="D9D9D9"/>
            <w:vAlign w:val="center"/>
          </w:tcPr>
          <w:p w14:paraId="3CE5F2D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Гранична вредност 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за производњу бакра од 350 mg/Nm</w:t>
            </w:r>
            <w:r w:rsidRPr="00CC35F0">
              <w:rPr>
                <w:rFonts w:ascii="Times New Roman" w:eastAsia="Times New Roman" w:hAnsi="Times New Roman"/>
                <w:sz w:val="24"/>
                <w:szCs w:val="24"/>
                <w:vertAlign w:val="superscript"/>
                <w:lang w:val="sr-Cyrl-CS"/>
              </w:rPr>
              <w:t>3</w:t>
            </w:r>
          </w:p>
          <w:p w14:paraId="5CA322B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 за производњу сумпорне киселине од 120 mg/Nm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[2015]</w:t>
            </w:r>
          </w:p>
          <w:p w14:paraId="797787D1"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Гранична вредност емисије прашкастих материја за производњу бакра већа од 2-5 mg/Nm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[2015]</w:t>
            </w:r>
          </w:p>
        </w:tc>
        <w:tc>
          <w:tcPr>
            <w:tcW w:w="1361" w:type="dxa"/>
            <w:shd w:val="clear" w:color="auto" w:fill="D9D9D9"/>
            <w:vAlign w:val="center"/>
          </w:tcPr>
          <w:p w14:paraId="79A245BF" w14:textId="77777777" w:rsidR="00A0251B" w:rsidRPr="00CC35F0" w:rsidRDefault="008D6506">
            <w:pPr>
              <w:spacing w:after="0" w:line="240" w:lineRule="auto"/>
              <w:ind w:left="-142" w:right="38"/>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Имплементирана гранична вредност 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за производњу бакра од 50 mg/Nm</w:t>
            </w:r>
            <w:r w:rsidRPr="00CC35F0">
              <w:rPr>
                <w:rFonts w:ascii="Times New Roman" w:eastAsia="Times New Roman" w:hAnsi="Times New Roman"/>
                <w:sz w:val="24"/>
                <w:szCs w:val="24"/>
                <w:vertAlign w:val="superscript"/>
                <w:lang w:val="sr-Cyrl-CS"/>
              </w:rPr>
              <w:t>3</w:t>
            </w:r>
          </w:p>
          <w:p w14:paraId="615AB515" w14:textId="77777777" w:rsidR="00A0251B" w:rsidRPr="00CC35F0" w:rsidRDefault="008D6506">
            <w:pPr>
              <w:spacing w:after="0" w:line="240" w:lineRule="auto"/>
              <w:ind w:left="-142" w:right="-74"/>
              <w:jc w:val="right"/>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и за производњу сумпорне киселине од 100 mg/Nm</w:t>
            </w:r>
            <w:r w:rsidRPr="00CC35F0">
              <w:rPr>
                <w:rFonts w:ascii="Times New Roman" w:eastAsia="Times New Roman" w:hAnsi="Times New Roman"/>
                <w:sz w:val="24"/>
                <w:szCs w:val="24"/>
                <w:vertAlign w:val="superscript"/>
                <w:lang w:val="sr-Cyrl-CS"/>
              </w:rPr>
              <w:t>3</w:t>
            </w:r>
          </w:p>
          <w:p w14:paraId="6FE1DAD7"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Имплементирана гранична вредност емисије прашкастих материј</w:t>
            </w:r>
            <w:r w:rsidR="00A34872" w:rsidRPr="00CC35F0">
              <w:rPr>
                <w:rFonts w:ascii="Times New Roman" w:eastAsia="Times New Roman" w:hAnsi="Times New Roman"/>
                <w:sz w:val="24"/>
                <w:szCs w:val="24"/>
                <w:lang w:val="sr-Cyrl-CS"/>
              </w:rPr>
              <w:t xml:space="preserve">а за производњу бакра у опсегу </w:t>
            </w:r>
            <w:r w:rsidRPr="00CC35F0">
              <w:rPr>
                <w:rFonts w:ascii="Times New Roman" w:eastAsia="Times New Roman" w:hAnsi="Times New Roman"/>
                <w:sz w:val="24"/>
                <w:szCs w:val="24"/>
                <w:lang w:val="sr-Cyrl-CS"/>
              </w:rPr>
              <w:t>2-5 mg/Nm</w:t>
            </w:r>
            <w:r w:rsidRPr="00FA265C">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w:t>
            </w:r>
          </w:p>
          <w:p w14:paraId="46955FBE" w14:textId="77777777" w:rsidR="00A0251B" w:rsidRPr="00CC35F0" w:rsidRDefault="00A0251B">
            <w:pPr>
              <w:spacing w:after="0" w:line="240" w:lineRule="auto"/>
              <w:ind w:left="-142" w:right="-74"/>
              <w:jc w:val="right"/>
              <w:rPr>
                <w:rFonts w:ascii="Times New Roman" w:eastAsia="Times New Roman" w:hAnsi="Times New Roman"/>
                <w:sz w:val="24"/>
                <w:szCs w:val="24"/>
                <w:lang w:val="sr-Cyrl-CS"/>
              </w:rPr>
            </w:pPr>
          </w:p>
          <w:p w14:paraId="6B86DCC1" w14:textId="77777777" w:rsidR="00A0251B" w:rsidRPr="00CC35F0" w:rsidRDefault="008D6506">
            <w:pPr>
              <w:spacing w:after="0" w:line="240" w:lineRule="auto"/>
              <w:ind w:left="-142" w:right="-74"/>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[2029]</w:t>
            </w:r>
            <w:r w:rsidRPr="00CC35F0">
              <w:rPr>
                <w:rFonts w:ascii="Times New Roman" w:eastAsia="Times New Roman" w:hAnsi="Times New Roman"/>
                <w:sz w:val="24"/>
                <w:szCs w:val="24"/>
                <w:vertAlign w:val="superscript"/>
                <w:lang w:val="sr-Cyrl-CS"/>
              </w:rPr>
              <w:t xml:space="preserve"> </w:t>
            </w:r>
            <w:r w:rsidRPr="00CC35F0">
              <w:rPr>
                <w:rFonts w:ascii="Times New Roman" w:eastAsia="Times New Roman" w:hAnsi="Times New Roman"/>
                <w:sz w:val="24"/>
                <w:szCs w:val="24"/>
                <w:vertAlign w:val="superscript"/>
                <w:lang w:val="sr-Cyrl-CS"/>
              </w:rPr>
              <w:footnoteReference w:id="74"/>
            </w:r>
          </w:p>
        </w:tc>
      </w:tr>
      <w:tr w:rsidR="00A0251B" w:rsidRPr="00CC35F0" w14:paraId="7092390F" w14:textId="77777777" w:rsidTr="009E674D">
        <w:trPr>
          <w:trHeight w:val="1061"/>
        </w:trPr>
        <w:tc>
          <w:tcPr>
            <w:tcW w:w="987" w:type="dxa"/>
            <w:shd w:val="clear" w:color="auto" w:fill="auto"/>
            <w:vAlign w:val="center"/>
          </w:tcPr>
          <w:p w14:paraId="50C7AE7C"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w:t>
            </w:r>
          </w:p>
        </w:tc>
        <w:tc>
          <w:tcPr>
            <w:tcW w:w="5108" w:type="dxa"/>
            <w:shd w:val="clear" w:color="auto" w:fill="auto"/>
          </w:tcPr>
          <w:p w14:paraId="177DA351"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Осигурати да су свим великим индустријским постројењима обухваћеним Анексом 1 Директиве о индустријским емисијама издате интегрисане дозволе и да су у складу са релевантним BAT AELs –измене и допуне подзаконских аката </w:t>
            </w:r>
            <w:r w:rsidRPr="00CC35F0">
              <w:rPr>
                <w:rFonts w:ascii="Times New Roman" w:eastAsia="Times New Roman" w:hAnsi="Times New Roman"/>
                <w:color w:val="000000"/>
                <w:sz w:val="24"/>
                <w:szCs w:val="24"/>
                <w:vertAlign w:val="superscript"/>
                <w:lang w:val="sr-Cyrl-CS"/>
              </w:rPr>
              <w:footnoteReference w:id="75"/>
            </w:r>
            <w:r w:rsidRPr="00CC35F0">
              <w:rPr>
                <w:rFonts w:ascii="Times New Roman" w:eastAsia="Times New Roman" w:hAnsi="Times New Roman"/>
                <w:color w:val="000000"/>
                <w:sz w:val="24"/>
                <w:szCs w:val="24"/>
                <w:lang w:val="sr-Cyrl-CS"/>
              </w:rPr>
              <w:t>.</w:t>
            </w:r>
          </w:p>
        </w:tc>
        <w:tc>
          <w:tcPr>
            <w:tcW w:w="2550" w:type="dxa"/>
            <w:shd w:val="clear" w:color="auto" w:fill="auto"/>
            <w:vAlign w:val="center"/>
          </w:tcPr>
          <w:p w14:paraId="49EF0CDA"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72CCEA6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Измене и допуне подзаконских аката </w:t>
            </w:r>
            <w:r w:rsidRPr="00CC35F0">
              <w:rPr>
                <w:rFonts w:ascii="Times New Roman" w:eastAsia="Times New Roman" w:hAnsi="Times New Roman"/>
                <w:sz w:val="24"/>
                <w:szCs w:val="24"/>
                <w:vertAlign w:val="superscript"/>
                <w:lang w:val="sr-Cyrl-CS"/>
              </w:rPr>
              <w:footnoteReference w:id="76"/>
            </w:r>
            <w:r w:rsidRPr="00CC35F0">
              <w:rPr>
                <w:rFonts w:ascii="Times New Roman" w:eastAsia="Times New Roman" w:hAnsi="Times New Roman"/>
                <w:sz w:val="24"/>
                <w:szCs w:val="24"/>
                <w:lang w:val="sr-Cyrl-CS"/>
              </w:rPr>
              <w:t xml:space="preserve"> </w:t>
            </w:r>
          </w:p>
        </w:tc>
        <w:tc>
          <w:tcPr>
            <w:tcW w:w="1744" w:type="dxa"/>
            <w:shd w:val="clear" w:color="auto" w:fill="auto"/>
            <w:vAlign w:val="center"/>
          </w:tcPr>
          <w:p w14:paraId="3A4937C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Годишњи извештаји о напредовању мониторинга</w:t>
            </w:r>
          </w:p>
        </w:tc>
        <w:tc>
          <w:tcPr>
            <w:tcW w:w="1526" w:type="dxa"/>
            <w:shd w:val="clear" w:color="auto" w:fill="auto"/>
            <w:vAlign w:val="center"/>
          </w:tcPr>
          <w:p w14:paraId="25ED965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Не </w:t>
            </w:r>
          </w:p>
        </w:tc>
        <w:tc>
          <w:tcPr>
            <w:tcW w:w="1361" w:type="dxa"/>
            <w:shd w:val="clear" w:color="auto" w:fill="auto"/>
            <w:vAlign w:val="center"/>
          </w:tcPr>
          <w:p w14:paraId="26ADB1F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Да [2023]</w:t>
            </w:r>
          </w:p>
        </w:tc>
      </w:tr>
      <w:tr w:rsidR="00A0251B" w:rsidRPr="00CC35F0" w14:paraId="49ECE3CA" w14:textId="77777777" w:rsidTr="009E674D">
        <w:trPr>
          <w:trHeight w:val="828"/>
        </w:trPr>
        <w:tc>
          <w:tcPr>
            <w:tcW w:w="987" w:type="dxa"/>
            <w:shd w:val="clear" w:color="auto" w:fill="auto"/>
            <w:vAlign w:val="center"/>
          </w:tcPr>
          <w:p w14:paraId="34A3E1D8"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108" w:type="dxa"/>
            <w:shd w:val="clear" w:color="auto" w:fill="auto"/>
          </w:tcPr>
          <w:p w14:paraId="0E1BFCCE"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Обезбедити усклађеност емисија из индустријских процеса са BAT AELs, узимајући у обзир квалитет ваздуха у зонама и агломерацијама, и додатно ниже вредности SO</w:t>
            </w:r>
            <w:r w:rsidRPr="00CC35F0">
              <w:rPr>
                <w:rFonts w:ascii="Times New Roman" w:eastAsia="Times New Roman" w:hAnsi="Times New Roman"/>
                <w:color w:val="000000"/>
                <w:sz w:val="24"/>
                <w:szCs w:val="24"/>
                <w:vertAlign w:val="subscript"/>
                <w:lang w:val="sr-Cyrl-CS"/>
              </w:rPr>
              <w:t>2</w:t>
            </w:r>
            <w:r w:rsidRPr="00CC35F0">
              <w:rPr>
                <w:rFonts w:ascii="Times New Roman" w:eastAsia="Times New Roman" w:hAnsi="Times New Roman"/>
                <w:color w:val="000000"/>
                <w:sz w:val="24"/>
                <w:szCs w:val="24"/>
                <w:lang w:val="sr-Cyrl-CS"/>
              </w:rPr>
              <w:t xml:space="preserve"> за BAT AELs за производњу бакра од 50 mg/Nm</w:t>
            </w:r>
            <w:r w:rsidRPr="00CC35F0">
              <w:rPr>
                <w:rFonts w:ascii="Times New Roman" w:eastAsia="Times New Roman" w:hAnsi="Times New Roman"/>
                <w:color w:val="000000"/>
                <w:sz w:val="24"/>
                <w:szCs w:val="24"/>
                <w:vertAlign w:val="superscript"/>
                <w:lang w:val="sr-Cyrl-CS"/>
              </w:rPr>
              <w:t>3</w:t>
            </w:r>
            <w:r w:rsidRPr="00CC35F0">
              <w:rPr>
                <w:rFonts w:ascii="Times New Roman" w:eastAsia="Times New Roman" w:hAnsi="Times New Roman"/>
                <w:color w:val="000000"/>
                <w:sz w:val="24"/>
                <w:szCs w:val="24"/>
                <w:lang w:val="sr-Cyrl-CS"/>
              </w:rPr>
              <w:t xml:space="preserve"> и 100 mg/Nm</w:t>
            </w:r>
            <w:r w:rsidRPr="00CC35F0">
              <w:rPr>
                <w:rFonts w:ascii="Times New Roman" w:eastAsia="Times New Roman" w:hAnsi="Times New Roman"/>
                <w:color w:val="000000"/>
                <w:sz w:val="24"/>
                <w:szCs w:val="24"/>
                <w:vertAlign w:val="superscript"/>
                <w:lang w:val="sr-Cyrl-CS"/>
              </w:rPr>
              <w:t>3</w:t>
            </w:r>
            <w:r w:rsidRPr="00CC35F0">
              <w:rPr>
                <w:rFonts w:ascii="Times New Roman" w:eastAsia="Times New Roman" w:hAnsi="Times New Roman"/>
                <w:color w:val="000000"/>
                <w:sz w:val="24"/>
                <w:szCs w:val="24"/>
                <w:lang w:val="sr-Cyrl-CS"/>
              </w:rPr>
              <w:t xml:space="preserve"> за производњу сумпорне киселине, и доње вредности BAT AELs за прашкасте материје из производње бакра према Табели 3 из </w:t>
            </w:r>
            <w:r w:rsidRPr="00CC35F0">
              <w:rPr>
                <w:rFonts w:ascii="Times New Roman" w:eastAsia="Times New Roman" w:hAnsi="Times New Roman"/>
                <w:sz w:val="24"/>
                <w:szCs w:val="24"/>
                <w:lang w:val="sr-Cyrl-CS"/>
              </w:rPr>
              <w:t>с</w:t>
            </w:r>
            <w:r w:rsidRPr="00CC35F0">
              <w:rPr>
                <w:rFonts w:ascii="Times New Roman" w:eastAsia="Times New Roman" w:hAnsi="Times New Roman"/>
                <w:color w:val="000000"/>
                <w:sz w:val="24"/>
                <w:szCs w:val="24"/>
                <w:lang w:val="sr-Cyrl-CS"/>
              </w:rPr>
              <w:t>проведене одлуке Комисије 2016/1032/EУ.</w:t>
            </w:r>
            <w:r w:rsidRPr="00CC35F0">
              <w:rPr>
                <w:rFonts w:ascii="Times New Roman" w:eastAsia="Times New Roman" w:hAnsi="Times New Roman"/>
                <w:color w:val="000000"/>
                <w:sz w:val="24"/>
                <w:szCs w:val="24"/>
                <w:vertAlign w:val="superscript"/>
                <w:lang w:val="sr-Cyrl-CS"/>
              </w:rPr>
              <w:footnoteReference w:id="77"/>
            </w:r>
          </w:p>
        </w:tc>
        <w:tc>
          <w:tcPr>
            <w:tcW w:w="2550" w:type="dxa"/>
            <w:shd w:val="clear" w:color="auto" w:fill="auto"/>
            <w:vAlign w:val="center"/>
          </w:tcPr>
          <w:p w14:paraId="62BE1C70"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3255D7F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Гранична вредност </w:t>
            </w:r>
            <w:r w:rsidRPr="00CC35F0">
              <w:rPr>
                <w:rFonts w:ascii="Times New Roman" w:eastAsia="Times New Roman" w:hAnsi="Times New Roman"/>
                <w:sz w:val="24"/>
                <w:szCs w:val="24"/>
                <w:lang w:val="sr-Cyrl-CS"/>
              </w:rPr>
              <w:t>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за производњу бакра у  mg/Nm</w:t>
            </w:r>
            <w:r w:rsidRPr="00CC35F0">
              <w:rPr>
                <w:rFonts w:ascii="Times New Roman" w:eastAsia="Times New Roman" w:hAnsi="Times New Roman"/>
                <w:color w:val="000000"/>
                <w:sz w:val="24"/>
                <w:szCs w:val="24"/>
                <w:vertAlign w:val="superscript"/>
                <w:lang w:val="sr-Cyrl-CS"/>
              </w:rPr>
              <w:t>3</w:t>
            </w:r>
          </w:p>
          <w:p w14:paraId="224B126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 сумпорне киселине у mg/Nm</w:t>
            </w:r>
            <w:r w:rsidRPr="00CC35F0">
              <w:rPr>
                <w:rFonts w:ascii="Times New Roman" w:eastAsia="Times New Roman" w:hAnsi="Times New Roman"/>
                <w:color w:val="000000"/>
                <w:sz w:val="24"/>
                <w:szCs w:val="24"/>
                <w:vertAlign w:val="superscript"/>
                <w:lang w:val="sr-Cyrl-CS"/>
              </w:rPr>
              <w:t>3</w:t>
            </w:r>
            <w:r w:rsidRPr="00CC35F0">
              <w:rPr>
                <w:rFonts w:ascii="Times New Roman" w:eastAsia="Times New Roman" w:hAnsi="Times New Roman"/>
                <w:color w:val="000000"/>
                <w:sz w:val="24"/>
                <w:szCs w:val="24"/>
                <w:lang w:val="sr-Cyrl-CS"/>
              </w:rPr>
              <w:t xml:space="preserve">, а граничне вредности прашкастих материја усклађене са Табелом 3 из </w:t>
            </w:r>
            <w:r w:rsidRPr="00CC35F0">
              <w:rPr>
                <w:rFonts w:ascii="Times New Roman" w:eastAsia="Times New Roman" w:hAnsi="Times New Roman"/>
                <w:sz w:val="24"/>
                <w:szCs w:val="24"/>
                <w:lang w:val="sr-Cyrl-CS"/>
              </w:rPr>
              <w:t>с</w:t>
            </w:r>
            <w:r w:rsidRPr="00CC35F0">
              <w:rPr>
                <w:rFonts w:ascii="Times New Roman" w:eastAsia="Times New Roman" w:hAnsi="Times New Roman"/>
                <w:color w:val="000000"/>
                <w:sz w:val="24"/>
                <w:szCs w:val="24"/>
                <w:lang w:val="sr-Cyrl-CS"/>
              </w:rPr>
              <w:t>проведене одлуке Комисије 2016/1032/ЕУ</w:t>
            </w:r>
          </w:p>
        </w:tc>
        <w:tc>
          <w:tcPr>
            <w:tcW w:w="1744" w:type="dxa"/>
            <w:shd w:val="clear" w:color="auto" w:fill="auto"/>
            <w:vAlign w:val="center"/>
          </w:tcPr>
          <w:p w14:paraId="350E7E1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Годишњи извештај о континуираним мерењима емисија</w:t>
            </w:r>
          </w:p>
        </w:tc>
        <w:tc>
          <w:tcPr>
            <w:tcW w:w="1526" w:type="dxa"/>
            <w:shd w:val="clear" w:color="auto" w:fill="auto"/>
            <w:vAlign w:val="center"/>
          </w:tcPr>
          <w:p w14:paraId="080835C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За производњу бакра од 350 mg/Nm</w:t>
            </w:r>
            <w:r w:rsidRPr="00CC35F0">
              <w:rPr>
                <w:rFonts w:ascii="Times New Roman" w:eastAsia="Times New Roman" w:hAnsi="Times New Roman"/>
                <w:sz w:val="24"/>
                <w:szCs w:val="24"/>
                <w:vertAlign w:val="superscript"/>
                <w:lang w:val="sr-Cyrl-CS"/>
              </w:rPr>
              <w:t>3</w:t>
            </w:r>
          </w:p>
          <w:p w14:paraId="3E043C6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 сумпорне киселине од 120 mg/Nm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[2015]</w:t>
            </w:r>
          </w:p>
        </w:tc>
        <w:tc>
          <w:tcPr>
            <w:tcW w:w="1361" w:type="dxa"/>
            <w:shd w:val="clear" w:color="auto" w:fill="auto"/>
            <w:vAlign w:val="center"/>
          </w:tcPr>
          <w:p w14:paraId="438E3A32" w14:textId="77777777" w:rsidR="00A0251B" w:rsidRPr="00CC35F0" w:rsidRDefault="008D6506">
            <w:pPr>
              <w:spacing w:after="0" w:line="240" w:lineRule="auto"/>
              <w:ind w:left="-142" w:right="38"/>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Имплементирана гранична вредност 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за производњу бакра од 50 mg/Nm</w:t>
            </w:r>
            <w:r w:rsidRPr="00CC35F0">
              <w:rPr>
                <w:rFonts w:ascii="Times New Roman" w:eastAsia="Times New Roman" w:hAnsi="Times New Roman"/>
                <w:sz w:val="24"/>
                <w:szCs w:val="24"/>
                <w:vertAlign w:val="superscript"/>
                <w:lang w:val="sr-Cyrl-CS"/>
              </w:rPr>
              <w:t>3</w:t>
            </w:r>
          </w:p>
          <w:p w14:paraId="425B76E4" w14:textId="77777777" w:rsidR="00A0251B" w:rsidRPr="00CC35F0" w:rsidRDefault="008D6506">
            <w:pPr>
              <w:spacing w:after="0" w:line="240" w:lineRule="auto"/>
              <w:ind w:left="-142" w:right="38"/>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и за производњу сумпорне киселине од 100 mg/Nm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[2024], а имплемент</w:t>
            </w:r>
            <w:r w:rsidRPr="00CC35F0">
              <w:rPr>
                <w:rFonts w:ascii="Times New Roman" w:eastAsia="Times New Roman" w:hAnsi="Times New Roman"/>
                <w:sz w:val="24"/>
                <w:szCs w:val="24"/>
                <w:lang w:val="sr-Cyrl-CS"/>
              </w:rPr>
              <w:lastRenderedPageBreak/>
              <w:t xml:space="preserve">иране граничне вредности прашкастих материја усклађене са Табелом 3 из спроведене одлуке Комисије 2016/1032/ЕУ. </w:t>
            </w:r>
          </w:p>
        </w:tc>
      </w:tr>
      <w:tr w:rsidR="00A0251B" w:rsidRPr="00CC35F0" w14:paraId="23411AD4" w14:textId="77777777" w:rsidTr="009E674D">
        <w:trPr>
          <w:trHeight w:val="696"/>
        </w:trPr>
        <w:tc>
          <w:tcPr>
            <w:tcW w:w="987" w:type="dxa"/>
            <w:shd w:val="clear" w:color="auto" w:fill="D9D9D9"/>
            <w:vAlign w:val="center"/>
          </w:tcPr>
          <w:p w14:paraId="1FEBA9DB"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lastRenderedPageBreak/>
              <w:t>Бр.11 (WAM B6)</w:t>
            </w:r>
          </w:p>
        </w:tc>
        <w:tc>
          <w:tcPr>
            <w:tcW w:w="5108" w:type="dxa"/>
            <w:shd w:val="clear" w:color="auto" w:fill="D9D9D9"/>
            <w:vAlign w:val="center"/>
          </w:tcPr>
          <w:p w14:paraId="2EDFF87F"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Спровођење Поглавља V Директиве о индустријским емисијама, Анекса VII за VOC или Поглавља 2 за постројења у којима потрошња растварача прелази 200 t годишње или 150</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b/>
                <w:color w:val="000000"/>
                <w:sz w:val="24"/>
                <w:szCs w:val="24"/>
                <w:lang w:val="sr-Cyrl-CS"/>
              </w:rPr>
              <w:t xml:space="preserve">kg на сат </w:t>
            </w:r>
          </w:p>
        </w:tc>
        <w:tc>
          <w:tcPr>
            <w:tcW w:w="2550" w:type="dxa"/>
            <w:shd w:val="clear" w:color="auto" w:fill="D9D9D9"/>
            <w:vAlign w:val="center"/>
          </w:tcPr>
          <w:p w14:paraId="614CF3FB" w14:textId="77777777" w:rsidR="00A0251B" w:rsidRPr="00CC35F0" w:rsidRDefault="008D6506">
            <w:pPr>
              <w:spacing w:after="0" w:line="240" w:lineRule="auto"/>
              <w:ind w:left="-104"/>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Граничне вредности емисије на основу BAT AELs из Закључака о најбољим доступним техникама (ДИЕ Поглавље V) </w:t>
            </w:r>
          </w:p>
          <w:p w14:paraId="6038C7D6" w14:textId="77777777" w:rsidR="00A0251B" w:rsidRPr="00CC35F0" w:rsidRDefault="008D6506">
            <w:pPr>
              <w:spacing w:after="0" w:line="240" w:lineRule="auto"/>
              <w:ind w:left="-104"/>
              <w:jc w:val="center"/>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За постројења која нису обухваћена ДИЕ Поглављем V</w:t>
            </w:r>
          </w:p>
        </w:tc>
        <w:tc>
          <w:tcPr>
            <w:tcW w:w="2175" w:type="dxa"/>
            <w:shd w:val="clear" w:color="auto" w:fill="D9D9D9"/>
            <w:vAlign w:val="center"/>
          </w:tcPr>
          <w:p w14:paraId="7D574CE8"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Смањење емисија у циљу спровођења Поглавља V Директиве о индустријским емисијама, Анекса VII за VOC или Поглавља 2 за постројења у којима потрошња растварача прелази 200 t годишње или 150 kg/h</w:t>
            </w:r>
          </w:p>
        </w:tc>
        <w:tc>
          <w:tcPr>
            <w:tcW w:w="1744" w:type="dxa"/>
            <w:shd w:val="clear" w:color="auto" w:fill="D9D9D9"/>
            <w:vAlign w:val="center"/>
          </w:tcPr>
          <w:p w14:paraId="192E5D4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Систем електронске регистрације и извештавања</w:t>
            </w:r>
          </w:p>
          <w:p w14:paraId="22BCAC4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3B2A10E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p>
        </w:tc>
        <w:tc>
          <w:tcPr>
            <w:tcW w:w="1526" w:type="dxa"/>
            <w:shd w:val="clear" w:color="auto" w:fill="D9D9D9"/>
            <w:vAlign w:val="center"/>
          </w:tcPr>
          <w:p w14:paraId="57D8854D"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0</w:t>
            </w:r>
          </w:p>
        </w:tc>
        <w:tc>
          <w:tcPr>
            <w:tcW w:w="1361" w:type="dxa"/>
            <w:shd w:val="clear" w:color="auto" w:fill="D9D9D9"/>
            <w:vAlign w:val="center"/>
          </w:tcPr>
          <w:p w14:paraId="287ECB11" w14:textId="77777777" w:rsidR="00A0251B" w:rsidRPr="00CC35F0" w:rsidRDefault="008D6506">
            <w:pPr>
              <w:spacing w:after="0" w:line="240" w:lineRule="auto"/>
              <w:ind w:left="-57" w:right="-111"/>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Смањење емисија VOC до 2030. за 4,15kt VOC</w:t>
            </w:r>
          </w:p>
        </w:tc>
      </w:tr>
      <w:tr w:rsidR="00A0251B" w:rsidRPr="00CC35F0" w14:paraId="2B96FCCB" w14:textId="77777777" w:rsidTr="009E674D">
        <w:trPr>
          <w:trHeight w:val="331"/>
        </w:trPr>
        <w:tc>
          <w:tcPr>
            <w:tcW w:w="987" w:type="dxa"/>
            <w:shd w:val="clear" w:color="auto" w:fill="auto"/>
            <w:vAlign w:val="center"/>
          </w:tcPr>
          <w:p w14:paraId="13AEEDB7"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A</w:t>
            </w:r>
          </w:p>
        </w:tc>
        <w:tc>
          <w:tcPr>
            <w:tcW w:w="5108" w:type="dxa"/>
            <w:shd w:val="clear" w:color="auto" w:fill="auto"/>
            <w:vAlign w:val="center"/>
          </w:tcPr>
          <w:p w14:paraId="38E24FE3"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Измена и допуна Уредбе о граничним вредностима емисија загађујућих материја у ваздух из стационарних извора загађења, осим из постројења за сагоревање и Уредбе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 и контрола и надзор над применом ових прописа.</w:t>
            </w:r>
          </w:p>
        </w:tc>
        <w:tc>
          <w:tcPr>
            <w:tcW w:w="2550" w:type="dxa"/>
            <w:shd w:val="clear" w:color="auto" w:fill="auto"/>
            <w:vAlign w:val="center"/>
          </w:tcPr>
          <w:p w14:paraId="5D1F791A"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2175" w:type="dxa"/>
            <w:shd w:val="clear" w:color="auto" w:fill="auto"/>
            <w:vAlign w:val="center"/>
          </w:tcPr>
          <w:p w14:paraId="1B75B8C8"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 xml:space="preserve">Измене Уредбе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 </w:t>
            </w:r>
          </w:p>
        </w:tc>
        <w:tc>
          <w:tcPr>
            <w:tcW w:w="1744" w:type="dxa"/>
            <w:shd w:val="clear" w:color="auto" w:fill="auto"/>
            <w:vAlign w:val="center"/>
          </w:tcPr>
          <w:p w14:paraId="0E3E9E6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Годишњи извештаји о напредовању мониторинга</w:t>
            </w:r>
          </w:p>
          <w:p w14:paraId="1350D0A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1E60953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p>
        </w:tc>
        <w:tc>
          <w:tcPr>
            <w:tcW w:w="1526" w:type="dxa"/>
            <w:shd w:val="clear" w:color="auto" w:fill="auto"/>
            <w:vAlign w:val="center"/>
          </w:tcPr>
          <w:p w14:paraId="7A48576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361" w:type="dxa"/>
            <w:shd w:val="clear" w:color="auto" w:fill="auto"/>
            <w:vAlign w:val="center"/>
          </w:tcPr>
          <w:p w14:paraId="444F26F9" w14:textId="77777777" w:rsidR="00A0251B" w:rsidRPr="00CC35F0" w:rsidRDefault="008D6506">
            <w:pPr>
              <w:spacing w:after="0" w:line="240" w:lineRule="auto"/>
              <w:ind w:left="-57" w:right="-111"/>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Да [2023]</w:t>
            </w:r>
          </w:p>
        </w:tc>
      </w:tr>
      <w:tr w:rsidR="00A0251B" w:rsidRPr="00CC35F0" w14:paraId="7C6B0252" w14:textId="77777777" w:rsidTr="009E674D">
        <w:trPr>
          <w:trHeight w:val="1429"/>
        </w:trPr>
        <w:tc>
          <w:tcPr>
            <w:tcW w:w="987" w:type="dxa"/>
            <w:shd w:val="clear" w:color="auto" w:fill="auto"/>
            <w:vAlign w:val="center"/>
          </w:tcPr>
          <w:p w14:paraId="5A6CC585"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w:t>
            </w:r>
          </w:p>
        </w:tc>
        <w:tc>
          <w:tcPr>
            <w:tcW w:w="5108" w:type="dxa"/>
            <w:shd w:val="clear" w:color="auto" w:fill="auto"/>
            <w:vAlign w:val="center"/>
          </w:tcPr>
          <w:p w14:paraId="19E26DFD" w14:textId="77777777" w:rsidR="00A0251B" w:rsidRPr="00CC35F0" w:rsidRDefault="008D6506" w:rsidP="0071716B">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Наставак процене стања у </w:t>
            </w:r>
            <w:r w:rsidR="0071716B" w:rsidRPr="0071716B">
              <w:rPr>
                <w:rFonts w:ascii="Times New Roman" w:eastAsia="Times New Roman" w:hAnsi="Times New Roman"/>
                <w:color w:val="000000"/>
                <w:sz w:val="24"/>
                <w:szCs w:val="24"/>
                <w:lang w:val="sr-Cyrl-RS"/>
              </w:rPr>
              <w:t>Републи</w:t>
            </w:r>
            <w:r w:rsidR="0071716B">
              <w:rPr>
                <w:rFonts w:ascii="Times New Roman" w:eastAsia="Times New Roman" w:hAnsi="Times New Roman"/>
                <w:color w:val="000000"/>
                <w:sz w:val="24"/>
                <w:szCs w:val="24"/>
                <w:lang w:val="sr-Cyrl-RS"/>
              </w:rPr>
              <w:t>ци</w:t>
            </w:r>
            <w:r w:rsidR="0071716B">
              <w:rPr>
                <w:rFonts w:ascii="Times New Roman" w:eastAsia="Times New Roman" w:hAnsi="Times New Roman"/>
                <w:color w:val="000000"/>
                <w:sz w:val="24"/>
                <w:szCs w:val="24"/>
                <w:lang w:val="sr-Cyrl-CS"/>
              </w:rPr>
              <w:t xml:space="preserve"> </w:t>
            </w:r>
            <w:r w:rsidRPr="00CC35F0">
              <w:rPr>
                <w:rFonts w:ascii="Times New Roman" w:eastAsia="Times New Roman" w:hAnsi="Times New Roman"/>
                <w:color w:val="000000"/>
                <w:sz w:val="24"/>
                <w:szCs w:val="24"/>
                <w:lang w:val="sr-Cyrl-CS"/>
              </w:rPr>
              <w:t xml:space="preserve">Србији у погледу емисија VOC из употребе растварача у индустрији и припрема листе оператера VOC, као и развој, тестирање и покретање система електронске регистрације и извештавања за </w:t>
            </w:r>
            <w:r w:rsidRPr="00CC35F0">
              <w:rPr>
                <w:rFonts w:ascii="Times New Roman" w:eastAsia="Times New Roman" w:hAnsi="Times New Roman"/>
                <w:color w:val="000000"/>
                <w:sz w:val="24"/>
                <w:szCs w:val="24"/>
                <w:lang w:val="sr-Cyrl-CS"/>
              </w:rPr>
              <w:lastRenderedPageBreak/>
              <w:t>оператере класификоване као VOC оператери. Наставак развоја административних капацитета, а посебно кроз обуке локалних инспектора, као и побољшање знања о VOC код оператера и консултаната.</w:t>
            </w:r>
          </w:p>
        </w:tc>
        <w:tc>
          <w:tcPr>
            <w:tcW w:w="2550" w:type="dxa"/>
            <w:shd w:val="clear" w:color="auto" w:fill="auto"/>
            <w:vAlign w:val="center"/>
          </w:tcPr>
          <w:p w14:paraId="1EA24141"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51AE12E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Успостављање система електронске регистрације и извештавања</w:t>
            </w:r>
          </w:p>
        </w:tc>
        <w:tc>
          <w:tcPr>
            <w:tcW w:w="1744" w:type="dxa"/>
            <w:shd w:val="clear" w:color="auto" w:fill="auto"/>
            <w:vAlign w:val="center"/>
          </w:tcPr>
          <w:p w14:paraId="1E1751C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Годишњи извештаји о напредовању мониторинга</w:t>
            </w:r>
          </w:p>
          <w:p w14:paraId="7FA810E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АЗЖС</w:t>
            </w:r>
          </w:p>
        </w:tc>
        <w:tc>
          <w:tcPr>
            <w:tcW w:w="1526" w:type="dxa"/>
            <w:shd w:val="clear" w:color="auto" w:fill="auto"/>
            <w:vAlign w:val="center"/>
          </w:tcPr>
          <w:p w14:paraId="6D9E870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Не</w:t>
            </w:r>
          </w:p>
        </w:tc>
        <w:tc>
          <w:tcPr>
            <w:tcW w:w="1361" w:type="dxa"/>
            <w:shd w:val="clear" w:color="auto" w:fill="auto"/>
            <w:vAlign w:val="center"/>
          </w:tcPr>
          <w:p w14:paraId="75AEE817" w14:textId="77777777" w:rsidR="001448D6" w:rsidRPr="00CC35F0" w:rsidRDefault="001448D6" w:rsidP="001448D6">
            <w:pPr>
              <w:spacing w:after="0" w:line="240" w:lineRule="auto"/>
              <w:ind w:left="-57" w:right="-111"/>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w:t>
            </w:r>
            <w:r w:rsidR="008D6506" w:rsidRPr="00CC35F0">
              <w:rPr>
                <w:rFonts w:ascii="Times New Roman" w:eastAsia="Times New Roman" w:hAnsi="Times New Roman"/>
                <w:color w:val="000000"/>
                <w:sz w:val="24"/>
                <w:szCs w:val="24"/>
                <w:lang w:val="sr-Cyrl-CS"/>
              </w:rPr>
              <w:t>Да</w:t>
            </w:r>
          </w:p>
          <w:p w14:paraId="520A9E62" w14:textId="77777777" w:rsidR="00A0251B" w:rsidRPr="00CC35F0" w:rsidRDefault="001448D6">
            <w:pPr>
              <w:spacing w:after="0" w:line="240" w:lineRule="auto"/>
              <w:ind w:left="-57" w:right="-111"/>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w:t>
            </w:r>
            <w:r w:rsidR="008D6506" w:rsidRPr="00CC35F0">
              <w:rPr>
                <w:rFonts w:ascii="Times New Roman" w:eastAsia="Times New Roman" w:hAnsi="Times New Roman"/>
                <w:color w:val="000000"/>
                <w:sz w:val="24"/>
                <w:szCs w:val="24"/>
                <w:lang w:val="sr-Cyrl-CS"/>
              </w:rPr>
              <w:t xml:space="preserve"> [2023]</w:t>
            </w:r>
          </w:p>
        </w:tc>
      </w:tr>
      <w:tr w:rsidR="00A0251B" w:rsidRPr="00CC35F0" w14:paraId="1F252C54" w14:textId="77777777" w:rsidTr="009E674D">
        <w:trPr>
          <w:trHeight w:val="321"/>
        </w:trPr>
        <w:tc>
          <w:tcPr>
            <w:tcW w:w="987" w:type="dxa"/>
            <w:shd w:val="clear" w:color="auto" w:fill="auto"/>
            <w:vAlign w:val="center"/>
          </w:tcPr>
          <w:p w14:paraId="3044F322" w14:textId="77777777" w:rsidR="00A0251B" w:rsidRPr="00CC35F0" w:rsidRDefault="00A0251B">
            <w:pPr>
              <w:spacing w:after="0" w:line="240" w:lineRule="auto"/>
              <w:ind w:left="-103" w:right="-98"/>
              <w:jc w:val="center"/>
              <w:rPr>
                <w:rFonts w:ascii="Times New Roman" w:eastAsia="Times New Roman" w:hAnsi="Times New Roman"/>
                <w:color w:val="000000"/>
                <w:sz w:val="24"/>
                <w:szCs w:val="24"/>
                <w:lang w:val="sr-Cyrl-CS"/>
              </w:rPr>
            </w:pPr>
          </w:p>
        </w:tc>
        <w:tc>
          <w:tcPr>
            <w:tcW w:w="5108" w:type="dxa"/>
            <w:shd w:val="clear" w:color="auto" w:fill="auto"/>
            <w:vAlign w:val="center"/>
          </w:tcPr>
          <w:p w14:paraId="60303631"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BAТ AELs у постројењима са потрошњом растварача већом од 200t</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или 150 kg на сат</w:t>
            </w:r>
          </w:p>
        </w:tc>
        <w:tc>
          <w:tcPr>
            <w:tcW w:w="2550" w:type="dxa"/>
            <w:shd w:val="clear" w:color="auto" w:fill="auto"/>
            <w:vAlign w:val="center"/>
          </w:tcPr>
          <w:p w14:paraId="349BE3A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5B7915B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Смањење емисија VOC из специфичних индустријских процеса (kt)</w:t>
            </w:r>
          </w:p>
        </w:tc>
        <w:tc>
          <w:tcPr>
            <w:tcW w:w="1744" w:type="dxa"/>
            <w:shd w:val="clear" w:color="auto" w:fill="auto"/>
            <w:vAlign w:val="center"/>
          </w:tcPr>
          <w:p w14:paraId="4F43197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Систем електронске регистрације и извештавања</w:t>
            </w:r>
          </w:p>
        </w:tc>
        <w:tc>
          <w:tcPr>
            <w:tcW w:w="1526" w:type="dxa"/>
            <w:shd w:val="clear" w:color="auto" w:fill="auto"/>
            <w:vAlign w:val="center"/>
          </w:tcPr>
          <w:p w14:paraId="5C340FF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p w14:paraId="54546F1C"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[2015]</w:t>
            </w:r>
          </w:p>
        </w:tc>
        <w:tc>
          <w:tcPr>
            <w:tcW w:w="1361" w:type="dxa"/>
            <w:shd w:val="clear" w:color="auto" w:fill="auto"/>
            <w:vAlign w:val="center"/>
          </w:tcPr>
          <w:p w14:paraId="463767DA" w14:textId="77777777" w:rsidR="004B4373" w:rsidRPr="00CC35F0" w:rsidRDefault="008D6506">
            <w:pPr>
              <w:spacing w:after="0" w:line="240" w:lineRule="auto"/>
              <w:ind w:left="-57" w:right="-111"/>
              <w:jc w:val="right"/>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4,15kt VOC </w:t>
            </w:r>
            <w:r w:rsidRPr="00CC35F0">
              <w:rPr>
                <w:rFonts w:ascii="Times New Roman" w:eastAsia="Times New Roman" w:hAnsi="Times New Roman"/>
                <w:sz w:val="24"/>
                <w:szCs w:val="24"/>
                <w:vertAlign w:val="superscript"/>
                <w:lang w:val="sr-Cyrl-CS"/>
              </w:rPr>
              <w:t xml:space="preserve"> </w:t>
            </w:r>
          </w:p>
          <w:p w14:paraId="5697F880" w14:textId="77777777" w:rsidR="00A0251B" w:rsidRPr="00CC35F0" w:rsidRDefault="008D6506">
            <w:pPr>
              <w:spacing w:after="0" w:line="240" w:lineRule="auto"/>
              <w:ind w:left="-57" w:right="-111"/>
              <w:jc w:val="right"/>
              <w:rPr>
                <w:rFonts w:ascii="Times New Roman" w:eastAsia="Times New Roman" w:hAnsi="Times New Roman"/>
                <w:color w:val="008000"/>
                <w:sz w:val="24"/>
                <w:szCs w:val="24"/>
                <w:lang w:val="sr-Cyrl-CS"/>
              </w:rPr>
            </w:pPr>
            <w:r w:rsidRPr="00CC35F0">
              <w:rPr>
                <w:rFonts w:ascii="Times New Roman" w:eastAsia="Times New Roman" w:hAnsi="Times New Roman"/>
                <w:sz w:val="24"/>
                <w:szCs w:val="24"/>
                <w:lang w:val="sr-Cyrl-CS"/>
              </w:rPr>
              <w:t xml:space="preserve">[2030] </w:t>
            </w:r>
          </w:p>
        </w:tc>
      </w:tr>
      <w:tr w:rsidR="00A0251B" w:rsidRPr="00CC35F0" w14:paraId="72C65AB0" w14:textId="77777777" w:rsidTr="009E674D">
        <w:trPr>
          <w:trHeight w:val="418"/>
        </w:trPr>
        <w:tc>
          <w:tcPr>
            <w:tcW w:w="15451" w:type="dxa"/>
            <w:gridSpan w:val="7"/>
            <w:shd w:val="clear" w:color="auto" w:fill="BDD7EE"/>
            <w:vAlign w:val="center"/>
          </w:tcPr>
          <w:p w14:paraId="70226695" w14:textId="77777777" w:rsidR="00A0251B" w:rsidRPr="00CC35F0" w:rsidRDefault="008D6506">
            <w:pPr>
              <w:spacing w:after="0" w:line="240" w:lineRule="auto"/>
              <w:ind w:left="-57" w:right="-111"/>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Посебни циљ 3: Смањење емисија NH</w:t>
            </w:r>
            <w:r w:rsidRPr="00CC35F0">
              <w:rPr>
                <w:rFonts w:ascii="Times New Roman" w:eastAsia="Times New Roman" w:hAnsi="Times New Roman"/>
                <w:b/>
                <w:color w:val="000000"/>
                <w:sz w:val="24"/>
                <w:szCs w:val="24"/>
                <w:vertAlign w:val="subscript"/>
                <w:lang w:val="sr-Cyrl-CS"/>
              </w:rPr>
              <w:t>3</w:t>
            </w:r>
            <w:r w:rsidRPr="00CC35F0">
              <w:rPr>
                <w:rFonts w:ascii="Times New Roman" w:eastAsia="Times New Roman" w:hAnsi="Times New Roman"/>
                <w:b/>
                <w:color w:val="000000"/>
                <w:sz w:val="24"/>
                <w:szCs w:val="24"/>
                <w:lang w:val="sr-Cyrl-CS"/>
              </w:rPr>
              <w:t xml:space="preserve"> из сектора пољопривреде за 20,5% у поређењу са 2015. годином</w:t>
            </w:r>
          </w:p>
        </w:tc>
      </w:tr>
      <w:tr w:rsidR="00A0251B" w:rsidRPr="00CC35F0" w14:paraId="564C75A5" w14:textId="77777777" w:rsidTr="009E674D">
        <w:trPr>
          <w:trHeight w:val="268"/>
        </w:trPr>
        <w:tc>
          <w:tcPr>
            <w:tcW w:w="987" w:type="dxa"/>
            <w:shd w:val="clear" w:color="auto" w:fill="D9D9D9"/>
            <w:vAlign w:val="center"/>
          </w:tcPr>
          <w:p w14:paraId="3E91F5D1"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Бр.12</w:t>
            </w:r>
          </w:p>
          <w:p w14:paraId="009031B7"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(WEM B9)</w:t>
            </w:r>
          </w:p>
        </w:tc>
        <w:tc>
          <w:tcPr>
            <w:tcW w:w="5108" w:type="dxa"/>
            <w:shd w:val="clear" w:color="auto" w:fill="D9D9D9"/>
            <w:vAlign w:val="center"/>
          </w:tcPr>
          <w:p w14:paraId="36CFE457"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 xml:space="preserve">Увођење најбоље праксе у складиштењу течног стајњака </w:t>
            </w:r>
            <w:r w:rsidRPr="00CC35F0">
              <w:rPr>
                <w:rFonts w:ascii="Times New Roman" w:eastAsia="Times New Roman" w:hAnsi="Times New Roman"/>
                <w:b/>
                <w:color w:val="000000"/>
                <w:sz w:val="24"/>
                <w:szCs w:val="24"/>
                <w:lang w:val="sr-Cyrl-CS"/>
              </w:rPr>
              <w:br/>
            </w:r>
          </w:p>
        </w:tc>
        <w:tc>
          <w:tcPr>
            <w:tcW w:w="2550" w:type="dxa"/>
            <w:shd w:val="clear" w:color="auto" w:fill="D9D9D9"/>
            <w:vAlign w:val="center"/>
          </w:tcPr>
          <w:p w14:paraId="6077B38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Покривање складишта стајњака са фарми свиња и формирање природне коре на стајњаку са фарми крава музара </w:t>
            </w:r>
          </w:p>
        </w:tc>
        <w:tc>
          <w:tcPr>
            <w:tcW w:w="2175" w:type="dxa"/>
            <w:shd w:val="clear" w:color="auto" w:fill="D9D9D9"/>
            <w:vAlign w:val="center"/>
          </w:tcPr>
          <w:p w14:paraId="6B2FF44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покривених складишта свињског стајњака у укупном броју и удео складишта стајњака са сточних фарми под слојем природне коре</w:t>
            </w:r>
          </w:p>
        </w:tc>
        <w:tc>
          <w:tcPr>
            <w:tcW w:w="1744" w:type="dxa"/>
            <w:shd w:val="clear" w:color="auto" w:fill="D9D9D9"/>
            <w:vAlign w:val="center"/>
          </w:tcPr>
          <w:p w14:paraId="29BB094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Годишња студија Саветодавне пољопривредне службе</w:t>
            </w:r>
          </w:p>
        </w:tc>
        <w:tc>
          <w:tcPr>
            <w:tcW w:w="1526" w:type="dxa"/>
            <w:shd w:val="clear" w:color="auto" w:fill="D9D9D9"/>
            <w:vAlign w:val="center"/>
          </w:tcPr>
          <w:p w14:paraId="075FDFB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Укупно 0,5% складишта свињског стајњака покривено и на 0,7% складишта стајњака са сточних фарми формирана природна кора</w:t>
            </w:r>
          </w:p>
        </w:tc>
        <w:tc>
          <w:tcPr>
            <w:tcW w:w="1361" w:type="dxa"/>
            <w:shd w:val="clear" w:color="auto" w:fill="D9D9D9"/>
            <w:vAlign w:val="center"/>
          </w:tcPr>
          <w:p w14:paraId="0415E059"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Укупно 1,9% складишта свињског стајњака покривено и на 3,3% складишта стајњака са сточних фарми формирана природна кора 1,9% </w:t>
            </w:r>
          </w:p>
        </w:tc>
      </w:tr>
      <w:tr w:rsidR="00A0251B" w:rsidRPr="00CC35F0" w14:paraId="48031CB6" w14:textId="77777777" w:rsidTr="009E674D">
        <w:trPr>
          <w:trHeight w:val="339"/>
        </w:trPr>
        <w:tc>
          <w:tcPr>
            <w:tcW w:w="987" w:type="dxa"/>
            <w:shd w:val="clear" w:color="auto" w:fill="auto"/>
            <w:vAlign w:val="center"/>
          </w:tcPr>
          <w:p w14:paraId="4E4A2770"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A</w:t>
            </w:r>
          </w:p>
        </w:tc>
        <w:tc>
          <w:tcPr>
            <w:tcW w:w="5108" w:type="dxa"/>
            <w:shd w:val="clear" w:color="auto" w:fill="auto"/>
            <w:vAlign w:val="center"/>
          </w:tcPr>
          <w:p w14:paraId="0DD7CE21"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Транспозиција шест начела управљања азотом представљених у Анексу 3, део 2 Директиве 2284/2016, који су такође наведени у Анексу 9 </w:t>
            </w:r>
            <w:r w:rsidRPr="00CC35F0">
              <w:rPr>
                <w:rFonts w:ascii="Times New Roman" w:eastAsia="Times New Roman" w:hAnsi="Times New Roman"/>
                <w:sz w:val="24"/>
                <w:szCs w:val="24"/>
                <w:lang w:val="sr-Cyrl-CS"/>
              </w:rPr>
              <w:lastRenderedPageBreak/>
              <w:t>Гетеборшког протокола, у национални правни оквир.</w:t>
            </w:r>
          </w:p>
          <w:p w14:paraId="2B0B84AF"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2550" w:type="dxa"/>
            <w:shd w:val="clear" w:color="auto" w:fill="auto"/>
            <w:vAlign w:val="center"/>
          </w:tcPr>
          <w:p w14:paraId="73EDE5FE"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2175" w:type="dxa"/>
            <w:shd w:val="clear" w:color="auto" w:fill="auto"/>
            <w:vAlign w:val="center"/>
          </w:tcPr>
          <w:p w14:paraId="089D38D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Транспонована Директива 2284/2016</w:t>
            </w:r>
          </w:p>
        </w:tc>
        <w:tc>
          <w:tcPr>
            <w:tcW w:w="1744" w:type="dxa"/>
            <w:shd w:val="clear" w:color="auto" w:fill="auto"/>
          </w:tcPr>
          <w:p w14:paraId="129B25DE"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МЗЖС Годишњи извештаји о </w:t>
            </w:r>
            <w:r w:rsidRPr="00CC35F0">
              <w:rPr>
                <w:rFonts w:ascii="Times New Roman" w:eastAsia="Times New Roman" w:hAnsi="Times New Roman"/>
                <w:color w:val="000000"/>
                <w:sz w:val="24"/>
                <w:szCs w:val="24"/>
                <w:lang w:val="sr-Cyrl-CS"/>
              </w:rPr>
              <w:lastRenderedPageBreak/>
              <w:t>напредовању мониторинга</w:t>
            </w:r>
          </w:p>
        </w:tc>
        <w:tc>
          <w:tcPr>
            <w:tcW w:w="1526" w:type="dxa"/>
            <w:shd w:val="clear" w:color="auto" w:fill="auto"/>
            <w:vAlign w:val="center"/>
          </w:tcPr>
          <w:p w14:paraId="6508763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Не</w:t>
            </w:r>
          </w:p>
        </w:tc>
        <w:tc>
          <w:tcPr>
            <w:tcW w:w="1361" w:type="dxa"/>
            <w:shd w:val="clear" w:color="auto" w:fill="auto"/>
            <w:vAlign w:val="center"/>
          </w:tcPr>
          <w:p w14:paraId="10ACCBAB"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p w14:paraId="500E19DD"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w:t>
            </w:r>
          </w:p>
        </w:tc>
      </w:tr>
      <w:tr w:rsidR="00A0251B" w:rsidRPr="00CC35F0" w14:paraId="525CEBA6" w14:textId="77777777" w:rsidTr="009E674D">
        <w:trPr>
          <w:trHeight w:val="1324"/>
        </w:trPr>
        <w:tc>
          <w:tcPr>
            <w:tcW w:w="987" w:type="dxa"/>
            <w:shd w:val="clear" w:color="auto" w:fill="auto"/>
            <w:vAlign w:val="center"/>
          </w:tcPr>
          <w:p w14:paraId="3A713B66"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A(Х)</w:t>
            </w:r>
          </w:p>
        </w:tc>
        <w:tc>
          <w:tcPr>
            <w:tcW w:w="5108" w:type="dxa"/>
            <w:shd w:val="clear" w:color="auto" w:fill="auto"/>
            <w:vAlign w:val="center"/>
          </w:tcPr>
          <w:p w14:paraId="25008442"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Припрема Националног кодекса добре пољопривредне праксе за контролу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допуњавањем и проширивањем постојећег националног Кодекса добре пољопривредне праксе из 2016. године ради бољег разматрања мера за смањење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у складу са захтевима UNECEи ЕУ. </w:t>
            </w:r>
          </w:p>
        </w:tc>
        <w:tc>
          <w:tcPr>
            <w:tcW w:w="2550" w:type="dxa"/>
            <w:shd w:val="clear" w:color="auto" w:fill="auto"/>
            <w:vAlign w:val="center"/>
          </w:tcPr>
          <w:p w14:paraId="1FDEA767"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2175" w:type="dxa"/>
            <w:shd w:val="clear" w:color="auto" w:fill="auto"/>
            <w:vAlign w:val="center"/>
          </w:tcPr>
          <w:p w14:paraId="3BC8E29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Усвојен  Национални кодекс добре пољопривредне праксе за контролу емисија NH</w:t>
            </w:r>
            <w:r w:rsidRPr="00CC35F0">
              <w:rPr>
                <w:rFonts w:ascii="Times New Roman" w:eastAsia="Times New Roman" w:hAnsi="Times New Roman"/>
                <w:sz w:val="24"/>
                <w:szCs w:val="24"/>
                <w:vertAlign w:val="subscript"/>
                <w:lang w:val="sr-Cyrl-CS"/>
              </w:rPr>
              <w:t>3</w:t>
            </w:r>
          </w:p>
        </w:tc>
        <w:tc>
          <w:tcPr>
            <w:tcW w:w="1744" w:type="dxa"/>
            <w:shd w:val="clear" w:color="auto" w:fill="auto"/>
          </w:tcPr>
          <w:p w14:paraId="24A8F82C" w14:textId="77777777" w:rsidR="00A0251B" w:rsidRPr="00CC35F0" w:rsidRDefault="008D6506">
            <w:pPr>
              <w:spacing w:after="0" w:line="240" w:lineRule="auto"/>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МЗЖС Годишњи извештаји о напредовању мониторинга</w:t>
            </w:r>
          </w:p>
        </w:tc>
        <w:tc>
          <w:tcPr>
            <w:tcW w:w="1526" w:type="dxa"/>
            <w:shd w:val="clear" w:color="auto" w:fill="auto"/>
            <w:vAlign w:val="center"/>
          </w:tcPr>
          <w:p w14:paraId="0145708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361" w:type="dxa"/>
            <w:shd w:val="clear" w:color="auto" w:fill="auto"/>
            <w:vAlign w:val="center"/>
          </w:tcPr>
          <w:p w14:paraId="5FF9A109"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p w14:paraId="06A3BB81"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w:t>
            </w:r>
          </w:p>
        </w:tc>
      </w:tr>
      <w:tr w:rsidR="00A0251B" w:rsidRPr="00CC35F0" w14:paraId="2F3544B6" w14:textId="77777777" w:rsidTr="009E674D">
        <w:trPr>
          <w:trHeight w:val="846"/>
        </w:trPr>
        <w:tc>
          <w:tcPr>
            <w:tcW w:w="987" w:type="dxa"/>
            <w:shd w:val="clear" w:color="auto" w:fill="auto"/>
            <w:vAlign w:val="center"/>
          </w:tcPr>
          <w:p w14:paraId="51C92A74"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A(Х)</w:t>
            </w:r>
          </w:p>
        </w:tc>
        <w:tc>
          <w:tcPr>
            <w:tcW w:w="5108" w:type="dxa"/>
            <w:shd w:val="clear" w:color="auto" w:fill="auto"/>
          </w:tcPr>
          <w:p w14:paraId="2D6E743E"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Успостављање националног буџета за азот ради праћења промена у укупним губицима реактивног азота из пољопривреде, укључујући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NOx, амонијум, нитрате и нитрите, на основу принципа изнетих у UNECEо буџетима за азот.</w:t>
            </w:r>
            <w:r w:rsidRPr="00CC35F0">
              <w:rPr>
                <w:rFonts w:ascii="Times New Roman" w:eastAsia="Times New Roman" w:hAnsi="Times New Roman"/>
                <w:sz w:val="24"/>
                <w:szCs w:val="24"/>
                <w:vertAlign w:val="superscript"/>
                <w:lang w:val="sr-Cyrl-CS"/>
              </w:rPr>
              <w:footnoteReference w:id="78"/>
            </w:r>
          </w:p>
        </w:tc>
        <w:tc>
          <w:tcPr>
            <w:tcW w:w="2550" w:type="dxa"/>
            <w:shd w:val="clear" w:color="auto" w:fill="auto"/>
            <w:vAlign w:val="center"/>
          </w:tcPr>
          <w:p w14:paraId="016E28AC"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7A1B0029" w14:textId="77777777" w:rsidR="00A0251B" w:rsidRPr="00CC35F0" w:rsidRDefault="008D6506">
            <w:pPr>
              <w:spacing w:after="0" w:line="240" w:lineRule="auto"/>
              <w:jc w:val="right"/>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Успостављен национални буџет за азот</w:t>
            </w:r>
          </w:p>
        </w:tc>
        <w:tc>
          <w:tcPr>
            <w:tcW w:w="1744" w:type="dxa"/>
            <w:shd w:val="clear" w:color="auto" w:fill="auto"/>
            <w:vAlign w:val="center"/>
          </w:tcPr>
          <w:p w14:paraId="78E20F24" w14:textId="77777777" w:rsidR="00A0251B" w:rsidRPr="00CC35F0" w:rsidRDefault="008D6506">
            <w:pPr>
              <w:spacing w:after="0" w:line="240" w:lineRule="auto"/>
              <w:rPr>
                <w:rFonts w:ascii="Times New Roman" w:eastAsia="Times New Roman" w:hAnsi="Times New Roman"/>
                <w:color w:val="000000"/>
                <w:lang w:val="sr-Cyrl-CS"/>
              </w:rPr>
            </w:pPr>
            <w:r w:rsidRPr="00CC35F0">
              <w:rPr>
                <w:rFonts w:ascii="Times New Roman" w:eastAsia="Times New Roman" w:hAnsi="Times New Roman"/>
                <w:color w:val="000000"/>
                <w:lang w:val="sr-Cyrl-CS"/>
              </w:rPr>
              <w:t>Министарство пољопривреде, шумарства и водопривреде</w:t>
            </w:r>
          </w:p>
        </w:tc>
        <w:tc>
          <w:tcPr>
            <w:tcW w:w="1526" w:type="dxa"/>
            <w:shd w:val="clear" w:color="auto" w:fill="auto"/>
            <w:vAlign w:val="center"/>
          </w:tcPr>
          <w:p w14:paraId="136BD33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2A919CB3"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tc>
      </w:tr>
      <w:tr w:rsidR="00A0251B" w:rsidRPr="00CC35F0" w14:paraId="21BAF13E" w14:textId="77777777" w:rsidTr="009E674D">
        <w:trPr>
          <w:trHeight w:val="1205"/>
        </w:trPr>
        <w:tc>
          <w:tcPr>
            <w:tcW w:w="987" w:type="dxa"/>
            <w:shd w:val="clear" w:color="auto" w:fill="auto"/>
            <w:vAlign w:val="center"/>
          </w:tcPr>
          <w:p w14:paraId="2999D11C"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(Х)</w:t>
            </w:r>
          </w:p>
        </w:tc>
        <w:tc>
          <w:tcPr>
            <w:tcW w:w="5108" w:type="dxa"/>
            <w:shd w:val="clear" w:color="auto" w:fill="auto"/>
          </w:tcPr>
          <w:p w14:paraId="0CF7F498"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Јачање људских ресурса у Министарству пољопривреде, шумарства и водопривреде (3 лица с пуним радним временом су потребна за развој Националног саветодавног кодекса, организовање Пољопривредних </w:t>
            </w:r>
            <w:r w:rsidR="000F54D4" w:rsidRPr="00CC35F0">
              <w:rPr>
                <w:rFonts w:ascii="Times New Roman" w:eastAsia="Times New Roman" w:hAnsi="Times New Roman"/>
                <w:color w:val="000000"/>
                <w:sz w:val="24"/>
                <w:szCs w:val="24"/>
                <w:lang w:val="sr-Cyrl-CS"/>
              </w:rPr>
              <w:t xml:space="preserve">стручних и </w:t>
            </w:r>
            <w:r w:rsidRPr="00CC35F0">
              <w:rPr>
                <w:rFonts w:ascii="Times New Roman" w:eastAsia="Times New Roman" w:hAnsi="Times New Roman"/>
                <w:color w:val="000000"/>
                <w:sz w:val="24"/>
                <w:szCs w:val="24"/>
                <w:lang w:val="sr-Cyrl-CS"/>
              </w:rPr>
              <w:t xml:space="preserve">саветодавних служби и ширење добре праксе у интегрисаном приступу) и Пољопривредне </w:t>
            </w:r>
            <w:r w:rsidR="00847036" w:rsidRPr="00CC35F0">
              <w:rPr>
                <w:rFonts w:ascii="Times New Roman" w:eastAsia="Times New Roman" w:hAnsi="Times New Roman"/>
                <w:color w:val="000000"/>
                <w:sz w:val="24"/>
                <w:szCs w:val="24"/>
                <w:lang w:val="sr-Cyrl-CS"/>
              </w:rPr>
              <w:t xml:space="preserve">стручне и </w:t>
            </w:r>
            <w:r w:rsidRPr="00CC35F0">
              <w:rPr>
                <w:rFonts w:ascii="Times New Roman" w:eastAsia="Times New Roman" w:hAnsi="Times New Roman"/>
                <w:color w:val="000000"/>
                <w:sz w:val="24"/>
                <w:szCs w:val="24"/>
                <w:lang w:val="sr-Cyrl-CS"/>
              </w:rPr>
              <w:t>саветодавне службе (10 лица с пуним радним временом за ширење мера смањења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и заштиту подземних водних тела).</w:t>
            </w:r>
          </w:p>
        </w:tc>
        <w:tc>
          <w:tcPr>
            <w:tcW w:w="2550" w:type="dxa"/>
            <w:shd w:val="clear" w:color="auto" w:fill="auto"/>
            <w:vAlign w:val="center"/>
          </w:tcPr>
          <w:p w14:paraId="1F6F2165"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0560DFA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bookmarkStart w:id="116" w:name="_heading=h.2ce457m" w:colFirst="0" w:colLast="0"/>
            <w:bookmarkEnd w:id="116"/>
            <w:r w:rsidRPr="00CC35F0">
              <w:rPr>
                <w:rFonts w:ascii="Times New Roman" w:eastAsia="Times New Roman" w:hAnsi="Times New Roman"/>
                <w:color w:val="000000"/>
                <w:sz w:val="24"/>
                <w:szCs w:val="24"/>
                <w:lang w:val="sr-Cyrl-CS"/>
              </w:rPr>
              <w:t xml:space="preserve">Број додатних административних капацитета у </w:t>
            </w:r>
            <w:r w:rsidR="00D03902" w:rsidRPr="00CC35F0">
              <w:rPr>
                <w:rFonts w:ascii="Times New Roman" w:eastAsia="Times New Roman" w:hAnsi="Times New Roman"/>
                <w:sz w:val="24"/>
                <w:szCs w:val="24"/>
                <w:lang w:val="sr-Cyrl-CS"/>
              </w:rPr>
              <w:t>Министарству пољопривреде, шумарства и водопривреде</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и у  Пољопривредним</w:t>
            </w:r>
            <w:r w:rsidR="00D26BD8" w:rsidRPr="00CC35F0">
              <w:rPr>
                <w:rFonts w:ascii="Times New Roman" w:eastAsia="Times New Roman" w:hAnsi="Times New Roman"/>
                <w:color w:val="000000"/>
                <w:sz w:val="24"/>
                <w:szCs w:val="24"/>
                <w:lang w:val="sr-Cyrl-CS"/>
              </w:rPr>
              <w:t xml:space="preserve"> стручним и </w:t>
            </w:r>
            <w:r w:rsidRPr="00CC35F0">
              <w:rPr>
                <w:rFonts w:ascii="Times New Roman" w:eastAsia="Times New Roman" w:hAnsi="Times New Roman"/>
                <w:color w:val="000000"/>
                <w:sz w:val="24"/>
                <w:szCs w:val="24"/>
                <w:lang w:val="sr-Cyrl-CS"/>
              </w:rPr>
              <w:t xml:space="preserve"> саветодавним службама</w:t>
            </w:r>
          </w:p>
        </w:tc>
        <w:tc>
          <w:tcPr>
            <w:tcW w:w="1744" w:type="dxa"/>
            <w:shd w:val="clear" w:color="auto" w:fill="auto"/>
            <w:vAlign w:val="center"/>
          </w:tcPr>
          <w:p w14:paraId="7071F4B1" w14:textId="77777777" w:rsidR="00A0251B" w:rsidRPr="00CC35F0" w:rsidRDefault="008D6506">
            <w:pPr>
              <w:spacing w:after="0" w:line="240" w:lineRule="auto"/>
              <w:rPr>
                <w:rFonts w:ascii="Times New Roman" w:eastAsia="Times New Roman" w:hAnsi="Times New Roman"/>
                <w:color w:val="000000"/>
                <w:lang w:val="sr-Cyrl-CS"/>
              </w:rPr>
            </w:pPr>
            <w:r w:rsidRPr="00CC35F0">
              <w:rPr>
                <w:rFonts w:ascii="Times New Roman" w:eastAsia="Times New Roman" w:hAnsi="Times New Roman"/>
                <w:color w:val="000000"/>
                <w:lang w:val="sr-Cyrl-CS"/>
              </w:rPr>
              <w:t>Министарство пољопривреде, шумарства и водопривреде,</w:t>
            </w:r>
          </w:p>
          <w:p w14:paraId="5EC52C60"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Пољопривредне </w:t>
            </w:r>
            <w:r w:rsidR="00847036" w:rsidRPr="00CC35F0">
              <w:rPr>
                <w:rFonts w:ascii="Times New Roman" w:eastAsia="Times New Roman" w:hAnsi="Times New Roman"/>
                <w:color w:val="000000"/>
                <w:sz w:val="24"/>
                <w:szCs w:val="24"/>
                <w:lang w:val="sr-Cyrl-CS"/>
              </w:rPr>
              <w:t xml:space="preserve"> стручне и </w:t>
            </w:r>
            <w:r w:rsidRPr="00CC35F0">
              <w:rPr>
                <w:rFonts w:ascii="Times New Roman" w:eastAsia="Times New Roman" w:hAnsi="Times New Roman"/>
                <w:color w:val="000000"/>
                <w:sz w:val="24"/>
                <w:szCs w:val="24"/>
                <w:lang w:val="sr-Cyrl-CS"/>
              </w:rPr>
              <w:t>саветодавне службе</w:t>
            </w:r>
          </w:p>
        </w:tc>
        <w:tc>
          <w:tcPr>
            <w:tcW w:w="1526" w:type="dxa"/>
            <w:shd w:val="clear" w:color="auto" w:fill="auto"/>
            <w:vAlign w:val="center"/>
          </w:tcPr>
          <w:p w14:paraId="4D44454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w:t>
            </w:r>
          </w:p>
        </w:tc>
        <w:tc>
          <w:tcPr>
            <w:tcW w:w="1361" w:type="dxa"/>
            <w:shd w:val="clear" w:color="auto" w:fill="auto"/>
            <w:vAlign w:val="center"/>
          </w:tcPr>
          <w:p w14:paraId="4F23806D" w14:textId="77777777" w:rsidR="00EE7C18" w:rsidRPr="00CC35F0" w:rsidRDefault="00EE7C18">
            <w:pPr>
              <w:spacing w:after="0" w:line="240" w:lineRule="auto"/>
              <w:ind w:left="-47" w:right="-74"/>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w:t>
            </w:r>
            <w:r w:rsidR="008D6506" w:rsidRPr="00CC35F0">
              <w:rPr>
                <w:rFonts w:ascii="Times New Roman" w:eastAsia="Times New Roman" w:hAnsi="Times New Roman"/>
                <w:color w:val="000000"/>
                <w:sz w:val="24"/>
                <w:szCs w:val="24"/>
                <w:lang w:val="sr-Cyrl-CS"/>
              </w:rPr>
              <w:t>3 и 10</w:t>
            </w:r>
          </w:p>
          <w:p w14:paraId="2002AD31" w14:textId="77777777" w:rsidR="00A0251B" w:rsidRPr="00CC35F0" w:rsidRDefault="00EE7C18">
            <w:pPr>
              <w:spacing w:after="0" w:line="240" w:lineRule="auto"/>
              <w:ind w:left="-47" w:right="-74"/>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w:t>
            </w:r>
            <w:r w:rsidR="008D6506" w:rsidRPr="00CC35F0">
              <w:rPr>
                <w:rFonts w:ascii="Times New Roman" w:eastAsia="Times New Roman" w:hAnsi="Times New Roman"/>
                <w:color w:val="000000"/>
                <w:sz w:val="24"/>
                <w:szCs w:val="24"/>
                <w:lang w:val="sr-Cyrl-CS"/>
              </w:rPr>
              <w:t xml:space="preserve"> </w:t>
            </w:r>
            <w:r w:rsidRPr="00CC35F0">
              <w:rPr>
                <w:rFonts w:ascii="Times New Roman" w:eastAsia="Times New Roman" w:hAnsi="Times New Roman"/>
                <w:color w:val="000000"/>
                <w:sz w:val="24"/>
                <w:szCs w:val="24"/>
                <w:lang w:val="sr-Cyrl-CS"/>
              </w:rPr>
              <w:t xml:space="preserve"> </w:t>
            </w:r>
            <w:r w:rsidR="008D6506" w:rsidRPr="00CC35F0">
              <w:rPr>
                <w:rFonts w:ascii="Times New Roman" w:eastAsia="Times New Roman" w:hAnsi="Times New Roman"/>
                <w:color w:val="000000"/>
                <w:sz w:val="24"/>
                <w:szCs w:val="24"/>
                <w:lang w:val="sr-Cyrl-CS"/>
              </w:rPr>
              <w:t xml:space="preserve">[2023] </w:t>
            </w:r>
          </w:p>
        </w:tc>
      </w:tr>
      <w:tr w:rsidR="00A0251B" w:rsidRPr="00CC35F0" w14:paraId="37EEBE6E" w14:textId="77777777" w:rsidTr="009E674D">
        <w:trPr>
          <w:trHeight w:val="1157"/>
        </w:trPr>
        <w:tc>
          <w:tcPr>
            <w:tcW w:w="987" w:type="dxa"/>
            <w:shd w:val="clear" w:color="auto" w:fill="auto"/>
            <w:vAlign w:val="center"/>
          </w:tcPr>
          <w:p w14:paraId="1BC59318"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(Х) </w:t>
            </w:r>
          </w:p>
        </w:tc>
        <w:tc>
          <w:tcPr>
            <w:tcW w:w="5108" w:type="dxa"/>
            <w:shd w:val="clear" w:color="auto" w:fill="auto"/>
            <w:vAlign w:val="center"/>
          </w:tcPr>
          <w:p w14:paraId="05A8C2B5"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bookmarkStart w:id="117" w:name="_heading=h.rjefff" w:colFirst="0" w:colLast="0"/>
            <w:bookmarkEnd w:id="117"/>
            <w:r w:rsidRPr="00CC35F0">
              <w:rPr>
                <w:rFonts w:ascii="Times New Roman" w:eastAsia="Times New Roman" w:hAnsi="Times New Roman"/>
                <w:color w:val="000000"/>
                <w:sz w:val="24"/>
                <w:szCs w:val="24"/>
                <w:lang w:val="sr-Cyrl-CS"/>
              </w:rPr>
              <w:t xml:space="preserve">Информисање и ширење Националног кодекса добре пољопривредне праксе и развој кампања за подизање свести о утицају емисија NH3 на квалитет ваздуха и о мерама за њихово смањење (кроз више догађаја (5 годишње у Србији од 2024. године), израда и ширење промотивних материјала ((летака, видео записа) …): 10), интернет страница (1))  </w:t>
            </w:r>
          </w:p>
        </w:tc>
        <w:tc>
          <w:tcPr>
            <w:tcW w:w="2550" w:type="dxa"/>
            <w:shd w:val="clear" w:color="auto" w:fill="auto"/>
            <w:vAlign w:val="center"/>
          </w:tcPr>
          <w:p w14:paraId="36425C11"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2AD2C880"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Реализован програм догађаја: </w:t>
            </w:r>
            <w:r w:rsidR="00D40434" w:rsidRPr="00CC35F0">
              <w:rPr>
                <w:rFonts w:ascii="Times New Roman" w:eastAsia="Times New Roman" w:hAnsi="Times New Roman"/>
                <w:color w:val="000000"/>
                <w:sz w:val="24"/>
                <w:szCs w:val="24"/>
                <w:lang w:val="sr-Cyrl-CS"/>
              </w:rPr>
              <w:t>пет</w:t>
            </w:r>
            <w:r w:rsidRPr="00CC35F0">
              <w:rPr>
                <w:rFonts w:ascii="Times New Roman" w:eastAsia="Times New Roman" w:hAnsi="Times New Roman"/>
                <w:color w:val="000000"/>
                <w:sz w:val="24"/>
                <w:szCs w:val="24"/>
                <w:lang w:val="sr-Cyrl-CS"/>
              </w:rPr>
              <w:t xml:space="preserve"> догађаја годишње од 2024. до 2030. године и припремљени </w:t>
            </w:r>
          </w:p>
          <w:p w14:paraId="7362A58C"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промотивни материјали ((флајери, видео записи</w:t>
            </w:r>
            <w:r w:rsidR="00D40434" w:rsidRPr="00CC35F0">
              <w:rPr>
                <w:rFonts w:ascii="Times New Roman" w:eastAsia="Times New Roman" w:hAnsi="Times New Roman"/>
                <w:color w:val="000000"/>
                <w:sz w:val="24"/>
                <w:szCs w:val="24"/>
                <w:lang w:val="sr-Cyrl-CS"/>
              </w:rPr>
              <w:t>, итд</w:t>
            </w:r>
            <w:r w:rsidRPr="00CC35F0">
              <w:rPr>
                <w:rFonts w:ascii="Times New Roman" w:eastAsia="Times New Roman" w:hAnsi="Times New Roman"/>
                <w:color w:val="000000"/>
                <w:sz w:val="24"/>
                <w:szCs w:val="24"/>
                <w:lang w:val="sr-Cyrl-CS"/>
              </w:rPr>
              <w:t>): 10 израђено од 2024. до 2030. године)</w:t>
            </w:r>
          </w:p>
          <w:p w14:paraId="2A75DDE7"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 интернет страница 2024. године</w:t>
            </w:r>
          </w:p>
        </w:tc>
        <w:tc>
          <w:tcPr>
            <w:tcW w:w="1744" w:type="dxa"/>
            <w:shd w:val="clear" w:color="auto" w:fill="auto"/>
            <w:vAlign w:val="center"/>
          </w:tcPr>
          <w:p w14:paraId="06CEAC1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Изградња капацитета и ширење добре праксе</w:t>
            </w:r>
          </w:p>
        </w:tc>
        <w:tc>
          <w:tcPr>
            <w:tcW w:w="1526" w:type="dxa"/>
            <w:shd w:val="clear" w:color="auto" w:fill="auto"/>
            <w:vAlign w:val="center"/>
          </w:tcPr>
          <w:p w14:paraId="41AC47D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094CF560"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p w14:paraId="686E176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[од 2024. до 2030. ]</w:t>
            </w:r>
          </w:p>
          <w:p w14:paraId="6285893C"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r>
      <w:tr w:rsidR="00A0251B" w:rsidRPr="00CC35F0" w14:paraId="571BD2AD" w14:textId="77777777" w:rsidTr="009E674D">
        <w:trPr>
          <w:trHeight w:val="222"/>
        </w:trPr>
        <w:tc>
          <w:tcPr>
            <w:tcW w:w="987" w:type="dxa"/>
            <w:shd w:val="clear" w:color="auto" w:fill="auto"/>
            <w:vAlign w:val="center"/>
          </w:tcPr>
          <w:p w14:paraId="5D0C508F"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108" w:type="dxa"/>
            <w:shd w:val="clear" w:color="auto" w:fill="auto"/>
            <w:vAlign w:val="center"/>
          </w:tcPr>
          <w:p w14:paraId="3C7B6C8B"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најбоље праксе у управљању течним стајњаком.</w:t>
            </w:r>
          </w:p>
        </w:tc>
        <w:tc>
          <w:tcPr>
            <w:tcW w:w="2550" w:type="dxa"/>
            <w:shd w:val="clear" w:color="auto" w:fill="auto"/>
            <w:vAlign w:val="center"/>
          </w:tcPr>
          <w:p w14:paraId="65FFEE3B"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2663303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Удео покривених складишта течног стајњака (у %)</w:t>
            </w:r>
          </w:p>
        </w:tc>
        <w:tc>
          <w:tcPr>
            <w:tcW w:w="1744" w:type="dxa"/>
            <w:shd w:val="clear" w:color="auto" w:fill="auto"/>
            <w:vAlign w:val="center"/>
          </w:tcPr>
          <w:p w14:paraId="463C8AB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p>
          <w:p w14:paraId="1BA249D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Пољопривредне</w:t>
            </w:r>
            <w:r w:rsidR="00847036" w:rsidRPr="00CC35F0">
              <w:rPr>
                <w:rFonts w:ascii="Times New Roman" w:eastAsia="Times New Roman" w:hAnsi="Times New Roman"/>
                <w:color w:val="000000"/>
                <w:sz w:val="24"/>
                <w:szCs w:val="24"/>
                <w:lang w:val="sr-Cyrl-CS"/>
              </w:rPr>
              <w:t xml:space="preserve"> стручне и </w:t>
            </w:r>
            <w:r w:rsidRPr="00CC35F0">
              <w:rPr>
                <w:rFonts w:ascii="Times New Roman" w:eastAsia="Times New Roman" w:hAnsi="Times New Roman"/>
                <w:color w:val="000000"/>
                <w:sz w:val="24"/>
                <w:szCs w:val="24"/>
                <w:lang w:val="sr-Cyrl-CS"/>
              </w:rPr>
              <w:t xml:space="preserve"> саветодавне службе</w:t>
            </w:r>
          </w:p>
        </w:tc>
        <w:tc>
          <w:tcPr>
            <w:tcW w:w="1526" w:type="dxa"/>
            <w:shd w:val="clear" w:color="auto" w:fill="auto"/>
            <w:vAlign w:val="center"/>
          </w:tcPr>
          <w:p w14:paraId="3BF6F81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0,3%</w:t>
            </w:r>
          </w:p>
        </w:tc>
        <w:tc>
          <w:tcPr>
            <w:tcW w:w="1361" w:type="dxa"/>
            <w:shd w:val="clear" w:color="auto" w:fill="auto"/>
            <w:vAlign w:val="center"/>
          </w:tcPr>
          <w:p w14:paraId="0C98A5C3"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1,9% у 2030. </w:t>
            </w:r>
          </w:p>
        </w:tc>
      </w:tr>
      <w:tr w:rsidR="00A0251B" w:rsidRPr="00CC35F0" w14:paraId="667111B7" w14:textId="77777777" w:rsidTr="009E674D">
        <w:trPr>
          <w:trHeight w:val="492"/>
        </w:trPr>
        <w:tc>
          <w:tcPr>
            <w:tcW w:w="987" w:type="dxa"/>
            <w:shd w:val="clear" w:color="auto" w:fill="auto"/>
            <w:vAlign w:val="center"/>
          </w:tcPr>
          <w:p w14:paraId="616E1076"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(Х)</w:t>
            </w:r>
          </w:p>
        </w:tc>
        <w:tc>
          <w:tcPr>
            <w:tcW w:w="5108" w:type="dxa"/>
            <w:shd w:val="clear" w:color="auto" w:fill="auto"/>
            <w:vAlign w:val="center"/>
          </w:tcPr>
          <w:p w14:paraId="567A61FF"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bookmarkStart w:id="118" w:name="_heading=h.3bj1y38" w:colFirst="0" w:colLast="0"/>
            <w:bookmarkEnd w:id="118"/>
            <w:r w:rsidRPr="00CC35F0">
              <w:rPr>
                <w:rFonts w:ascii="Times New Roman" w:eastAsia="Times New Roman" w:hAnsi="Times New Roman"/>
                <w:color w:val="000000"/>
                <w:sz w:val="24"/>
                <w:szCs w:val="24"/>
                <w:lang w:val="sr-Cyrl-CS"/>
              </w:rPr>
              <w:t>Јачање техничких капацитета фармера о најбољој пракси у растурању стајњака и о другим најбољим праксама (15 годишње од 2024. године), израда специфични</w:t>
            </w:r>
            <w:r w:rsidRPr="00CC35F0">
              <w:rPr>
                <w:rFonts w:ascii="Times New Roman" w:eastAsia="Times New Roman" w:hAnsi="Times New Roman"/>
                <w:sz w:val="24"/>
                <w:szCs w:val="24"/>
                <w:lang w:val="sr-Cyrl-CS"/>
              </w:rPr>
              <w:t>х</w:t>
            </w:r>
            <w:r w:rsidRPr="00CC35F0">
              <w:rPr>
                <w:rFonts w:ascii="Times New Roman" w:eastAsia="Times New Roman" w:hAnsi="Times New Roman"/>
                <w:color w:val="000000"/>
                <w:sz w:val="24"/>
                <w:szCs w:val="24"/>
                <w:lang w:val="sr-Cyrl-CS"/>
              </w:rPr>
              <w:t xml:space="preserve"> смерница).</w:t>
            </w:r>
          </w:p>
        </w:tc>
        <w:tc>
          <w:tcPr>
            <w:tcW w:w="2550" w:type="dxa"/>
            <w:shd w:val="clear" w:color="auto" w:fill="auto"/>
            <w:vAlign w:val="center"/>
          </w:tcPr>
          <w:p w14:paraId="300E5964"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31881E6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2024. године основана показна фарма за ширење добре праксе растурања стајњака и других </w:t>
            </w:r>
            <w:r w:rsidRPr="00CC35F0">
              <w:rPr>
                <w:rFonts w:ascii="Times New Roman" w:eastAsia="Times New Roman" w:hAnsi="Times New Roman"/>
                <w:color w:val="000000"/>
                <w:sz w:val="24"/>
                <w:szCs w:val="24"/>
                <w:lang w:val="sr-Cyrl-CS"/>
              </w:rPr>
              <w:lastRenderedPageBreak/>
              <w:t>најбољих пракси, проценат информисаних и обучених пољопривредника (више од 80%) и испуњен Програм обуке за пољопривреднике према годишњем плану за период</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 xml:space="preserve">од 2024. до 2030. године (15 обука годишње) </w:t>
            </w:r>
          </w:p>
        </w:tc>
        <w:tc>
          <w:tcPr>
            <w:tcW w:w="1744" w:type="dxa"/>
            <w:shd w:val="clear" w:color="auto" w:fill="auto"/>
            <w:vAlign w:val="center"/>
          </w:tcPr>
          <w:p w14:paraId="4E04384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Годишњи извештај са показне фарме</w:t>
            </w:r>
          </w:p>
        </w:tc>
        <w:tc>
          <w:tcPr>
            <w:tcW w:w="1526" w:type="dxa"/>
            <w:shd w:val="clear" w:color="auto" w:fill="auto"/>
            <w:vAlign w:val="center"/>
          </w:tcPr>
          <w:p w14:paraId="12EFDF3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175368F9"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p w14:paraId="75EED512" w14:textId="77777777" w:rsidR="00A0251B" w:rsidRPr="00CC35F0" w:rsidRDefault="00A0251B">
            <w:pPr>
              <w:spacing w:after="0" w:line="240" w:lineRule="auto"/>
              <w:ind w:left="-142" w:right="-74"/>
              <w:jc w:val="right"/>
              <w:rPr>
                <w:rFonts w:ascii="Times New Roman" w:eastAsia="Times New Roman" w:hAnsi="Times New Roman"/>
                <w:color w:val="000000"/>
                <w:sz w:val="24"/>
                <w:szCs w:val="24"/>
                <w:lang w:val="sr-Cyrl-CS"/>
              </w:rPr>
            </w:pPr>
          </w:p>
        </w:tc>
      </w:tr>
      <w:tr w:rsidR="00A0251B" w:rsidRPr="00CC35F0" w14:paraId="790D65DC" w14:textId="77777777" w:rsidTr="009E674D">
        <w:trPr>
          <w:trHeight w:val="432"/>
        </w:trPr>
        <w:tc>
          <w:tcPr>
            <w:tcW w:w="987" w:type="dxa"/>
            <w:shd w:val="clear" w:color="auto" w:fill="auto"/>
            <w:vAlign w:val="center"/>
          </w:tcPr>
          <w:p w14:paraId="1AC19531" w14:textId="77777777" w:rsidR="00A0251B" w:rsidRPr="00CC35F0" w:rsidRDefault="008D6506">
            <w:pPr>
              <w:spacing w:after="0" w:line="240" w:lineRule="auto"/>
              <w:ind w:left="-103" w:right="-98"/>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(Х)</w:t>
            </w:r>
          </w:p>
        </w:tc>
        <w:tc>
          <w:tcPr>
            <w:tcW w:w="5108" w:type="dxa"/>
            <w:shd w:val="clear" w:color="auto" w:fill="auto"/>
            <w:vAlign w:val="center"/>
          </w:tcPr>
          <w:p w14:paraId="0F852802"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Завршетак издавања интегрисаних дозвола за фарме на основу примене најбољих доступних техника.</w:t>
            </w:r>
          </w:p>
        </w:tc>
        <w:tc>
          <w:tcPr>
            <w:tcW w:w="2550" w:type="dxa"/>
            <w:shd w:val="clear" w:color="auto" w:fill="auto"/>
            <w:vAlign w:val="center"/>
          </w:tcPr>
          <w:p w14:paraId="025C98D7"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356027D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Интегрисане дозволе ажуриране са релевантним вредностима најбољих доступних техника од значаја за фарме које су у обавези прибављања интегрисане дозволе</w:t>
            </w:r>
          </w:p>
        </w:tc>
        <w:tc>
          <w:tcPr>
            <w:tcW w:w="1744" w:type="dxa"/>
            <w:shd w:val="clear" w:color="auto" w:fill="auto"/>
            <w:vAlign w:val="center"/>
          </w:tcPr>
          <w:p w14:paraId="44E5B56E"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Статистика о интегрисаним дозволама</w:t>
            </w:r>
          </w:p>
        </w:tc>
        <w:tc>
          <w:tcPr>
            <w:tcW w:w="1526" w:type="dxa"/>
            <w:shd w:val="clear" w:color="auto" w:fill="auto"/>
            <w:vAlign w:val="center"/>
          </w:tcPr>
          <w:p w14:paraId="3B6E28A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0C19A95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p w14:paraId="4F833EC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r>
      <w:tr w:rsidR="00A0251B" w:rsidRPr="00CC35F0" w14:paraId="6C1610B5" w14:textId="77777777" w:rsidTr="009E674D">
        <w:trPr>
          <w:trHeight w:val="322"/>
        </w:trPr>
        <w:tc>
          <w:tcPr>
            <w:tcW w:w="987" w:type="dxa"/>
            <w:shd w:val="clear" w:color="auto" w:fill="auto"/>
            <w:vAlign w:val="center"/>
          </w:tcPr>
          <w:p w14:paraId="1209A0E3"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lastRenderedPageBreak/>
              <w:t> </w:t>
            </w:r>
          </w:p>
        </w:tc>
        <w:tc>
          <w:tcPr>
            <w:tcW w:w="5108" w:type="dxa"/>
            <w:shd w:val="clear" w:color="auto" w:fill="auto"/>
            <w:vAlign w:val="center"/>
          </w:tcPr>
          <w:p w14:paraId="166DD09A" w14:textId="77777777" w:rsidR="00A0251B" w:rsidRPr="00CC35F0" w:rsidRDefault="008D6506">
            <w:pPr>
              <w:spacing w:after="0" w:line="240" w:lineRule="auto"/>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годишње анкете о примени најбоље праксе на фармама.</w:t>
            </w:r>
          </w:p>
        </w:tc>
        <w:tc>
          <w:tcPr>
            <w:tcW w:w="2550" w:type="dxa"/>
            <w:shd w:val="clear" w:color="auto" w:fill="auto"/>
            <w:vAlign w:val="center"/>
          </w:tcPr>
          <w:p w14:paraId="0DE856E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255A7CD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Спроведене годишње анкете о примени најбоље праксе на фармама (да се комбинују са праксама за смањење емисија гасова са ефектом стаклене баште)</w:t>
            </w:r>
          </w:p>
        </w:tc>
        <w:tc>
          <w:tcPr>
            <w:tcW w:w="1744" w:type="dxa"/>
            <w:shd w:val="clear" w:color="auto" w:fill="auto"/>
            <w:vAlign w:val="center"/>
          </w:tcPr>
          <w:p w14:paraId="1B73077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Саветодавна </w:t>
            </w:r>
            <w:r w:rsidRPr="00CC35F0">
              <w:rPr>
                <w:rFonts w:ascii="Times New Roman" w:eastAsia="Times New Roman" w:hAnsi="Times New Roman"/>
                <w:color w:val="000000"/>
                <w:lang w:val="sr-Cyrl-CS"/>
              </w:rPr>
              <w:t>пољопривредна</w:t>
            </w:r>
            <w:r w:rsidRPr="00CC35F0">
              <w:rPr>
                <w:rFonts w:ascii="Times New Roman" w:eastAsia="Times New Roman" w:hAnsi="Times New Roman"/>
                <w:color w:val="000000"/>
                <w:sz w:val="24"/>
                <w:szCs w:val="24"/>
                <w:lang w:val="sr-Cyrl-CS"/>
              </w:rPr>
              <w:t xml:space="preserve"> служба</w:t>
            </w:r>
          </w:p>
        </w:tc>
        <w:tc>
          <w:tcPr>
            <w:tcW w:w="1526" w:type="dxa"/>
            <w:shd w:val="clear" w:color="auto" w:fill="auto"/>
            <w:vAlign w:val="center"/>
          </w:tcPr>
          <w:p w14:paraId="26F11F4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0B4A3E4A"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p w14:paraId="3A445FA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[2025]</w:t>
            </w:r>
          </w:p>
        </w:tc>
      </w:tr>
      <w:tr w:rsidR="00A0251B" w:rsidRPr="00CC35F0" w14:paraId="4557D4CC" w14:textId="77777777" w:rsidTr="009E674D">
        <w:trPr>
          <w:trHeight w:val="686"/>
        </w:trPr>
        <w:tc>
          <w:tcPr>
            <w:tcW w:w="987" w:type="dxa"/>
            <w:shd w:val="clear" w:color="auto" w:fill="D9D9D9"/>
            <w:vAlign w:val="center"/>
          </w:tcPr>
          <w:p w14:paraId="258BF2CE"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Бр.13</w:t>
            </w:r>
          </w:p>
          <w:p w14:paraId="04EE96D7"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B8)</w:t>
            </w:r>
          </w:p>
        </w:tc>
        <w:tc>
          <w:tcPr>
            <w:tcW w:w="5108" w:type="dxa"/>
            <w:shd w:val="clear" w:color="auto" w:fill="D9D9D9"/>
            <w:vAlign w:val="center"/>
          </w:tcPr>
          <w:p w14:paraId="501D6CF4"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Замена ђубрива на бази урее ђубривима на бази амонијум-нитрата</w:t>
            </w:r>
          </w:p>
        </w:tc>
        <w:tc>
          <w:tcPr>
            <w:tcW w:w="2550" w:type="dxa"/>
            <w:shd w:val="clear" w:color="auto" w:fill="D9D9D9"/>
            <w:vAlign w:val="center"/>
          </w:tcPr>
          <w:p w14:paraId="13E9A4F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Повлачење нитратних ђубрива из употребе</w:t>
            </w:r>
          </w:p>
        </w:tc>
        <w:tc>
          <w:tcPr>
            <w:tcW w:w="2175" w:type="dxa"/>
            <w:shd w:val="clear" w:color="auto" w:fill="D9D9D9"/>
            <w:vAlign w:val="center"/>
          </w:tcPr>
          <w:p w14:paraId="056B10F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урее и амонијум-нитрата у укупно нанесеном ђубриву од минералног азота</w:t>
            </w:r>
          </w:p>
        </w:tc>
        <w:tc>
          <w:tcPr>
            <w:tcW w:w="1744" w:type="dxa"/>
            <w:shd w:val="clear" w:color="auto" w:fill="D9D9D9"/>
            <w:vAlign w:val="center"/>
          </w:tcPr>
          <w:p w14:paraId="7775CCA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Годишња студија о најбољим праксама</w:t>
            </w:r>
          </w:p>
        </w:tc>
        <w:tc>
          <w:tcPr>
            <w:tcW w:w="1526" w:type="dxa"/>
            <w:shd w:val="clear" w:color="auto" w:fill="D9D9D9"/>
            <w:vAlign w:val="center"/>
          </w:tcPr>
          <w:p w14:paraId="7D384FF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урее у укупно нанесеном ђубриву од минералног азота: 29,2%</w:t>
            </w:r>
          </w:p>
          <w:p w14:paraId="745FE2B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амонијум-нитрата у укупно нанесеном ђубриву од минералног азота: 50,2%</w:t>
            </w:r>
          </w:p>
          <w:p w14:paraId="1D8A2ED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w:t>
            </w:r>
          </w:p>
        </w:tc>
        <w:tc>
          <w:tcPr>
            <w:tcW w:w="1361" w:type="dxa"/>
            <w:shd w:val="clear" w:color="auto" w:fill="D9D9D9"/>
            <w:vAlign w:val="center"/>
          </w:tcPr>
          <w:p w14:paraId="5933171D"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урее у укупно нанесеном ђубриву од минералног азота: 21,6%</w:t>
            </w:r>
          </w:p>
          <w:p w14:paraId="180A91CC"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амонијум-нитрата у укупно нанесеном ђубриву од минералног азота: 57,8%</w:t>
            </w:r>
          </w:p>
          <w:p w14:paraId="688805EA"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r>
      <w:tr w:rsidR="00A0251B" w:rsidRPr="00CC35F0" w14:paraId="5704AA50" w14:textId="77777777" w:rsidTr="009E674D">
        <w:trPr>
          <w:trHeight w:val="301"/>
        </w:trPr>
        <w:tc>
          <w:tcPr>
            <w:tcW w:w="987" w:type="dxa"/>
            <w:shd w:val="clear" w:color="auto" w:fill="auto"/>
            <w:vAlign w:val="center"/>
          </w:tcPr>
          <w:p w14:paraId="558B7A70"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108" w:type="dxa"/>
            <w:shd w:val="clear" w:color="auto" w:fill="auto"/>
          </w:tcPr>
          <w:p w14:paraId="62E4FCD7"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Видети хоризонталне активности означене (Х) за Меру бр. 12.</w:t>
            </w:r>
          </w:p>
        </w:tc>
        <w:tc>
          <w:tcPr>
            <w:tcW w:w="2550" w:type="dxa"/>
            <w:shd w:val="clear" w:color="auto" w:fill="auto"/>
          </w:tcPr>
          <w:p w14:paraId="05C4C25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 (Бр.12)</w:t>
            </w:r>
          </w:p>
        </w:tc>
        <w:tc>
          <w:tcPr>
            <w:tcW w:w="2175" w:type="dxa"/>
            <w:shd w:val="clear" w:color="auto" w:fill="auto"/>
          </w:tcPr>
          <w:p w14:paraId="68611FB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 (Бр.12)</w:t>
            </w:r>
          </w:p>
        </w:tc>
        <w:tc>
          <w:tcPr>
            <w:tcW w:w="1744" w:type="dxa"/>
            <w:shd w:val="clear" w:color="auto" w:fill="auto"/>
          </w:tcPr>
          <w:p w14:paraId="710B40B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 (Бр.12)</w:t>
            </w:r>
          </w:p>
        </w:tc>
        <w:tc>
          <w:tcPr>
            <w:tcW w:w="1526" w:type="dxa"/>
            <w:shd w:val="clear" w:color="auto" w:fill="auto"/>
          </w:tcPr>
          <w:p w14:paraId="57BFA3D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 (Бр.12)</w:t>
            </w:r>
          </w:p>
        </w:tc>
        <w:tc>
          <w:tcPr>
            <w:tcW w:w="1361" w:type="dxa"/>
            <w:shd w:val="clear" w:color="auto" w:fill="auto"/>
          </w:tcPr>
          <w:p w14:paraId="6DFE7CBF"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КДА (Бр.12)</w:t>
            </w:r>
          </w:p>
        </w:tc>
      </w:tr>
      <w:tr w:rsidR="00A0251B" w:rsidRPr="00CC35F0" w14:paraId="3526A81D" w14:textId="77777777" w:rsidTr="009E674D">
        <w:trPr>
          <w:trHeight w:val="408"/>
        </w:trPr>
        <w:tc>
          <w:tcPr>
            <w:tcW w:w="987" w:type="dxa"/>
            <w:shd w:val="clear" w:color="auto" w:fill="auto"/>
            <w:vAlign w:val="center"/>
          </w:tcPr>
          <w:p w14:paraId="6906B3E0"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108" w:type="dxa"/>
            <w:shd w:val="clear" w:color="auto" w:fill="auto"/>
            <w:vAlign w:val="center"/>
          </w:tcPr>
          <w:p w14:paraId="412F7908"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замене ђубрива на бази урее ђубривима на бази амонијум-нитрата.</w:t>
            </w:r>
          </w:p>
        </w:tc>
        <w:tc>
          <w:tcPr>
            <w:tcW w:w="2550" w:type="dxa"/>
            <w:shd w:val="clear" w:color="auto" w:fill="auto"/>
            <w:vAlign w:val="center"/>
          </w:tcPr>
          <w:p w14:paraId="55430DE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0878791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Процентуални удео урее и амонијум-нитрата </w:t>
            </w:r>
            <w:r w:rsidRPr="00CC35F0">
              <w:rPr>
                <w:rFonts w:ascii="Times New Roman" w:eastAsia="Times New Roman" w:hAnsi="Times New Roman"/>
                <w:sz w:val="24"/>
                <w:szCs w:val="24"/>
                <w:lang w:val="sr-Cyrl-CS"/>
              </w:rPr>
              <w:lastRenderedPageBreak/>
              <w:t>у укупно нанесеном ђубриву од минералног азота</w:t>
            </w:r>
          </w:p>
        </w:tc>
        <w:tc>
          <w:tcPr>
            <w:tcW w:w="1744" w:type="dxa"/>
            <w:shd w:val="clear" w:color="auto" w:fill="auto"/>
            <w:vAlign w:val="center"/>
          </w:tcPr>
          <w:p w14:paraId="10CAF12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lastRenderedPageBreak/>
              <w:t xml:space="preserve">Годишња студија о </w:t>
            </w:r>
            <w:r w:rsidRPr="00CC35F0">
              <w:rPr>
                <w:rFonts w:ascii="Times New Roman" w:eastAsia="Times New Roman" w:hAnsi="Times New Roman"/>
                <w:sz w:val="24"/>
                <w:szCs w:val="24"/>
                <w:lang w:val="sr-Cyrl-CS"/>
              </w:rPr>
              <w:lastRenderedPageBreak/>
              <w:t>најбољим праксама</w:t>
            </w:r>
          </w:p>
        </w:tc>
        <w:tc>
          <w:tcPr>
            <w:tcW w:w="1526" w:type="dxa"/>
            <w:shd w:val="clear" w:color="auto" w:fill="auto"/>
            <w:vAlign w:val="center"/>
          </w:tcPr>
          <w:p w14:paraId="54913D2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Удео урее у укупно нанесеном </w:t>
            </w:r>
            <w:r w:rsidRPr="00CC35F0">
              <w:rPr>
                <w:rFonts w:ascii="Times New Roman" w:eastAsia="Times New Roman" w:hAnsi="Times New Roman"/>
                <w:sz w:val="24"/>
                <w:szCs w:val="24"/>
                <w:lang w:val="sr-Cyrl-CS"/>
              </w:rPr>
              <w:lastRenderedPageBreak/>
              <w:t>ђубриву од минералног азота: 29,2%</w:t>
            </w:r>
          </w:p>
          <w:p w14:paraId="62E4DE6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амонијум-нитрата у укупно нанесеном ђубриву од минералног азота: 50,2%</w:t>
            </w:r>
          </w:p>
          <w:p w14:paraId="01352DA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[2022]</w:t>
            </w:r>
          </w:p>
        </w:tc>
        <w:tc>
          <w:tcPr>
            <w:tcW w:w="1361" w:type="dxa"/>
            <w:shd w:val="clear" w:color="auto" w:fill="auto"/>
            <w:vAlign w:val="center"/>
          </w:tcPr>
          <w:p w14:paraId="7025FCEB"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Удео урее у укупно нанесеном </w:t>
            </w:r>
            <w:r w:rsidRPr="00CC35F0">
              <w:rPr>
                <w:rFonts w:ascii="Times New Roman" w:eastAsia="Times New Roman" w:hAnsi="Times New Roman"/>
                <w:sz w:val="24"/>
                <w:szCs w:val="24"/>
                <w:lang w:val="sr-Cyrl-CS"/>
              </w:rPr>
              <w:lastRenderedPageBreak/>
              <w:t>ђубриву од минералног азота: 21,6%</w:t>
            </w:r>
          </w:p>
          <w:p w14:paraId="7C64B09D"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амонијум-нитрата у укупно нанесеном ђубриву од минералног азота: 57,8%</w:t>
            </w:r>
          </w:p>
          <w:p w14:paraId="3DD87C5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[2030]</w:t>
            </w:r>
          </w:p>
        </w:tc>
      </w:tr>
      <w:tr w:rsidR="00A0251B" w:rsidRPr="00CC35F0" w14:paraId="01A1B8C0" w14:textId="77777777" w:rsidTr="009E674D">
        <w:trPr>
          <w:trHeight w:val="1490"/>
        </w:trPr>
        <w:tc>
          <w:tcPr>
            <w:tcW w:w="987" w:type="dxa"/>
            <w:shd w:val="clear" w:color="auto" w:fill="D9D9D9"/>
            <w:vAlign w:val="center"/>
          </w:tcPr>
          <w:p w14:paraId="270C3535"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lastRenderedPageBreak/>
              <w:t>Бр.14</w:t>
            </w:r>
          </w:p>
          <w:p w14:paraId="1A61EF79"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A11)</w:t>
            </w:r>
          </w:p>
        </w:tc>
        <w:tc>
          <w:tcPr>
            <w:tcW w:w="5108" w:type="dxa"/>
            <w:shd w:val="clear" w:color="auto" w:fill="D9D9D9"/>
            <w:vAlign w:val="center"/>
          </w:tcPr>
          <w:p w14:paraId="3A2CB7CB"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Увођење најбоље праксе приликом растурања и наношења чврстог стајњака на земљиште бржом инкорпорацијом стајњака у земљиште</w:t>
            </w:r>
            <w:r w:rsidRPr="00CC35F0">
              <w:rPr>
                <w:rFonts w:ascii="Times New Roman" w:eastAsia="Times New Roman" w:hAnsi="Times New Roman"/>
                <w:b/>
                <w:color w:val="000000"/>
                <w:sz w:val="24"/>
                <w:szCs w:val="24"/>
                <w:lang w:val="sr-Cyrl-CS"/>
              </w:rPr>
              <w:br/>
            </w:r>
          </w:p>
        </w:tc>
        <w:tc>
          <w:tcPr>
            <w:tcW w:w="2550" w:type="dxa"/>
            <w:shd w:val="clear" w:color="auto" w:fill="D9D9D9"/>
            <w:vAlign w:val="center"/>
          </w:tcPr>
          <w:p w14:paraId="6093C17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применом добре праске брзе инкорпорације чврстог стајњака приликом ђубрења. </w:t>
            </w:r>
          </w:p>
        </w:tc>
        <w:tc>
          <w:tcPr>
            <w:tcW w:w="2175" w:type="dxa"/>
            <w:shd w:val="clear" w:color="auto" w:fill="D9D9D9"/>
            <w:vAlign w:val="center"/>
          </w:tcPr>
          <w:p w14:paraId="1F728A9D"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 xml:space="preserve">Удео чврстог стајњака по врсти животиње (свиња, живина, говедо) инкорпорираног у року од 4, 12 и 24 сата. </w:t>
            </w:r>
          </w:p>
        </w:tc>
        <w:tc>
          <w:tcPr>
            <w:tcW w:w="1744" w:type="dxa"/>
            <w:shd w:val="clear" w:color="auto" w:fill="D9D9D9"/>
            <w:vAlign w:val="center"/>
          </w:tcPr>
          <w:p w14:paraId="083C7757"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Истраживање на свим фармама у Србији на сваке две године од 2024.</w:t>
            </w:r>
          </w:p>
        </w:tc>
        <w:tc>
          <w:tcPr>
            <w:tcW w:w="1526" w:type="dxa"/>
            <w:shd w:val="clear" w:color="auto" w:fill="D9D9D9"/>
            <w:vAlign w:val="center"/>
          </w:tcPr>
          <w:p w14:paraId="12BAF0F7" w14:textId="77777777" w:rsidR="00A0251B" w:rsidRPr="00CC35F0" w:rsidRDefault="008D6506">
            <w:pPr>
              <w:spacing w:after="0" w:line="240" w:lineRule="auto"/>
              <w:ind w:left="-152"/>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t>
            </w:r>
          </w:p>
        </w:tc>
        <w:tc>
          <w:tcPr>
            <w:tcW w:w="1361" w:type="dxa"/>
            <w:shd w:val="clear" w:color="auto" w:fill="D9D9D9"/>
            <w:vAlign w:val="center"/>
          </w:tcPr>
          <w:p w14:paraId="28BAFB97" w14:textId="77777777" w:rsidR="00A0251B" w:rsidRPr="00CC35F0" w:rsidRDefault="008D6506">
            <w:pPr>
              <w:spacing w:after="0" w:line="240" w:lineRule="auto"/>
              <w:ind w:left="-110" w:right="-74"/>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Повећање фарми свиња и живине са брзом инкорпорацијом у року од 4 и 12 сати;</w:t>
            </w:r>
          </w:p>
          <w:p w14:paraId="28528AC0" w14:textId="77777777" w:rsidR="00A0251B" w:rsidRPr="00CC35F0" w:rsidRDefault="008D6506">
            <w:pPr>
              <w:spacing w:after="0" w:line="240" w:lineRule="auto"/>
              <w:ind w:left="-110" w:right="-74"/>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Сточни стајњак: брза инкорпорација у року од 24, 12 или 4 сата [2030]</w:t>
            </w:r>
          </w:p>
        </w:tc>
      </w:tr>
      <w:tr w:rsidR="00A0251B" w:rsidRPr="00CC35F0" w14:paraId="76C1467B" w14:textId="77777777" w:rsidTr="009E674D">
        <w:trPr>
          <w:trHeight w:val="335"/>
        </w:trPr>
        <w:tc>
          <w:tcPr>
            <w:tcW w:w="987" w:type="dxa"/>
            <w:vMerge w:val="restart"/>
            <w:shd w:val="clear" w:color="auto" w:fill="auto"/>
            <w:vAlign w:val="center"/>
          </w:tcPr>
          <w:p w14:paraId="34395ECA" w14:textId="77777777" w:rsidR="00A0251B" w:rsidRPr="00CC35F0" w:rsidRDefault="00A0251B">
            <w:pPr>
              <w:spacing w:after="0" w:line="240" w:lineRule="auto"/>
              <w:ind w:left="-103" w:right="-98"/>
              <w:jc w:val="center"/>
              <w:rPr>
                <w:rFonts w:ascii="Times New Roman" w:eastAsia="Times New Roman" w:hAnsi="Times New Roman"/>
                <w:color w:val="0563C1"/>
                <w:sz w:val="24"/>
                <w:szCs w:val="24"/>
                <w:u w:val="single"/>
                <w:lang w:val="sr-Cyrl-CS"/>
              </w:rPr>
            </w:pPr>
          </w:p>
        </w:tc>
        <w:tc>
          <w:tcPr>
            <w:tcW w:w="5108" w:type="dxa"/>
            <w:shd w:val="clear" w:color="auto" w:fill="auto"/>
            <w:vAlign w:val="center"/>
          </w:tcPr>
          <w:p w14:paraId="17F63857"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Видети хоризонталне активности означене (Х) за Меру бр. 12.</w:t>
            </w:r>
          </w:p>
        </w:tc>
        <w:tc>
          <w:tcPr>
            <w:tcW w:w="2550" w:type="dxa"/>
            <w:shd w:val="clear" w:color="auto" w:fill="auto"/>
          </w:tcPr>
          <w:p w14:paraId="5BDC0F1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 (Бр.12)</w:t>
            </w:r>
          </w:p>
        </w:tc>
        <w:tc>
          <w:tcPr>
            <w:tcW w:w="2175" w:type="dxa"/>
            <w:shd w:val="clear" w:color="auto" w:fill="auto"/>
          </w:tcPr>
          <w:p w14:paraId="243D129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 (Бр.12)</w:t>
            </w:r>
          </w:p>
        </w:tc>
        <w:tc>
          <w:tcPr>
            <w:tcW w:w="1744" w:type="dxa"/>
            <w:shd w:val="clear" w:color="auto" w:fill="auto"/>
          </w:tcPr>
          <w:p w14:paraId="55FEB91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 (Бр.12)</w:t>
            </w:r>
          </w:p>
        </w:tc>
        <w:tc>
          <w:tcPr>
            <w:tcW w:w="1526" w:type="dxa"/>
            <w:shd w:val="clear" w:color="auto" w:fill="auto"/>
          </w:tcPr>
          <w:p w14:paraId="280F94D4"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 (Бр.12)</w:t>
            </w:r>
          </w:p>
        </w:tc>
        <w:tc>
          <w:tcPr>
            <w:tcW w:w="1361" w:type="dxa"/>
            <w:shd w:val="clear" w:color="auto" w:fill="auto"/>
          </w:tcPr>
          <w:p w14:paraId="78CD4AF3"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 (Бр.12)</w:t>
            </w:r>
          </w:p>
        </w:tc>
      </w:tr>
      <w:tr w:rsidR="00A0251B" w:rsidRPr="00CC35F0" w14:paraId="577C5BC5" w14:textId="77777777" w:rsidTr="009E674D">
        <w:trPr>
          <w:trHeight w:val="490"/>
        </w:trPr>
        <w:tc>
          <w:tcPr>
            <w:tcW w:w="987" w:type="dxa"/>
            <w:vMerge/>
            <w:shd w:val="clear" w:color="auto" w:fill="auto"/>
            <w:vAlign w:val="center"/>
          </w:tcPr>
          <w:p w14:paraId="6FB9E6C6"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5108" w:type="dxa"/>
            <w:shd w:val="clear" w:color="auto" w:fill="auto"/>
            <w:vAlign w:val="center"/>
          </w:tcPr>
          <w:p w14:paraId="49D73124"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Имплементирати праксу наношења чврстог стајњака на земљиште бржом инкорпорацијом стајњака у земљиште</w:t>
            </w:r>
            <w:r w:rsidRPr="00CC35F0">
              <w:rPr>
                <w:rFonts w:ascii="Times New Roman" w:eastAsia="Times New Roman" w:hAnsi="Times New Roman"/>
                <w:b/>
                <w:color w:val="000000"/>
                <w:sz w:val="24"/>
                <w:szCs w:val="24"/>
                <w:lang w:val="sr-Cyrl-CS"/>
              </w:rPr>
              <w:t>.</w:t>
            </w:r>
          </w:p>
        </w:tc>
        <w:tc>
          <w:tcPr>
            <w:tcW w:w="2550" w:type="dxa"/>
            <w:shd w:val="clear" w:color="auto" w:fill="auto"/>
            <w:vAlign w:val="center"/>
          </w:tcPr>
          <w:p w14:paraId="5F850B9E"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0E1B889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Процентуални удео чврстог стајњака по врсти животиње (свиња, живина, говедо) инкорпорираног у року од 4, 12 и 24 сата. </w:t>
            </w:r>
          </w:p>
        </w:tc>
        <w:tc>
          <w:tcPr>
            <w:tcW w:w="1744" w:type="dxa"/>
            <w:shd w:val="clear" w:color="auto" w:fill="auto"/>
            <w:vAlign w:val="center"/>
          </w:tcPr>
          <w:p w14:paraId="5152BFD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Истраживање на свим фармама у Србији на сваке две године од 2024.</w:t>
            </w:r>
          </w:p>
        </w:tc>
        <w:tc>
          <w:tcPr>
            <w:tcW w:w="1526" w:type="dxa"/>
            <w:shd w:val="clear" w:color="auto" w:fill="auto"/>
            <w:vAlign w:val="center"/>
          </w:tcPr>
          <w:p w14:paraId="6E95CE60" w14:textId="77777777" w:rsidR="003F3EA5" w:rsidRPr="00CC35F0" w:rsidRDefault="008D6506">
            <w:pPr>
              <w:spacing w:after="0" w:line="240" w:lineRule="auto"/>
              <w:ind w:left="-12" w:right="-11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Следећи удео је  изражен као % укупног чврстог стајњака по категорији стоке (укључује и животиње узгајане на фармама које подлежу захтевима ДИЕ):</w:t>
            </w:r>
          </w:p>
          <w:p w14:paraId="041B3915" w14:textId="77777777" w:rsidR="00A0251B"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 xml:space="preserve">Свињски стајњак - </w:t>
            </w:r>
            <w:r w:rsidRPr="00CC35F0">
              <w:rPr>
                <w:rFonts w:ascii="Times New Roman" w:eastAsia="Times New Roman" w:hAnsi="Times New Roman"/>
                <w:color w:val="000000"/>
                <w:lang w:val="sr-Cyrl-CS"/>
              </w:rPr>
              <w:t xml:space="preserve">инкорпорација </w:t>
            </w:r>
            <w:r w:rsidRPr="00CC35F0">
              <w:rPr>
                <w:rFonts w:ascii="Times New Roman" w:eastAsia="Times New Roman" w:hAnsi="Times New Roman"/>
                <w:color w:val="000000"/>
                <w:sz w:val="24"/>
                <w:szCs w:val="24"/>
                <w:lang w:val="sr-Cyrl-CS"/>
              </w:rPr>
              <w:t>у року од 12 сати: 1,6 %</w:t>
            </w:r>
          </w:p>
          <w:p w14:paraId="23698604" w14:textId="77777777" w:rsidR="00A0251B"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Свињски стајњак - </w:t>
            </w:r>
            <w:r w:rsidRPr="00CC35F0">
              <w:rPr>
                <w:rFonts w:ascii="Times New Roman" w:eastAsia="Times New Roman" w:hAnsi="Times New Roman"/>
                <w:color w:val="000000"/>
                <w:lang w:val="sr-Cyrl-CS"/>
              </w:rPr>
              <w:t>инкорпорација</w:t>
            </w:r>
            <w:r w:rsidRPr="00CC35F0">
              <w:rPr>
                <w:rFonts w:ascii="Times New Roman" w:eastAsia="Times New Roman" w:hAnsi="Times New Roman"/>
                <w:color w:val="000000"/>
                <w:sz w:val="24"/>
                <w:szCs w:val="24"/>
                <w:lang w:val="sr-Cyrl-CS"/>
              </w:rPr>
              <w:t xml:space="preserve"> у року од 4 сата: 7,7%</w:t>
            </w:r>
          </w:p>
          <w:p w14:paraId="22470173" w14:textId="77777777" w:rsidR="00A0251B" w:rsidRPr="00CC35F0" w:rsidRDefault="003F3EA5"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w:t>
            </w:r>
            <w:r w:rsidR="008D6506" w:rsidRPr="00CC35F0">
              <w:rPr>
                <w:rFonts w:ascii="Times New Roman" w:eastAsia="Times New Roman" w:hAnsi="Times New Roman"/>
                <w:color w:val="000000"/>
                <w:sz w:val="24"/>
                <w:szCs w:val="24"/>
                <w:lang w:val="sr-Cyrl-CS"/>
              </w:rPr>
              <w:t>Инкорпораци</w:t>
            </w:r>
            <w:r w:rsidR="008D6506" w:rsidRPr="00CC35F0">
              <w:rPr>
                <w:rFonts w:ascii="Times New Roman" w:eastAsia="Times New Roman" w:hAnsi="Times New Roman"/>
                <w:color w:val="000000"/>
                <w:sz w:val="24"/>
                <w:szCs w:val="24"/>
                <w:lang w:val="sr-Cyrl-CS"/>
              </w:rPr>
              <w:lastRenderedPageBreak/>
              <w:t>ја живинског стајњака у року од 12 сати: 5,7%</w:t>
            </w:r>
          </w:p>
          <w:p w14:paraId="190F62E2" w14:textId="77777777" w:rsidR="00A0251B" w:rsidRPr="00CC35F0" w:rsidRDefault="008D6506">
            <w:pPr>
              <w:spacing w:after="0" w:line="240" w:lineRule="auto"/>
              <w:ind w:left="-12" w:right="-11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Инкорпорација живинског стајњака у року од 4 сата: 7,7%</w:t>
            </w:r>
          </w:p>
          <w:p w14:paraId="7E51443A" w14:textId="77777777" w:rsidR="00A0251B"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Сточни стајњак - </w:t>
            </w:r>
            <w:r w:rsidRPr="00CC35F0">
              <w:rPr>
                <w:rFonts w:ascii="Times New Roman" w:eastAsia="Times New Roman" w:hAnsi="Times New Roman"/>
                <w:color w:val="000000"/>
                <w:lang w:val="sr-Cyrl-CS"/>
              </w:rPr>
              <w:t>инкорпорација</w:t>
            </w:r>
            <w:r w:rsidRPr="00CC35F0">
              <w:rPr>
                <w:rFonts w:ascii="Times New Roman" w:eastAsia="Times New Roman" w:hAnsi="Times New Roman"/>
                <w:color w:val="000000"/>
                <w:sz w:val="24"/>
                <w:szCs w:val="24"/>
                <w:lang w:val="sr-Cyrl-CS"/>
              </w:rPr>
              <w:t xml:space="preserve"> у року од 24 сата: 7,7%</w:t>
            </w:r>
          </w:p>
          <w:p w14:paraId="0EB353E5" w14:textId="77777777" w:rsidR="00A0251B"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Сточни стајњак - </w:t>
            </w:r>
            <w:r w:rsidRPr="00CC35F0">
              <w:rPr>
                <w:rFonts w:ascii="Times New Roman" w:eastAsia="Times New Roman" w:hAnsi="Times New Roman"/>
                <w:color w:val="000000"/>
                <w:lang w:val="sr-Cyrl-CS"/>
              </w:rPr>
              <w:t>инкорпорација</w:t>
            </w:r>
            <w:r w:rsidRPr="00CC35F0">
              <w:rPr>
                <w:rFonts w:ascii="Times New Roman" w:eastAsia="Times New Roman" w:hAnsi="Times New Roman"/>
                <w:color w:val="000000"/>
                <w:sz w:val="24"/>
                <w:szCs w:val="24"/>
                <w:lang w:val="sr-Cyrl-CS"/>
              </w:rPr>
              <w:t xml:space="preserve"> у року од 12 сати: 7%</w:t>
            </w:r>
          </w:p>
          <w:p w14:paraId="10A61E2F" w14:textId="77777777" w:rsidR="003F3EA5" w:rsidRPr="00CC35F0" w:rsidRDefault="008D6506" w:rsidP="003F3EA5">
            <w:pPr>
              <w:spacing w:after="0" w:line="240" w:lineRule="auto"/>
              <w:ind w:left="-12" w:right="-345"/>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Сточни стајњак - </w:t>
            </w:r>
            <w:r w:rsidRPr="00CC35F0">
              <w:rPr>
                <w:rFonts w:ascii="Times New Roman" w:eastAsia="Times New Roman" w:hAnsi="Times New Roman"/>
                <w:color w:val="000000"/>
                <w:lang w:val="sr-Cyrl-CS"/>
              </w:rPr>
              <w:t>инкорпорација</w:t>
            </w:r>
            <w:r w:rsidRPr="00CC35F0">
              <w:rPr>
                <w:rFonts w:ascii="Times New Roman" w:eastAsia="Times New Roman" w:hAnsi="Times New Roman"/>
                <w:color w:val="000000"/>
                <w:sz w:val="24"/>
                <w:szCs w:val="24"/>
                <w:lang w:val="sr-Cyrl-CS"/>
              </w:rPr>
              <w:t xml:space="preserve"> у року од 4</w:t>
            </w:r>
          </w:p>
          <w:p w14:paraId="4FE0A812" w14:textId="77777777" w:rsidR="00A0251B" w:rsidRPr="00CC35F0" w:rsidRDefault="008D6506" w:rsidP="003F3EA5">
            <w:pPr>
              <w:spacing w:after="0" w:line="240" w:lineRule="auto"/>
              <w:ind w:left="-12" w:right="-345"/>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сата: 0,7% </w:t>
            </w:r>
          </w:p>
        </w:tc>
        <w:tc>
          <w:tcPr>
            <w:tcW w:w="1361" w:type="dxa"/>
            <w:shd w:val="clear" w:color="auto" w:fill="auto"/>
            <w:vAlign w:val="center"/>
          </w:tcPr>
          <w:p w14:paraId="789CA0D0" w14:textId="77777777" w:rsidR="003F3EA5" w:rsidRPr="00CC35F0" w:rsidRDefault="008D6506" w:rsidP="003F3EA5">
            <w:pPr>
              <w:spacing w:after="0" w:line="240" w:lineRule="auto"/>
              <w:ind w:left="-12" w:right="-300"/>
              <w:jc w:val="left"/>
              <w:rPr>
                <w:rFonts w:ascii="Times New Roman" w:eastAsia="Times New Roman" w:hAnsi="Times New Roman"/>
                <w:color w:val="000000"/>
                <w:lang w:val="sr-Cyrl-CS"/>
              </w:rPr>
            </w:pPr>
            <w:r w:rsidRPr="00CC35F0">
              <w:rPr>
                <w:rFonts w:ascii="Times New Roman" w:eastAsia="Times New Roman" w:hAnsi="Times New Roman"/>
                <w:color w:val="000000"/>
                <w:lang w:val="sr-Cyrl-CS"/>
              </w:rPr>
              <w:lastRenderedPageBreak/>
              <w:t xml:space="preserve">Следећи удео је  изражен као % </w:t>
            </w:r>
          </w:p>
          <w:p w14:paraId="2BD24972" w14:textId="77777777" w:rsidR="00A0251B" w:rsidRPr="00CC35F0" w:rsidRDefault="008D6506" w:rsidP="003F3EA5">
            <w:pPr>
              <w:spacing w:after="0" w:line="240" w:lineRule="auto"/>
              <w:ind w:left="-12" w:right="-300"/>
              <w:jc w:val="left"/>
              <w:rPr>
                <w:rFonts w:ascii="Times New Roman" w:eastAsia="Times New Roman" w:hAnsi="Times New Roman"/>
                <w:color w:val="000000"/>
                <w:lang w:val="sr-Cyrl-CS"/>
              </w:rPr>
            </w:pPr>
            <w:r w:rsidRPr="00CC35F0">
              <w:rPr>
                <w:rFonts w:ascii="Times New Roman" w:eastAsia="Times New Roman" w:hAnsi="Times New Roman"/>
                <w:color w:val="000000"/>
                <w:lang w:val="sr-Cyrl-CS"/>
              </w:rPr>
              <w:t>укупног чврстог стајњака по категорији стоке (укључује и животиње узгајане на ДИЕ фармама):</w:t>
            </w:r>
          </w:p>
          <w:p w14:paraId="3D5853E2" w14:textId="77777777" w:rsidR="00440564" w:rsidRPr="00CC35F0" w:rsidRDefault="008D6506" w:rsidP="003F3EA5">
            <w:pPr>
              <w:spacing w:after="0" w:line="240" w:lineRule="auto"/>
              <w:ind w:left="-12" w:right="-110"/>
              <w:jc w:val="left"/>
              <w:rPr>
                <w:rFonts w:ascii="Times New Roman" w:eastAsia="Times New Roman" w:hAnsi="Times New Roman"/>
                <w:color w:val="000000"/>
                <w:lang w:val="sr-Cyrl-CS"/>
              </w:rPr>
            </w:pPr>
            <w:r w:rsidRPr="00CC35F0">
              <w:rPr>
                <w:rFonts w:ascii="Times New Roman" w:eastAsia="Times New Roman" w:hAnsi="Times New Roman"/>
                <w:color w:val="000000"/>
                <w:lang w:val="sr-Cyrl-CS"/>
              </w:rPr>
              <w:t xml:space="preserve">- Свињски стајњак </w:t>
            </w:r>
          </w:p>
          <w:p w14:paraId="0096EB28" w14:textId="77777777" w:rsidR="00A0251B" w:rsidRPr="00CC35F0" w:rsidRDefault="008D6506" w:rsidP="003F3EA5">
            <w:pPr>
              <w:spacing w:after="0" w:line="240" w:lineRule="auto"/>
              <w:ind w:left="-12" w:right="-110"/>
              <w:jc w:val="left"/>
              <w:rPr>
                <w:rFonts w:ascii="Times New Roman" w:eastAsia="Times New Roman" w:hAnsi="Times New Roman"/>
                <w:color w:val="000000"/>
                <w:lang w:val="sr-Cyrl-CS"/>
              </w:rPr>
            </w:pPr>
            <w:r w:rsidRPr="00CC35F0">
              <w:rPr>
                <w:rFonts w:ascii="Times New Roman" w:eastAsia="Times New Roman" w:hAnsi="Times New Roman"/>
                <w:color w:val="000000"/>
                <w:lang w:val="sr-Cyrl-CS"/>
              </w:rPr>
              <w:t>- инкорпорација у року од 12 сати: 6,2%</w:t>
            </w:r>
          </w:p>
          <w:p w14:paraId="38C82025" w14:textId="77777777" w:rsidR="00440564"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Свињски стајњак </w:t>
            </w:r>
          </w:p>
          <w:p w14:paraId="7085F146" w14:textId="77777777" w:rsidR="00A0251B"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инкорпорација у року од 4 сата: 18,3%</w:t>
            </w:r>
          </w:p>
          <w:p w14:paraId="5D85FAD2" w14:textId="77777777" w:rsidR="00A0251B"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Стајско ђубриво - </w:t>
            </w:r>
            <w:r w:rsidRPr="00CC35F0">
              <w:rPr>
                <w:rFonts w:ascii="Times New Roman" w:eastAsia="Times New Roman" w:hAnsi="Times New Roman"/>
                <w:color w:val="000000"/>
                <w:sz w:val="24"/>
                <w:szCs w:val="24"/>
                <w:lang w:val="sr-Cyrl-CS"/>
              </w:rPr>
              <w:lastRenderedPageBreak/>
              <w:t>инкорпорација у року од 12 сати: 21,5%</w:t>
            </w:r>
          </w:p>
          <w:p w14:paraId="77F435CF" w14:textId="77777777" w:rsidR="00A0251B"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Стајско ђубриво - инкорпорација у року од 4 сата: 18,3%</w:t>
            </w:r>
          </w:p>
          <w:p w14:paraId="6EC13923" w14:textId="77777777" w:rsidR="00A0251B"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Сточни стајњак - инкорпорација у року од 24 сата: 18,3%</w:t>
            </w:r>
          </w:p>
          <w:p w14:paraId="05B9E622" w14:textId="77777777" w:rsidR="00A0251B"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Сточни стајњак - инкорпорација у року од 12 сати: 15%</w:t>
            </w:r>
          </w:p>
          <w:p w14:paraId="47BE67EA" w14:textId="77777777" w:rsidR="00440564"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Сточни стајњак </w:t>
            </w:r>
          </w:p>
          <w:p w14:paraId="6EA5535F" w14:textId="77777777" w:rsidR="00A0251B" w:rsidRPr="00CC35F0" w:rsidRDefault="008D6506" w:rsidP="003F3EA5">
            <w:pPr>
              <w:spacing w:after="0" w:line="240" w:lineRule="auto"/>
              <w:ind w:left="-12"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инкорпорација у року од 4 сата: 3,3%</w:t>
            </w:r>
          </w:p>
        </w:tc>
      </w:tr>
      <w:tr w:rsidR="00A0251B" w:rsidRPr="00CC35F0" w14:paraId="3F959789" w14:textId="77777777" w:rsidTr="009E674D">
        <w:trPr>
          <w:trHeight w:val="756"/>
        </w:trPr>
        <w:tc>
          <w:tcPr>
            <w:tcW w:w="987" w:type="dxa"/>
            <w:shd w:val="clear" w:color="auto" w:fill="D9D9D9"/>
            <w:vAlign w:val="center"/>
          </w:tcPr>
          <w:p w14:paraId="58D982EF"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lastRenderedPageBreak/>
              <w:t>Бр. 15</w:t>
            </w:r>
          </w:p>
          <w:p w14:paraId="2B80FA05"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B7)</w:t>
            </w:r>
          </w:p>
        </w:tc>
        <w:tc>
          <w:tcPr>
            <w:tcW w:w="5108" w:type="dxa"/>
            <w:shd w:val="clear" w:color="auto" w:fill="D9D9D9"/>
            <w:vAlign w:val="center"/>
          </w:tcPr>
          <w:p w14:paraId="0E045A93"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Увођење најбоље праксе у активности растурања течног стајњака са фарми свиња и говеда</w:t>
            </w:r>
          </w:p>
        </w:tc>
        <w:tc>
          <w:tcPr>
            <w:tcW w:w="2550" w:type="dxa"/>
            <w:shd w:val="clear" w:color="auto" w:fill="D9D9D9"/>
            <w:vAlign w:val="center"/>
          </w:tcPr>
          <w:p w14:paraId="58137B3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Смањење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применом добре праске приликом растурања течног свињског и сточног стајњака </w:t>
            </w:r>
          </w:p>
        </w:tc>
        <w:tc>
          <w:tcPr>
            <w:tcW w:w="2175" w:type="dxa"/>
            <w:shd w:val="clear" w:color="auto" w:fill="D9D9D9"/>
            <w:vAlign w:val="center"/>
          </w:tcPr>
          <w:p w14:paraId="7E69CCB5"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Удео течног стајњака по категорији стоке (свиња, говедо) који се наноси инјектирањем и цревом, и који се затим инкорпорира у року од 4 или 12 сати</w:t>
            </w:r>
            <w:r w:rsidRPr="00CC35F0">
              <w:rPr>
                <w:rFonts w:ascii="Times New Roman" w:eastAsia="Times New Roman" w:hAnsi="Times New Roman"/>
                <w:b/>
                <w:sz w:val="24"/>
                <w:szCs w:val="24"/>
                <w:lang w:val="sr-Cyrl-CS"/>
              </w:rPr>
              <w:t>.</w:t>
            </w:r>
          </w:p>
        </w:tc>
        <w:tc>
          <w:tcPr>
            <w:tcW w:w="1744" w:type="dxa"/>
            <w:shd w:val="clear" w:color="auto" w:fill="D9D9D9"/>
            <w:vAlign w:val="center"/>
          </w:tcPr>
          <w:p w14:paraId="3BDF27A7"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Истраживање на свим фармама у Србији на сваке две године од 2024.</w:t>
            </w:r>
          </w:p>
        </w:tc>
        <w:tc>
          <w:tcPr>
            <w:tcW w:w="1526" w:type="dxa"/>
            <w:shd w:val="clear" w:color="auto" w:fill="D9D9D9"/>
            <w:vAlign w:val="center"/>
          </w:tcPr>
          <w:p w14:paraId="7B00FAB8"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0</w:t>
            </w:r>
            <w:r w:rsidRPr="00CC35F0">
              <w:rPr>
                <w:rFonts w:ascii="Times New Roman" w:eastAsia="Times New Roman" w:hAnsi="Times New Roman"/>
                <w:b/>
                <w:sz w:val="24"/>
                <w:szCs w:val="24"/>
                <w:lang w:val="sr-Cyrl-CS"/>
              </w:rPr>
              <w:t>-</w:t>
            </w:r>
          </w:p>
        </w:tc>
        <w:tc>
          <w:tcPr>
            <w:tcW w:w="1361" w:type="dxa"/>
            <w:shd w:val="clear" w:color="auto" w:fill="D9D9D9"/>
            <w:vAlign w:val="center"/>
          </w:tcPr>
          <w:p w14:paraId="6F9F68DD"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Смањење од 2kt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до 2030. постиже се инјектирањем и наношењем цревом и инкорпорацијом</w:t>
            </w:r>
          </w:p>
          <w:p w14:paraId="5186E896"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r>
      <w:tr w:rsidR="00A0251B" w:rsidRPr="00CC35F0" w14:paraId="37A9AB06" w14:textId="77777777" w:rsidTr="009E674D">
        <w:trPr>
          <w:trHeight w:val="50"/>
        </w:trPr>
        <w:tc>
          <w:tcPr>
            <w:tcW w:w="987" w:type="dxa"/>
            <w:vMerge w:val="restart"/>
            <w:shd w:val="clear" w:color="auto" w:fill="auto"/>
            <w:vAlign w:val="center"/>
          </w:tcPr>
          <w:p w14:paraId="68E342D3" w14:textId="77777777" w:rsidR="00A0251B" w:rsidRPr="00CC35F0" w:rsidRDefault="00A0251B">
            <w:pPr>
              <w:spacing w:after="0" w:line="240" w:lineRule="auto"/>
              <w:ind w:left="-103" w:right="-98"/>
              <w:jc w:val="center"/>
              <w:rPr>
                <w:rFonts w:ascii="Times New Roman" w:eastAsia="Times New Roman" w:hAnsi="Times New Roman"/>
                <w:color w:val="0563C1"/>
                <w:sz w:val="24"/>
                <w:szCs w:val="24"/>
                <w:u w:val="single"/>
                <w:lang w:val="sr-Cyrl-CS"/>
              </w:rPr>
            </w:pPr>
          </w:p>
        </w:tc>
        <w:tc>
          <w:tcPr>
            <w:tcW w:w="5108" w:type="dxa"/>
            <w:shd w:val="clear" w:color="auto" w:fill="auto"/>
            <w:vAlign w:val="center"/>
          </w:tcPr>
          <w:p w14:paraId="7187939B"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Видети хоризонталне активности означене (Х) за Меру бр. 12.</w:t>
            </w:r>
          </w:p>
        </w:tc>
        <w:tc>
          <w:tcPr>
            <w:tcW w:w="2550" w:type="dxa"/>
            <w:shd w:val="clear" w:color="auto" w:fill="auto"/>
            <w:vAlign w:val="center"/>
          </w:tcPr>
          <w:p w14:paraId="7936A44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 (Бр.12)</w:t>
            </w:r>
          </w:p>
        </w:tc>
        <w:tc>
          <w:tcPr>
            <w:tcW w:w="2175" w:type="dxa"/>
            <w:shd w:val="clear" w:color="auto" w:fill="auto"/>
          </w:tcPr>
          <w:p w14:paraId="40494B7A"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 (Бр.12)</w:t>
            </w:r>
          </w:p>
        </w:tc>
        <w:tc>
          <w:tcPr>
            <w:tcW w:w="1744" w:type="dxa"/>
            <w:shd w:val="clear" w:color="auto" w:fill="auto"/>
          </w:tcPr>
          <w:p w14:paraId="56E161C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 (Бр.12)</w:t>
            </w:r>
          </w:p>
        </w:tc>
        <w:tc>
          <w:tcPr>
            <w:tcW w:w="1526" w:type="dxa"/>
            <w:shd w:val="clear" w:color="auto" w:fill="auto"/>
          </w:tcPr>
          <w:p w14:paraId="1F703289"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 (Бр.12)</w:t>
            </w:r>
          </w:p>
        </w:tc>
        <w:tc>
          <w:tcPr>
            <w:tcW w:w="1361" w:type="dxa"/>
            <w:shd w:val="clear" w:color="auto" w:fill="auto"/>
          </w:tcPr>
          <w:p w14:paraId="2E4F6A3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Тј. (Бр.12)</w:t>
            </w:r>
          </w:p>
        </w:tc>
      </w:tr>
      <w:tr w:rsidR="00A0251B" w:rsidRPr="00CC35F0" w14:paraId="23B5CC1F" w14:textId="77777777" w:rsidTr="009E674D">
        <w:trPr>
          <w:trHeight w:val="43"/>
        </w:trPr>
        <w:tc>
          <w:tcPr>
            <w:tcW w:w="987" w:type="dxa"/>
            <w:vMerge/>
            <w:shd w:val="clear" w:color="auto" w:fill="auto"/>
            <w:vAlign w:val="center"/>
          </w:tcPr>
          <w:p w14:paraId="0312DB20"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5108" w:type="dxa"/>
            <w:shd w:val="clear" w:color="auto" w:fill="auto"/>
            <w:vAlign w:val="center"/>
          </w:tcPr>
          <w:p w14:paraId="056D1B38" w14:textId="77777777" w:rsidR="00A0251B" w:rsidRPr="00CC35F0" w:rsidRDefault="008D6506">
            <w:pPr>
              <w:spacing w:after="0" w:line="240" w:lineRule="auto"/>
              <w:ind w:left="-107" w:right="-11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Спровођење најбоље праксе у растурању течног стајњака са фарми свиња и говеда кроз унапређење пољопривредне механизације (инјектори и црева за растурање стајњака).</w:t>
            </w:r>
          </w:p>
        </w:tc>
        <w:tc>
          <w:tcPr>
            <w:tcW w:w="2550" w:type="dxa"/>
            <w:shd w:val="clear" w:color="auto" w:fill="auto"/>
            <w:vAlign w:val="center"/>
          </w:tcPr>
          <w:p w14:paraId="45B9D67D"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05664B27"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Процентуални удео течног стајњака по категорији стоке (свиња, говедо) који се наноси инјектирањем и цревом, и који се затим инкорпорира у року од 4 или 12 сати. </w:t>
            </w:r>
          </w:p>
        </w:tc>
        <w:tc>
          <w:tcPr>
            <w:tcW w:w="1744" w:type="dxa"/>
            <w:shd w:val="clear" w:color="auto" w:fill="auto"/>
            <w:vAlign w:val="center"/>
          </w:tcPr>
          <w:p w14:paraId="405DC1E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Истраживања на свим фармама у Србији имплементирана на сваке две године </w:t>
            </w:r>
          </w:p>
        </w:tc>
        <w:tc>
          <w:tcPr>
            <w:tcW w:w="1526" w:type="dxa"/>
            <w:shd w:val="clear" w:color="auto" w:fill="auto"/>
            <w:vAlign w:val="center"/>
          </w:tcPr>
          <w:p w14:paraId="67E39CBE"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Следећи удео је  изражен као % укупног течног стајњака по категорији стоке (укључује и животиње узгајане на фармама које подлежу захтевима ДИЕ) : </w:t>
            </w:r>
            <w:r w:rsidRPr="00CC35F0">
              <w:rPr>
                <w:rFonts w:ascii="Times New Roman" w:eastAsia="Times New Roman" w:hAnsi="Times New Roman"/>
                <w:color w:val="000000"/>
                <w:sz w:val="24"/>
                <w:szCs w:val="24"/>
                <w:lang w:val="sr-Cyrl-CS"/>
              </w:rPr>
              <w:br/>
            </w:r>
            <w:r w:rsidRPr="00CC35F0">
              <w:rPr>
                <w:rFonts w:ascii="Times New Roman" w:eastAsia="Times New Roman" w:hAnsi="Times New Roman"/>
                <w:color w:val="000000"/>
                <w:sz w:val="24"/>
                <w:szCs w:val="24"/>
                <w:lang w:val="sr-Cyrl-CS"/>
              </w:rPr>
              <w:lastRenderedPageBreak/>
              <w:t xml:space="preserve">- Свињски стајњак - </w:t>
            </w:r>
            <w:r w:rsidRPr="009366CC">
              <w:rPr>
                <w:rFonts w:ascii="Times New Roman" w:eastAsia="Times New Roman" w:hAnsi="Times New Roman"/>
                <w:color w:val="000000"/>
                <w:lang w:val="sr-Cyrl-CS"/>
              </w:rPr>
              <w:t>Инјектирање</w:t>
            </w:r>
            <w:r w:rsidRPr="00CC35F0">
              <w:rPr>
                <w:rFonts w:ascii="Times New Roman" w:eastAsia="Times New Roman" w:hAnsi="Times New Roman"/>
                <w:color w:val="000000"/>
                <w:sz w:val="24"/>
                <w:szCs w:val="24"/>
                <w:lang w:val="sr-Cyrl-CS"/>
              </w:rPr>
              <w:t>: 9,7%</w:t>
            </w:r>
          </w:p>
          <w:p w14:paraId="22011438"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Свињско ђубриво - Црево и прикључни систем у року од 4 сата: 2,1%</w:t>
            </w:r>
          </w:p>
          <w:p w14:paraId="1E71711A"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Свињско ђубриво - Црево и прикључни систем у року од 12 сати: 0,7%</w:t>
            </w:r>
          </w:p>
          <w:p w14:paraId="010CB43D"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Сточни стајњак - Инјектирање: 7%</w:t>
            </w:r>
          </w:p>
          <w:p w14:paraId="5F6B27B4"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Стајско ђубриво - Црево и прикључни систем у року од 4 сата: 6,3%</w:t>
            </w:r>
          </w:p>
          <w:p w14:paraId="2CDF104A"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Сточни ђубриво - Црево и прикључни систем у року од 12 сати: 6,3%</w:t>
            </w:r>
          </w:p>
        </w:tc>
        <w:tc>
          <w:tcPr>
            <w:tcW w:w="1361" w:type="dxa"/>
            <w:shd w:val="clear" w:color="auto" w:fill="auto"/>
            <w:vAlign w:val="center"/>
          </w:tcPr>
          <w:p w14:paraId="0480BB68" w14:textId="77777777" w:rsidR="003F3EA5"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lastRenderedPageBreak/>
              <w:t xml:space="preserve">Следећи удео је  изражен као % укупног течног стајњака по категорији стоке (укључује и животиње узгајане на фармама које подлежу захтевима ДИЕ): </w:t>
            </w:r>
            <w:r w:rsidRPr="00CC35F0">
              <w:rPr>
                <w:rFonts w:ascii="Times New Roman" w:eastAsia="Times New Roman" w:hAnsi="Times New Roman"/>
                <w:color w:val="000000"/>
                <w:lang w:val="sr-Cyrl-CS"/>
              </w:rPr>
              <w:br/>
              <w:t>- Свињски стајњак</w:t>
            </w:r>
          </w:p>
          <w:p w14:paraId="59A2340F" w14:textId="77777777" w:rsidR="00A0251B"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lastRenderedPageBreak/>
              <w:t xml:space="preserve"> - Инјектирање: 28,3%</w:t>
            </w:r>
          </w:p>
          <w:p w14:paraId="3EB414E4" w14:textId="77777777" w:rsidR="003F3EA5"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 xml:space="preserve">- Свињско ђубриво </w:t>
            </w:r>
          </w:p>
          <w:p w14:paraId="1D9248D2" w14:textId="77777777" w:rsidR="003F3EA5" w:rsidRPr="00CC35F0" w:rsidRDefault="003F3EA5"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w:t>
            </w:r>
            <w:r w:rsidR="008D6506" w:rsidRPr="00CC35F0">
              <w:rPr>
                <w:rFonts w:ascii="Times New Roman" w:eastAsia="Times New Roman" w:hAnsi="Times New Roman"/>
                <w:color w:val="000000"/>
                <w:lang w:val="sr-Cyrl-CS"/>
              </w:rPr>
              <w:t xml:space="preserve"> Црево и прикључни систем у року од</w:t>
            </w:r>
          </w:p>
          <w:p w14:paraId="1000598A" w14:textId="77777777" w:rsidR="00A0251B"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 xml:space="preserve"> 4 сата: 9,6%</w:t>
            </w:r>
          </w:p>
          <w:p w14:paraId="7877ADEA" w14:textId="77777777" w:rsidR="003F3EA5"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 Свињско ђубриво</w:t>
            </w:r>
          </w:p>
          <w:p w14:paraId="2257DF59" w14:textId="77777777" w:rsidR="003F3EA5" w:rsidRPr="00CC35F0" w:rsidRDefault="003F3EA5"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w:t>
            </w:r>
            <w:r w:rsidR="008D6506" w:rsidRPr="00CC35F0">
              <w:rPr>
                <w:rFonts w:ascii="Times New Roman" w:eastAsia="Times New Roman" w:hAnsi="Times New Roman"/>
                <w:color w:val="000000"/>
                <w:lang w:val="sr-Cyrl-CS"/>
              </w:rPr>
              <w:t xml:space="preserve"> Црево и прикључни систем у року од</w:t>
            </w:r>
          </w:p>
          <w:p w14:paraId="20201E32" w14:textId="77777777" w:rsidR="00A0251B"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 xml:space="preserve"> 12 сати: 3,5%</w:t>
            </w:r>
          </w:p>
          <w:p w14:paraId="0B3314DF" w14:textId="77777777" w:rsidR="003F3EA5"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 Сточни стајњак</w:t>
            </w:r>
          </w:p>
          <w:p w14:paraId="41B46509" w14:textId="77777777" w:rsidR="00A0251B"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 xml:space="preserve"> - Инјектирање: 15%</w:t>
            </w:r>
          </w:p>
          <w:p w14:paraId="4094E2AF" w14:textId="77777777" w:rsidR="003F3EA5"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 xml:space="preserve">- Стајско ђубриво </w:t>
            </w:r>
          </w:p>
          <w:p w14:paraId="2AC93A4D" w14:textId="77777777" w:rsidR="003F3EA5" w:rsidRPr="00CC35F0" w:rsidRDefault="003F3EA5"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w:t>
            </w:r>
            <w:r w:rsidR="008D6506" w:rsidRPr="00CC35F0">
              <w:rPr>
                <w:rFonts w:ascii="Times New Roman" w:eastAsia="Times New Roman" w:hAnsi="Times New Roman"/>
                <w:color w:val="000000"/>
                <w:lang w:val="sr-Cyrl-CS"/>
              </w:rPr>
              <w:t xml:space="preserve"> Црево и прикључни систем у року од</w:t>
            </w:r>
          </w:p>
          <w:p w14:paraId="04CE76F1" w14:textId="77777777" w:rsidR="00A0251B"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 xml:space="preserve"> 4 сата: 11,7%</w:t>
            </w:r>
          </w:p>
          <w:p w14:paraId="7FB59C4A" w14:textId="77777777" w:rsidR="003F3EA5"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 Стајско ђубриво</w:t>
            </w:r>
          </w:p>
          <w:p w14:paraId="7539D18B" w14:textId="77777777" w:rsidR="003F3EA5"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lastRenderedPageBreak/>
              <w:t xml:space="preserve"> </w:t>
            </w:r>
            <w:r w:rsidR="003F3EA5" w:rsidRPr="00CC35F0">
              <w:rPr>
                <w:rFonts w:ascii="Times New Roman" w:eastAsia="Times New Roman" w:hAnsi="Times New Roman"/>
                <w:color w:val="000000"/>
                <w:lang w:val="sr-Cyrl-CS"/>
              </w:rPr>
              <w:t>-</w:t>
            </w:r>
            <w:r w:rsidRPr="00CC35F0">
              <w:rPr>
                <w:rFonts w:ascii="Times New Roman" w:eastAsia="Times New Roman" w:hAnsi="Times New Roman"/>
                <w:color w:val="000000"/>
                <w:lang w:val="sr-Cyrl-CS"/>
              </w:rPr>
              <w:t xml:space="preserve"> Црево и прикључни систем у року од</w:t>
            </w:r>
          </w:p>
          <w:p w14:paraId="4628BBB4" w14:textId="77777777" w:rsidR="00A0251B" w:rsidRPr="00CC35F0" w:rsidRDefault="008D6506" w:rsidP="003F3EA5">
            <w:pPr>
              <w:spacing w:after="0" w:line="240" w:lineRule="auto"/>
              <w:ind w:left="-142" w:right="-74"/>
              <w:jc w:val="center"/>
              <w:rPr>
                <w:rFonts w:ascii="Times New Roman" w:eastAsia="Times New Roman" w:hAnsi="Times New Roman"/>
                <w:color w:val="000000"/>
                <w:lang w:val="sr-Cyrl-CS"/>
              </w:rPr>
            </w:pPr>
            <w:r w:rsidRPr="00CC35F0">
              <w:rPr>
                <w:rFonts w:ascii="Times New Roman" w:eastAsia="Times New Roman" w:hAnsi="Times New Roman"/>
                <w:color w:val="000000"/>
                <w:lang w:val="sr-Cyrl-CS"/>
              </w:rPr>
              <w:t xml:space="preserve"> 12 сати: 11,7%</w:t>
            </w:r>
          </w:p>
        </w:tc>
      </w:tr>
      <w:tr w:rsidR="00A0251B" w:rsidRPr="00CC35F0" w14:paraId="3B514480" w14:textId="77777777" w:rsidTr="009E674D">
        <w:trPr>
          <w:trHeight w:val="864"/>
        </w:trPr>
        <w:tc>
          <w:tcPr>
            <w:tcW w:w="987" w:type="dxa"/>
            <w:shd w:val="clear" w:color="auto" w:fill="D9D9D9"/>
            <w:vAlign w:val="center"/>
          </w:tcPr>
          <w:p w14:paraId="1064920A"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lastRenderedPageBreak/>
              <w:t>Бр. 16</w:t>
            </w:r>
          </w:p>
          <w:p w14:paraId="7D4335C3"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(WAM C3)</w:t>
            </w:r>
          </w:p>
        </w:tc>
        <w:tc>
          <w:tcPr>
            <w:tcW w:w="5108" w:type="dxa"/>
            <w:shd w:val="clear" w:color="auto" w:fill="D9D9D9"/>
            <w:vAlign w:val="center"/>
          </w:tcPr>
          <w:p w14:paraId="16727985" w14:textId="77777777" w:rsidR="00A0251B" w:rsidRPr="00CC35F0" w:rsidRDefault="008D6506">
            <w:pPr>
              <w:spacing w:after="0" w:line="240" w:lineRule="auto"/>
              <w:ind w:left="-107" w:right="-110"/>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Ограничавање спаљивања остатака из пољопривреде (0% 2030. године)</w:t>
            </w:r>
          </w:p>
        </w:tc>
        <w:tc>
          <w:tcPr>
            <w:tcW w:w="2550" w:type="dxa"/>
            <w:shd w:val="clear" w:color="auto" w:fill="D9D9D9"/>
            <w:vAlign w:val="center"/>
          </w:tcPr>
          <w:p w14:paraId="40ACAA9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Спровођење забране спаљивања пољопривредних остатака </w:t>
            </w:r>
          </w:p>
        </w:tc>
        <w:tc>
          <w:tcPr>
            <w:tcW w:w="2175" w:type="dxa"/>
            <w:shd w:val="clear" w:color="auto" w:fill="D9D9D9"/>
            <w:vAlign w:val="center"/>
          </w:tcPr>
          <w:p w14:paraId="3B189947"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 xml:space="preserve">Удео укупно спаљених остатака од кукуруза и пшенице </w:t>
            </w:r>
          </w:p>
        </w:tc>
        <w:tc>
          <w:tcPr>
            <w:tcW w:w="1744" w:type="dxa"/>
            <w:shd w:val="clear" w:color="auto" w:fill="D9D9D9"/>
            <w:vAlign w:val="center"/>
          </w:tcPr>
          <w:p w14:paraId="39BD046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Имплементирати истраживање на свим фармама у Србији </w:t>
            </w:r>
          </w:p>
          <w:p w14:paraId="235E7B19"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1526" w:type="dxa"/>
            <w:shd w:val="clear" w:color="auto" w:fill="D9D9D9"/>
            <w:vAlign w:val="center"/>
          </w:tcPr>
          <w:p w14:paraId="7AA530D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Удео спаљених остатака од кукуруза: 17,0%</w:t>
            </w:r>
            <w:r w:rsidRPr="00CC35F0">
              <w:rPr>
                <w:rFonts w:ascii="Times New Roman" w:eastAsia="Times New Roman" w:hAnsi="Times New Roman"/>
                <w:color w:val="000000"/>
                <w:sz w:val="24"/>
                <w:szCs w:val="24"/>
                <w:lang w:val="sr-Cyrl-CS"/>
              </w:rPr>
              <w:br/>
              <w:t>Удео спаљених остатака од пшенице: 9,1%</w:t>
            </w:r>
          </w:p>
        </w:tc>
        <w:tc>
          <w:tcPr>
            <w:tcW w:w="1361" w:type="dxa"/>
            <w:shd w:val="clear" w:color="auto" w:fill="D9D9D9"/>
            <w:vAlign w:val="center"/>
          </w:tcPr>
          <w:p w14:paraId="2E4FA23D" w14:textId="77777777" w:rsidR="00A0251B" w:rsidRPr="00CC35F0" w:rsidRDefault="008D6506">
            <w:pPr>
              <w:spacing w:after="0" w:line="240" w:lineRule="auto"/>
              <w:ind w:right="-74"/>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Удео спаљених остатака од кукуруза: 0%</w:t>
            </w:r>
            <w:r w:rsidRPr="00CC35F0">
              <w:rPr>
                <w:rFonts w:ascii="Times New Roman" w:eastAsia="Times New Roman" w:hAnsi="Times New Roman"/>
                <w:color w:val="000000"/>
                <w:sz w:val="24"/>
                <w:szCs w:val="24"/>
                <w:lang w:val="sr-Cyrl-CS"/>
              </w:rPr>
              <w:br/>
              <w:t>Удео спаљених остатака од пшенице: 0%</w:t>
            </w:r>
          </w:p>
          <w:p w14:paraId="400FDAFF" w14:textId="77777777" w:rsidR="00A0251B" w:rsidRPr="00CC35F0" w:rsidRDefault="008D6506">
            <w:pPr>
              <w:spacing w:after="0" w:line="240" w:lineRule="auto"/>
              <w:ind w:right="-74"/>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r>
      <w:tr w:rsidR="00A0251B" w:rsidRPr="00CC35F0" w14:paraId="768DFC51" w14:textId="77777777" w:rsidTr="009E674D">
        <w:trPr>
          <w:trHeight w:val="1103"/>
        </w:trPr>
        <w:tc>
          <w:tcPr>
            <w:tcW w:w="987" w:type="dxa"/>
            <w:vMerge w:val="restart"/>
            <w:shd w:val="clear" w:color="auto" w:fill="auto"/>
            <w:vAlign w:val="center"/>
          </w:tcPr>
          <w:p w14:paraId="37BDB080" w14:textId="77777777" w:rsidR="00A0251B" w:rsidRPr="00CC35F0" w:rsidRDefault="00000000">
            <w:pPr>
              <w:spacing w:after="0" w:line="240" w:lineRule="auto"/>
              <w:ind w:left="-103" w:right="-98"/>
              <w:jc w:val="center"/>
              <w:rPr>
                <w:rFonts w:ascii="Times New Roman" w:eastAsia="Times New Roman" w:hAnsi="Times New Roman"/>
                <w:color w:val="0563C1"/>
                <w:sz w:val="24"/>
                <w:szCs w:val="24"/>
                <w:u w:val="single"/>
                <w:lang w:val="sr-Cyrl-CS"/>
              </w:rPr>
            </w:pPr>
            <w:hyperlink r:id="rId65">
              <w:r w:rsidR="008D6506" w:rsidRPr="00CC35F0">
                <w:rPr>
                  <w:rFonts w:ascii="Times New Roman" w:eastAsia="Times New Roman" w:hAnsi="Times New Roman"/>
                  <w:color w:val="0563C1"/>
                  <w:sz w:val="24"/>
                  <w:szCs w:val="24"/>
                  <w:u w:val="single"/>
                  <w:lang w:val="sr-Cyrl-CS"/>
                </w:rPr>
                <w:t>[A]</w:t>
              </w:r>
            </w:hyperlink>
          </w:p>
        </w:tc>
        <w:tc>
          <w:tcPr>
            <w:tcW w:w="5108" w:type="dxa"/>
            <w:shd w:val="clear" w:color="auto" w:fill="auto"/>
            <w:vAlign w:val="center"/>
          </w:tcPr>
          <w:p w14:paraId="0328FBB7"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Информисање о и ширење Националног кодекса добре пољопривредне праксе и развој кампања за подизање свести о утицају спаљивања остатака из пољопривреде на квалитет ваздуха и о мерама за смањење спаљивања на отвореном (кроз више догађаја (1 у Србији од 2023. године), израда и ширење промотивних мате</w:t>
            </w:r>
            <w:r w:rsidR="009334EB">
              <w:rPr>
                <w:rFonts w:ascii="Times New Roman" w:eastAsia="Times New Roman" w:hAnsi="Times New Roman"/>
                <w:sz w:val="24"/>
                <w:szCs w:val="24"/>
                <w:lang w:val="sr-Cyrl-CS"/>
              </w:rPr>
              <w:t>ријала ((летака, видео записа), итд.</w:t>
            </w:r>
            <w:r w:rsidRPr="00CC35F0">
              <w:rPr>
                <w:rFonts w:ascii="Times New Roman" w:eastAsia="Times New Roman" w:hAnsi="Times New Roman"/>
                <w:sz w:val="24"/>
                <w:szCs w:val="24"/>
                <w:lang w:val="sr-Cyrl-CS"/>
              </w:rPr>
              <w:t>): 5), интернет страница (1)).</w:t>
            </w:r>
          </w:p>
        </w:tc>
        <w:tc>
          <w:tcPr>
            <w:tcW w:w="2550" w:type="dxa"/>
            <w:shd w:val="clear" w:color="auto" w:fill="auto"/>
            <w:vAlign w:val="center"/>
          </w:tcPr>
          <w:p w14:paraId="564D4D75"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6EA1614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Реализован програм догађаја: 1 догађај годишње од 2023. до 2030. године</w:t>
            </w:r>
          </w:p>
          <w:p w14:paraId="401D3D6D"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Промотивни материјали ((флајери, видео записи</w:t>
            </w:r>
            <w:r w:rsidR="00A104A4">
              <w:rPr>
                <w:rFonts w:ascii="Times New Roman" w:eastAsia="Times New Roman" w:hAnsi="Times New Roman"/>
                <w:color w:val="000000"/>
                <w:sz w:val="24"/>
                <w:szCs w:val="24"/>
                <w:lang w:val="sr-Cyrl-CS"/>
              </w:rPr>
              <w:t>, итд</w:t>
            </w:r>
            <w:r w:rsidRPr="00CC35F0">
              <w:rPr>
                <w:rFonts w:ascii="Times New Roman" w:eastAsia="Times New Roman" w:hAnsi="Times New Roman"/>
                <w:color w:val="000000"/>
                <w:sz w:val="24"/>
                <w:szCs w:val="24"/>
                <w:lang w:val="sr-Cyrl-CS"/>
              </w:rPr>
              <w:t>.): 5 израђено од 2024. до 2030. године</w:t>
            </w:r>
          </w:p>
          <w:p w14:paraId="3CCA62A1" w14:textId="77777777" w:rsidR="00A0251B" w:rsidRPr="00CC35F0" w:rsidRDefault="00440564">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1 интернет страница 2024</w:t>
            </w:r>
            <w:r w:rsidR="008D6506" w:rsidRPr="00CC35F0">
              <w:rPr>
                <w:rFonts w:ascii="Times New Roman" w:eastAsia="Times New Roman" w:hAnsi="Times New Roman"/>
                <w:color w:val="000000"/>
                <w:sz w:val="24"/>
                <w:szCs w:val="24"/>
                <w:lang w:val="sr-Cyrl-CS"/>
              </w:rPr>
              <w:t>. године</w:t>
            </w:r>
          </w:p>
        </w:tc>
        <w:tc>
          <w:tcPr>
            <w:tcW w:w="1744" w:type="dxa"/>
            <w:shd w:val="clear" w:color="auto" w:fill="auto"/>
            <w:vAlign w:val="center"/>
          </w:tcPr>
          <w:p w14:paraId="3B3680C6"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Годишњи програм догађаја, статус наменске интернет странице</w:t>
            </w:r>
          </w:p>
        </w:tc>
        <w:tc>
          <w:tcPr>
            <w:tcW w:w="1526" w:type="dxa"/>
            <w:shd w:val="clear" w:color="auto" w:fill="auto"/>
            <w:vAlign w:val="center"/>
          </w:tcPr>
          <w:p w14:paraId="34F6EDF1"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0013115E"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tc>
      </w:tr>
      <w:tr w:rsidR="00A0251B" w:rsidRPr="00CC35F0" w14:paraId="158B13FA" w14:textId="77777777" w:rsidTr="009E674D">
        <w:trPr>
          <w:trHeight w:val="348"/>
        </w:trPr>
        <w:tc>
          <w:tcPr>
            <w:tcW w:w="987" w:type="dxa"/>
            <w:vMerge/>
            <w:shd w:val="clear" w:color="auto" w:fill="auto"/>
            <w:vAlign w:val="center"/>
          </w:tcPr>
          <w:p w14:paraId="40159FF8"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5108" w:type="dxa"/>
            <w:shd w:val="clear" w:color="auto" w:fill="auto"/>
            <w:vAlign w:val="center"/>
          </w:tcPr>
          <w:p w14:paraId="18A6CDFB"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bookmarkStart w:id="119" w:name="_heading=h.1qoc8b1" w:colFirst="0" w:colLast="0"/>
            <w:bookmarkEnd w:id="119"/>
            <w:r w:rsidRPr="00CC35F0">
              <w:rPr>
                <w:rFonts w:ascii="Times New Roman" w:eastAsia="Times New Roman" w:hAnsi="Times New Roman"/>
                <w:sz w:val="24"/>
                <w:szCs w:val="24"/>
                <w:lang w:val="sr-Cyrl-CS"/>
              </w:rPr>
              <w:t>Ограничење спаљивања пољопривредних остатака на отвореном улагањима у пољопривредну механизацију како би се остаци из пољопривреде инкорпорирали у земљиште.</w:t>
            </w:r>
          </w:p>
        </w:tc>
        <w:tc>
          <w:tcPr>
            <w:tcW w:w="2550" w:type="dxa"/>
            <w:shd w:val="clear" w:color="auto" w:fill="auto"/>
            <w:vAlign w:val="center"/>
          </w:tcPr>
          <w:p w14:paraId="5238C457"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66D1133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Износ финансијских средстава потребних за надоградњу пољопривредне механизације</w:t>
            </w:r>
          </w:p>
        </w:tc>
        <w:tc>
          <w:tcPr>
            <w:tcW w:w="1744" w:type="dxa"/>
            <w:shd w:val="clear" w:color="auto" w:fill="auto"/>
            <w:vAlign w:val="center"/>
          </w:tcPr>
          <w:p w14:paraId="7DDC4953"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Статистика Програма </w:t>
            </w:r>
            <w:r w:rsidRPr="00CC35F0">
              <w:rPr>
                <w:rFonts w:ascii="Times New Roman" w:eastAsia="Times New Roman" w:hAnsi="Times New Roman"/>
                <w:i/>
                <w:color w:val="000000"/>
                <w:sz w:val="24"/>
                <w:szCs w:val="24"/>
                <w:lang w:val="sr-Cyrl-CS"/>
              </w:rPr>
              <w:t>IPARD</w:t>
            </w:r>
            <w:r w:rsidRPr="00CC35F0">
              <w:rPr>
                <w:rFonts w:ascii="Times New Roman" w:eastAsia="Times New Roman" w:hAnsi="Times New Roman"/>
                <w:color w:val="000000"/>
                <w:sz w:val="24"/>
                <w:szCs w:val="24"/>
                <w:lang w:val="sr-Cyrl-CS"/>
              </w:rPr>
              <w:t xml:space="preserve"> </w:t>
            </w:r>
          </w:p>
        </w:tc>
        <w:tc>
          <w:tcPr>
            <w:tcW w:w="1526" w:type="dxa"/>
            <w:shd w:val="clear" w:color="auto" w:fill="auto"/>
            <w:vAlign w:val="center"/>
          </w:tcPr>
          <w:p w14:paraId="06F5F582"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 милиона евра</w:t>
            </w:r>
          </w:p>
        </w:tc>
        <w:tc>
          <w:tcPr>
            <w:tcW w:w="1361" w:type="dxa"/>
            <w:shd w:val="clear" w:color="auto" w:fill="auto"/>
            <w:vAlign w:val="center"/>
          </w:tcPr>
          <w:p w14:paraId="24D8358C"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46,23 милиона евра</w:t>
            </w:r>
          </w:p>
        </w:tc>
      </w:tr>
      <w:tr w:rsidR="00A0251B" w:rsidRPr="00CC35F0" w14:paraId="4AFB368A" w14:textId="77777777" w:rsidTr="009E674D">
        <w:trPr>
          <w:trHeight w:val="283"/>
        </w:trPr>
        <w:tc>
          <w:tcPr>
            <w:tcW w:w="987" w:type="dxa"/>
            <w:vMerge/>
            <w:shd w:val="clear" w:color="auto" w:fill="auto"/>
            <w:vAlign w:val="center"/>
          </w:tcPr>
          <w:p w14:paraId="138A28AD" w14:textId="77777777" w:rsidR="00A0251B" w:rsidRPr="00CC35F0" w:rsidRDefault="00A0251B">
            <w:pPr>
              <w:widowControl w:val="0"/>
              <w:pBdr>
                <w:top w:val="nil"/>
                <w:left w:val="nil"/>
                <w:bottom w:val="nil"/>
                <w:right w:val="nil"/>
                <w:between w:val="nil"/>
              </w:pBdr>
              <w:spacing w:after="0" w:line="276" w:lineRule="auto"/>
              <w:jc w:val="left"/>
              <w:rPr>
                <w:rFonts w:ascii="Times New Roman" w:eastAsia="Times New Roman" w:hAnsi="Times New Roman"/>
                <w:color w:val="000000"/>
                <w:sz w:val="24"/>
                <w:szCs w:val="24"/>
                <w:lang w:val="sr-Cyrl-CS"/>
              </w:rPr>
            </w:pPr>
          </w:p>
        </w:tc>
        <w:tc>
          <w:tcPr>
            <w:tcW w:w="5108" w:type="dxa"/>
            <w:shd w:val="clear" w:color="auto" w:fill="auto"/>
            <w:vAlign w:val="center"/>
          </w:tcPr>
          <w:p w14:paraId="364739EF"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Јачати техничке капацитете пољопривредника у погледу најбоље праксе у жетви и о другим најбољим праксама (посебна обука за пољопривреднике (2 годишње од 2024. године).</w:t>
            </w:r>
          </w:p>
        </w:tc>
        <w:tc>
          <w:tcPr>
            <w:tcW w:w="2550" w:type="dxa"/>
            <w:shd w:val="clear" w:color="auto" w:fill="auto"/>
            <w:vAlign w:val="center"/>
          </w:tcPr>
          <w:p w14:paraId="65864B6E"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6C08B15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Проценат информисаних и обучених пољопривредника (више од 80%) и испуњен Програм обуке за пољопривреднике према годишњем плану за период од 2024. до 2030. године (2 обуке годишње)</w:t>
            </w:r>
          </w:p>
        </w:tc>
        <w:tc>
          <w:tcPr>
            <w:tcW w:w="1744" w:type="dxa"/>
            <w:shd w:val="clear" w:color="auto" w:fill="auto"/>
            <w:vAlign w:val="center"/>
          </w:tcPr>
          <w:p w14:paraId="24887CE0" w14:textId="77777777" w:rsidR="00A0251B" w:rsidRPr="00CC35F0" w:rsidRDefault="008D6506">
            <w:pPr>
              <w:spacing w:after="0" w:line="240" w:lineRule="auto"/>
              <w:ind w:left="-148"/>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Програм обуке за фармере</w:t>
            </w:r>
          </w:p>
        </w:tc>
        <w:tc>
          <w:tcPr>
            <w:tcW w:w="1526" w:type="dxa"/>
            <w:shd w:val="clear" w:color="auto" w:fill="auto"/>
            <w:vAlign w:val="center"/>
          </w:tcPr>
          <w:p w14:paraId="232B534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502588BA" w14:textId="77777777" w:rsidR="00A0251B" w:rsidRPr="00CC35F0" w:rsidRDefault="008D6506">
            <w:pPr>
              <w:spacing w:after="0" w:line="240" w:lineRule="auto"/>
              <w:ind w:left="-110"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tc>
      </w:tr>
      <w:tr w:rsidR="00A0251B" w:rsidRPr="00CC35F0" w14:paraId="1093F27C" w14:textId="77777777" w:rsidTr="009E674D">
        <w:trPr>
          <w:trHeight w:val="411"/>
        </w:trPr>
        <w:tc>
          <w:tcPr>
            <w:tcW w:w="15451" w:type="dxa"/>
            <w:gridSpan w:val="7"/>
            <w:shd w:val="clear" w:color="auto" w:fill="D9E2F3"/>
            <w:vAlign w:val="center"/>
          </w:tcPr>
          <w:p w14:paraId="22682659" w14:textId="77777777" w:rsidR="00A0251B" w:rsidRPr="00CC35F0" w:rsidRDefault="008D6506">
            <w:pPr>
              <w:spacing w:after="0" w:line="240" w:lineRule="auto"/>
              <w:ind w:left="-57" w:right="-111"/>
              <w:jc w:val="left"/>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t>Посебни циљ 4: Промоција преласка на чист ваздух за све</w:t>
            </w:r>
          </w:p>
        </w:tc>
      </w:tr>
      <w:tr w:rsidR="00A0251B" w:rsidRPr="00CC35F0" w14:paraId="2F5CC433" w14:textId="77777777" w:rsidTr="009E674D">
        <w:trPr>
          <w:trHeight w:val="2654"/>
        </w:trPr>
        <w:tc>
          <w:tcPr>
            <w:tcW w:w="987" w:type="dxa"/>
            <w:shd w:val="clear" w:color="auto" w:fill="D9D9D9"/>
            <w:vAlign w:val="center"/>
          </w:tcPr>
          <w:p w14:paraId="16CA43D5" w14:textId="77777777" w:rsidR="00A0251B" w:rsidRPr="00CC35F0" w:rsidRDefault="008D6506">
            <w:pPr>
              <w:spacing w:after="0" w:line="240" w:lineRule="auto"/>
              <w:ind w:left="-103" w:right="-98"/>
              <w:jc w:val="center"/>
              <w:rPr>
                <w:rFonts w:ascii="Times New Roman" w:eastAsia="Times New Roman" w:hAnsi="Times New Roman"/>
                <w:b/>
                <w:color w:val="000000"/>
                <w:sz w:val="24"/>
                <w:szCs w:val="24"/>
                <w:lang w:val="sr-Cyrl-CS"/>
              </w:rPr>
            </w:pPr>
            <w:r w:rsidRPr="00CC35F0">
              <w:rPr>
                <w:rFonts w:ascii="Times New Roman" w:eastAsia="Times New Roman" w:hAnsi="Times New Roman"/>
                <w:b/>
                <w:color w:val="000000"/>
                <w:sz w:val="24"/>
                <w:szCs w:val="24"/>
                <w:lang w:val="sr-Cyrl-CS"/>
              </w:rPr>
              <w:lastRenderedPageBreak/>
              <w:t>Бр.17</w:t>
            </w:r>
          </w:p>
        </w:tc>
        <w:tc>
          <w:tcPr>
            <w:tcW w:w="5108" w:type="dxa"/>
            <w:shd w:val="clear" w:color="auto" w:fill="D9D9D9"/>
            <w:vAlign w:val="center"/>
          </w:tcPr>
          <w:p w14:paraId="6899127A" w14:textId="77777777" w:rsidR="00A0251B" w:rsidRPr="00CC35F0" w:rsidRDefault="008D6506">
            <w:pPr>
              <w:spacing w:after="0" w:line="240" w:lineRule="auto"/>
              <w:ind w:left="-107" w:right="-110"/>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Едукација о заштити и квалитету ваздуха, обука за спровођење најбоље праксе и подизање свести</w:t>
            </w:r>
          </w:p>
        </w:tc>
        <w:tc>
          <w:tcPr>
            <w:tcW w:w="2550" w:type="dxa"/>
            <w:shd w:val="clear" w:color="auto" w:fill="D9D9D9"/>
            <w:vAlign w:val="center"/>
          </w:tcPr>
          <w:p w14:paraId="5366B2D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Подизање свести о негативним ефектима загађења ваздуха</w:t>
            </w:r>
          </w:p>
        </w:tc>
        <w:tc>
          <w:tcPr>
            <w:tcW w:w="2175" w:type="dxa"/>
            <w:shd w:val="clear" w:color="auto" w:fill="D9D9D9"/>
            <w:vAlign w:val="center"/>
          </w:tcPr>
          <w:p w14:paraId="25E7470F"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349DCE56"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25018273"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45F63B03"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p w14:paraId="1242B5A3"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Припремљена препорука о утицајима на здравље, информисано 80% домаћинстава и проширено знање о правилној употреби уређаја који као енергент користе чврсто гориво </w:t>
            </w:r>
          </w:p>
        </w:tc>
        <w:tc>
          <w:tcPr>
            <w:tcW w:w="1744" w:type="dxa"/>
            <w:shd w:val="clear" w:color="auto" w:fill="D9D9D9"/>
            <w:vAlign w:val="center"/>
          </w:tcPr>
          <w:p w14:paraId="243EF600"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 МЗЖС</w:t>
            </w:r>
          </w:p>
        </w:tc>
        <w:tc>
          <w:tcPr>
            <w:tcW w:w="1526" w:type="dxa"/>
            <w:shd w:val="clear" w:color="auto" w:fill="D9D9D9"/>
            <w:vAlign w:val="center"/>
          </w:tcPr>
          <w:p w14:paraId="1E7011ED"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w:t>
            </w:r>
          </w:p>
        </w:tc>
        <w:tc>
          <w:tcPr>
            <w:tcW w:w="1361" w:type="dxa"/>
            <w:shd w:val="clear" w:color="auto" w:fill="D9D9D9"/>
            <w:vAlign w:val="center"/>
          </w:tcPr>
          <w:p w14:paraId="4C6C8637"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Припремљена препорука о утицајима на здравље, информисано 80% домаћинстава и проширено знање о правилној употреби уређаја који као енергент користе чврсти отпад</w:t>
            </w:r>
          </w:p>
          <w:p w14:paraId="7A65D301" w14:textId="77777777" w:rsidR="00A0251B" w:rsidRPr="00CC35F0" w:rsidRDefault="008D6506">
            <w:pPr>
              <w:spacing w:after="0" w:line="240"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[2025-2026] </w:t>
            </w:r>
          </w:p>
        </w:tc>
      </w:tr>
      <w:tr w:rsidR="00A0251B" w:rsidRPr="00CC35F0" w14:paraId="652B27DA" w14:textId="77777777" w:rsidTr="009E674D">
        <w:trPr>
          <w:trHeight w:val="965"/>
        </w:trPr>
        <w:tc>
          <w:tcPr>
            <w:tcW w:w="987" w:type="dxa"/>
            <w:shd w:val="clear" w:color="auto" w:fill="auto"/>
            <w:vAlign w:val="center"/>
          </w:tcPr>
          <w:p w14:paraId="14DFB5AB"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108" w:type="dxa"/>
            <w:shd w:val="clear" w:color="auto" w:fill="auto"/>
          </w:tcPr>
          <w:p w14:paraId="65490C21" w14:textId="77777777" w:rsidR="00A0251B" w:rsidRPr="00CC35F0" w:rsidRDefault="008D6506">
            <w:pPr>
              <w:spacing w:after="0" w:line="240" w:lineRule="auto"/>
              <w:ind w:left="-107" w:right="-110"/>
              <w:jc w:val="lef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Едукација: реализација пројеката </w:t>
            </w:r>
            <w:r w:rsidR="00576EE9">
              <w:rPr>
                <w:rFonts w:ascii="Times New Roman" w:eastAsia="Times New Roman" w:hAnsi="Times New Roman"/>
                <w:sz w:val="24"/>
                <w:szCs w:val="24"/>
                <w:lang w:val="sr-Cyrl-CS"/>
              </w:rPr>
              <w:t>о заштити животне с</w:t>
            </w:r>
            <w:r w:rsidRPr="00CC35F0">
              <w:rPr>
                <w:rFonts w:ascii="Times New Roman" w:eastAsia="Times New Roman" w:hAnsi="Times New Roman"/>
                <w:sz w:val="24"/>
                <w:szCs w:val="24"/>
                <w:lang w:val="sr-Cyrl-CS"/>
              </w:rPr>
              <w:t>редине и квалитету ваздуха и улога деце у њеном очувању.</w:t>
            </w:r>
          </w:p>
        </w:tc>
        <w:tc>
          <w:tcPr>
            <w:tcW w:w="2550" w:type="dxa"/>
            <w:shd w:val="clear" w:color="auto" w:fill="auto"/>
            <w:vAlign w:val="center"/>
          </w:tcPr>
          <w:p w14:paraId="3E6331DE"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7E7CF05B"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Спроведена активност </w:t>
            </w:r>
          </w:p>
        </w:tc>
        <w:tc>
          <w:tcPr>
            <w:tcW w:w="1744" w:type="dxa"/>
            <w:shd w:val="clear" w:color="auto" w:fill="auto"/>
            <w:vAlign w:val="center"/>
          </w:tcPr>
          <w:p w14:paraId="1A1DC3A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tc>
        <w:tc>
          <w:tcPr>
            <w:tcW w:w="1526" w:type="dxa"/>
            <w:shd w:val="clear" w:color="auto" w:fill="auto"/>
            <w:vAlign w:val="center"/>
          </w:tcPr>
          <w:p w14:paraId="02E89DFE"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3101BA18"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p w14:paraId="2A4CF3A1"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[2025]</w:t>
            </w:r>
          </w:p>
        </w:tc>
      </w:tr>
      <w:tr w:rsidR="00A0251B" w:rsidRPr="00CC35F0" w14:paraId="50E8E93A" w14:textId="77777777" w:rsidTr="009E674D">
        <w:trPr>
          <w:trHeight w:val="477"/>
        </w:trPr>
        <w:tc>
          <w:tcPr>
            <w:tcW w:w="987" w:type="dxa"/>
            <w:shd w:val="clear" w:color="auto" w:fill="auto"/>
            <w:vAlign w:val="center"/>
          </w:tcPr>
          <w:p w14:paraId="43A4B129"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108" w:type="dxa"/>
            <w:shd w:val="clear" w:color="auto" w:fill="auto"/>
          </w:tcPr>
          <w:p w14:paraId="202D3901"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Изградња капацитета, кампање за подизање свести и саветовање домаћинстава о правилној употреби уређаја на чврста горива, процена садржаја влаге у дрвној биомаси.</w:t>
            </w:r>
          </w:p>
          <w:p w14:paraId="01F09D4E" w14:textId="77777777" w:rsidR="00A0251B" w:rsidRPr="00CC35F0" w:rsidRDefault="00A0251B">
            <w:pPr>
              <w:spacing w:after="0" w:line="240" w:lineRule="auto"/>
              <w:ind w:left="-107" w:right="-110"/>
              <w:jc w:val="left"/>
              <w:rPr>
                <w:rFonts w:ascii="Times New Roman" w:eastAsia="Times New Roman" w:hAnsi="Times New Roman"/>
                <w:color w:val="000000"/>
                <w:sz w:val="24"/>
                <w:szCs w:val="24"/>
                <w:lang w:val="sr-Cyrl-CS"/>
              </w:rPr>
            </w:pPr>
          </w:p>
        </w:tc>
        <w:tc>
          <w:tcPr>
            <w:tcW w:w="2550" w:type="dxa"/>
            <w:shd w:val="clear" w:color="auto" w:fill="auto"/>
            <w:vAlign w:val="center"/>
          </w:tcPr>
          <w:p w14:paraId="06CF66D2"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5DA84395"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Проценат домаћинстава обавештен о правилној употреби огревног дрвета у малим грејним телима </w:t>
            </w:r>
          </w:p>
        </w:tc>
        <w:tc>
          <w:tcPr>
            <w:tcW w:w="1744" w:type="dxa"/>
            <w:shd w:val="clear" w:color="auto" w:fill="auto"/>
            <w:vAlign w:val="center"/>
          </w:tcPr>
          <w:p w14:paraId="1B358BEE"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Министарство рударства и енергетике</w:t>
            </w:r>
          </w:p>
        </w:tc>
        <w:tc>
          <w:tcPr>
            <w:tcW w:w="1526" w:type="dxa"/>
            <w:shd w:val="clear" w:color="auto" w:fill="auto"/>
            <w:vAlign w:val="center"/>
          </w:tcPr>
          <w:p w14:paraId="7045E7B9" w14:textId="77777777" w:rsidR="00A0251B" w:rsidRPr="00CC35F0" w:rsidRDefault="00EE5693">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0</w:t>
            </w:r>
            <w:r w:rsidR="008D6506" w:rsidRPr="00CC35F0">
              <w:rPr>
                <w:rFonts w:ascii="Times New Roman" w:eastAsia="Times New Roman" w:hAnsi="Times New Roman"/>
                <w:color w:val="000000"/>
                <w:sz w:val="24"/>
                <w:szCs w:val="24"/>
                <w:lang w:val="sr-Cyrl-CS"/>
              </w:rPr>
              <w:t>%</w:t>
            </w:r>
          </w:p>
        </w:tc>
        <w:tc>
          <w:tcPr>
            <w:tcW w:w="1361" w:type="dxa"/>
            <w:shd w:val="clear" w:color="auto" w:fill="auto"/>
            <w:vAlign w:val="center"/>
          </w:tcPr>
          <w:p w14:paraId="44D7A23D"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80% домаћинстава користе биомасу ефикасније  </w:t>
            </w:r>
          </w:p>
          <w:p w14:paraId="1F77C5B8"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[2026] </w:t>
            </w:r>
          </w:p>
        </w:tc>
      </w:tr>
      <w:tr w:rsidR="00A0251B" w:rsidRPr="00CC35F0" w14:paraId="3248503F" w14:textId="77777777" w:rsidTr="009E674D">
        <w:trPr>
          <w:trHeight w:val="688"/>
        </w:trPr>
        <w:tc>
          <w:tcPr>
            <w:tcW w:w="987" w:type="dxa"/>
            <w:shd w:val="clear" w:color="auto" w:fill="auto"/>
            <w:vAlign w:val="center"/>
          </w:tcPr>
          <w:p w14:paraId="1248378E" w14:textId="77777777" w:rsidR="00A0251B" w:rsidRPr="00CC35F0" w:rsidRDefault="00A0251B">
            <w:pPr>
              <w:spacing w:after="0" w:line="240" w:lineRule="auto"/>
              <w:ind w:left="-103" w:right="-98"/>
              <w:jc w:val="center"/>
              <w:rPr>
                <w:rFonts w:ascii="Times New Roman" w:eastAsia="Times New Roman" w:hAnsi="Times New Roman"/>
                <w:b/>
                <w:color w:val="000000"/>
                <w:sz w:val="24"/>
                <w:szCs w:val="24"/>
                <w:lang w:val="sr-Cyrl-CS"/>
              </w:rPr>
            </w:pPr>
          </w:p>
        </w:tc>
        <w:tc>
          <w:tcPr>
            <w:tcW w:w="5108" w:type="dxa"/>
            <w:shd w:val="clear" w:color="auto" w:fill="auto"/>
          </w:tcPr>
          <w:p w14:paraId="7788021F" w14:textId="77777777" w:rsidR="00A0251B" w:rsidRPr="00CC35F0" w:rsidRDefault="008D6506">
            <w:pPr>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Успостављање покретног демонстрационог центра (или еквивалента) за размену знања о правилној употреби биомасе у малим грејним телима и котловима.</w:t>
            </w:r>
          </w:p>
        </w:tc>
        <w:tc>
          <w:tcPr>
            <w:tcW w:w="2550" w:type="dxa"/>
            <w:shd w:val="clear" w:color="auto" w:fill="auto"/>
            <w:vAlign w:val="center"/>
          </w:tcPr>
          <w:p w14:paraId="37C660AA" w14:textId="77777777" w:rsidR="00A0251B" w:rsidRPr="00CC35F0" w:rsidRDefault="00A0251B">
            <w:pPr>
              <w:spacing w:after="0" w:line="240" w:lineRule="auto"/>
              <w:jc w:val="right"/>
              <w:rPr>
                <w:rFonts w:ascii="Times New Roman" w:eastAsia="Times New Roman" w:hAnsi="Times New Roman"/>
                <w:color w:val="000000"/>
                <w:sz w:val="24"/>
                <w:szCs w:val="24"/>
                <w:lang w:val="sr-Cyrl-CS"/>
              </w:rPr>
            </w:pPr>
          </w:p>
        </w:tc>
        <w:tc>
          <w:tcPr>
            <w:tcW w:w="2175" w:type="dxa"/>
            <w:shd w:val="clear" w:color="auto" w:fill="auto"/>
            <w:vAlign w:val="center"/>
          </w:tcPr>
          <w:p w14:paraId="507727E8"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Спроведена активна кампања покретања мобилног демо центра у Београду, Нишу Крагујевцу, Ваљеву, Ужицу и зони Србија</w:t>
            </w:r>
          </w:p>
        </w:tc>
        <w:tc>
          <w:tcPr>
            <w:tcW w:w="1744" w:type="dxa"/>
            <w:shd w:val="clear" w:color="auto" w:fill="auto"/>
            <w:vAlign w:val="center"/>
          </w:tcPr>
          <w:p w14:paraId="0642DA6F" w14:textId="77777777" w:rsidR="00A0251B" w:rsidRPr="00CC35F0" w:rsidRDefault="003F5461">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Министарство ру</w:t>
            </w:r>
            <w:r w:rsidR="008D6506" w:rsidRPr="00CC35F0">
              <w:rPr>
                <w:rFonts w:ascii="Times New Roman" w:eastAsia="Times New Roman" w:hAnsi="Times New Roman"/>
                <w:sz w:val="24"/>
                <w:szCs w:val="24"/>
                <w:lang w:val="sr-Cyrl-CS"/>
              </w:rPr>
              <w:t>дарства и енергетике</w:t>
            </w:r>
          </w:p>
        </w:tc>
        <w:tc>
          <w:tcPr>
            <w:tcW w:w="1526" w:type="dxa"/>
            <w:shd w:val="clear" w:color="auto" w:fill="auto"/>
            <w:vAlign w:val="center"/>
          </w:tcPr>
          <w:p w14:paraId="4DC27E0F" w14:textId="77777777" w:rsidR="00A0251B" w:rsidRPr="00CC35F0" w:rsidRDefault="008D6506">
            <w:pPr>
              <w:spacing w:after="0" w:line="240" w:lineRule="auto"/>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Не</w:t>
            </w:r>
          </w:p>
        </w:tc>
        <w:tc>
          <w:tcPr>
            <w:tcW w:w="1361" w:type="dxa"/>
            <w:shd w:val="clear" w:color="auto" w:fill="auto"/>
            <w:vAlign w:val="center"/>
          </w:tcPr>
          <w:p w14:paraId="396AE5F5"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Да</w:t>
            </w:r>
          </w:p>
          <w:p w14:paraId="5504C00B" w14:textId="77777777" w:rsidR="00A0251B" w:rsidRPr="00CC35F0" w:rsidRDefault="008D6506">
            <w:pPr>
              <w:spacing w:after="0" w:line="240" w:lineRule="auto"/>
              <w:ind w:left="-142" w:right="-74"/>
              <w:jc w:val="righ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[2026]</w:t>
            </w:r>
          </w:p>
        </w:tc>
      </w:tr>
    </w:tbl>
    <w:p w14:paraId="1B3B4A18" w14:textId="77777777" w:rsidR="00A0251B" w:rsidRPr="00CC35F0" w:rsidRDefault="00A0251B">
      <w:pPr>
        <w:ind w:left="-851"/>
        <w:rPr>
          <w:rFonts w:ascii="Times New Roman" w:eastAsia="Times New Roman" w:hAnsi="Times New Roman"/>
          <w:b/>
          <w:sz w:val="24"/>
          <w:szCs w:val="24"/>
          <w:lang w:val="sr-Cyrl-CS"/>
        </w:rPr>
      </w:pPr>
    </w:p>
    <w:p w14:paraId="4C963FF4" w14:textId="77777777" w:rsidR="00A0251B" w:rsidRPr="00CC35F0" w:rsidRDefault="00A0251B">
      <w:pPr>
        <w:rPr>
          <w:rFonts w:ascii="Times New Roman" w:eastAsia="Times New Roman" w:hAnsi="Times New Roman"/>
          <w:i/>
          <w:sz w:val="24"/>
          <w:szCs w:val="24"/>
          <w:lang w:val="sr-Cyrl-CS"/>
        </w:rPr>
      </w:pPr>
    </w:p>
    <w:p w14:paraId="3B204730" w14:textId="77777777" w:rsidR="00A0251B" w:rsidRPr="00CC35F0" w:rsidRDefault="00A0251B">
      <w:pPr>
        <w:rPr>
          <w:rFonts w:ascii="Times New Roman" w:eastAsia="Times New Roman" w:hAnsi="Times New Roman"/>
          <w:i/>
          <w:sz w:val="24"/>
          <w:szCs w:val="24"/>
          <w:lang w:val="sr-Cyrl-CS"/>
        </w:rPr>
      </w:pPr>
    </w:p>
    <w:p w14:paraId="6057C438" w14:textId="77777777" w:rsidR="00A0251B" w:rsidRPr="00CC35F0" w:rsidRDefault="00A0251B">
      <w:pPr>
        <w:rPr>
          <w:rFonts w:ascii="Times New Roman" w:eastAsia="Times New Roman" w:hAnsi="Times New Roman"/>
          <w:i/>
          <w:sz w:val="24"/>
          <w:szCs w:val="24"/>
          <w:lang w:val="sr-Cyrl-CS"/>
        </w:rPr>
      </w:pPr>
    </w:p>
    <w:p w14:paraId="220F72A2" w14:textId="77777777" w:rsidR="00A0251B" w:rsidRPr="00CC35F0" w:rsidRDefault="004E4A30">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9. </w:t>
      </w:r>
      <w:r w:rsidR="008D6506" w:rsidRPr="00CC35F0">
        <w:rPr>
          <w:rFonts w:ascii="Times New Roman" w:eastAsia="Times New Roman" w:hAnsi="Times New Roman"/>
          <w:sz w:val="24"/>
          <w:szCs w:val="24"/>
          <w:lang w:val="sr-Cyrl-CS"/>
        </w:rPr>
        <w:t>АКЦИОНИ ПЛАН</w:t>
      </w:r>
    </w:p>
    <w:p w14:paraId="45AD85F8" w14:textId="77777777" w:rsidR="00A0251B" w:rsidRPr="00CC35F0" w:rsidRDefault="00A0251B">
      <w:pPr>
        <w:rPr>
          <w:rFonts w:ascii="Times New Roman" w:eastAsia="Times New Roman" w:hAnsi="Times New Roman"/>
          <w:sz w:val="24"/>
          <w:szCs w:val="24"/>
          <w:lang w:val="sr-Cyrl-CS"/>
        </w:rPr>
      </w:pPr>
    </w:p>
    <w:p w14:paraId="2CF9621F" w14:textId="77777777" w:rsidR="00A0251B" w:rsidRPr="00CC35F0" w:rsidRDefault="008D6506" w:rsidP="00F71222">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Акционим планом предвиђене су конкретне мере и активности које ће се предузети ради обезбеђења услова да се циљеви Програма реализују, одређени су органи који спроводе активности и партнерски органи у спровођењу активности, као и време потребно за спровођење наведених активности.</w:t>
      </w:r>
    </w:p>
    <w:p w14:paraId="76360FBB" w14:textId="77777777" w:rsidR="00433C29" w:rsidRPr="00CC35F0" w:rsidRDefault="00433C29" w:rsidP="00943352">
      <w:pPr>
        <w:ind w:firstLine="720"/>
        <w:rPr>
          <w:rFonts w:ascii="Times New Roman" w:eastAsia="Times New Roman" w:hAnsi="Times New Roman"/>
          <w:sz w:val="24"/>
          <w:szCs w:val="24"/>
          <w:lang w:val="sr-Cyrl-CS"/>
        </w:rPr>
      </w:pPr>
    </w:p>
    <w:p w14:paraId="13067C49" w14:textId="77777777" w:rsidR="00440564" w:rsidRDefault="00440564" w:rsidP="00943352">
      <w:pPr>
        <w:ind w:firstLine="720"/>
        <w:rPr>
          <w:rFonts w:ascii="Times New Roman" w:eastAsia="Times New Roman" w:hAnsi="Times New Roman"/>
          <w:sz w:val="24"/>
          <w:szCs w:val="24"/>
          <w:lang w:val="sr-Cyrl-CS"/>
        </w:rPr>
      </w:pPr>
    </w:p>
    <w:p w14:paraId="7ADAC007" w14:textId="77777777" w:rsidR="009E674D" w:rsidRDefault="009E674D" w:rsidP="00943352">
      <w:pPr>
        <w:ind w:firstLine="720"/>
        <w:rPr>
          <w:rFonts w:ascii="Times New Roman" w:eastAsia="Times New Roman" w:hAnsi="Times New Roman"/>
          <w:sz w:val="24"/>
          <w:szCs w:val="24"/>
          <w:lang w:val="sr-Cyrl-CS"/>
        </w:rPr>
      </w:pPr>
    </w:p>
    <w:p w14:paraId="3505BFA2" w14:textId="77777777" w:rsidR="009E674D" w:rsidRDefault="009E674D" w:rsidP="00943352">
      <w:pPr>
        <w:ind w:firstLine="720"/>
        <w:rPr>
          <w:rFonts w:ascii="Times New Roman" w:eastAsia="Times New Roman" w:hAnsi="Times New Roman"/>
          <w:sz w:val="24"/>
          <w:szCs w:val="24"/>
          <w:lang w:val="sr-Cyrl-CS"/>
        </w:rPr>
      </w:pPr>
    </w:p>
    <w:p w14:paraId="389583B1" w14:textId="77777777" w:rsidR="009E674D" w:rsidRPr="00CC35F0" w:rsidRDefault="009E674D" w:rsidP="00943352">
      <w:pPr>
        <w:ind w:firstLine="720"/>
        <w:rPr>
          <w:rFonts w:ascii="Times New Roman" w:eastAsia="Times New Roman" w:hAnsi="Times New Roman"/>
          <w:sz w:val="24"/>
          <w:szCs w:val="24"/>
          <w:lang w:val="sr-Cyrl-CS"/>
        </w:rPr>
      </w:pPr>
    </w:p>
    <w:p w14:paraId="5AE9EEF9" w14:textId="77777777" w:rsidR="00440564" w:rsidRPr="00CC35F0" w:rsidRDefault="00440564" w:rsidP="00943352">
      <w:pPr>
        <w:ind w:firstLine="720"/>
        <w:rPr>
          <w:rFonts w:ascii="Times New Roman" w:eastAsia="Times New Roman" w:hAnsi="Times New Roman"/>
          <w:sz w:val="24"/>
          <w:szCs w:val="24"/>
          <w:lang w:val="sr-Cyrl-CS"/>
        </w:rPr>
      </w:pPr>
    </w:p>
    <w:p w14:paraId="5B819FD8" w14:textId="77777777" w:rsidR="00433C29" w:rsidRPr="00CC35F0" w:rsidRDefault="00433C29" w:rsidP="00433C29">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10. </w:t>
      </w:r>
      <w:r w:rsidR="004E4A30" w:rsidRPr="00CC35F0">
        <w:rPr>
          <w:rFonts w:ascii="Times New Roman" w:eastAsia="Times New Roman" w:hAnsi="Times New Roman"/>
          <w:sz w:val="24"/>
          <w:szCs w:val="24"/>
          <w:lang w:val="sr-Cyrl-CS"/>
        </w:rPr>
        <w:t>ЗАВРШНИ ДЕО</w:t>
      </w:r>
    </w:p>
    <w:p w14:paraId="16DE160F" w14:textId="77777777" w:rsidR="00433C29" w:rsidRPr="00CC35F0" w:rsidRDefault="00433C29" w:rsidP="004E4A3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Овај програм објавити на интернет страници Владе</w:t>
      </w:r>
      <w:r w:rsidR="00440564" w:rsidRPr="00CC35F0">
        <w:rPr>
          <w:rFonts w:ascii="Times New Roman" w:eastAsia="Times New Roman" w:hAnsi="Times New Roman"/>
          <w:sz w:val="24"/>
          <w:szCs w:val="24"/>
          <w:lang w:val="sr-Cyrl-CS"/>
        </w:rPr>
        <w:t>, на порталу е-Управ</w:t>
      </w:r>
      <w:r w:rsidR="00792460" w:rsidRPr="00CC35F0">
        <w:rPr>
          <w:rFonts w:ascii="Times New Roman" w:eastAsia="Times New Roman" w:hAnsi="Times New Roman"/>
          <w:sz w:val="24"/>
          <w:szCs w:val="24"/>
          <w:lang w:val="sr-Cyrl-CS"/>
        </w:rPr>
        <w:t>а</w:t>
      </w:r>
      <w:r w:rsidR="00440564" w:rsidRPr="00CC35F0">
        <w:rPr>
          <w:rFonts w:ascii="Times New Roman" w:eastAsia="Times New Roman" w:hAnsi="Times New Roman"/>
          <w:sz w:val="24"/>
          <w:szCs w:val="24"/>
          <w:lang w:val="sr-Cyrl-CS"/>
        </w:rPr>
        <w:t xml:space="preserve"> </w:t>
      </w:r>
      <w:r w:rsidR="002410AD" w:rsidRPr="00CC35F0">
        <w:rPr>
          <w:rFonts w:ascii="Times New Roman" w:eastAsia="Times New Roman" w:hAnsi="Times New Roman"/>
          <w:sz w:val="24"/>
          <w:szCs w:val="24"/>
          <w:lang w:val="sr-Cyrl-CS"/>
        </w:rPr>
        <w:t>и</w:t>
      </w:r>
      <w:r w:rsidR="00792460" w:rsidRPr="00CC35F0">
        <w:rPr>
          <w:rFonts w:ascii="Times New Roman" w:eastAsia="Times New Roman" w:hAnsi="Times New Roman"/>
          <w:sz w:val="24"/>
          <w:szCs w:val="24"/>
          <w:lang w:val="sr-Cyrl-CS"/>
        </w:rPr>
        <w:t xml:space="preserve"> на</w:t>
      </w:r>
      <w:r w:rsidR="002410AD" w:rsidRPr="00CC35F0">
        <w:rPr>
          <w:rFonts w:ascii="Times New Roman" w:eastAsia="Times New Roman" w:hAnsi="Times New Roman"/>
          <w:sz w:val="24"/>
          <w:szCs w:val="24"/>
          <w:lang w:val="sr-Cyrl-CS"/>
        </w:rPr>
        <w:t xml:space="preserve"> </w:t>
      </w:r>
      <w:r w:rsidR="00440564" w:rsidRPr="00CC35F0">
        <w:rPr>
          <w:rFonts w:ascii="Times New Roman" w:eastAsia="Times New Roman" w:hAnsi="Times New Roman"/>
          <w:sz w:val="24"/>
          <w:szCs w:val="24"/>
          <w:lang w:val="sr-Cyrl-CS"/>
        </w:rPr>
        <w:t xml:space="preserve">интернет страници Министарства заштите животне средине, </w:t>
      </w:r>
      <w:r w:rsidRPr="00CC35F0">
        <w:rPr>
          <w:rFonts w:ascii="Times New Roman" w:eastAsia="Times New Roman" w:hAnsi="Times New Roman"/>
          <w:sz w:val="24"/>
          <w:szCs w:val="24"/>
          <w:lang w:val="sr-Cyrl-CS"/>
        </w:rPr>
        <w:t xml:space="preserve">у року од седам </w:t>
      </w:r>
      <w:r w:rsidR="00C945F1" w:rsidRPr="00CC35F0">
        <w:rPr>
          <w:rFonts w:ascii="Times New Roman" w:eastAsia="Times New Roman" w:hAnsi="Times New Roman"/>
          <w:sz w:val="24"/>
          <w:szCs w:val="24"/>
          <w:lang w:val="sr-Cyrl-CS"/>
        </w:rPr>
        <w:t xml:space="preserve">радних </w:t>
      </w:r>
      <w:r w:rsidRPr="00CC35F0">
        <w:rPr>
          <w:rFonts w:ascii="Times New Roman" w:eastAsia="Times New Roman" w:hAnsi="Times New Roman"/>
          <w:sz w:val="24"/>
          <w:szCs w:val="24"/>
          <w:lang w:val="sr-Cyrl-CS"/>
        </w:rPr>
        <w:t>дана од дана усва</w:t>
      </w:r>
      <w:r w:rsidR="00211891" w:rsidRPr="00CC35F0">
        <w:rPr>
          <w:rFonts w:ascii="Times New Roman" w:eastAsia="Times New Roman" w:hAnsi="Times New Roman"/>
          <w:sz w:val="24"/>
          <w:szCs w:val="24"/>
          <w:lang w:val="sr-Cyrl-CS"/>
        </w:rPr>
        <w:t>јања.</w:t>
      </w:r>
    </w:p>
    <w:p w14:paraId="61010933" w14:textId="77777777" w:rsidR="00433C29" w:rsidRPr="00CC35F0" w:rsidRDefault="00433C29" w:rsidP="004E4A30">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Овај програм објавити у „Службеном гласнику Републике Србије”.</w:t>
      </w:r>
    </w:p>
    <w:p w14:paraId="7FCADBDD" w14:textId="77777777" w:rsidR="00433C29" w:rsidRPr="00CC35F0" w:rsidRDefault="00433C29" w:rsidP="00433C29">
      <w:pPr>
        <w:rPr>
          <w:rFonts w:ascii="Times New Roman" w:eastAsia="Times New Roman" w:hAnsi="Times New Roman"/>
          <w:sz w:val="24"/>
          <w:szCs w:val="24"/>
          <w:lang w:val="sr-Cyrl-CS"/>
        </w:rPr>
      </w:pPr>
    </w:p>
    <w:p w14:paraId="2461B488" w14:textId="77777777" w:rsidR="00433C29" w:rsidRPr="00CC35F0" w:rsidRDefault="00433C29" w:rsidP="00440564">
      <w:pPr>
        <w:pStyle w:val="NoSpacing"/>
        <w:rPr>
          <w:rFonts w:ascii="Times New Roman" w:hAnsi="Times New Roman"/>
          <w:sz w:val="24"/>
          <w:szCs w:val="24"/>
          <w:lang w:val="sr-Cyrl-CS"/>
        </w:rPr>
      </w:pPr>
      <w:r w:rsidRPr="00CC35F0">
        <w:rPr>
          <w:rFonts w:ascii="Times New Roman" w:hAnsi="Times New Roman"/>
          <w:sz w:val="24"/>
          <w:szCs w:val="24"/>
          <w:lang w:val="sr-Cyrl-CS"/>
        </w:rPr>
        <w:t>05 Број</w:t>
      </w:r>
      <w:r w:rsidR="00440564" w:rsidRPr="00CC35F0">
        <w:rPr>
          <w:rFonts w:ascii="Times New Roman" w:hAnsi="Times New Roman"/>
          <w:sz w:val="24"/>
          <w:szCs w:val="24"/>
          <w:lang w:val="sr-Cyrl-CS"/>
        </w:rPr>
        <w:t>: 353-9878/2022-1</w:t>
      </w:r>
      <w:r w:rsidRPr="00CC35F0">
        <w:rPr>
          <w:rFonts w:ascii="Times New Roman" w:hAnsi="Times New Roman"/>
          <w:sz w:val="24"/>
          <w:szCs w:val="24"/>
          <w:lang w:val="sr-Cyrl-CS"/>
        </w:rPr>
        <w:t xml:space="preserve"> </w:t>
      </w:r>
    </w:p>
    <w:p w14:paraId="53579A00" w14:textId="77777777" w:rsidR="00433C29" w:rsidRPr="00CC35F0" w:rsidRDefault="007B620F" w:rsidP="00440564">
      <w:pPr>
        <w:pStyle w:val="NoSpacing"/>
        <w:rPr>
          <w:rFonts w:ascii="Times New Roman" w:hAnsi="Times New Roman"/>
          <w:sz w:val="24"/>
          <w:szCs w:val="24"/>
          <w:lang w:val="sr-Cyrl-CS"/>
        </w:rPr>
      </w:pPr>
      <w:r w:rsidRPr="00CC35F0">
        <w:rPr>
          <w:rFonts w:ascii="Times New Roman" w:hAnsi="Times New Roman"/>
          <w:sz w:val="24"/>
          <w:szCs w:val="24"/>
          <w:lang w:val="sr-Cyrl-CS"/>
        </w:rPr>
        <w:t>У Београду,</w:t>
      </w:r>
      <w:r w:rsidR="00440564" w:rsidRPr="00CC35F0">
        <w:rPr>
          <w:rFonts w:ascii="Times New Roman" w:hAnsi="Times New Roman"/>
          <w:sz w:val="24"/>
          <w:szCs w:val="24"/>
          <w:lang w:val="sr-Cyrl-CS"/>
        </w:rPr>
        <w:t xml:space="preserve"> 8. децембра 2022. године </w:t>
      </w:r>
    </w:p>
    <w:p w14:paraId="62BBCE9C" w14:textId="77777777" w:rsidR="00433C29" w:rsidRPr="00CC35F0" w:rsidRDefault="00433C29" w:rsidP="00433C29">
      <w:pPr>
        <w:pBdr>
          <w:top w:val="nil"/>
          <w:left w:val="nil"/>
          <w:bottom w:val="nil"/>
          <w:right w:val="nil"/>
          <w:between w:val="nil"/>
        </w:pBdr>
        <w:spacing w:line="240" w:lineRule="auto"/>
        <w:ind w:left="5760" w:right="95" w:firstLine="72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В Л А Д А</w:t>
      </w:r>
    </w:p>
    <w:p w14:paraId="59F223FE" w14:textId="77777777" w:rsidR="00433C29" w:rsidRPr="00CC35F0" w:rsidRDefault="00433C29" w:rsidP="00433C29">
      <w:pPr>
        <w:pBdr>
          <w:top w:val="nil"/>
          <w:left w:val="nil"/>
          <w:bottom w:val="nil"/>
          <w:right w:val="nil"/>
          <w:between w:val="nil"/>
        </w:pBdr>
        <w:spacing w:line="240" w:lineRule="auto"/>
        <w:ind w:left="5760" w:right="95" w:firstLine="720"/>
        <w:jc w:val="left"/>
        <w:rPr>
          <w:rFonts w:ascii="Times New Roman" w:eastAsia="Times New Roman" w:hAnsi="Times New Roman"/>
          <w:color w:val="000000"/>
          <w:sz w:val="24"/>
          <w:szCs w:val="24"/>
          <w:lang w:val="sr-Cyrl-CS"/>
        </w:rPr>
      </w:pPr>
    </w:p>
    <w:p w14:paraId="395BA1A3" w14:textId="77777777" w:rsidR="00433C29" w:rsidRPr="00CC35F0" w:rsidRDefault="00433C29" w:rsidP="00433C29">
      <w:pPr>
        <w:pBdr>
          <w:top w:val="nil"/>
          <w:left w:val="nil"/>
          <w:bottom w:val="nil"/>
          <w:right w:val="nil"/>
          <w:between w:val="nil"/>
        </w:pBdr>
        <w:spacing w:line="240" w:lineRule="auto"/>
        <w:ind w:left="10800" w:right="95" w:firstLine="72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ПРЕДСЕДНИК</w:t>
      </w:r>
    </w:p>
    <w:p w14:paraId="0B54C64E" w14:textId="77777777" w:rsidR="00440564" w:rsidRPr="00CC35F0" w:rsidRDefault="00440564" w:rsidP="00433C29">
      <w:pPr>
        <w:pBdr>
          <w:top w:val="nil"/>
          <w:left w:val="nil"/>
          <w:bottom w:val="nil"/>
          <w:right w:val="nil"/>
          <w:between w:val="nil"/>
        </w:pBdr>
        <w:spacing w:line="240" w:lineRule="auto"/>
        <w:ind w:left="10800" w:right="95" w:firstLine="720"/>
        <w:jc w:val="left"/>
        <w:rPr>
          <w:rFonts w:ascii="Times New Roman" w:eastAsia="Times New Roman" w:hAnsi="Times New Roman"/>
          <w:color w:val="000000"/>
          <w:sz w:val="24"/>
          <w:szCs w:val="24"/>
          <w:lang w:val="sr-Cyrl-CS"/>
        </w:rPr>
      </w:pPr>
    </w:p>
    <w:p w14:paraId="4E485AE1" w14:textId="77777777" w:rsidR="00440564" w:rsidRPr="00CC35F0" w:rsidRDefault="00440564" w:rsidP="00433C29">
      <w:pPr>
        <w:pBdr>
          <w:top w:val="nil"/>
          <w:left w:val="nil"/>
          <w:bottom w:val="nil"/>
          <w:right w:val="nil"/>
          <w:between w:val="nil"/>
        </w:pBdr>
        <w:spacing w:line="240" w:lineRule="auto"/>
        <w:ind w:left="10800" w:right="95" w:firstLine="72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Ана Брнабић, с.р.</w:t>
      </w:r>
    </w:p>
    <w:p w14:paraId="48D33A96" w14:textId="77777777" w:rsidR="00433C29" w:rsidRPr="00CC35F0" w:rsidRDefault="00433C29" w:rsidP="00943352">
      <w:pPr>
        <w:ind w:firstLine="720"/>
        <w:rPr>
          <w:rFonts w:ascii="Times New Roman" w:eastAsia="Times New Roman" w:hAnsi="Times New Roman"/>
          <w:sz w:val="24"/>
          <w:szCs w:val="24"/>
          <w:lang w:val="sr-Cyrl-CS"/>
        </w:rPr>
        <w:sectPr w:rsidR="00433C29" w:rsidRPr="00CC35F0">
          <w:headerReference w:type="default" r:id="rId66"/>
          <w:footerReference w:type="default" r:id="rId67"/>
          <w:pgSz w:w="16817" w:h="11901" w:orient="landscape"/>
          <w:pgMar w:top="1418" w:right="862" w:bottom="1134" w:left="1418" w:header="142" w:footer="367" w:gutter="0"/>
          <w:cols w:space="720"/>
        </w:sectPr>
      </w:pPr>
    </w:p>
    <w:p w14:paraId="6A7B65F4" w14:textId="77777777" w:rsidR="00A0251B" w:rsidRPr="00CC35F0" w:rsidRDefault="00A0251B">
      <w:pPr>
        <w:rPr>
          <w:rFonts w:ascii="Times New Roman" w:eastAsia="Times New Roman" w:hAnsi="Times New Roman"/>
          <w:sz w:val="24"/>
          <w:szCs w:val="24"/>
          <w:lang w:val="sr-Cyrl-CS"/>
        </w:rPr>
      </w:pPr>
      <w:bookmarkStart w:id="120" w:name="_heading=h.4anzqyu" w:colFirst="0" w:colLast="0"/>
      <w:bookmarkEnd w:id="120"/>
    </w:p>
    <w:p w14:paraId="1B033D33" w14:textId="77777777" w:rsidR="00A0251B" w:rsidRPr="00CC35F0" w:rsidRDefault="008D6506">
      <w:pPr>
        <w:rPr>
          <w:rFonts w:ascii="Times New Roman" w:eastAsia="Times New Roman" w:hAnsi="Times New Roman"/>
          <w:b/>
          <w:sz w:val="24"/>
          <w:szCs w:val="24"/>
          <w:lang w:val="sr-Cyrl-CS"/>
        </w:rPr>
      </w:pPr>
      <w:bookmarkStart w:id="121" w:name="_heading=h.2pta16n" w:colFirst="0" w:colLast="0"/>
      <w:bookmarkEnd w:id="121"/>
      <w:r w:rsidRPr="00CC35F0">
        <w:rPr>
          <w:rFonts w:ascii="Times New Roman" w:eastAsia="Times New Roman" w:hAnsi="Times New Roman"/>
          <w:b/>
          <w:i/>
          <w:sz w:val="24"/>
          <w:szCs w:val="24"/>
          <w:lang w:val="sr-Cyrl-CS"/>
        </w:rPr>
        <w:t>Табела 9-3:</w:t>
      </w:r>
      <w:r w:rsidR="00440564" w:rsidRPr="00CC35F0">
        <w:rPr>
          <w:rFonts w:ascii="Times New Roman" w:eastAsia="Times New Roman" w:hAnsi="Times New Roman"/>
          <w:b/>
          <w:i/>
          <w:sz w:val="24"/>
          <w:szCs w:val="24"/>
          <w:lang w:val="sr-Cyrl-CS"/>
        </w:rPr>
        <w:t xml:space="preserve"> </w:t>
      </w:r>
      <w:r w:rsidRPr="00CC35F0">
        <w:rPr>
          <w:rFonts w:ascii="Times New Roman" w:eastAsia="Times New Roman" w:hAnsi="Times New Roman"/>
          <w:b/>
          <w:sz w:val="24"/>
          <w:szCs w:val="24"/>
          <w:lang w:val="sr-Cyrl-CS"/>
        </w:rPr>
        <w:t xml:space="preserve">Акциони план </w:t>
      </w:r>
    </w:p>
    <w:tbl>
      <w:tblPr>
        <w:tblStyle w:val="af8"/>
        <w:tblW w:w="13768"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434"/>
        <w:gridCol w:w="10334"/>
      </w:tblGrid>
      <w:tr w:rsidR="00A0251B" w:rsidRPr="00CC35F0" w14:paraId="4986CF2A" w14:textId="77777777">
        <w:trPr>
          <w:trHeight w:val="460"/>
        </w:trPr>
        <w:tc>
          <w:tcPr>
            <w:tcW w:w="3434" w:type="dxa"/>
            <w:tcBorders>
              <w:top w:val="single" w:sz="4" w:space="0" w:color="000000"/>
              <w:left w:val="single" w:sz="4" w:space="0" w:color="000000"/>
              <w:bottom w:val="single" w:sz="4" w:space="0" w:color="000000"/>
              <w:right w:val="single" w:sz="4" w:space="0" w:color="000000"/>
            </w:tcBorders>
          </w:tcPr>
          <w:p w14:paraId="664F952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Акциони план:</w:t>
            </w:r>
          </w:p>
        </w:tc>
        <w:tc>
          <w:tcPr>
            <w:tcW w:w="10334" w:type="dxa"/>
            <w:tcBorders>
              <w:top w:val="single" w:sz="4" w:space="0" w:color="000000"/>
              <w:left w:val="single" w:sz="4" w:space="0" w:color="000000"/>
              <w:bottom w:val="single" w:sz="4" w:space="0" w:color="000000"/>
              <w:right w:val="single" w:sz="4" w:space="0" w:color="000000"/>
            </w:tcBorders>
          </w:tcPr>
          <w:p w14:paraId="161A1240" w14:textId="77777777" w:rsidR="0040371E" w:rsidRPr="00CC35F0" w:rsidRDefault="008D6506">
            <w:pPr>
              <w:pStyle w:val="Title"/>
              <w:rPr>
                <w:sz w:val="24"/>
                <w:szCs w:val="24"/>
                <w:lang w:val="sr-Cyrl-CS"/>
              </w:rPr>
            </w:pPr>
            <w:r w:rsidRPr="00CC35F0">
              <w:rPr>
                <w:sz w:val="24"/>
                <w:szCs w:val="24"/>
                <w:lang w:val="sr-Cyrl-CS"/>
              </w:rPr>
              <w:t xml:space="preserve">Акциони план за спровођење Програма заштите ваздуха у Републици Србији за период </w:t>
            </w:r>
          </w:p>
          <w:p w14:paraId="013AD840" w14:textId="77777777" w:rsidR="00A0251B" w:rsidRPr="00CC35F0" w:rsidRDefault="008D6506">
            <w:pPr>
              <w:pStyle w:val="Title"/>
              <w:rPr>
                <w:sz w:val="24"/>
                <w:szCs w:val="24"/>
                <w:lang w:val="sr-Cyrl-CS"/>
              </w:rPr>
            </w:pPr>
            <w:r w:rsidRPr="00CC35F0">
              <w:rPr>
                <w:sz w:val="24"/>
                <w:szCs w:val="24"/>
                <w:lang w:val="sr-Cyrl-CS"/>
              </w:rPr>
              <w:t>од 2022. до 2030. године</w:t>
            </w:r>
          </w:p>
        </w:tc>
      </w:tr>
      <w:tr w:rsidR="00A0251B" w:rsidRPr="00CC35F0" w14:paraId="6A72271A" w14:textId="77777777">
        <w:trPr>
          <w:trHeight w:val="230"/>
        </w:trPr>
        <w:tc>
          <w:tcPr>
            <w:tcW w:w="3434" w:type="dxa"/>
            <w:tcBorders>
              <w:top w:val="single" w:sz="4" w:space="0" w:color="000000"/>
              <w:left w:val="single" w:sz="4" w:space="0" w:color="000000"/>
              <w:bottom w:val="single" w:sz="4" w:space="0" w:color="000000"/>
              <w:right w:val="single" w:sz="4" w:space="0" w:color="000000"/>
            </w:tcBorders>
          </w:tcPr>
          <w:p w14:paraId="53C655C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Предлагач:</w:t>
            </w:r>
          </w:p>
        </w:tc>
        <w:tc>
          <w:tcPr>
            <w:tcW w:w="10334" w:type="dxa"/>
            <w:tcBorders>
              <w:top w:val="single" w:sz="4" w:space="0" w:color="000000"/>
              <w:left w:val="single" w:sz="4" w:space="0" w:color="000000"/>
              <w:bottom w:val="single" w:sz="4" w:space="0" w:color="000000"/>
              <w:right w:val="single" w:sz="4" w:space="0" w:color="000000"/>
            </w:tcBorders>
          </w:tcPr>
          <w:p w14:paraId="7AD5783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r>
      <w:tr w:rsidR="00A0251B" w:rsidRPr="00CC35F0" w14:paraId="6EB0E765" w14:textId="77777777">
        <w:trPr>
          <w:trHeight w:val="230"/>
        </w:trPr>
        <w:tc>
          <w:tcPr>
            <w:tcW w:w="3434" w:type="dxa"/>
            <w:tcBorders>
              <w:top w:val="single" w:sz="4" w:space="0" w:color="000000"/>
              <w:left w:val="single" w:sz="4" w:space="0" w:color="000000"/>
              <w:bottom w:val="single" w:sz="4" w:space="0" w:color="000000"/>
              <w:right w:val="single" w:sz="4" w:space="0" w:color="000000"/>
            </w:tcBorders>
          </w:tcPr>
          <w:p w14:paraId="38530F2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Координација и извештавање:</w:t>
            </w:r>
          </w:p>
        </w:tc>
        <w:tc>
          <w:tcPr>
            <w:tcW w:w="10334" w:type="dxa"/>
            <w:tcBorders>
              <w:top w:val="single" w:sz="4" w:space="0" w:color="000000"/>
              <w:left w:val="single" w:sz="4" w:space="0" w:color="000000"/>
              <w:bottom w:val="single" w:sz="4" w:space="0" w:color="000000"/>
              <w:right w:val="single" w:sz="4" w:space="0" w:color="000000"/>
            </w:tcBorders>
          </w:tcPr>
          <w:p w14:paraId="6579049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r>
    </w:tbl>
    <w:p w14:paraId="13A9FACA" w14:textId="77777777" w:rsidR="00A0251B" w:rsidRPr="00CC35F0" w:rsidRDefault="00A0251B">
      <w:pPr>
        <w:spacing w:after="0"/>
        <w:rPr>
          <w:rFonts w:ascii="Times New Roman" w:eastAsia="Times New Roman" w:hAnsi="Times New Roman"/>
          <w:sz w:val="24"/>
          <w:szCs w:val="24"/>
          <w:lang w:val="sr-Cyrl-CS"/>
        </w:rPr>
      </w:pPr>
    </w:p>
    <w:tbl>
      <w:tblPr>
        <w:tblStyle w:val="af9"/>
        <w:tblW w:w="13798"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4710"/>
        <w:gridCol w:w="1207"/>
        <w:gridCol w:w="1709"/>
        <w:gridCol w:w="1609"/>
        <w:gridCol w:w="1190"/>
        <w:gridCol w:w="1745"/>
        <w:gridCol w:w="1618"/>
        <w:gridCol w:w="10"/>
      </w:tblGrid>
      <w:tr w:rsidR="00A0251B" w:rsidRPr="00CC35F0" w14:paraId="51530C8E" w14:textId="77777777">
        <w:trPr>
          <w:trHeight w:val="403"/>
        </w:trPr>
        <w:tc>
          <w:tcPr>
            <w:tcW w:w="13798" w:type="dxa"/>
            <w:gridSpan w:val="8"/>
            <w:tcBorders>
              <w:top w:val="single" w:sz="4" w:space="0" w:color="000000"/>
              <w:left w:val="single" w:sz="4" w:space="0" w:color="000000"/>
              <w:bottom w:val="single" w:sz="4" w:space="0" w:color="000000"/>
              <w:right w:val="single" w:sz="4" w:space="0" w:color="000000"/>
            </w:tcBorders>
            <w:shd w:val="clear" w:color="auto" w:fill="FFF2CC"/>
          </w:tcPr>
          <w:p w14:paraId="7B06DCD7" w14:textId="77777777" w:rsidR="00A0251B" w:rsidRPr="00CC35F0" w:rsidRDefault="008D6506">
            <w:pPr>
              <w:rPr>
                <w:rFonts w:ascii="Times New Roman" w:eastAsia="Times New Roman" w:hAnsi="Times New Roman"/>
                <w:sz w:val="24"/>
                <w:szCs w:val="24"/>
                <w:lang w:val="sr-Cyrl-CS"/>
              </w:rPr>
            </w:pPr>
            <w:bookmarkStart w:id="122" w:name="_heading=h.14ykbeg" w:colFirst="0" w:colLast="0"/>
            <w:bookmarkEnd w:id="122"/>
            <w:r w:rsidRPr="00CC35F0">
              <w:rPr>
                <w:rFonts w:ascii="Times New Roman" w:eastAsia="Times New Roman" w:hAnsi="Times New Roman"/>
                <w:sz w:val="24"/>
                <w:szCs w:val="24"/>
                <w:lang w:val="sr-Cyrl-CS"/>
              </w:rPr>
              <w:t xml:space="preserve">Општи циљ 1: </w:t>
            </w:r>
            <w:r w:rsidRPr="00CC35F0">
              <w:rPr>
                <w:rFonts w:ascii="Times New Roman" w:eastAsia="Times New Roman" w:hAnsi="Times New Roman"/>
                <w:b/>
                <w:i/>
                <w:sz w:val="24"/>
                <w:szCs w:val="24"/>
                <w:lang w:val="sr-Cyrl-CS"/>
              </w:rPr>
              <w:t>Смањење штетних утицаја на здравље услед излагања ваздуху лошег квалитета до 2030. у поређењу са 2015. годином смањењем излагања загађењу ваздуха, у исто време омогућавајући да се</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b/>
                <w:i/>
                <w:sz w:val="24"/>
                <w:szCs w:val="24"/>
                <w:lang w:val="sr-Cyrl-CS"/>
              </w:rPr>
              <w:t xml:space="preserve">Република Србија усклади са регулаторним ограничењима прописаним у Европској унији за загађење ваздуха, и ограничавајући штетне утицаје на екосистеме </w:t>
            </w:r>
          </w:p>
        </w:tc>
      </w:tr>
      <w:tr w:rsidR="00A0251B" w:rsidRPr="00CC35F0" w14:paraId="26B0024E" w14:textId="77777777">
        <w:trPr>
          <w:trHeight w:val="377"/>
        </w:trPr>
        <w:tc>
          <w:tcPr>
            <w:tcW w:w="13798" w:type="dxa"/>
            <w:gridSpan w:val="8"/>
            <w:tcBorders>
              <w:top w:val="single" w:sz="4" w:space="0" w:color="000000"/>
              <w:left w:val="single" w:sz="4" w:space="0" w:color="000000"/>
              <w:bottom w:val="single" w:sz="4" w:space="0" w:color="000000"/>
              <w:right w:val="single" w:sz="4" w:space="0" w:color="000000"/>
            </w:tcBorders>
            <w:shd w:val="clear" w:color="auto" w:fill="FFF2CC"/>
            <w:vAlign w:val="center"/>
          </w:tcPr>
          <w:p w14:paraId="7A15858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222222"/>
                <w:sz w:val="24"/>
                <w:szCs w:val="24"/>
                <w:lang w:val="sr-Cyrl-CS"/>
              </w:rPr>
              <w:t xml:space="preserve">Институција надлежна за мониторинг и контролу спровођења: </w:t>
            </w:r>
            <w:r w:rsidRPr="00CC35F0">
              <w:rPr>
                <w:rFonts w:ascii="Times New Roman" w:eastAsia="Times New Roman" w:hAnsi="Times New Roman"/>
                <w:sz w:val="24"/>
                <w:szCs w:val="24"/>
                <w:lang w:val="sr-Cyrl-CS"/>
              </w:rPr>
              <w:t>МЗЖС</w:t>
            </w:r>
          </w:p>
        </w:tc>
      </w:tr>
      <w:tr w:rsidR="00A0251B" w:rsidRPr="00CC35F0" w14:paraId="7E092264" w14:textId="77777777">
        <w:trPr>
          <w:trHeight w:val="377"/>
        </w:trPr>
        <w:tc>
          <w:tcPr>
            <w:tcW w:w="4710" w:type="dxa"/>
            <w:tcBorders>
              <w:top w:val="single" w:sz="4" w:space="0" w:color="000000"/>
              <w:left w:val="single" w:sz="4" w:space="0" w:color="000000"/>
              <w:bottom w:val="single" w:sz="4" w:space="0" w:color="000000"/>
              <w:right w:val="single" w:sz="4" w:space="0" w:color="000000"/>
            </w:tcBorders>
            <w:shd w:val="clear" w:color="auto" w:fill="D9D9D9"/>
          </w:tcPr>
          <w:p w14:paraId="49552CC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за општи циљ (</w:t>
            </w:r>
            <w:r w:rsidRPr="00CC35F0">
              <w:rPr>
                <w:rFonts w:ascii="Times New Roman" w:eastAsia="Times New Roman" w:hAnsi="Times New Roman"/>
                <w:i/>
                <w:sz w:val="24"/>
                <w:szCs w:val="24"/>
                <w:lang w:val="sr-Cyrl-CS"/>
              </w:rPr>
              <w:t>показатељ утицаја</w:t>
            </w:r>
            <w:r w:rsidRPr="00CC35F0">
              <w:rPr>
                <w:rFonts w:ascii="Times New Roman" w:eastAsia="Times New Roman" w:hAnsi="Times New Roman"/>
                <w:sz w:val="24"/>
                <w:szCs w:val="24"/>
                <w:lang w:val="sr-Cyrl-CS"/>
              </w:rPr>
              <w:t>)</w:t>
            </w:r>
          </w:p>
          <w:p w14:paraId="63A46C5E" w14:textId="77777777" w:rsidR="00A0251B" w:rsidRPr="00CC35F0" w:rsidRDefault="00A0251B">
            <w:pPr>
              <w:jc w:val="center"/>
              <w:rPr>
                <w:rFonts w:ascii="Times New Roman" w:eastAsia="Times New Roman" w:hAnsi="Times New Roman"/>
                <w:sz w:val="24"/>
                <w:szCs w:val="24"/>
                <w:lang w:val="sr-Cyrl-CS"/>
              </w:rPr>
            </w:pPr>
          </w:p>
        </w:tc>
        <w:tc>
          <w:tcPr>
            <w:tcW w:w="1207" w:type="dxa"/>
            <w:tcBorders>
              <w:top w:val="single" w:sz="4" w:space="0" w:color="000000"/>
              <w:left w:val="single" w:sz="4" w:space="0" w:color="000000"/>
              <w:bottom w:val="single" w:sz="4" w:space="0" w:color="000000"/>
              <w:right w:val="single" w:sz="4" w:space="0" w:color="000000"/>
            </w:tcBorders>
            <w:shd w:val="clear" w:color="auto" w:fill="D9D9D9"/>
          </w:tcPr>
          <w:p w14:paraId="35DE3F5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709" w:type="dxa"/>
            <w:tcBorders>
              <w:top w:val="single" w:sz="4" w:space="0" w:color="000000"/>
              <w:left w:val="single" w:sz="4" w:space="0" w:color="000000"/>
              <w:bottom w:val="single" w:sz="4" w:space="0" w:color="000000"/>
              <w:right w:val="single" w:sz="4" w:space="0" w:color="000000"/>
            </w:tcBorders>
            <w:shd w:val="clear" w:color="auto" w:fill="D9D9D9"/>
          </w:tcPr>
          <w:p w14:paraId="2A2FF93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609" w:type="dxa"/>
            <w:tcBorders>
              <w:top w:val="single" w:sz="4" w:space="0" w:color="000000"/>
              <w:left w:val="single" w:sz="4" w:space="0" w:color="000000"/>
              <w:bottom w:val="single" w:sz="4" w:space="0" w:color="000000"/>
              <w:right w:val="single" w:sz="4" w:space="0" w:color="000000"/>
            </w:tcBorders>
            <w:shd w:val="clear" w:color="auto" w:fill="D9D9D9"/>
          </w:tcPr>
          <w:p w14:paraId="0D78975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w:t>
            </w:r>
          </w:p>
          <w:p w14:paraId="665193D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 године</w:t>
            </w:r>
          </w:p>
        </w:tc>
        <w:tc>
          <w:tcPr>
            <w:tcW w:w="1190" w:type="dxa"/>
            <w:tcBorders>
              <w:top w:val="single" w:sz="4" w:space="0" w:color="000000"/>
              <w:left w:val="single" w:sz="4" w:space="0" w:color="000000"/>
              <w:bottom w:val="single" w:sz="4" w:space="0" w:color="000000"/>
              <w:right w:val="single" w:sz="4" w:space="0" w:color="000000"/>
            </w:tcBorders>
            <w:shd w:val="clear" w:color="auto" w:fill="D9D9D9"/>
          </w:tcPr>
          <w:p w14:paraId="62A2107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Циљна 2022. година</w:t>
            </w:r>
          </w:p>
        </w:tc>
        <w:tc>
          <w:tcPr>
            <w:tcW w:w="1745" w:type="dxa"/>
            <w:tcBorders>
              <w:top w:val="single" w:sz="4" w:space="0" w:color="000000"/>
              <w:left w:val="single" w:sz="4" w:space="0" w:color="000000"/>
              <w:bottom w:val="single" w:sz="4" w:space="0" w:color="000000"/>
              <w:right w:val="single" w:sz="4" w:space="0" w:color="000000"/>
            </w:tcBorders>
            <w:shd w:val="clear" w:color="auto" w:fill="D9D9D9"/>
          </w:tcPr>
          <w:p w14:paraId="7E5DE81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w:t>
            </w:r>
          </w:p>
        </w:tc>
        <w:tc>
          <w:tcPr>
            <w:tcW w:w="1628" w:type="dxa"/>
            <w:gridSpan w:val="2"/>
            <w:tcBorders>
              <w:top w:val="single" w:sz="4" w:space="0" w:color="000000"/>
              <w:left w:val="single" w:sz="4" w:space="0" w:color="000000"/>
              <w:bottom w:val="single" w:sz="4" w:space="0" w:color="000000"/>
              <w:right w:val="single" w:sz="4" w:space="0" w:color="000000"/>
            </w:tcBorders>
            <w:shd w:val="clear" w:color="auto" w:fill="D9D9D9"/>
          </w:tcPr>
          <w:p w14:paraId="739D8BC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Последња година важења АП</w:t>
            </w:r>
          </w:p>
        </w:tc>
      </w:tr>
      <w:tr w:rsidR="00A0251B" w:rsidRPr="00CC35F0" w14:paraId="060B3EB9" w14:textId="77777777">
        <w:trPr>
          <w:trHeight w:val="377"/>
        </w:trPr>
        <w:tc>
          <w:tcPr>
            <w:tcW w:w="47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795E5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мерних станица за праћење квалитета ваздуха на којима је више од 35 пута у једној календарској години прекорачена дневна гранична вредност</w:t>
            </w:r>
            <w:r w:rsidRPr="00CC35F0">
              <w:rPr>
                <w:rFonts w:ascii="Times New Roman" w:eastAsia="Times New Roman" w:hAnsi="Times New Roman"/>
                <w:strike/>
                <w:sz w:val="24"/>
                <w:szCs w:val="24"/>
                <w:lang w:val="sr-Cyrl-CS"/>
              </w:rPr>
              <w:t xml:space="preserve"> </w:t>
            </w:r>
            <w:r w:rsidRPr="00CC35F0">
              <w:rPr>
                <w:rFonts w:ascii="Times New Roman" w:eastAsia="Times New Roman" w:hAnsi="Times New Roman"/>
                <w:sz w:val="24"/>
                <w:szCs w:val="24"/>
                <w:lang w:val="sr-Cyrl-CS"/>
              </w:rPr>
              <w:t>од 50 μg/m</w:t>
            </w:r>
            <w:r w:rsidRPr="00CC35F0">
              <w:rPr>
                <w:rFonts w:ascii="Times New Roman" w:eastAsia="Times New Roman" w:hAnsi="Times New Roman"/>
                <w:sz w:val="24"/>
                <w:szCs w:val="24"/>
                <w:vertAlign w:val="superscript"/>
                <w:lang w:val="sr-Cyrl-CS"/>
              </w:rPr>
              <w:t>3</w:t>
            </w:r>
            <w:r w:rsidRPr="00CC35F0">
              <w:rPr>
                <w:rFonts w:ascii="Times New Roman" w:eastAsia="Times New Roman" w:hAnsi="Times New Roman"/>
                <w:sz w:val="24"/>
                <w:szCs w:val="24"/>
                <w:lang w:val="sr-Cyrl-CS"/>
              </w:rPr>
              <w:t xml:space="preserve"> за РМ</w:t>
            </w:r>
            <w:r w:rsidRPr="00CC35F0">
              <w:rPr>
                <w:rFonts w:ascii="Times New Roman" w:eastAsia="Times New Roman" w:hAnsi="Times New Roman"/>
                <w:sz w:val="24"/>
                <w:szCs w:val="24"/>
                <w:vertAlign w:val="subscript"/>
                <w:lang w:val="sr-Cyrl-CS"/>
              </w:rPr>
              <w:t xml:space="preserve">10 </w:t>
            </w:r>
          </w:p>
        </w:tc>
        <w:tc>
          <w:tcPr>
            <w:tcW w:w="1207" w:type="dxa"/>
            <w:tcBorders>
              <w:top w:val="single" w:sz="4" w:space="0" w:color="000000"/>
              <w:left w:val="single" w:sz="4" w:space="0" w:color="000000"/>
              <w:bottom w:val="single" w:sz="4" w:space="0" w:color="000000"/>
              <w:right w:val="single" w:sz="4" w:space="0" w:color="000000"/>
            </w:tcBorders>
            <w:shd w:val="clear" w:color="auto" w:fill="FFFFFF"/>
          </w:tcPr>
          <w:p w14:paraId="2E2463B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709" w:type="dxa"/>
            <w:tcBorders>
              <w:top w:val="single" w:sz="4" w:space="0" w:color="000000"/>
              <w:left w:val="single" w:sz="4" w:space="0" w:color="000000"/>
              <w:bottom w:val="single" w:sz="4" w:space="0" w:color="000000"/>
              <w:right w:val="single" w:sz="4" w:space="0" w:color="000000"/>
            </w:tcBorders>
            <w:shd w:val="clear" w:color="auto" w:fill="FFFFFF"/>
          </w:tcPr>
          <w:p w14:paraId="4511CA2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Годишњи извештај о квалитету ваздуха у Србији (АЗЖС)</w:t>
            </w:r>
          </w:p>
        </w:tc>
        <w:tc>
          <w:tcPr>
            <w:tcW w:w="1609" w:type="dxa"/>
            <w:tcBorders>
              <w:top w:val="single" w:sz="4" w:space="0" w:color="000000"/>
              <w:left w:val="single" w:sz="4" w:space="0" w:color="000000"/>
              <w:bottom w:val="single" w:sz="4" w:space="0" w:color="000000"/>
              <w:right w:val="single" w:sz="4" w:space="0" w:color="000000"/>
            </w:tcBorders>
            <w:shd w:val="clear" w:color="auto" w:fill="FFFFFF"/>
          </w:tcPr>
          <w:p w14:paraId="56852B3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83</w:t>
            </w:r>
          </w:p>
        </w:tc>
        <w:tc>
          <w:tcPr>
            <w:tcW w:w="1190" w:type="dxa"/>
            <w:tcBorders>
              <w:top w:val="single" w:sz="4" w:space="0" w:color="000000"/>
              <w:left w:val="single" w:sz="4" w:space="0" w:color="000000"/>
              <w:bottom w:val="single" w:sz="4" w:space="0" w:color="000000"/>
              <w:right w:val="single" w:sz="4" w:space="0" w:color="000000"/>
            </w:tcBorders>
            <w:shd w:val="clear" w:color="auto" w:fill="auto"/>
          </w:tcPr>
          <w:p w14:paraId="4DD87A4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28</w:t>
            </w:r>
          </w:p>
        </w:tc>
        <w:tc>
          <w:tcPr>
            <w:tcW w:w="1745" w:type="dxa"/>
            <w:tcBorders>
              <w:top w:val="single" w:sz="4" w:space="0" w:color="000000"/>
              <w:left w:val="single" w:sz="4" w:space="0" w:color="000000"/>
              <w:bottom w:val="single" w:sz="4" w:space="0" w:color="000000"/>
              <w:right w:val="single" w:sz="4" w:space="0" w:color="000000"/>
            </w:tcBorders>
            <w:shd w:val="clear" w:color="auto" w:fill="auto"/>
          </w:tcPr>
          <w:p w14:paraId="04D8F68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w:t>
            </w:r>
          </w:p>
        </w:tc>
        <w:tc>
          <w:tcPr>
            <w:tcW w:w="1628" w:type="dxa"/>
            <w:gridSpan w:val="2"/>
            <w:tcBorders>
              <w:top w:val="single" w:sz="4" w:space="0" w:color="000000"/>
              <w:left w:val="single" w:sz="4" w:space="0" w:color="000000"/>
              <w:bottom w:val="single" w:sz="4" w:space="0" w:color="000000"/>
              <w:right w:val="single" w:sz="4" w:space="0" w:color="000000"/>
            </w:tcBorders>
            <w:shd w:val="clear" w:color="auto" w:fill="auto"/>
          </w:tcPr>
          <w:p w14:paraId="12774E8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w:t>
            </w:r>
          </w:p>
        </w:tc>
      </w:tr>
      <w:tr w:rsidR="00A0251B" w:rsidRPr="00CC35F0" w14:paraId="474CF570" w14:textId="77777777">
        <w:trPr>
          <w:trHeight w:val="377"/>
        </w:trPr>
        <w:tc>
          <w:tcPr>
            <w:tcW w:w="47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71F7D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мерне станице за праћење квалитета ваздуха на којима је прекорачена годишња гранична вредност за PM</w:t>
            </w:r>
            <w:r w:rsidRPr="00CC35F0">
              <w:rPr>
                <w:rFonts w:ascii="Times New Roman" w:eastAsia="Times New Roman" w:hAnsi="Times New Roman"/>
                <w:sz w:val="24"/>
                <w:szCs w:val="24"/>
                <w:vertAlign w:val="subscript"/>
                <w:lang w:val="sr-Cyrl-CS"/>
              </w:rPr>
              <w:t>10</w:t>
            </w:r>
            <w:r w:rsidRPr="00CC35F0">
              <w:rPr>
                <w:rFonts w:ascii="Times New Roman" w:eastAsia="Times New Roman" w:hAnsi="Times New Roman"/>
                <w:sz w:val="24"/>
                <w:szCs w:val="24"/>
                <w:lang w:val="sr-Cyrl-CS"/>
              </w:rPr>
              <w:t xml:space="preserve"> </w:t>
            </w:r>
          </w:p>
        </w:tc>
        <w:tc>
          <w:tcPr>
            <w:tcW w:w="1207" w:type="dxa"/>
            <w:tcBorders>
              <w:top w:val="single" w:sz="4" w:space="0" w:color="000000"/>
              <w:left w:val="single" w:sz="4" w:space="0" w:color="000000"/>
              <w:bottom w:val="single" w:sz="4" w:space="0" w:color="000000"/>
              <w:right w:val="single" w:sz="4" w:space="0" w:color="000000"/>
            </w:tcBorders>
            <w:shd w:val="clear" w:color="auto" w:fill="FFFFFF"/>
          </w:tcPr>
          <w:p w14:paraId="473E4C5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709" w:type="dxa"/>
            <w:tcBorders>
              <w:top w:val="single" w:sz="4" w:space="0" w:color="000000"/>
              <w:left w:val="single" w:sz="4" w:space="0" w:color="000000"/>
              <w:bottom w:val="single" w:sz="4" w:space="0" w:color="000000"/>
              <w:right w:val="single" w:sz="4" w:space="0" w:color="000000"/>
            </w:tcBorders>
            <w:shd w:val="clear" w:color="auto" w:fill="FFFFFF"/>
          </w:tcPr>
          <w:p w14:paraId="3C02D5C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Годишњи извештај о квалитету ваздуха у Србији (АЗЖС)</w:t>
            </w:r>
          </w:p>
        </w:tc>
        <w:tc>
          <w:tcPr>
            <w:tcW w:w="1609" w:type="dxa"/>
            <w:tcBorders>
              <w:top w:val="single" w:sz="4" w:space="0" w:color="000000"/>
              <w:left w:val="single" w:sz="4" w:space="0" w:color="000000"/>
              <w:bottom w:val="single" w:sz="4" w:space="0" w:color="000000"/>
              <w:right w:val="single" w:sz="4" w:space="0" w:color="000000"/>
            </w:tcBorders>
            <w:shd w:val="clear" w:color="auto" w:fill="FFFFFF"/>
          </w:tcPr>
          <w:p w14:paraId="53D12EE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w:t>
            </w:r>
          </w:p>
        </w:tc>
        <w:tc>
          <w:tcPr>
            <w:tcW w:w="1190" w:type="dxa"/>
            <w:tcBorders>
              <w:top w:val="single" w:sz="4" w:space="0" w:color="000000"/>
              <w:left w:val="single" w:sz="4" w:space="0" w:color="000000"/>
              <w:bottom w:val="single" w:sz="4" w:space="0" w:color="000000"/>
              <w:right w:val="single" w:sz="4" w:space="0" w:color="000000"/>
            </w:tcBorders>
            <w:shd w:val="clear" w:color="auto" w:fill="auto"/>
          </w:tcPr>
          <w:p w14:paraId="1B004EE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43</w:t>
            </w:r>
          </w:p>
        </w:tc>
        <w:tc>
          <w:tcPr>
            <w:tcW w:w="1745" w:type="dxa"/>
            <w:tcBorders>
              <w:top w:val="single" w:sz="4" w:space="0" w:color="000000"/>
              <w:left w:val="single" w:sz="4" w:space="0" w:color="000000"/>
              <w:bottom w:val="single" w:sz="4" w:space="0" w:color="000000"/>
              <w:right w:val="single" w:sz="4" w:space="0" w:color="000000"/>
            </w:tcBorders>
            <w:shd w:val="clear" w:color="auto" w:fill="auto"/>
          </w:tcPr>
          <w:p w14:paraId="75E07DC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w:t>
            </w:r>
          </w:p>
        </w:tc>
        <w:tc>
          <w:tcPr>
            <w:tcW w:w="1628" w:type="dxa"/>
            <w:gridSpan w:val="2"/>
            <w:tcBorders>
              <w:top w:val="single" w:sz="4" w:space="0" w:color="000000"/>
              <w:left w:val="single" w:sz="4" w:space="0" w:color="000000"/>
              <w:bottom w:val="single" w:sz="4" w:space="0" w:color="000000"/>
              <w:right w:val="single" w:sz="4" w:space="0" w:color="000000"/>
            </w:tcBorders>
            <w:shd w:val="clear" w:color="auto" w:fill="auto"/>
          </w:tcPr>
          <w:p w14:paraId="40458D5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w:t>
            </w:r>
          </w:p>
        </w:tc>
      </w:tr>
      <w:tr w:rsidR="00A0251B" w:rsidRPr="00CC35F0" w14:paraId="187C68C8" w14:textId="77777777">
        <w:trPr>
          <w:gridAfter w:val="1"/>
          <w:wAfter w:w="10" w:type="dxa"/>
          <w:trHeight w:val="377"/>
        </w:trPr>
        <w:tc>
          <w:tcPr>
            <w:tcW w:w="47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709C8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Број дана када је у Бору прекорачена гранична вредност за SO</w:t>
            </w:r>
            <w:r w:rsidRPr="00CC35F0">
              <w:rPr>
                <w:rFonts w:ascii="Times New Roman" w:eastAsia="Times New Roman" w:hAnsi="Times New Roman"/>
                <w:sz w:val="24"/>
                <w:szCs w:val="24"/>
                <w:vertAlign w:val="subscript"/>
                <w:lang w:val="sr-Cyrl-CS"/>
              </w:rPr>
              <w:t xml:space="preserve">2 </w:t>
            </w:r>
            <w:r w:rsidRPr="00CC35F0">
              <w:rPr>
                <w:rFonts w:ascii="Times New Roman" w:eastAsia="Times New Roman" w:hAnsi="Times New Roman"/>
                <w:sz w:val="24"/>
                <w:szCs w:val="24"/>
                <w:lang w:val="sr-Cyrl-CS"/>
              </w:rPr>
              <w:t>за период усредњавања један дан</w:t>
            </w:r>
          </w:p>
        </w:tc>
        <w:tc>
          <w:tcPr>
            <w:tcW w:w="120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32EFB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Број </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24251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Годишњи извештај о квалитету ваздуха у </w:t>
            </w:r>
            <w:r w:rsidRPr="00CC35F0">
              <w:rPr>
                <w:rFonts w:ascii="Times New Roman" w:eastAsia="Times New Roman" w:hAnsi="Times New Roman"/>
                <w:sz w:val="24"/>
                <w:szCs w:val="24"/>
                <w:lang w:val="sr-Cyrl-CS"/>
              </w:rPr>
              <w:lastRenderedPageBreak/>
              <w:t>Србији (АЗЖС)</w:t>
            </w:r>
          </w:p>
        </w:tc>
        <w:tc>
          <w:tcPr>
            <w:tcW w:w="16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B0A25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139</w:t>
            </w:r>
          </w:p>
        </w:tc>
        <w:tc>
          <w:tcPr>
            <w:tcW w:w="1190" w:type="dxa"/>
            <w:tcBorders>
              <w:top w:val="single" w:sz="4" w:space="0" w:color="000000"/>
              <w:left w:val="single" w:sz="4" w:space="0" w:color="000000"/>
              <w:bottom w:val="single" w:sz="4" w:space="0" w:color="000000"/>
              <w:right w:val="single" w:sz="4" w:space="0" w:color="000000"/>
            </w:tcBorders>
            <w:shd w:val="clear" w:color="auto" w:fill="auto"/>
          </w:tcPr>
          <w:p w14:paraId="7E502D5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58</w:t>
            </w:r>
          </w:p>
        </w:tc>
        <w:tc>
          <w:tcPr>
            <w:tcW w:w="1745" w:type="dxa"/>
            <w:tcBorders>
              <w:top w:val="single" w:sz="4" w:space="0" w:color="000000"/>
              <w:left w:val="single" w:sz="4" w:space="0" w:color="000000"/>
              <w:bottom w:val="single" w:sz="4" w:space="0" w:color="000000"/>
              <w:right w:val="single" w:sz="4" w:space="0" w:color="000000"/>
            </w:tcBorders>
            <w:shd w:val="clear" w:color="auto" w:fill="auto"/>
          </w:tcPr>
          <w:p w14:paraId="64E8E8C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&lt;3 </w:t>
            </w:r>
          </w:p>
        </w:tc>
        <w:tc>
          <w:tcPr>
            <w:tcW w:w="1618" w:type="dxa"/>
            <w:tcBorders>
              <w:top w:val="single" w:sz="4" w:space="0" w:color="000000"/>
              <w:left w:val="single" w:sz="4" w:space="0" w:color="000000"/>
              <w:bottom w:val="single" w:sz="4" w:space="0" w:color="000000"/>
              <w:right w:val="single" w:sz="4" w:space="0" w:color="000000"/>
            </w:tcBorders>
            <w:shd w:val="clear" w:color="auto" w:fill="auto"/>
          </w:tcPr>
          <w:p w14:paraId="563709B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w:t>
            </w:r>
          </w:p>
        </w:tc>
      </w:tr>
      <w:tr w:rsidR="00A0251B" w:rsidRPr="00CC35F0" w14:paraId="07441789" w14:textId="77777777">
        <w:trPr>
          <w:gridAfter w:val="1"/>
          <w:wAfter w:w="10" w:type="dxa"/>
          <w:trHeight w:val="377"/>
        </w:trPr>
        <w:tc>
          <w:tcPr>
            <w:tcW w:w="47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CC761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Просечни нивои годишње концентрације арсена у Бору </w:t>
            </w:r>
          </w:p>
        </w:tc>
        <w:tc>
          <w:tcPr>
            <w:tcW w:w="120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DACAA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ng/m</w:t>
            </w:r>
            <w:r w:rsidRPr="00CC35F0">
              <w:rPr>
                <w:rFonts w:ascii="Times New Roman" w:eastAsia="Times New Roman" w:hAnsi="Times New Roman"/>
                <w:sz w:val="24"/>
                <w:szCs w:val="24"/>
                <w:vertAlign w:val="superscript"/>
                <w:lang w:val="sr-Cyrl-CS"/>
              </w:rPr>
              <w:t>3</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9D96B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Годишњи извештај о квалитету ваздуха у Србији (АЗЖС)</w:t>
            </w:r>
          </w:p>
        </w:tc>
        <w:tc>
          <w:tcPr>
            <w:tcW w:w="16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AC359D"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Нема података</w:t>
            </w:r>
          </w:p>
          <w:p w14:paraId="22918BEC" w14:textId="77777777" w:rsidR="00A0251B" w:rsidRPr="00CC35F0" w:rsidRDefault="00A0251B">
            <w:pPr>
              <w:rPr>
                <w:rFonts w:ascii="Times New Roman" w:eastAsia="Times New Roman" w:hAnsi="Times New Roman"/>
                <w:sz w:val="24"/>
                <w:szCs w:val="24"/>
                <w:lang w:val="sr-Cyrl-CS"/>
              </w:rPr>
            </w:pPr>
          </w:p>
        </w:tc>
        <w:tc>
          <w:tcPr>
            <w:tcW w:w="1190" w:type="dxa"/>
            <w:tcBorders>
              <w:top w:val="single" w:sz="4" w:space="0" w:color="000000"/>
              <w:left w:val="single" w:sz="4" w:space="0" w:color="000000"/>
              <w:bottom w:val="single" w:sz="4" w:space="0" w:color="000000"/>
              <w:right w:val="single" w:sz="4" w:space="0" w:color="000000"/>
            </w:tcBorders>
            <w:shd w:val="clear" w:color="auto" w:fill="FFFFFF"/>
          </w:tcPr>
          <w:p w14:paraId="44B1A5F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w:t>
            </w:r>
          </w:p>
        </w:tc>
        <w:tc>
          <w:tcPr>
            <w:tcW w:w="1745" w:type="dxa"/>
            <w:tcBorders>
              <w:top w:val="single" w:sz="4" w:space="0" w:color="000000"/>
              <w:left w:val="single" w:sz="4" w:space="0" w:color="000000"/>
              <w:bottom w:val="single" w:sz="4" w:space="0" w:color="000000"/>
              <w:right w:val="single" w:sz="4" w:space="0" w:color="000000"/>
            </w:tcBorders>
            <w:shd w:val="clear" w:color="auto" w:fill="FFFFFF"/>
          </w:tcPr>
          <w:p w14:paraId="6E37D3C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w:t>
            </w:r>
          </w:p>
        </w:tc>
        <w:tc>
          <w:tcPr>
            <w:tcW w:w="1618" w:type="dxa"/>
            <w:tcBorders>
              <w:top w:val="single" w:sz="4" w:space="0" w:color="000000"/>
              <w:left w:val="single" w:sz="4" w:space="0" w:color="000000"/>
              <w:bottom w:val="single" w:sz="4" w:space="0" w:color="000000"/>
              <w:right w:val="single" w:sz="4" w:space="0" w:color="000000"/>
            </w:tcBorders>
            <w:shd w:val="clear" w:color="auto" w:fill="FFFFFF"/>
          </w:tcPr>
          <w:p w14:paraId="6EC4999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w:t>
            </w:r>
          </w:p>
        </w:tc>
      </w:tr>
      <w:tr w:rsidR="00A0251B" w:rsidRPr="00CC35F0" w14:paraId="7D062DD3" w14:textId="77777777">
        <w:trPr>
          <w:gridAfter w:val="1"/>
          <w:wAfter w:w="10" w:type="dxa"/>
          <w:trHeight w:val="377"/>
        </w:trPr>
        <w:tc>
          <w:tcPr>
            <w:tcW w:w="47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479DB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Просечни нивои годишње концентрације кадмијума у Бору </w:t>
            </w:r>
          </w:p>
        </w:tc>
        <w:tc>
          <w:tcPr>
            <w:tcW w:w="120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7B33A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ng/m</w:t>
            </w:r>
            <w:r w:rsidRPr="00CC35F0">
              <w:rPr>
                <w:rFonts w:ascii="Times New Roman" w:eastAsia="Times New Roman" w:hAnsi="Times New Roman"/>
                <w:sz w:val="24"/>
                <w:szCs w:val="24"/>
                <w:vertAlign w:val="superscript"/>
                <w:lang w:val="sr-Cyrl-CS"/>
              </w:rPr>
              <w:t>3</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78646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Годишњи извештај о квалитету ваздуха у Србији (АЗЖС)</w:t>
            </w:r>
          </w:p>
        </w:tc>
        <w:tc>
          <w:tcPr>
            <w:tcW w:w="16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B0B71C"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Нема података</w:t>
            </w:r>
          </w:p>
          <w:p w14:paraId="086D7209" w14:textId="77777777" w:rsidR="00A0251B" w:rsidRPr="00CC35F0" w:rsidRDefault="00A0251B">
            <w:pPr>
              <w:rPr>
                <w:rFonts w:ascii="Times New Roman" w:eastAsia="Times New Roman" w:hAnsi="Times New Roman"/>
                <w:sz w:val="24"/>
                <w:szCs w:val="24"/>
                <w:lang w:val="sr-Cyrl-CS"/>
              </w:rPr>
            </w:pPr>
          </w:p>
        </w:tc>
        <w:tc>
          <w:tcPr>
            <w:tcW w:w="1190" w:type="dxa"/>
            <w:tcBorders>
              <w:top w:val="single" w:sz="4" w:space="0" w:color="000000"/>
              <w:left w:val="single" w:sz="4" w:space="0" w:color="000000"/>
              <w:bottom w:val="single" w:sz="4" w:space="0" w:color="000000"/>
              <w:right w:val="single" w:sz="4" w:space="0" w:color="000000"/>
            </w:tcBorders>
            <w:shd w:val="clear" w:color="auto" w:fill="FFFFFF"/>
          </w:tcPr>
          <w:p w14:paraId="69BC73F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w:t>
            </w:r>
          </w:p>
        </w:tc>
        <w:tc>
          <w:tcPr>
            <w:tcW w:w="1745" w:type="dxa"/>
            <w:tcBorders>
              <w:top w:val="single" w:sz="4" w:space="0" w:color="000000"/>
              <w:left w:val="single" w:sz="4" w:space="0" w:color="000000"/>
              <w:bottom w:val="single" w:sz="4" w:space="0" w:color="000000"/>
              <w:right w:val="single" w:sz="4" w:space="0" w:color="000000"/>
            </w:tcBorders>
            <w:shd w:val="clear" w:color="auto" w:fill="FFFFFF"/>
          </w:tcPr>
          <w:p w14:paraId="7DB9F3D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w:t>
            </w:r>
          </w:p>
        </w:tc>
        <w:tc>
          <w:tcPr>
            <w:tcW w:w="1618" w:type="dxa"/>
            <w:tcBorders>
              <w:top w:val="single" w:sz="4" w:space="0" w:color="000000"/>
              <w:left w:val="single" w:sz="4" w:space="0" w:color="000000"/>
              <w:bottom w:val="single" w:sz="4" w:space="0" w:color="000000"/>
              <w:right w:val="single" w:sz="4" w:space="0" w:color="000000"/>
            </w:tcBorders>
            <w:shd w:val="clear" w:color="auto" w:fill="FFFFFF"/>
          </w:tcPr>
          <w:p w14:paraId="61CC7DE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w:t>
            </w:r>
          </w:p>
        </w:tc>
      </w:tr>
      <w:tr w:rsidR="00A0251B" w:rsidRPr="00CC35F0" w14:paraId="4EA7FE1F" w14:textId="77777777">
        <w:trPr>
          <w:trHeight w:val="176"/>
        </w:trPr>
        <w:tc>
          <w:tcPr>
            <w:tcW w:w="47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18F8F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Просечни годишњи нивои концентрације (AEL) PM</w:t>
            </w:r>
            <w:r w:rsidRPr="00CC35F0">
              <w:rPr>
                <w:rFonts w:ascii="Times New Roman" w:eastAsia="Times New Roman" w:hAnsi="Times New Roman"/>
                <w:sz w:val="24"/>
                <w:szCs w:val="24"/>
                <w:vertAlign w:val="subscript"/>
                <w:lang w:val="sr-Cyrl-CS"/>
              </w:rPr>
              <w:t>2.5</w:t>
            </w:r>
          </w:p>
        </w:tc>
        <w:tc>
          <w:tcPr>
            <w:tcW w:w="120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147C7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µg.m</w:t>
            </w:r>
            <w:r w:rsidRPr="00CC35F0">
              <w:rPr>
                <w:rFonts w:ascii="Times New Roman" w:eastAsia="Times New Roman" w:hAnsi="Times New Roman"/>
                <w:sz w:val="24"/>
                <w:szCs w:val="24"/>
                <w:vertAlign w:val="superscript"/>
                <w:lang w:val="sr-Cyrl-CS"/>
              </w:rPr>
              <w:t>-3</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F6CB0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Годишњи извештај о квалитету ваздуха у Србији (АЗЖС)</w:t>
            </w:r>
          </w:p>
        </w:tc>
        <w:tc>
          <w:tcPr>
            <w:tcW w:w="16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D69193"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Нема података</w:t>
            </w:r>
          </w:p>
          <w:p w14:paraId="4A9B6E52" w14:textId="77777777" w:rsidR="00A0251B" w:rsidRPr="00CC35F0" w:rsidRDefault="00A0251B">
            <w:pPr>
              <w:rPr>
                <w:rFonts w:ascii="Times New Roman" w:eastAsia="Times New Roman" w:hAnsi="Times New Roman"/>
                <w:sz w:val="24"/>
                <w:szCs w:val="24"/>
                <w:lang w:val="sr-Cyrl-CS"/>
              </w:rPr>
            </w:pPr>
          </w:p>
        </w:tc>
        <w:tc>
          <w:tcPr>
            <w:tcW w:w="11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E4294A" w14:textId="77777777" w:rsidR="00A0251B" w:rsidRPr="00CC35F0" w:rsidRDefault="008D6506" w:rsidP="0055629A">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32,0</w:t>
            </w:r>
          </w:p>
        </w:tc>
        <w:tc>
          <w:tcPr>
            <w:tcW w:w="174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10CC22" w14:textId="77777777" w:rsidR="00A0251B" w:rsidRPr="00CC35F0" w:rsidRDefault="008D6506" w:rsidP="0055629A">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&lt;20</w:t>
            </w:r>
          </w:p>
        </w:tc>
        <w:tc>
          <w:tcPr>
            <w:tcW w:w="1628"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7A73FC6E" w14:textId="77777777" w:rsidR="00A0251B" w:rsidRPr="00CC35F0" w:rsidRDefault="008D6506" w:rsidP="0055629A">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w:t>
            </w:r>
          </w:p>
        </w:tc>
      </w:tr>
      <w:tr w:rsidR="00A0251B" w:rsidRPr="00CC35F0" w14:paraId="01A3FF27" w14:textId="77777777">
        <w:trPr>
          <w:trHeight w:val="176"/>
        </w:trPr>
        <w:tc>
          <w:tcPr>
            <w:tcW w:w="47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CCD656"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Превремена смрт услед излагања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w:t>
            </w:r>
          </w:p>
          <w:p w14:paraId="56476A5F" w14:textId="77777777" w:rsidR="00A0251B" w:rsidRPr="00CC35F0" w:rsidRDefault="00A0251B">
            <w:pPr>
              <w:shd w:val="clear" w:color="auto" w:fill="FFFFFF"/>
              <w:rPr>
                <w:rFonts w:ascii="Times New Roman" w:eastAsia="Times New Roman" w:hAnsi="Times New Roman"/>
                <w:sz w:val="24"/>
                <w:szCs w:val="24"/>
                <w:lang w:val="sr-Cyrl-CS"/>
              </w:rPr>
            </w:pPr>
          </w:p>
        </w:tc>
        <w:tc>
          <w:tcPr>
            <w:tcW w:w="120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C8A325"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Број </w:t>
            </w:r>
          </w:p>
        </w:tc>
        <w:tc>
          <w:tcPr>
            <w:tcW w:w="17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2773BF"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Квалитет амбијенталног ваздуха у Европи (ЕАЗЖ)</w:t>
            </w:r>
          </w:p>
        </w:tc>
        <w:tc>
          <w:tcPr>
            <w:tcW w:w="160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902DCA" w14:textId="77777777" w:rsidR="00A0251B" w:rsidRPr="00CC35F0" w:rsidRDefault="008D6506" w:rsidP="0055629A">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9773</w:t>
            </w:r>
          </w:p>
        </w:tc>
        <w:tc>
          <w:tcPr>
            <w:tcW w:w="11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39A28E" w14:textId="77777777" w:rsidR="00A0251B" w:rsidRPr="00CC35F0" w:rsidRDefault="008D6506" w:rsidP="0055629A">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12760</w:t>
            </w:r>
          </w:p>
        </w:tc>
        <w:tc>
          <w:tcPr>
            <w:tcW w:w="174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1E0B50" w14:textId="77777777" w:rsidR="00A0251B" w:rsidRPr="00CC35F0" w:rsidRDefault="008D6506" w:rsidP="0055629A">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9080</w:t>
            </w:r>
          </w:p>
        </w:tc>
        <w:tc>
          <w:tcPr>
            <w:tcW w:w="1628"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3A4BAEE" w14:textId="77777777" w:rsidR="00A0251B" w:rsidRPr="00CC35F0" w:rsidRDefault="008D6506" w:rsidP="0055629A">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w:t>
            </w:r>
          </w:p>
        </w:tc>
      </w:tr>
    </w:tbl>
    <w:p w14:paraId="0B80219C" w14:textId="77777777" w:rsidR="00A0251B" w:rsidRPr="00CC35F0" w:rsidRDefault="00A0251B">
      <w:pPr>
        <w:spacing w:after="0"/>
        <w:rPr>
          <w:rFonts w:ascii="Times New Roman" w:eastAsia="Times New Roman" w:hAnsi="Times New Roman"/>
          <w:sz w:val="24"/>
          <w:szCs w:val="24"/>
          <w:lang w:val="sr-Cyrl-CS"/>
        </w:rPr>
      </w:pPr>
    </w:p>
    <w:p w14:paraId="4D96181E"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p w14:paraId="12280FF4" w14:textId="77777777" w:rsidR="00A0251B" w:rsidRPr="00CC35F0" w:rsidRDefault="00A0251B">
      <w:pPr>
        <w:spacing w:after="0"/>
        <w:rPr>
          <w:rFonts w:ascii="Times New Roman" w:eastAsia="Times New Roman" w:hAnsi="Times New Roman"/>
          <w:sz w:val="24"/>
          <w:szCs w:val="24"/>
          <w:lang w:val="sr-Cyrl-CS"/>
        </w:rPr>
      </w:pPr>
    </w:p>
    <w:p w14:paraId="25F8C5BB" w14:textId="77777777" w:rsidR="00A0251B" w:rsidRPr="00CC35F0" w:rsidRDefault="00A0251B">
      <w:pPr>
        <w:tabs>
          <w:tab w:val="left" w:pos="1940"/>
        </w:tabs>
        <w:spacing w:line="240" w:lineRule="auto"/>
        <w:rPr>
          <w:rFonts w:ascii="Times New Roman" w:eastAsia="Times New Roman" w:hAnsi="Times New Roman"/>
          <w:sz w:val="24"/>
          <w:szCs w:val="24"/>
          <w:lang w:val="sr-Cyrl-CS"/>
        </w:rPr>
      </w:pPr>
    </w:p>
    <w:tbl>
      <w:tblPr>
        <w:tblStyle w:val="afa"/>
        <w:tblW w:w="1384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138"/>
        <w:gridCol w:w="1443"/>
        <w:gridCol w:w="1367"/>
        <w:gridCol w:w="1237"/>
        <w:gridCol w:w="1080"/>
        <w:gridCol w:w="1170"/>
        <w:gridCol w:w="1350"/>
        <w:gridCol w:w="1350"/>
        <w:gridCol w:w="1710"/>
      </w:tblGrid>
      <w:tr w:rsidR="00A0251B" w:rsidRPr="00CC35F0" w14:paraId="3BF356BA" w14:textId="77777777">
        <w:trPr>
          <w:trHeight w:val="320"/>
        </w:trPr>
        <w:tc>
          <w:tcPr>
            <w:tcW w:w="13845" w:type="dxa"/>
            <w:gridSpan w:val="9"/>
            <w:tcBorders>
              <w:top w:val="single" w:sz="4" w:space="0" w:color="000000"/>
              <w:left w:val="single" w:sz="4" w:space="0" w:color="000000"/>
              <w:bottom w:val="single" w:sz="4" w:space="0" w:color="000000"/>
              <w:right w:val="single" w:sz="4" w:space="0" w:color="000000"/>
            </w:tcBorders>
            <w:shd w:val="clear" w:color="auto" w:fill="B4C6E7"/>
          </w:tcPr>
          <w:p w14:paraId="53C6525A" w14:textId="77777777" w:rsidR="00A0251B" w:rsidRPr="00CC35F0" w:rsidRDefault="008D6506">
            <w:pPr>
              <w:rPr>
                <w:rFonts w:ascii="Times New Roman" w:eastAsia="Times New Roman" w:hAnsi="Times New Roman"/>
                <w:b/>
                <w:i/>
                <w:sz w:val="24"/>
                <w:szCs w:val="24"/>
                <w:lang w:val="sr-Cyrl-CS"/>
              </w:rPr>
            </w:pPr>
            <w:r w:rsidRPr="00CC35F0">
              <w:rPr>
                <w:rFonts w:ascii="Times New Roman" w:eastAsia="Times New Roman" w:hAnsi="Times New Roman"/>
                <w:b/>
                <w:sz w:val="24"/>
                <w:szCs w:val="24"/>
                <w:lang w:val="sr-Cyrl-CS"/>
              </w:rPr>
              <w:t>Посебни циљ 1.1</w:t>
            </w:r>
            <w:r w:rsidRPr="00CC35F0">
              <w:rPr>
                <w:rFonts w:ascii="Times New Roman" w:eastAsia="Times New Roman" w:hAnsi="Times New Roman"/>
                <w:b/>
                <w:i/>
                <w:sz w:val="24"/>
                <w:szCs w:val="24"/>
                <w:lang w:val="sr-Cyrl-CS"/>
              </w:rPr>
              <w:t>: Смањење емисија SO</w:t>
            </w:r>
            <w:r w:rsidRPr="00CC35F0">
              <w:rPr>
                <w:rFonts w:ascii="Times New Roman" w:eastAsia="Times New Roman" w:hAnsi="Times New Roman"/>
                <w:b/>
                <w:i/>
                <w:sz w:val="24"/>
                <w:szCs w:val="24"/>
                <w:vertAlign w:val="subscript"/>
                <w:lang w:val="sr-Cyrl-CS"/>
              </w:rPr>
              <w:t>2</w:t>
            </w:r>
            <w:r w:rsidRPr="00CC35F0">
              <w:rPr>
                <w:rFonts w:ascii="Times New Roman" w:eastAsia="Times New Roman" w:hAnsi="Times New Roman"/>
                <w:b/>
                <w:i/>
                <w:sz w:val="24"/>
                <w:szCs w:val="24"/>
                <w:lang w:val="sr-Cyrl-CS"/>
              </w:rPr>
              <w:t xml:space="preserve"> за 92% и суспендованих честица PM</w:t>
            </w:r>
            <w:r w:rsidRPr="00CC35F0">
              <w:rPr>
                <w:rFonts w:ascii="Times New Roman" w:eastAsia="Times New Roman" w:hAnsi="Times New Roman"/>
                <w:b/>
                <w:i/>
                <w:sz w:val="24"/>
                <w:szCs w:val="24"/>
                <w:vertAlign w:val="subscript"/>
                <w:lang w:val="sr-Cyrl-CS"/>
              </w:rPr>
              <w:t>2.5</w:t>
            </w:r>
            <w:r w:rsidRPr="00CC35F0">
              <w:rPr>
                <w:rFonts w:ascii="Times New Roman" w:eastAsia="Times New Roman" w:hAnsi="Times New Roman"/>
                <w:b/>
                <w:i/>
                <w:sz w:val="24"/>
                <w:szCs w:val="24"/>
                <w:lang w:val="sr-Cyrl-CS"/>
              </w:rPr>
              <w:t xml:space="preserve"> за 58,3% из сектора енергетике (укључујући саобраћај и индивидуална ложишта)</w:t>
            </w:r>
            <w:r w:rsidRPr="00CC35F0">
              <w:rPr>
                <w:rFonts w:ascii="Times New Roman" w:eastAsia="Times New Roman" w:hAnsi="Times New Roman"/>
                <w:i/>
                <w:sz w:val="24"/>
                <w:szCs w:val="24"/>
                <w:lang w:val="sr-Cyrl-CS"/>
              </w:rPr>
              <w:t xml:space="preserve"> </w:t>
            </w:r>
            <w:r w:rsidRPr="00CC35F0">
              <w:rPr>
                <w:rFonts w:ascii="Times New Roman" w:eastAsia="Times New Roman" w:hAnsi="Times New Roman"/>
                <w:b/>
                <w:i/>
                <w:sz w:val="24"/>
                <w:szCs w:val="24"/>
                <w:lang w:val="sr-Cyrl-CS"/>
              </w:rPr>
              <w:t>2030. године у поређењу са 2015</w:t>
            </w:r>
          </w:p>
          <w:p w14:paraId="7A52221B" w14:textId="77777777" w:rsidR="00A0251B" w:rsidRPr="00CC35F0" w:rsidRDefault="00A0251B">
            <w:pPr>
              <w:rPr>
                <w:rFonts w:ascii="Times New Roman" w:eastAsia="Times New Roman" w:hAnsi="Times New Roman"/>
                <w:sz w:val="24"/>
                <w:szCs w:val="24"/>
                <w:lang w:val="sr-Cyrl-CS"/>
              </w:rPr>
            </w:pPr>
          </w:p>
        </w:tc>
      </w:tr>
      <w:tr w:rsidR="00A0251B" w:rsidRPr="00CC35F0" w14:paraId="65635A67" w14:textId="77777777">
        <w:trPr>
          <w:trHeight w:val="320"/>
        </w:trPr>
        <w:tc>
          <w:tcPr>
            <w:tcW w:w="13845" w:type="dxa"/>
            <w:gridSpan w:val="9"/>
            <w:tcBorders>
              <w:top w:val="single" w:sz="4" w:space="0" w:color="000000"/>
              <w:left w:val="single" w:sz="4" w:space="0" w:color="000000"/>
              <w:bottom w:val="single" w:sz="4" w:space="0" w:color="000000"/>
              <w:right w:val="single" w:sz="4" w:space="0" w:color="000000"/>
            </w:tcBorders>
            <w:shd w:val="clear" w:color="auto" w:fill="B4C6E7"/>
            <w:vAlign w:val="center"/>
          </w:tcPr>
          <w:p w14:paraId="0152ED3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222222"/>
                <w:sz w:val="24"/>
                <w:szCs w:val="24"/>
                <w:lang w:val="sr-Cyrl-CS"/>
              </w:rPr>
              <w:t xml:space="preserve">Институција надлежна за мониторинг и контролу спровођења: </w:t>
            </w:r>
            <w:r w:rsidRPr="00CC35F0">
              <w:rPr>
                <w:rFonts w:ascii="Times New Roman" w:eastAsia="Times New Roman" w:hAnsi="Times New Roman"/>
                <w:sz w:val="24"/>
                <w:szCs w:val="24"/>
                <w:lang w:val="sr-Cyrl-CS"/>
              </w:rPr>
              <w:t>МЗЖС</w:t>
            </w:r>
          </w:p>
        </w:tc>
      </w:tr>
      <w:tr w:rsidR="00A0251B" w:rsidRPr="00CC35F0" w14:paraId="5F6AE299" w14:textId="77777777">
        <w:trPr>
          <w:trHeight w:val="575"/>
        </w:trPr>
        <w:tc>
          <w:tcPr>
            <w:tcW w:w="3138" w:type="dxa"/>
            <w:tcBorders>
              <w:top w:val="single" w:sz="4" w:space="0" w:color="000000"/>
              <w:left w:val="single" w:sz="4" w:space="0" w:color="000000"/>
              <w:bottom w:val="single" w:sz="4" w:space="0" w:color="000000"/>
              <w:right w:val="single" w:sz="4" w:space="0" w:color="000000"/>
            </w:tcBorders>
            <w:shd w:val="clear" w:color="auto" w:fill="D9D9D9"/>
          </w:tcPr>
          <w:p w14:paraId="2F90123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посебног циља (</w:t>
            </w:r>
            <w:r w:rsidRPr="00CC35F0">
              <w:rPr>
                <w:rFonts w:ascii="Times New Roman" w:eastAsia="Times New Roman" w:hAnsi="Times New Roman"/>
                <w:i/>
                <w:sz w:val="24"/>
                <w:szCs w:val="24"/>
                <w:lang w:val="sr-Cyrl-CS"/>
              </w:rPr>
              <w:t>показатељ исхода</w:t>
            </w:r>
            <w:r w:rsidRPr="00CC35F0">
              <w:rPr>
                <w:rFonts w:ascii="Times New Roman" w:eastAsia="Times New Roman" w:hAnsi="Times New Roman"/>
                <w:sz w:val="24"/>
                <w:szCs w:val="24"/>
                <w:lang w:val="sr-Cyrl-CS"/>
              </w:rPr>
              <w:t>)</w:t>
            </w:r>
          </w:p>
        </w:tc>
        <w:tc>
          <w:tcPr>
            <w:tcW w:w="1443" w:type="dxa"/>
            <w:tcBorders>
              <w:top w:val="single" w:sz="4" w:space="0" w:color="000000"/>
              <w:left w:val="single" w:sz="4" w:space="0" w:color="000000"/>
              <w:bottom w:val="single" w:sz="4" w:space="0" w:color="000000"/>
              <w:right w:val="single" w:sz="4" w:space="0" w:color="000000"/>
            </w:tcBorders>
            <w:shd w:val="clear" w:color="auto" w:fill="D9D9D9"/>
          </w:tcPr>
          <w:p w14:paraId="4516888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367" w:type="dxa"/>
            <w:tcBorders>
              <w:top w:val="single" w:sz="4" w:space="0" w:color="000000"/>
              <w:left w:val="single" w:sz="4" w:space="0" w:color="000000"/>
              <w:bottom w:val="single" w:sz="4" w:space="0" w:color="000000"/>
              <w:right w:val="single" w:sz="4" w:space="0" w:color="000000"/>
            </w:tcBorders>
            <w:shd w:val="clear" w:color="auto" w:fill="D9D9D9"/>
          </w:tcPr>
          <w:p w14:paraId="0C80EC7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237" w:type="dxa"/>
            <w:tcBorders>
              <w:top w:val="single" w:sz="4" w:space="0" w:color="000000"/>
              <w:left w:val="single" w:sz="4" w:space="0" w:color="000000"/>
              <w:bottom w:val="single" w:sz="4" w:space="0" w:color="000000"/>
              <w:right w:val="single" w:sz="4" w:space="0" w:color="000000"/>
            </w:tcBorders>
            <w:shd w:val="clear" w:color="auto" w:fill="D9D9D9"/>
          </w:tcPr>
          <w:p w14:paraId="48FBDB3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080" w:type="dxa"/>
            <w:tcBorders>
              <w:top w:val="single" w:sz="4" w:space="0" w:color="000000"/>
              <w:left w:val="single" w:sz="4" w:space="0" w:color="000000"/>
              <w:bottom w:val="single" w:sz="4" w:space="0" w:color="000000"/>
              <w:right w:val="single" w:sz="4" w:space="0" w:color="000000"/>
            </w:tcBorders>
            <w:shd w:val="clear" w:color="auto" w:fill="D9D9D9"/>
          </w:tcPr>
          <w:p w14:paraId="01155B8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Циљна 2022. година</w:t>
            </w:r>
          </w:p>
        </w:tc>
        <w:tc>
          <w:tcPr>
            <w:tcW w:w="11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B64B9E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523DDDA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2A6CBD6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7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8ABBC7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2026. године</w:t>
            </w:r>
          </w:p>
        </w:tc>
      </w:tr>
      <w:tr w:rsidR="00A0251B" w:rsidRPr="00CC35F0" w14:paraId="3658287F" w14:textId="77777777">
        <w:trPr>
          <w:trHeight w:val="254"/>
        </w:trPr>
        <w:tc>
          <w:tcPr>
            <w:tcW w:w="3138" w:type="dxa"/>
            <w:tcBorders>
              <w:top w:val="single" w:sz="4" w:space="0" w:color="000000"/>
              <w:left w:val="single" w:sz="4" w:space="0" w:color="000000"/>
              <w:bottom w:val="single" w:sz="4" w:space="0" w:color="000000"/>
              <w:right w:val="single" w:sz="4" w:space="0" w:color="000000"/>
            </w:tcBorders>
            <w:shd w:val="clear" w:color="auto" w:fill="FFFFFF"/>
          </w:tcPr>
          <w:p w14:paraId="2283E39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Укупне емисије 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 xml:space="preserve"> из сектора енергетике </w:t>
            </w:r>
            <w:r w:rsidRPr="00CC35F0">
              <w:rPr>
                <w:rFonts w:ascii="Times New Roman" w:eastAsia="Times New Roman" w:hAnsi="Times New Roman"/>
                <w:color w:val="000000"/>
                <w:sz w:val="24"/>
                <w:szCs w:val="24"/>
                <w:lang w:val="sr-Cyrl-CS"/>
              </w:rPr>
              <w:t>(Шифра A до D и F до I)</w:t>
            </w:r>
          </w:p>
        </w:tc>
        <w:tc>
          <w:tcPr>
            <w:tcW w:w="1443" w:type="dxa"/>
            <w:tcBorders>
              <w:top w:val="single" w:sz="4" w:space="0" w:color="000000"/>
              <w:left w:val="single" w:sz="4" w:space="0" w:color="000000"/>
              <w:bottom w:val="single" w:sz="4" w:space="0" w:color="000000"/>
              <w:right w:val="single" w:sz="4" w:space="0" w:color="000000"/>
            </w:tcBorders>
            <w:shd w:val="clear" w:color="auto" w:fill="FFFFFF"/>
          </w:tcPr>
          <w:p w14:paraId="38BF1A2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ktSO</w:t>
            </w:r>
            <w:r w:rsidRPr="00CC35F0">
              <w:rPr>
                <w:rFonts w:ascii="Times New Roman" w:eastAsia="Times New Roman" w:hAnsi="Times New Roman"/>
                <w:sz w:val="24"/>
                <w:szCs w:val="24"/>
                <w:vertAlign w:val="subscript"/>
                <w:lang w:val="sr-Cyrl-CS"/>
              </w:rPr>
              <w:t>2</w:t>
            </w:r>
          </w:p>
        </w:tc>
        <w:tc>
          <w:tcPr>
            <w:tcW w:w="1367" w:type="dxa"/>
            <w:tcBorders>
              <w:top w:val="single" w:sz="4" w:space="0" w:color="000000"/>
              <w:left w:val="single" w:sz="4" w:space="0" w:color="000000"/>
              <w:bottom w:val="single" w:sz="4" w:space="0" w:color="000000"/>
              <w:right w:val="single" w:sz="4" w:space="0" w:color="000000"/>
            </w:tcBorders>
            <w:shd w:val="clear" w:color="auto" w:fill="FFFFFF"/>
          </w:tcPr>
          <w:p w14:paraId="165B458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Извештај о националном инвентару </w:t>
            </w:r>
            <w:r w:rsidR="00D7552D" w:rsidRPr="00CC35F0">
              <w:rPr>
                <w:rFonts w:ascii="Times New Roman" w:eastAsia="Times New Roman" w:hAnsi="Times New Roman"/>
                <w:sz w:val="24"/>
                <w:szCs w:val="24"/>
                <w:lang w:val="sr-Cyrl-CS"/>
              </w:rPr>
              <w:t>CLRTAP</w:t>
            </w:r>
            <w:r w:rsidRPr="00CC35F0">
              <w:rPr>
                <w:rFonts w:ascii="Times New Roman" w:eastAsia="Times New Roman" w:hAnsi="Times New Roman"/>
                <w:sz w:val="24"/>
                <w:szCs w:val="24"/>
                <w:lang w:val="sr-Cyrl-CS"/>
              </w:rPr>
              <w:t xml:space="preserve"> - АЗЖС</w:t>
            </w:r>
          </w:p>
        </w:tc>
        <w:tc>
          <w:tcPr>
            <w:tcW w:w="12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61897"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365,5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A3193"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365,7</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C8A48"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255,2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1904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189609"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34,3</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0C87D"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33,3</w:t>
            </w:r>
          </w:p>
        </w:tc>
      </w:tr>
      <w:tr w:rsidR="00A0251B" w:rsidRPr="00CC35F0" w14:paraId="1C68DB63" w14:textId="77777777">
        <w:trPr>
          <w:trHeight w:val="254"/>
        </w:trPr>
        <w:tc>
          <w:tcPr>
            <w:tcW w:w="3138" w:type="dxa"/>
            <w:tcBorders>
              <w:top w:val="single" w:sz="4" w:space="0" w:color="000000"/>
              <w:left w:val="single" w:sz="4" w:space="0" w:color="000000"/>
              <w:bottom w:val="single" w:sz="4" w:space="0" w:color="000000"/>
              <w:right w:val="single" w:sz="4" w:space="0" w:color="000000"/>
            </w:tcBorders>
            <w:shd w:val="clear" w:color="auto" w:fill="FFFFFF"/>
          </w:tcPr>
          <w:p w14:paraId="6F1655B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Укупне емисије PM</w:t>
            </w:r>
            <w:r w:rsidRPr="00CC35F0">
              <w:rPr>
                <w:rFonts w:ascii="Times New Roman" w:eastAsia="Times New Roman" w:hAnsi="Times New Roman"/>
                <w:sz w:val="24"/>
                <w:szCs w:val="24"/>
                <w:vertAlign w:val="subscript"/>
                <w:lang w:val="sr-Cyrl-CS"/>
              </w:rPr>
              <w:t>2.5</w:t>
            </w:r>
            <w:r w:rsidRPr="00CC35F0">
              <w:rPr>
                <w:rFonts w:ascii="Times New Roman" w:eastAsia="Times New Roman" w:hAnsi="Times New Roman"/>
                <w:sz w:val="24"/>
                <w:szCs w:val="24"/>
                <w:lang w:val="sr-Cyrl-CS"/>
              </w:rPr>
              <w:t xml:space="preserve"> из сектора енергетике </w:t>
            </w:r>
            <w:r w:rsidRPr="00CC35F0">
              <w:rPr>
                <w:rFonts w:ascii="Times New Roman" w:eastAsia="Times New Roman" w:hAnsi="Times New Roman"/>
                <w:color w:val="000000"/>
                <w:sz w:val="24"/>
                <w:szCs w:val="24"/>
                <w:lang w:val="sr-Cyrl-CS"/>
              </w:rPr>
              <w:t>(Шифра A до D и F до I)</w:t>
            </w:r>
          </w:p>
        </w:tc>
        <w:tc>
          <w:tcPr>
            <w:tcW w:w="1443" w:type="dxa"/>
            <w:tcBorders>
              <w:top w:val="single" w:sz="4" w:space="0" w:color="000000"/>
              <w:left w:val="single" w:sz="4" w:space="0" w:color="000000"/>
              <w:bottom w:val="single" w:sz="4" w:space="0" w:color="000000"/>
              <w:right w:val="single" w:sz="4" w:space="0" w:color="000000"/>
            </w:tcBorders>
            <w:shd w:val="clear" w:color="auto" w:fill="FFFFFF"/>
          </w:tcPr>
          <w:p w14:paraId="46E4506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ktPM</w:t>
            </w:r>
            <w:r w:rsidRPr="00CC35F0">
              <w:rPr>
                <w:rFonts w:ascii="Times New Roman" w:eastAsia="Times New Roman" w:hAnsi="Times New Roman"/>
                <w:sz w:val="24"/>
                <w:szCs w:val="24"/>
                <w:vertAlign w:val="subscript"/>
                <w:lang w:val="sr-Cyrl-CS"/>
              </w:rPr>
              <w:t>2.5</w:t>
            </w:r>
          </w:p>
        </w:tc>
        <w:tc>
          <w:tcPr>
            <w:tcW w:w="1367" w:type="dxa"/>
            <w:tcBorders>
              <w:top w:val="single" w:sz="4" w:space="0" w:color="000000"/>
              <w:left w:val="single" w:sz="4" w:space="0" w:color="000000"/>
              <w:bottom w:val="single" w:sz="4" w:space="0" w:color="000000"/>
              <w:right w:val="single" w:sz="4" w:space="0" w:color="000000"/>
            </w:tcBorders>
            <w:shd w:val="clear" w:color="auto" w:fill="FFFFFF"/>
          </w:tcPr>
          <w:p w14:paraId="3FEDA5A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Извештај о националном инвентару </w:t>
            </w:r>
            <w:r w:rsidR="00D7552D" w:rsidRPr="00CC35F0">
              <w:rPr>
                <w:rFonts w:ascii="Times New Roman" w:eastAsia="Times New Roman" w:hAnsi="Times New Roman"/>
                <w:sz w:val="24"/>
                <w:szCs w:val="24"/>
                <w:lang w:val="sr-Cyrl-CS"/>
              </w:rPr>
              <w:t>CLRTAP</w:t>
            </w:r>
            <w:r w:rsidRPr="00CC35F0">
              <w:rPr>
                <w:rFonts w:ascii="Times New Roman" w:eastAsia="Times New Roman" w:hAnsi="Times New Roman"/>
                <w:sz w:val="24"/>
                <w:szCs w:val="24"/>
                <w:lang w:val="sr-Cyrl-CS"/>
              </w:rPr>
              <w:t xml:space="preserve"> - АЗЖС</w:t>
            </w:r>
          </w:p>
        </w:tc>
        <w:tc>
          <w:tcPr>
            <w:tcW w:w="12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A06BD"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1442D"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47,9</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118B6"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44,7</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DD7F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41,6</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2A3AD"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38,7</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DFD3D"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35,0</w:t>
            </w:r>
          </w:p>
        </w:tc>
      </w:tr>
    </w:tbl>
    <w:p w14:paraId="7DB530B7" w14:textId="77777777" w:rsidR="00A0251B" w:rsidRPr="00CC35F0" w:rsidRDefault="00A0251B">
      <w:pPr>
        <w:tabs>
          <w:tab w:val="left" w:pos="1940"/>
        </w:tabs>
        <w:spacing w:line="240" w:lineRule="auto"/>
        <w:rPr>
          <w:rFonts w:ascii="Times New Roman" w:eastAsia="Times New Roman" w:hAnsi="Times New Roman"/>
          <w:sz w:val="24"/>
          <w:szCs w:val="24"/>
          <w:lang w:val="sr-Cyrl-CS"/>
        </w:rPr>
      </w:pPr>
    </w:p>
    <w:tbl>
      <w:tblPr>
        <w:tblStyle w:val="afb"/>
        <w:tblW w:w="13913"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36"/>
        <w:gridCol w:w="1239"/>
        <w:gridCol w:w="1360"/>
        <w:gridCol w:w="1174"/>
        <w:gridCol w:w="1260"/>
        <w:gridCol w:w="1350"/>
        <w:gridCol w:w="1350"/>
        <w:gridCol w:w="1514"/>
        <w:gridCol w:w="1421"/>
        <w:gridCol w:w="9"/>
      </w:tblGrid>
      <w:tr w:rsidR="00A0251B" w:rsidRPr="00CC35F0" w14:paraId="3E7D2F52" w14:textId="77777777">
        <w:trPr>
          <w:trHeight w:val="169"/>
        </w:trPr>
        <w:tc>
          <w:tcPr>
            <w:tcW w:w="13913" w:type="dxa"/>
            <w:gridSpan w:val="10"/>
            <w:tcBorders>
              <w:top w:val="single" w:sz="4" w:space="0" w:color="000000"/>
              <w:left w:val="single" w:sz="4" w:space="0" w:color="000000"/>
              <w:bottom w:val="single" w:sz="4" w:space="0" w:color="000000"/>
              <w:right w:val="single" w:sz="4" w:space="0" w:color="000000"/>
            </w:tcBorders>
            <w:shd w:val="clear" w:color="auto" w:fill="F7CBAC"/>
          </w:tcPr>
          <w:p w14:paraId="2B1ACED3" w14:textId="77777777" w:rsidR="00A0251B" w:rsidRPr="00CC35F0" w:rsidRDefault="008D6506">
            <w:pP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 xml:space="preserve">Мера 1.1.1: </w:t>
            </w:r>
            <w:r w:rsidRPr="00CC35F0">
              <w:rPr>
                <w:rFonts w:ascii="Times New Roman" w:eastAsia="Times New Roman" w:hAnsi="Times New Roman"/>
                <w:b/>
                <w:color w:val="000000"/>
                <w:sz w:val="24"/>
                <w:szCs w:val="24"/>
                <w:lang w:val="sr-Cyrl-CS"/>
              </w:rPr>
              <w:t xml:space="preserve">Спровођење Поглавља II Директиве ЕУ о индустријским емисијама за велика постројења за сагоревање, узимајући у обзир средње вредности горњих и доњих BAT AELs </w:t>
            </w:r>
          </w:p>
        </w:tc>
      </w:tr>
      <w:tr w:rsidR="00A0251B" w:rsidRPr="00CC35F0" w14:paraId="3CC0214A" w14:textId="77777777">
        <w:trPr>
          <w:trHeight w:val="300"/>
        </w:trPr>
        <w:tc>
          <w:tcPr>
            <w:tcW w:w="13913" w:type="dxa"/>
            <w:gridSpan w:val="10"/>
            <w:tcBorders>
              <w:top w:val="single" w:sz="4" w:space="0" w:color="000000"/>
              <w:left w:val="single" w:sz="4" w:space="0" w:color="000000"/>
              <w:bottom w:val="single" w:sz="4" w:space="0" w:color="000000"/>
              <w:right w:val="single" w:sz="4" w:space="0" w:color="000000"/>
            </w:tcBorders>
            <w:shd w:val="clear" w:color="auto" w:fill="F7CBAC"/>
            <w:vAlign w:val="center"/>
          </w:tcPr>
          <w:p w14:paraId="638D3F3E"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МЗЖС</w:t>
            </w:r>
          </w:p>
        </w:tc>
      </w:tr>
      <w:tr w:rsidR="00A0251B" w:rsidRPr="00CC35F0" w14:paraId="4393D24C" w14:textId="77777777">
        <w:trPr>
          <w:trHeight w:val="300"/>
        </w:trPr>
        <w:tc>
          <w:tcPr>
            <w:tcW w:w="3236" w:type="dxa"/>
            <w:tcBorders>
              <w:top w:val="single" w:sz="4" w:space="0" w:color="000000"/>
              <w:left w:val="single" w:sz="4" w:space="0" w:color="000000"/>
              <w:bottom w:val="single" w:sz="4" w:space="0" w:color="000000"/>
              <w:right w:val="single" w:sz="4" w:space="0" w:color="000000"/>
            </w:tcBorders>
            <w:shd w:val="clear" w:color="auto" w:fill="F7CBAC"/>
          </w:tcPr>
          <w:p w14:paraId="31C9DFB6" w14:textId="77777777" w:rsidR="00000172"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Период спровођења: </w:t>
            </w:r>
          </w:p>
          <w:p w14:paraId="28981C11"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2022-2026</w:t>
            </w:r>
            <w:r w:rsidR="00000172" w:rsidRPr="00CC35F0">
              <w:rPr>
                <w:rFonts w:ascii="Times New Roman" w:eastAsia="Times New Roman" w:hAnsi="Times New Roman"/>
                <w:sz w:val="24"/>
                <w:szCs w:val="24"/>
                <w:vertAlign w:val="superscript"/>
                <w:lang w:val="sr-Cyrl-CS"/>
              </w:rPr>
              <w:t>#</w:t>
            </w:r>
          </w:p>
        </w:tc>
        <w:tc>
          <w:tcPr>
            <w:tcW w:w="10677" w:type="dxa"/>
            <w:gridSpan w:val="9"/>
            <w:tcBorders>
              <w:top w:val="single" w:sz="4" w:space="0" w:color="000000"/>
              <w:left w:val="single" w:sz="4" w:space="0" w:color="000000"/>
              <w:bottom w:val="single" w:sz="4" w:space="0" w:color="000000"/>
              <w:right w:val="single" w:sz="4" w:space="0" w:color="000000"/>
            </w:tcBorders>
            <w:shd w:val="clear" w:color="auto" w:fill="F7CBAC"/>
          </w:tcPr>
          <w:p w14:paraId="6E796E9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w:t>
            </w:r>
          </w:p>
        </w:tc>
      </w:tr>
      <w:tr w:rsidR="00A0251B" w:rsidRPr="00CC35F0" w14:paraId="6C35C429" w14:textId="77777777">
        <w:trPr>
          <w:trHeight w:val="300"/>
        </w:trPr>
        <w:tc>
          <w:tcPr>
            <w:tcW w:w="3236" w:type="dxa"/>
            <w:tcBorders>
              <w:top w:val="single" w:sz="4" w:space="0" w:color="000000"/>
              <w:left w:val="single" w:sz="4" w:space="0" w:color="000000"/>
              <w:bottom w:val="single" w:sz="4" w:space="0" w:color="000000"/>
              <w:right w:val="single" w:sz="4" w:space="0" w:color="000000"/>
            </w:tcBorders>
            <w:shd w:val="clear" w:color="auto" w:fill="F7CBAC"/>
          </w:tcPr>
          <w:p w14:paraId="18F77FC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10677" w:type="dxa"/>
            <w:gridSpan w:val="9"/>
            <w:tcBorders>
              <w:top w:val="single" w:sz="4" w:space="0" w:color="000000"/>
              <w:left w:val="single" w:sz="4" w:space="0" w:color="000000"/>
              <w:bottom w:val="single" w:sz="4" w:space="0" w:color="000000"/>
              <w:right w:val="single" w:sz="4" w:space="0" w:color="000000"/>
            </w:tcBorders>
            <w:shd w:val="clear" w:color="auto" w:fill="F7CBAC"/>
          </w:tcPr>
          <w:p w14:paraId="69EEE5A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Закон о интегрисаном спречавању и контроли загађивања животне средине и подзаконска акта   </w:t>
            </w:r>
          </w:p>
          <w:p w14:paraId="0CEC9C53" w14:textId="77777777" w:rsidR="00A0251B" w:rsidRPr="00CC35F0" w:rsidRDefault="00A0251B">
            <w:pPr>
              <w:rPr>
                <w:rFonts w:ascii="Times New Roman" w:eastAsia="Times New Roman" w:hAnsi="Times New Roman"/>
                <w:sz w:val="24"/>
                <w:szCs w:val="24"/>
                <w:lang w:val="sr-Cyrl-CS"/>
              </w:rPr>
            </w:pPr>
          </w:p>
        </w:tc>
      </w:tr>
      <w:tr w:rsidR="00A0251B" w:rsidRPr="00CC35F0" w14:paraId="7CDF315D" w14:textId="77777777" w:rsidTr="00D97760">
        <w:trPr>
          <w:gridAfter w:val="1"/>
          <w:wAfter w:w="9" w:type="dxa"/>
          <w:trHeight w:val="604"/>
        </w:trPr>
        <w:tc>
          <w:tcPr>
            <w:tcW w:w="3236" w:type="dxa"/>
            <w:tcBorders>
              <w:top w:val="single" w:sz="4" w:space="0" w:color="000000"/>
              <w:left w:val="single" w:sz="4" w:space="0" w:color="000000"/>
              <w:bottom w:val="single" w:sz="4" w:space="0" w:color="000000"/>
              <w:right w:val="single" w:sz="4" w:space="0" w:color="000000"/>
            </w:tcBorders>
            <w:shd w:val="clear" w:color="auto" w:fill="D9D9D9"/>
          </w:tcPr>
          <w:p w14:paraId="65B358F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2C682617" w14:textId="77777777" w:rsidR="00A0251B" w:rsidRPr="00CC35F0" w:rsidRDefault="00A0251B">
            <w:pPr>
              <w:jc w:val="center"/>
              <w:rPr>
                <w:rFonts w:ascii="Times New Roman" w:eastAsia="Times New Roman" w:hAnsi="Times New Roman"/>
                <w:sz w:val="24"/>
                <w:szCs w:val="24"/>
                <w:lang w:val="sr-Cyrl-CS"/>
              </w:rPr>
            </w:pPr>
          </w:p>
        </w:tc>
        <w:tc>
          <w:tcPr>
            <w:tcW w:w="1239" w:type="dxa"/>
            <w:tcBorders>
              <w:top w:val="single" w:sz="4" w:space="0" w:color="000000"/>
              <w:left w:val="single" w:sz="4" w:space="0" w:color="000000"/>
              <w:bottom w:val="single" w:sz="4" w:space="0" w:color="000000"/>
              <w:right w:val="single" w:sz="4" w:space="0" w:color="000000"/>
            </w:tcBorders>
            <w:shd w:val="clear" w:color="auto" w:fill="D9D9D9"/>
          </w:tcPr>
          <w:p w14:paraId="328A029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360" w:type="dxa"/>
            <w:tcBorders>
              <w:top w:val="single" w:sz="4" w:space="0" w:color="000000"/>
              <w:left w:val="single" w:sz="4" w:space="0" w:color="000000"/>
              <w:bottom w:val="single" w:sz="4" w:space="0" w:color="000000"/>
              <w:right w:val="single" w:sz="4" w:space="0" w:color="000000"/>
            </w:tcBorders>
            <w:shd w:val="clear" w:color="auto" w:fill="D9D9D9"/>
          </w:tcPr>
          <w:p w14:paraId="73924A9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174" w:type="dxa"/>
            <w:tcBorders>
              <w:top w:val="single" w:sz="4" w:space="0" w:color="000000"/>
              <w:left w:val="single" w:sz="4" w:space="0" w:color="000000"/>
              <w:bottom w:val="single" w:sz="4" w:space="0" w:color="000000"/>
              <w:right w:val="single" w:sz="4" w:space="0" w:color="000000"/>
            </w:tcBorders>
            <w:shd w:val="clear" w:color="auto" w:fill="D9D9D9"/>
          </w:tcPr>
          <w:p w14:paraId="4E43BC9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260" w:type="dxa"/>
            <w:tcBorders>
              <w:top w:val="single" w:sz="4" w:space="0" w:color="000000"/>
              <w:left w:val="single" w:sz="4" w:space="0" w:color="000000"/>
              <w:bottom w:val="single" w:sz="4" w:space="0" w:color="000000"/>
              <w:right w:val="single" w:sz="4" w:space="0" w:color="000000"/>
            </w:tcBorders>
            <w:shd w:val="clear" w:color="auto" w:fill="D9D9D9"/>
          </w:tcPr>
          <w:p w14:paraId="17A61ED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Циљна 2022. година</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5AFA8E0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59276D8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14" w:type="dxa"/>
            <w:tcBorders>
              <w:top w:val="single" w:sz="4" w:space="0" w:color="000000"/>
              <w:left w:val="single" w:sz="4" w:space="0" w:color="000000"/>
              <w:bottom w:val="single" w:sz="4" w:space="0" w:color="000000"/>
              <w:right w:val="single" w:sz="4" w:space="0" w:color="000000"/>
            </w:tcBorders>
            <w:shd w:val="clear" w:color="auto" w:fill="D9D9D9"/>
          </w:tcPr>
          <w:p w14:paraId="58A266E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42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951A97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2026. године</w:t>
            </w:r>
          </w:p>
        </w:tc>
      </w:tr>
      <w:tr w:rsidR="00A0251B" w:rsidRPr="00CC35F0" w14:paraId="3ED26FA2" w14:textId="77777777" w:rsidTr="00D97760">
        <w:trPr>
          <w:gridAfter w:val="1"/>
          <w:wAfter w:w="9" w:type="dxa"/>
          <w:trHeight w:val="304"/>
        </w:trPr>
        <w:tc>
          <w:tcPr>
            <w:tcW w:w="3236" w:type="dxa"/>
            <w:tcBorders>
              <w:top w:val="single" w:sz="4" w:space="0" w:color="000000"/>
              <w:left w:val="single" w:sz="4" w:space="0" w:color="000000"/>
              <w:bottom w:val="single" w:sz="4" w:space="0" w:color="000000"/>
              <w:right w:val="single" w:sz="4" w:space="0" w:color="000000"/>
            </w:tcBorders>
            <w:shd w:val="clear" w:color="auto" w:fill="FFFFFF"/>
          </w:tcPr>
          <w:p w14:paraId="1975B5A6"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Издате/измењене интегрисане дозволе, узимајући у обзир граничне вредности BAT AELs и квалитет ваздуха у зонама и агломерацијама, у циљу спровођења Поглавља II Директиве ЕУ о индустријским емисијама за велика постројења за сагоревање.</w:t>
            </w:r>
          </w:p>
        </w:tc>
        <w:tc>
          <w:tcPr>
            <w:tcW w:w="1239" w:type="dxa"/>
            <w:tcBorders>
              <w:top w:val="single" w:sz="4" w:space="0" w:color="000000"/>
              <w:left w:val="single" w:sz="4" w:space="0" w:color="000000"/>
              <w:bottom w:val="single" w:sz="4" w:space="0" w:color="000000"/>
              <w:right w:val="single" w:sz="4" w:space="0" w:color="000000"/>
            </w:tcBorders>
            <w:shd w:val="clear" w:color="auto" w:fill="FFFFFF"/>
          </w:tcPr>
          <w:p w14:paraId="53C6545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Да/Не</w:t>
            </w:r>
          </w:p>
        </w:tc>
        <w:tc>
          <w:tcPr>
            <w:tcW w:w="1360" w:type="dxa"/>
            <w:tcBorders>
              <w:top w:val="single" w:sz="4" w:space="0" w:color="000000"/>
              <w:left w:val="single" w:sz="4" w:space="0" w:color="000000"/>
              <w:bottom w:val="single" w:sz="4" w:space="0" w:color="000000"/>
              <w:right w:val="single" w:sz="4" w:space="0" w:color="000000"/>
            </w:tcBorders>
            <w:shd w:val="clear" w:color="auto" w:fill="FFFFFF"/>
          </w:tcPr>
          <w:p w14:paraId="7A9E0F1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Издате/ измењене дозволе (МЖЗС, АП Војводина, ј</w:t>
            </w:r>
            <w:r w:rsidR="0073560A" w:rsidRPr="00CC35F0">
              <w:rPr>
                <w:rFonts w:ascii="Times New Roman" w:eastAsia="Times New Roman" w:hAnsi="Times New Roman"/>
                <w:sz w:val="24"/>
                <w:szCs w:val="24"/>
                <w:lang w:val="sr-Cyrl-CS"/>
              </w:rPr>
              <w:t xml:space="preserve">единице </w:t>
            </w:r>
            <w:r w:rsidRPr="00CC35F0">
              <w:rPr>
                <w:rFonts w:ascii="Times New Roman" w:eastAsia="Times New Roman" w:hAnsi="Times New Roman"/>
                <w:sz w:val="24"/>
                <w:szCs w:val="24"/>
                <w:lang w:val="sr-Cyrl-CS"/>
              </w:rPr>
              <w:t>л</w:t>
            </w:r>
            <w:r w:rsidR="0073560A" w:rsidRPr="00CC35F0">
              <w:rPr>
                <w:rFonts w:ascii="Times New Roman" w:eastAsia="Times New Roman" w:hAnsi="Times New Roman"/>
                <w:sz w:val="24"/>
                <w:szCs w:val="24"/>
                <w:lang w:val="sr-Cyrl-CS"/>
              </w:rPr>
              <w:t xml:space="preserve">окалне </w:t>
            </w:r>
            <w:r w:rsidRPr="00CC35F0">
              <w:rPr>
                <w:rFonts w:ascii="Times New Roman" w:eastAsia="Times New Roman" w:hAnsi="Times New Roman"/>
                <w:sz w:val="24"/>
                <w:szCs w:val="24"/>
                <w:lang w:val="sr-Cyrl-CS"/>
              </w:rPr>
              <w:t>с</w:t>
            </w:r>
            <w:r w:rsidR="0073560A" w:rsidRPr="00CC35F0">
              <w:rPr>
                <w:rFonts w:ascii="Times New Roman" w:eastAsia="Times New Roman" w:hAnsi="Times New Roman"/>
                <w:sz w:val="24"/>
                <w:szCs w:val="24"/>
                <w:lang w:val="sr-Cyrl-CS"/>
              </w:rPr>
              <w:t>амоуправе</w:t>
            </w:r>
            <w:r w:rsidRPr="00CC35F0">
              <w:rPr>
                <w:rFonts w:ascii="Times New Roman" w:eastAsia="Times New Roman" w:hAnsi="Times New Roman"/>
                <w:sz w:val="24"/>
                <w:szCs w:val="24"/>
                <w:lang w:val="sr-Cyrl-CS"/>
              </w:rPr>
              <w:t>)</w:t>
            </w:r>
          </w:p>
        </w:tc>
        <w:tc>
          <w:tcPr>
            <w:tcW w:w="1174" w:type="dxa"/>
            <w:tcBorders>
              <w:top w:val="single" w:sz="4" w:space="0" w:color="000000"/>
              <w:left w:val="single" w:sz="4" w:space="0" w:color="000000"/>
              <w:bottom w:val="single" w:sz="4" w:space="0" w:color="000000"/>
              <w:right w:val="single" w:sz="4" w:space="0" w:color="000000"/>
            </w:tcBorders>
            <w:shd w:val="clear" w:color="auto" w:fill="FFFFFF"/>
          </w:tcPr>
          <w:p w14:paraId="1CB64A90"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cPr>
          <w:p w14:paraId="1857425E"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6699D1A2"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360C2A9D"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514" w:type="dxa"/>
            <w:tcBorders>
              <w:top w:val="single" w:sz="4" w:space="0" w:color="000000"/>
              <w:left w:val="single" w:sz="4" w:space="0" w:color="000000"/>
              <w:bottom w:val="single" w:sz="4" w:space="0" w:color="000000"/>
              <w:right w:val="single" w:sz="4" w:space="0" w:color="000000"/>
            </w:tcBorders>
            <w:shd w:val="clear" w:color="auto" w:fill="FFFFFF"/>
          </w:tcPr>
          <w:p w14:paraId="0BCB9F0E"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tc>
        <w:tc>
          <w:tcPr>
            <w:tcW w:w="1421" w:type="dxa"/>
            <w:tcBorders>
              <w:top w:val="single" w:sz="4" w:space="0" w:color="000000"/>
              <w:left w:val="single" w:sz="4" w:space="0" w:color="000000"/>
              <w:bottom w:val="single" w:sz="4" w:space="0" w:color="000000"/>
              <w:right w:val="single" w:sz="4" w:space="0" w:color="000000"/>
            </w:tcBorders>
            <w:shd w:val="clear" w:color="auto" w:fill="FFFFFF"/>
          </w:tcPr>
          <w:p w14:paraId="1DA1A3A5" w14:textId="77777777" w:rsidR="00A0251B" w:rsidRPr="00CC35F0" w:rsidRDefault="008D6506">
            <w:pPr>
              <w:spacing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p w14:paraId="5D0FB653" w14:textId="77777777" w:rsidR="00A0251B" w:rsidRPr="00CC35F0" w:rsidRDefault="00A0251B">
            <w:pPr>
              <w:shd w:val="clear" w:color="auto" w:fill="FFFFFF"/>
              <w:jc w:val="right"/>
              <w:rPr>
                <w:rFonts w:ascii="Times New Roman" w:eastAsia="Times New Roman" w:hAnsi="Times New Roman"/>
                <w:sz w:val="24"/>
                <w:szCs w:val="24"/>
                <w:lang w:val="sr-Cyrl-CS"/>
              </w:rPr>
            </w:pPr>
          </w:p>
        </w:tc>
      </w:tr>
    </w:tbl>
    <w:p w14:paraId="2A117FC1" w14:textId="77777777" w:rsidR="00A0251B" w:rsidRPr="00CC35F0" w:rsidRDefault="00A0251B">
      <w:pPr>
        <w:rPr>
          <w:rFonts w:ascii="Times New Roman" w:eastAsia="Times New Roman" w:hAnsi="Times New Roman"/>
          <w:sz w:val="24"/>
          <w:szCs w:val="24"/>
          <w:lang w:val="sr-Cyrl-CS"/>
        </w:rPr>
      </w:pPr>
    </w:p>
    <w:tbl>
      <w:tblPr>
        <w:tblStyle w:val="afc"/>
        <w:tblW w:w="13887"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745"/>
        <w:gridCol w:w="2838"/>
        <w:gridCol w:w="1510"/>
        <w:gridCol w:w="1448"/>
        <w:gridCol w:w="1410"/>
        <w:gridCol w:w="1485"/>
        <w:gridCol w:w="1451"/>
      </w:tblGrid>
      <w:tr w:rsidR="00A0251B" w:rsidRPr="00CC35F0" w14:paraId="18A4F397" w14:textId="77777777" w:rsidTr="00D97760">
        <w:trPr>
          <w:trHeight w:val="300"/>
        </w:trPr>
        <w:tc>
          <w:tcPr>
            <w:tcW w:w="3745" w:type="dxa"/>
            <w:vMerge w:val="restart"/>
            <w:shd w:val="clear" w:color="auto" w:fill="A8D08D"/>
          </w:tcPr>
          <w:p w14:paraId="7C5EEA2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tc>
        <w:tc>
          <w:tcPr>
            <w:tcW w:w="2838" w:type="dxa"/>
            <w:vMerge w:val="restart"/>
            <w:shd w:val="clear" w:color="auto" w:fill="A8D08D"/>
          </w:tcPr>
          <w:p w14:paraId="6049A83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04C836DB" w14:textId="77777777" w:rsidR="00A0251B" w:rsidRPr="00CC35F0" w:rsidRDefault="00A0251B">
            <w:pPr>
              <w:jc w:val="center"/>
              <w:rPr>
                <w:rFonts w:ascii="Times New Roman" w:eastAsia="Times New Roman" w:hAnsi="Times New Roman"/>
                <w:sz w:val="24"/>
                <w:szCs w:val="24"/>
                <w:lang w:val="sr-Cyrl-CS"/>
              </w:rPr>
            </w:pPr>
          </w:p>
        </w:tc>
        <w:tc>
          <w:tcPr>
            <w:tcW w:w="7304" w:type="dxa"/>
            <w:gridSpan w:val="5"/>
            <w:shd w:val="clear" w:color="auto" w:fill="A8D08D"/>
            <w:vAlign w:val="center"/>
          </w:tcPr>
          <w:p w14:paraId="0FED2B5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r w:rsidRPr="00CC35F0">
              <w:rPr>
                <w:rFonts w:ascii="Times New Roman" w:eastAsia="Times New Roman" w:hAnsi="Times New Roman"/>
                <w:sz w:val="24"/>
                <w:szCs w:val="24"/>
                <w:vertAlign w:val="superscript"/>
                <w:lang w:val="sr-Cyrl-CS"/>
              </w:rPr>
              <w:footnoteReference w:id="79"/>
            </w:r>
          </w:p>
        </w:tc>
      </w:tr>
      <w:tr w:rsidR="00A0251B" w:rsidRPr="00CC35F0" w14:paraId="172670D8" w14:textId="77777777" w:rsidTr="00D97760">
        <w:trPr>
          <w:trHeight w:val="300"/>
        </w:trPr>
        <w:tc>
          <w:tcPr>
            <w:tcW w:w="3745" w:type="dxa"/>
            <w:vMerge/>
            <w:shd w:val="clear" w:color="auto" w:fill="A8D08D"/>
          </w:tcPr>
          <w:p w14:paraId="0B219DCF"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838" w:type="dxa"/>
            <w:vMerge/>
            <w:shd w:val="clear" w:color="auto" w:fill="A8D08D"/>
          </w:tcPr>
          <w:p w14:paraId="23AFB949"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10" w:type="dxa"/>
            <w:shd w:val="clear" w:color="auto" w:fill="A8D08D"/>
            <w:vAlign w:val="center"/>
          </w:tcPr>
          <w:p w14:paraId="2763EA0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448" w:type="dxa"/>
            <w:shd w:val="clear" w:color="auto" w:fill="A8D08D"/>
            <w:vAlign w:val="center"/>
          </w:tcPr>
          <w:p w14:paraId="3F1502F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410" w:type="dxa"/>
            <w:shd w:val="clear" w:color="auto" w:fill="A8D08D"/>
            <w:vAlign w:val="center"/>
          </w:tcPr>
          <w:p w14:paraId="241F154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485" w:type="dxa"/>
            <w:shd w:val="clear" w:color="auto" w:fill="A8D08D"/>
            <w:vAlign w:val="center"/>
          </w:tcPr>
          <w:p w14:paraId="577FCE9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448" w:type="dxa"/>
            <w:shd w:val="clear" w:color="auto" w:fill="A8D08D"/>
            <w:vAlign w:val="center"/>
          </w:tcPr>
          <w:p w14:paraId="5D2608A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513C4EB9" w14:textId="77777777" w:rsidTr="00D97760">
        <w:trPr>
          <w:trHeight w:val="68"/>
        </w:trPr>
        <w:tc>
          <w:tcPr>
            <w:tcW w:w="3745" w:type="dxa"/>
            <w:shd w:val="clear" w:color="auto" w:fill="FFFFFF"/>
          </w:tcPr>
          <w:p w14:paraId="38C3CC3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tc>
        <w:tc>
          <w:tcPr>
            <w:tcW w:w="2838" w:type="dxa"/>
            <w:shd w:val="clear" w:color="auto" w:fill="FFFFFF"/>
          </w:tcPr>
          <w:p w14:paraId="4A7E00D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0404-560-0002-411</w:t>
            </w:r>
          </w:p>
        </w:tc>
        <w:tc>
          <w:tcPr>
            <w:tcW w:w="1510" w:type="dxa"/>
            <w:shd w:val="clear" w:color="auto" w:fill="FFFFFF"/>
          </w:tcPr>
          <w:p w14:paraId="5EF428E7" w14:textId="77777777" w:rsidR="00A0251B" w:rsidRPr="00CC35F0" w:rsidRDefault="00A0251B">
            <w:pPr>
              <w:jc w:val="center"/>
              <w:rPr>
                <w:rFonts w:ascii="Times New Roman" w:eastAsia="Times New Roman" w:hAnsi="Times New Roman"/>
                <w:sz w:val="24"/>
                <w:szCs w:val="24"/>
                <w:lang w:val="sr-Cyrl-CS"/>
              </w:rPr>
            </w:pPr>
            <w:bookmarkStart w:id="123" w:name="_heading=h.3oy7u29" w:colFirst="0" w:colLast="0"/>
            <w:bookmarkEnd w:id="123"/>
          </w:p>
        </w:tc>
        <w:tc>
          <w:tcPr>
            <w:tcW w:w="1448" w:type="dxa"/>
            <w:shd w:val="clear" w:color="auto" w:fill="FFFFFF"/>
          </w:tcPr>
          <w:p w14:paraId="57D2011B" w14:textId="77777777" w:rsidR="00A0251B" w:rsidRPr="00CC35F0" w:rsidRDefault="0084294D">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footnoteReference w:id="80"/>
            </w:r>
          </w:p>
        </w:tc>
        <w:tc>
          <w:tcPr>
            <w:tcW w:w="1410" w:type="dxa"/>
            <w:shd w:val="clear" w:color="auto" w:fill="FFFFFF"/>
          </w:tcPr>
          <w:p w14:paraId="2E8144D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1485" w:type="dxa"/>
            <w:shd w:val="clear" w:color="auto" w:fill="FFFFFF"/>
          </w:tcPr>
          <w:p w14:paraId="303A083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1448" w:type="dxa"/>
            <w:shd w:val="clear" w:color="auto" w:fill="FFFFFF"/>
          </w:tcPr>
          <w:p w14:paraId="3D5A6E0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r>
      <w:tr w:rsidR="00A0251B" w:rsidRPr="00CC35F0" w14:paraId="26456011" w14:textId="77777777" w:rsidTr="00D97760">
        <w:trPr>
          <w:trHeight w:val="106"/>
        </w:trPr>
        <w:tc>
          <w:tcPr>
            <w:tcW w:w="3745" w:type="dxa"/>
            <w:shd w:val="clear" w:color="auto" w:fill="FFFFFF"/>
          </w:tcPr>
          <w:p w14:paraId="11A4E7E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ЕУ/донатори</w:t>
            </w:r>
          </w:p>
        </w:tc>
        <w:tc>
          <w:tcPr>
            <w:tcW w:w="2838" w:type="dxa"/>
            <w:vAlign w:val="center"/>
          </w:tcPr>
          <w:p w14:paraId="7E6224F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10" w:type="dxa"/>
            <w:shd w:val="clear" w:color="auto" w:fill="FFFFFF"/>
          </w:tcPr>
          <w:p w14:paraId="16312EF0" w14:textId="77777777" w:rsidR="00A0251B" w:rsidRPr="00CC35F0" w:rsidRDefault="00A0251B">
            <w:pPr>
              <w:jc w:val="right"/>
              <w:rPr>
                <w:rFonts w:ascii="Times New Roman" w:eastAsia="Times New Roman" w:hAnsi="Times New Roman"/>
                <w:sz w:val="24"/>
                <w:szCs w:val="24"/>
                <w:lang w:val="sr-Cyrl-CS"/>
              </w:rPr>
            </w:pPr>
          </w:p>
        </w:tc>
        <w:tc>
          <w:tcPr>
            <w:tcW w:w="1448" w:type="dxa"/>
            <w:shd w:val="clear" w:color="auto" w:fill="FFFFFF"/>
          </w:tcPr>
          <w:p w14:paraId="77E275F1" w14:textId="77777777" w:rsidR="00A0251B" w:rsidRPr="00CC35F0" w:rsidRDefault="00A0251B">
            <w:pPr>
              <w:jc w:val="right"/>
              <w:rPr>
                <w:rFonts w:ascii="Times New Roman" w:eastAsia="Times New Roman" w:hAnsi="Times New Roman"/>
                <w:sz w:val="24"/>
                <w:szCs w:val="24"/>
                <w:lang w:val="sr-Cyrl-CS"/>
              </w:rPr>
            </w:pPr>
          </w:p>
        </w:tc>
        <w:tc>
          <w:tcPr>
            <w:tcW w:w="1410" w:type="dxa"/>
            <w:shd w:val="clear" w:color="auto" w:fill="FFFFFF"/>
          </w:tcPr>
          <w:p w14:paraId="45D386B3" w14:textId="77777777" w:rsidR="00A0251B" w:rsidRPr="00CC35F0" w:rsidRDefault="008D6506" w:rsidP="00D97760">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c>
          <w:tcPr>
            <w:tcW w:w="1485" w:type="dxa"/>
            <w:shd w:val="clear" w:color="auto" w:fill="FFFFFF"/>
          </w:tcPr>
          <w:p w14:paraId="5EE36D72" w14:textId="77777777" w:rsidR="00A0251B" w:rsidRPr="00CC35F0" w:rsidRDefault="008D6506" w:rsidP="00D97760">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c>
          <w:tcPr>
            <w:tcW w:w="1448" w:type="dxa"/>
            <w:shd w:val="clear" w:color="auto" w:fill="FFFFFF"/>
          </w:tcPr>
          <w:p w14:paraId="55EAA83F" w14:textId="77777777" w:rsidR="00A0251B" w:rsidRPr="00CC35F0" w:rsidRDefault="008D6506" w:rsidP="00D97760">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r>
    </w:tbl>
    <w:p w14:paraId="4E832439" w14:textId="77777777" w:rsidR="00A0251B" w:rsidRPr="00CC35F0" w:rsidRDefault="00A0251B">
      <w:pPr>
        <w:rPr>
          <w:rFonts w:ascii="Times New Roman" w:eastAsia="Times New Roman" w:hAnsi="Times New Roman"/>
          <w:sz w:val="24"/>
          <w:szCs w:val="24"/>
          <w:lang w:val="sr-Cyrl-CS"/>
        </w:rPr>
      </w:pPr>
    </w:p>
    <w:tbl>
      <w:tblPr>
        <w:tblStyle w:val="afd"/>
        <w:tblW w:w="14670" w:type="dxa"/>
        <w:tblInd w:w="-147"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2215"/>
        <w:gridCol w:w="1399"/>
        <w:gridCol w:w="1622"/>
        <w:gridCol w:w="1427"/>
        <w:gridCol w:w="1698"/>
        <w:gridCol w:w="1565"/>
        <w:gridCol w:w="920"/>
        <w:gridCol w:w="920"/>
        <w:gridCol w:w="1010"/>
        <w:gridCol w:w="920"/>
        <w:gridCol w:w="974"/>
      </w:tblGrid>
      <w:tr w:rsidR="00A0251B" w:rsidRPr="00CC35F0" w14:paraId="7665E3DF" w14:textId="77777777">
        <w:trPr>
          <w:trHeight w:val="140"/>
          <w:tblHeader/>
        </w:trPr>
        <w:tc>
          <w:tcPr>
            <w:tcW w:w="2215" w:type="dxa"/>
            <w:vMerge w:val="restart"/>
            <w:shd w:val="clear" w:color="auto" w:fill="FFF2CC"/>
          </w:tcPr>
          <w:p w14:paraId="1811737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Назив активности:</w:t>
            </w:r>
          </w:p>
        </w:tc>
        <w:tc>
          <w:tcPr>
            <w:tcW w:w="1399" w:type="dxa"/>
            <w:vMerge w:val="restart"/>
            <w:shd w:val="clear" w:color="auto" w:fill="FFF2CC"/>
          </w:tcPr>
          <w:p w14:paraId="7086ED5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622" w:type="dxa"/>
            <w:vMerge w:val="restart"/>
            <w:shd w:val="clear" w:color="auto" w:fill="FFF2CC"/>
          </w:tcPr>
          <w:p w14:paraId="034B6E3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 у спровођењу активности</w:t>
            </w:r>
          </w:p>
        </w:tc>
        <w:tc>
          <w:tcPr>
            <w:tcW w:w="1427" w:type="dxa"/>
            <w:vMerge w:val="restart"/>
            <w:shd w:val="clear" w:color="auto" w:fill="FFF2CC"/>
          </w:tcPr>
          <w:p w14:paraId="7FD0A89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698" w:type="dxa"/>
            <w:vMerge w:val="restart"/>
            <w:shd w:val="clear" w:color="auto" w:fill="FFF2CC"/>
          </w:tcPr>
          <w:p w14:paraId="02E1B7C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565" w:type="dxa"/>
            <w:vMerge w:val="restart"/>
            <w:shd w:val="clear" w:color="auto" w:fill="FFF2CC"/>
          </w:tcPr>
          <w:p w14:paraId="285419F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r w:rsidRPr="00CC35F0">
              <w:rPr>
                <w:rFonts w:ascii="Times New Roman" w:eastAsia="Times New Roman" w:hAnsi="Times New Roman"/>
                <w:sz w:val="24"/>
                <w:szCs w:val="24"/>
                <w:vertAlign w:val="superscript"/>
                <w:lang w:val="sr-Cyrl-CS"/>
              </w:rPr>
              <w:footnoteReference w:id="81"/>
            </w:r>
          </w:p>
          <w:p w14:paraId="3D742BCA" w14:textId="77777777" w:rsidR="00A0251B" w:rsidRPr="00CC35F0" w:rsidRDefault="00A0251B">
            <w:pPr>
              <w:jc w:val="center"/>
              <w:rPr>
                <w:rFonts w:ascii="Times New Roman" w:eastAsia="Times New Roman" w:hAnsi="Times New Roman"/>
                <w:sz w:val="24"/>
                <w:szCs w:val="24"/>
                <w:lang w:val="sr-Cyrl-CS"/>
              </w:rPr>
            </w:pPr>
          </w:p>
        </w:tc>
        <w:tc>
          <w:tcPr>
            <w:tcW w:w="4744" w:type="dxa"/>
            <w:gridSpan w:val="5"/>
            <w:shd w:val="clear" w:color="auto" w:fill="FFF2CC"/>
          </w:tcPr>
          <w:p w14:paraId="2CC0AAD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Pr="00CC35F0">
              <w:rPr>
                <w:rFonts w:ascii="Times New Roman" w:eastAsia="Times New Roman" w:hAnsi="Times New Roman"/>
                <w:sz w:val="24"/>
                <w:szCs w:val="24"/>
                <w:vertAlign w:val="superscript"/>
                <w:lang w:val="sr-Cyrl-CS"/>
              </w:rPr>
              <w:footnoteReference w:id="82"/>
            </w:r>
          </w:p>
        </w:tc>
      </w:tr>
      <w:tr w:rsidR="00A0251B" w:rsidRPr="00CC35F0" w14:paraId="6FC1CCAF" w14:textId="77777777">
        <w:trPr>
          <w:trHeight w:val="386"/>
          <w:tblHeader/>
        </w:trPr>
        <w:tc>
          <w:tcPr>
            <w:tcW w:w="2215" w:type="dxa"/>
            <w:vMerge/>
            <w:shd w:val="clear" w:color="auto" w:fill="FFF2CC"/>
          </w:tcPr>
          <w:p w14:paraId="3DE3DAF2"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99" w:type="dxa"/>
            <w:vMerge/>
            <w:shd w:val="clear" w:color="auto" w:fill="FFF2CC"/>
          </w:tcPr>
          <w:p w14:paraId="6953565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22" w:type="dxa"/>
            <w:vMerge/>
            <w:shd w:val="clear" w:color="auto" w:fill="FFF2CC"/>
          </w:tcPr>
          <w:p w14:paraId="3D24656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7" w:type="dxa"/>
            <w:vMerge/>
            <w:shd w:val="clear" w:color="auto" w:fill="FFF2CC"/>
          </w:tcPr>
          <w:p w14:paraId="38530EC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98" w:type="dxa"/>
            <w:vMerge/>
            <w:shd w:val="clear" w:color="auto" w:fill="FFF2CC"/>
          </w:tcPr>
          <w:p w14:paraId="656B243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5" w:type="dxa"/>
            <w:vMerge/>
            <w:shd w:val="clear" w:color="auto" w:fill="FFF2CC"/>
          </w:tcPr>
          <w:p w14:paraId="5A591AB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20" w:type="dxa"/>
            <w:shd w:val="clear" w:color="auto" w:fill="FFF2CC"/>
          </w:tcPr>
          <w:p w14:paraId="2763867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920" w:type="dxa"/>
            <w:shd w:val="clear" w:color="auto" w:fill="FFF2CC"/>
          </w:tcPr>
          <w:p w14:paraId="3029AFB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010" w:type="dxa"/>
            <w:shd w:val="clear" w:color="auto" w:fill="FFF2CC"/>
          </w:tcPr>
          <w:p w14:paraId="4A45B87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920" w:type="dxa"/>
            <w:shd w:val="clear" w:color="auto" w:fill="FFF2CC"/>
          </w:tcPr>
          <w:p w14:paraId="6FC2C30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974" w:type="dxa"/>
            <w:shd w:val="clear" w:color="auto" w:fill="FFF2CC"/>
          </w:tcPr>
          <w:p w14:paraId="1DC027C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1D452974" w14:textId="77777777">
        <w:trPr>
          <w:trHeight w:val="543"/>
        </w:trPr>
        <w:tc>
          <w:tcPr>
            <w:tcW w:w="2215" w:type="dxa"/>
          </w:tcPr>
          <w:p w14:paraId="78D650E7" w14:textId="77777777" w:rsidR="00A0251B" w:rsidRPr="00CC35F0" w:rsidRDefault="008D6506" w:rsidP="006C5DEC">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1.1.1.1 </w:t>
            </w:r>
            <w:r w:rsidRPr="00CC35F0">
              <w:rPr>
                <w:rFonts w:ascii="Times New Roman" w:eastAsia="Times New Roman" w:hAnsi="Times New Roman"/>
                <w:color w:val="000000"/>
                <w:sz w:val="24"/>
                <w:szCs w:val="24"/>
                <w:lang w:val="sr-Cyrl-CS"/>
              </w:rPr>
              <w:t>Обезбеђивање потпуног усклађивања законодавства са Директивом о индустријским емисијама за велика постројења са сагоревањем из Анекса I – измене и допуне подзаконских аката</w:t>
            </w:r>
          </w:p>
        </w:tc>
        <w:tc>
          <w:tcPr>
            <w:tcW w:w="1399" w:type="dxa"/>
          </w:tcPr>
          <w:p w14:paraId="50EAAD8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622" w:type="dxa"/>
          </w:tcPr>
          <w:p w14:paraId="560FAE0B"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Покрајински секретаријат надлежан за послове заштите животне средине и локалне самоуправе надлежне за издавање интегрисаних дозвола</w:t>
            </w:r>
          </w:p>
          <w:p w14:paraId="3294B6F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АЗЖС</w:t>
            </w:r>
          </w:p>
        </w:tc>
        <w:tc>
          <w:tcPr>
            <w:tcW w:w="1427" w:type="dxa"/>
          </w:tcPr>
          <w:p w14:paraId="0E3BC27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2023</w:t>
            </w:r>
          </w:p>
        </w:tc>
        <w:tc>
          <w:tcPr>
            <w:tcW w:w="1698" w:type="dxa"/>
          </w:tcPr>
          <w:p w14:paraId="25A0844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Буџет/редовна издвајања</w:t>
            </w:r>
          </w:p>
        </w:tc>
        <w:tc>
          <w:tcPr>
            <w:tcW w:w="1565" w:type="dxa"/>
          </w:tcPr>
          <w:p w14:paraId="19FEABD3" w14:textId="77777777" w:rsidR="00A0251B" w:rsidRPr="00CC35F0" w:rsidRDefault="008D6506">
            <w:pPr>
              <w:jc w:val="right"/>
              <w:rPr>
                <w:rFonts w:ascii="Times New Roman" w:eastAsia="Times New Roman" w:hAnsi="Times New Roman"/>
                <w:i/>
                <w:sz w:val="24"/>
                <w:szCs w:val="24"/>
                <w:lang w:val="sr-Cyrl-CS"/>
              </w:rPr>
            </w:pPr>
            <w:r w:rsidRPr="00CC35F0">
              <w:rPr>
                <w:rFonts w:ascii="Times New Roman" w:eastAsia="Times New Roman" w:hAnsi="Times New Roman"/>
                <w:i/>
                <w:sz w:val="24"/>
                <w:szCs w:val="24"/>
                <w:lang w:val="sr-Cyrl-CS"/>
              </w:rPr>
              <w:t>(Шифра ПР/ПА за плате)</w:t>
            </w:r>
          </w:p>
        </w:tc>
        <w:tc>
          <w:tcPr>
            <w:tcW w:w="920" w:type="dxa"/>
          </w:tcPr>
          <w:p w14:paraId="5A127AF1"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12035FB9" w14:textId="77777777" w:rsidR="00A0251B" w:rsidRPr="00CC35F0" w:rsidRDefault="00A0251B">
            <w:pPr>
              <w:jc w:val="right"/>
              <w:rPr>
                <w:rFonts w:ascii="Times New Roman" w:eastAsia="Times New Roman" w:hAnsi="Times New Roman"/>
                <w:sz w:val="24"/>
                <w:szCs w:val="24"/>
                <w:lang w:val="sr-Cyrl-CS"/>
              </w:rPr>
            </w:pPr>
          </w:p>
        </w:tc>
        <w:tc>
          <w:tcPr>
            <w:tcW w:w="1010" w:type="dxa"/>
          </w:tcPr>
          <w:p w14:paraId="267BEC76"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7B2B43CE" w14:textId="77777777" w:rsidR="00A0251B" w:rsidRPr="00CC35F0" w:rsidRDefault="00A0251B">
            <w:pPr>
              <w:jc w:val="right"/>
              <w:rPr>
                <w:rFonts w:ascii="Times New Roman" w:eastAsia="Times New Roman" w:hAnsi="Times New Roman"/>
                <w:sz w:val="24"/>
                <w:szCs w:val="24"/>
                <w:lang w:val="sr-Cyrl-CS"/>
              </w:rPr>
            </w:pPr>
          </w:p>
        </w:tc>
        <w:tc>
          <w:tcPr>
            <w:tcW w:w="974" w:type="dxa"/>
          </w:tcPr>
          <w:p w14:paraId="45D526FA" w14:textId="77777777" w:rsidR="00A0251B" w:rsidRPr="00CC35F0" w:rsidRDefault="00A0251B">
            <w:pPr>
              <w:jc w:val="right"/>
              <w:rPr>
                <w:rFonts w:ascii="Times New Roman" w:eastAsia="Times New Roman" w:hAnsi="Times New Roman"/>
                <w:sz w:val="24"/>
                <w:szCs w:val="24"/>
                <w:lang w:val="sr-Cyrl-CS"/>
              </w:rPr>
            </w:pPr>
          </w:p>
        </w:tc>
      </w:tr>
      <w:tr w:rsidR="00A0251B" w:rsidRPr="00CC35F0" w14:paraId="701F7017" w14:textId="77777777">
        <w:trPr>
          <w:trHeight w:val="140"/>
        </w:trPr>
        <w:tc>
          <w:tcPr>
            <w:tcW w:w="2215" w:type="dxa"/>
          </w:tcPr>
          <w:p w14:paraId="0153F87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1.1.1.2 </w:t>
            </w:r>
            <w:r w:rsidRPr="00CC35F0">
              <w:rPr>
                <w:rFonts w:ascii="Times New Roman" w:eastAsia="Times New Roman" w:hAnsi="Times New Roman"/>
                <w:color w:val="000000"/>
                <w:sz w:val="24"/>
                <w:szCs w:val="24"/>
                <w:lang w:val="sr-Cyrl-CS"/>
              </w:rPr>
              <w:t xml:space="preserve">Обезбеђивање повећања броја запослених у институцијама Републике Србије на пословима издавања интегрисане дозволе у складу са идентификованим потребама у </w:t>
            </w:r>
            <w:r w:rsidRPr="00CC35F0">
              <w:rPr>
                <w:rFonts w:ascii="Times New Roman" w:eastAsia="Times New Roman" w:hAnsi="Times New Roman"/>
                <w:color w:val="000000"/>
                <w:sz w:val="24"/>
                <w:szCs w:val="24"/>
                <w:lang w:val="sr-Cyrl-CS"/>
              </w:rPr>
              <w:lastRenderedPageBreak/>
              <w:t>Специфичном плану за спровођење ДИЕ (Пројекат ДИЕ Србија)</w:t>
            </w:r>
          </w:p>
        </w:tc>
        <w:tc>
          <w:tcPr>
            <w:tcW w:w="1399" w:type="dxa"/>
          </w:tcPr>
          <w:p w14:paraId="0D6EF4D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МЗЖС</w:t>
            </w:r>
          </w:p>
        </w:tc>
        <w:tc>
          <w:tcPr>
            <w:tcW w:w="1622" w:type="dxa"/>
          </w:tcPr>
          <w:p w14:paraId="74B2FA1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Покрајински секретаријат надлежан за послове заштите животне средине</w:t>
            </w:r>
          </w:p>
        </w:tc>
        <w:tc>
          <w:tcPr>
            <w:tcW w:w="1427" w:type="dxa"/>
          </w:tcPr>
          <w:p w14:paraId="1131864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2025</w:t>
            </w:r>
          </w:p>
        </w:tc>
        <w:tc>
          <w:tcPr>
            <w:tcW w:w="1698" w:type="dxa"/>
          </w:tcPr>
          <w:p w14:paraId="33FA524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(КДА)</w:t>
            </w:r>
          </w:p>
          <w:p w14:paraId="25323B0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АП Војводине</w:t>
            </w:r>
          </w:p>
          <w:p w14:paraId="130ED329" w14:textId="77777777" w:rsidR="00A0251B" w:rsidRPr="00CC35F0" w:rsidRDefault="00A0251B">
            <w:pPr>
              <w:jc w:val="center"/>
              <w:rPr>
                <w:rFonts w:ascii="Times New Roman" w:eastAsia="Times New Roman" w:hAnsi="Times New Roman"/>
                <w:sz w:val="24"/>
                <w:szCs w:val="24"/>
                <w:lang w:val="sr-Cyrl-CS"/>
              </w:rPr>
            </w:pPr>
          </w:p>
        </w:tc>
        <w:tc>
          <w:tcPr>
            <w:tcW w:w="1565" w:type="dxa"/>
          </w:tcPr>
          <w:p w14:paraId="3AC7830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0404-560-0002-411</w:t>
            </w:r>
          </w:p>
        </w:tc>
        <w:tc>
          <w:tcPr>
            <w:tcW w:w="920" w:type="dxa"/>
          </w:tcPr>
          <w:p w14:paraId="12FB0ADA" w14:textId="77777777" w:rsidR="00A0251B" w:rsidRPr="00CC35F0" w:rsidRDefault="00A0251B">
            <w:pPr>
              <w:jc w:val="center"/>
              <w:rPr>
                <w:rFonts w:ascii="Times New Roman" w:eastAsia="Times New Roman" w:hAnsi="Times New Roman"/>
                <w:sz w:val="24"/>
                <w:szCs w:val="24"/>
                <w:lang w:val="sr-Cyrl-CS"/>
              </w:rPr>
            </w:pPr>
          </w:p>
        </w:tc>
        <w:tc>
          <w:tcPr>
            <w:tcW w:w="920" w:type="dxa"/>
          </w:tcPr>
          <w:p w14:paraId="43DBF61B" w14:textId="77777777" w:rsidR="00A0251B" w:rsidRPr="00CC35F0" w:rsidRDefault="0084294D">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1010" w:type="dxa"/>
          </w:tcPr>
          <w:p w14:paraId="687D4A6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920" w:type="dxa"/>
          </w:tcPr>
          <w:p w14:paraId="299BBD5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974" w:type="dxa"/>
          </w:tcPr>
          <w:p w14:paraId="56BB725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r>
      <w:tr w:rsidR="00A0251B" w:rsidRPr="00CC35F0" w14:paraId="5B6C007E" w14:textId="77777777">
        <w:trPr>
          <w:trHeight w:val="140"/>
        </w:trPr>
        <w:tc>
          <w:tcPr>
            <w:tcW w:w="2215" w:type="dxa"/>
          </w:tcPr>
          <w:p w14:paraId="011C0A6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1.1.1.3 Обезбедити да сва велика постројења за сагоревање послују у складу са ажурираним интегрисаним дозволама.</w:t>
            </w:r>
          </w:p>
        </w:tc>
        <w:tc>
          <w:tcPr>
            <w:tcW w:w="1399" w:type="dxa"/>
          </w:tcPr>
          <w:p w14:paraId="2BC9035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622" w:type="dxa"/>
          </w:tcPr>
          <w:p w14:paraId="5991F13A" w14:textId="77777777" w:rsidR="00A0251B" w:rsidRPr="00CC35F0" w:rsidRDefault="00A0251B">
            <w:pPr>
              <w:rPr>
                <w:rFonts w:ascii="Times New Roman" w:eastAsia="Times New Roman" w:hAnsi="Times New Roman"/>
                <w:sz w:val="24"/>
                <w:szCs w:val="24"/>
                <w:lang w:val="sr-Cyrl-CS"/>
              </w:rPr>
            </w:pPr>
          </w:p>
        </w:tc>
        <w:tc>
          <w:tcPr>
            <w:tcW w:w="1427" w:type="dxa"/>
          </w:tcPr>
          <w:p w14:paraId="4EE0347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2025</w:t>
            </w:r>
          </w:p>
        </w:tc>
        <w:tc>
          <w:tcPr>
            <w:tcW w:w="1698" w:type="dxa"/>
          </w:tcPr>
          <w:p w14:paraId="0A4AB60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p>
        </w:tc>
        <w:tc>
          <w:tcPr>
            <w:tcW w:w="1565" w:type="dxa"/>
          </w:tcPr>
          <w:p w14:paraId="6F35950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75A3757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1ADDAE4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10" w:type="dxa"/>
          </w:tcPr>
          <w:p w14:paraId="4574544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1AD20A4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74" w:type="dxa"/>
          </w:tcPr>
          <w:p w14:paraId="06E006A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599C314B" w14:textId="77777777">
        <w:trPr>
          <w:trHeight w:val="140"/>
        </w:trPr>
        <w:tc>
          <w:tcPr>
            <w:tcW w:w="2215" w:type="dxa"/>
          </w:tcPr>
          <w:p w14:paraId="595BDB1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1.1.1.4 </w:t>
            </w:r>
            <w:r w:rsidRPr="00CC35F0">
              <w:rPr>
                <w:rFonts w:ascii="Times New Roman" w:eastAsia="Times New Roman" w:hAnsi="Times New Roman"/>
                <w:color w:val="000000"/>
                <w:sz w:val="24"/>
                <w:szCs w:val="24"/>
                <w:lang w:val="sr-Cyrl-CS"/>
              </w:rPr>
              <w:t>Обезбедити да сва постројења из делокруга Директиве о индустријским емисијама извештавају Националном регистру извора загађења</w:t>
            </w:r>
          </w:p>
        </w:tc>
        <w:tc>
          <w:tcPr>
            <w:tcW w:w="1399" w:type="dxa"/>
          </w:tcPr>
          <w:p w14:paraId="33F0916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p>
        </w:tc>
        <w:tc>
          <w:tcPr>
            <w:tcW w:w="1622" w:type="dxa"/>
          </w:tcPr>
          <w:p w14:paraId="2F067E3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427" w:type="dxa"/>
          </w:tcPr>
          <w:p w14:paraId="272522D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698" w:type="dxa"/>
          </w:tcPr>
          <w:p w14:paraId="56B5FBD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65" w:type="dxa"/>
          </w:tcPr>
          <w:p w14:paraId="1E8BB60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70D42B7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1693B7FE" w14:textId="77777777" w:rsidR="00A0251B" w:rsidRPr="00CC35F0" w:rsidRDefault="00A0251B">
            <w:pPr>
              <w:rPr>
                <w:rFonts w:ascii="Times New Roman" w:eastAsia="Times New Roman" w:hAnsi="Times New Roman"/>
                <w:sz w:val="24"/>
                <w:szCs w:val="24"/>
                <w:lang w:val="sr-Cyrl-CS"/>
              </w:rPr>
            </w:pPr>
          </w:p>
        </w:tc>
        <w:tc>
          <w:tcPr>
            <w:tcW w:w="1010" w:type="dxa"/>
          </w:tcPr>
          <w:p w14:paraId="3C063D4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c>
          <w:tcPr>
            <w:tcW w:w="920" w:type="dxa"/>
          </w:tcPr>
          <w:p w14:paraId="5668A00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c>
          <w:tcPr>
            <w:tcW w:w="974" w:type="dxa"/>
          </w:tcPr>
          <w:p w14:paraId="06CF4BD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r>
    </w:tbl>
    <w:p w14:paraId="581BF611" w14:textId="77777777" w:rsidR="00A0251B" w:rsidRPr="00CC35F0" w:rsidRDefault="00A0251B">
      <w:pPr>
        <w:rPr>
          <w:rFonts w:ascii="Times New Roman" w:eastAsia="Times New Roman" w:hAnsi="Times New Roman"/>
          <w:sz w:val="24"/>
          <w:szCs w:val="24"/>
          <w:lang w:val="sr-Cyrl-CS"/>
        </w:rPr>
      </w:pPr>
    </w:p>
    <w:tbl>
      <w:tblPr>
        <w:tblStyle w:val="afe"/>
        <w:tblW w:w="1476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8"/>
        <w:gridCol w:w="1474"/>
        <w:gridCol w:w="1520"/>
        <w:gridCol w:w="1440"/>
        <w:gridCol w:w="1260"/>
        <w:gridCol w:w="1350"/>
        <w:gridCol w:w="1350"/>
        <w:gridCol w:w="1530"/>
        <w:gridCol w:w="1623"/>
      </w:tblGrid>
      <w:tr w:rsidR="00A0251B" w:rsidRPr="00CC35F0" w14:paraId="178C25E9" w14:textId="77777777">
        <w:trPr>
          <w:trHeight w:val="168"/>
        </w:trPr>
        <w:tc>
          <w:tcPr>
            <w:tcW w:w="14765" w:type="dxa"/>
            <w:gridSpan w:val="9"/>
            <w:tcBorders>
              <w:top w:val="single" w:sz="4" w:space="0" w:color="000000"/>
              <w:left w:val="single" w:sz="4" w:space="0" w:color="000000"/>
              <w:bottom w:val="single" w:sz="4" w:space="0" w:color="000000"/>
              <w:right w:val="single" w:sz="4" w:space="0" w:color="000000"/>
            </w:tcBorders>
            <w:shd w:val="clear" w:color="auto" w:fill="F7CBAC"/>
          </w:tcPr>
          <w:p w14:paraId="43BBD2A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1.1.2: </w:t>
            </w:r>
            <w:r w:rsidRPr="00CC35F0">
              <w:rPr>
                <w:rFonts w:ascii="Times New Roman" w:eastAsia="Times New Roman" w:hAnsi="Times New Roman"/>
                <w:b/>
                <w:sz w:val="24"/>
                <w:szCs w:val="24"/>
                <w:lang w:val="sr-Cyrl-CS"/>
              </w:rPr>
              <w:t>Спровођење Директиве ЕУ 2015/2193 о ограничењу емисија одређених загађујућих материја у ваздух из средњих постројења за сагоревање</w:t>
            </w:r>
          </w:p>
        </w:tc>
      </w:tr>
      <w:tr w:rsidR="00A0251B" w:rsidRPr="00CC35F0" w14:paraId="1C684738" w14:textId="77777777">
        <w:trPr>
          <w:trHeight w:val="298"/>
        </w:trPr>
        <w:tc>
          <w:tcPr>
            <w:tcW w:w="14765" w:type="dxa"/>
            <w:gridSpan w:val="9"/>
            <w:tcBorders>
              <w:top w:val="single" w:sz="4" w:space="0" w:color="000000"/>
              <w:left w:val="single" w:sz="4" w:space="0" w:color="000000"/>
              <w:bottom w:val="single" w:sz="4" w:space="0" w:color="000000"/>
              <w:right w:val="single" w:sz="4" w:space="0" w:color="000000"/>
            </w:tcBorders>
            <w:shd w:val="clear" w:color="auto" w:fill="F7CBAC"/>
            <w:vAlign w:val="center"/>
          </w:tcPr>
          <w:p w14:paraId="769710B1" w14:textId="77777777" w:rsidR="00A0251B" w:rsidRPr="00CC35F0" w:rsidRDefault="008D6506">
            <w:pPr>
              <w:rPr>
                <w:rFonts w:ascii="Times New Roman" w:eastAsia="Times New Roman" w:hAnsi="Times New Roman"/>
                <w:i/>
                <w:color w:val="222222"/>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МЗЖС</w:t>
            </w:r>
          </w:p>
        </w:tc>
      </w:tr>
      <w:tr w:rsidR="00A0251B" w:rsidRPr="00CC35F0" w14:paraId="0D9534A6" w14:textId="77777777">
        <w:trPr>
          <w:trHeight w:val="298"/>
        </w:trPr>
        <w:tc>
          <w:tcPr>
            <w:tcW w:w="6212" w:type="dxa"/>
            <w:gridSpan w:val="3"/>
            <w:tcBorders>
              <w:top w:val="single" w:sz="4" w:space="0" w:color="000000"/>
              <w:left w:val="single" w:sz="4" w:space="0" w:color="000000"/>
              <w:bottom w:val="single" w:sz="4" w:space="0" w:color="000000"/>
              <w:right w:val="single" w:sz="4" w:space="0" w:color="000000"/>
            </w:tcBorders>
            <w:shd w:val="clear" w:color="auto" w:fill="F7CBAC"/>
          </w:tcPr>
          <w:p w14:paraId="6780FEFE"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Период спровођења: 2022-2026</w:t>
            </w:r>
            <w:r w:rsidR="0040371E" w:rsidRPr="00CC35F0">
              <w:rPr>
                <w:rFonts w:ascii="Times New Roman" w:eastAsia="Times New Roman" w:hAnsi="Times New Roman"/>
                <w:sz w:val="24"/>
                <w:szCs w:val="24"/>
                <w:vertAlign w:val="superscript"/>
                <w:lang w:val="sr-Cyrl-CS"/>
              </w:rPr>
              <w:t>#</w:t>
            </w:r>
          </w:p>
        </w:tc>
        <w:tc>
          <w:tcPr>
            <w:tcW w:w="8553" w:type="dxa"/>
            <w:gridSpan w:val="6"/>
            <w:tcBorders>
              <w:top w:val="single" w:sz="4" w:space="0" w:color="000000"/>
              <w:left w:val="single" w:sz="4" w:space="0" w:color="000000"/>
              <w:bottom w:val="single" w:sz="4" w:space="0" w:color="000000"/>
              <w:right w:val="single" w:sz="4" w:space="0" w:color="000000"/>
            </w:tcBorders>
            <w:shd w:val="clear" w:color="auto" w:fill="F7CBAC"/>
          </w:tcPr>
          <w:p w14:paraId="5AC3335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w:t>
            </w:r>
          </w:p>
        </w:tc>
      </w:tr>
      <w:tr w:rsidR="00A0251B" w:rsidRPr="00CC35F0" w14:paraId="292E6E3E" w14:textId="77777777">
        <w:trPr>
          <w:trHeight w:val="298"/>
        </w:trPr>
        <w:tc>
          <w:tcPr>
            <w:tcW w:w="6212" w:type="dxa"/>
            <w:gridSpan w:val="3"/>
            <w:tcBorders>
              <w:top w:val="single" w:sz="4" w:space="0" w:color="000000"/>
              <w:left w:val="single" w:sz="4" w:space="0" w:color="000000"/>
              <w:bottom w:val="single" w:sz="4" w:space="0" w:color="000000"/>
              <w:right w:val="single" w:sz="4" w:space="0" w:color="000000"/>
            </w:tcBorders>
            <w:shd w:val="clear" w:color="auto" w:fill="F7CBAC"/>
          </w:tcPr>
          <w:p w14:paraId="301185F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Прописи које треба изменити/донети за спровођење мере:</w:t>
            </w:r>
          </w:p>
        </w:tc>
        <w:tc>
          <w:tcPr>
            <w:tcW w:w="8553" w:type="dxa"/>
            <w:gridSpan w:val="6"/>
            <w:tcBorders>
              <w:top w:val="single" w:sz="4" w:space="0" w:color="000000"/>
              <w:left w:val="single" w:sz="4" w:space="0" w:color="000000"/>
              <w:bottom w:val="single" w:sz="4" w:space="0" w:color="000000"/>
              <w:right w:val="single" w:sz="4" w:space="0" w:color="000000"/>
            </w:tcBorders>
            <w:shd w:val="clear" w:color="auto" w:fill="F7CBAC"/>
          </w:tcPr>
          <w:p w14:paraId="2B4C4CE3" w14:textId="77777777" w:rsidR="00A0251B" w:rsidRPr="00CC35F0" w:rsidRDefault="008D6506" w:rsidP="00D5214F">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Доношење Уредбе о граничним вредностима емисија загађујућих материја у ваздух из средњих постројења за сагоревање. Ова уредба ће морати да обједини захтеве Директиве и Уредбе о граничним вредностима емисије загађујућих материја у ваздух</w:t>
            </w:r>
            <w:r w:rsidR="00D5214F" w:rsidRPr="00CC35F0">
              <w:rPr>
                <w:rFonts w:ascii="Times New Roman" w:eastAsia="Times New Roman" w:hAnsi="Times New Roman"/>
                <w:sz w:val="24"/>
                <w:szCs w:val="24"/>
                <w:lang w:val="sr-Cyrl-CS"/>
              </w:rPr>
              <w:t xml:space="preserve"> из постројења за сагоревање</w:t>
            </w:r>
            <w:r w:rsidRPr="00CC35F0">
              <w:rPr>
                <w:rFonts w:ascii="Times New Roman" w:eastAsia="Times New Roman" w:hAnsi="Times New Roman"/>
                <w:sz w:val="24"/>
                <w:szCs w:val="24"/>
                <w:lang w:val="sr-Cyrl-CS"/>
              </w:rPr>
              <w:t xml:space="preserve"> и Уредбе о мерењима емис</w:t>
            </w:r>
            <w:r w:rsidR="00D5214F" w:rsidRPr="00CC35F0">
              <w:rPr>
                <w:rFonts w:ascii="Times New Roman" w:eastAsia="Times New Roman" w:hAnsi="Times New Roman"/>
                <w:sz w:val="24"/>
                <w:szCs w:val="24"/>
                <w:lang w:val="sr-Cyrl-CS"/>
              </w:rPr>
              <w:t xml:space="preserve">ија („Службени гласник РС”, број </w:t>
            </w:r>
            <w:r w:rsidRPr="00CC35F0">
              <w:rPr>
                <w:rFonts w:ascii="Times New Roman" w:eastAsia="Times New Roman" w:hAnsi="Times New Roman"/>
                <w:sz w:val="24"/>
                <w:szCs w:val="24"/>
                <w:lang w:val="sr-Cyrl-CS"/>
              </w:rPr>
              <w:t>5/16)</w:t>
            </w:r>
          </w:p>
        </w:tc>
      </w:tr>
      <w:tr w:rsidR="00A0251B" w:rsidRPr="00CC35F0" w14:paraId="38F77ED7" w14:textId="77777777">
        <w:trPr>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754808D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678791B8" w14:textId="77777777" w:rsidR="00A0251B" w:rsidRPr="00CC35F0" w:rsidRDefault="00A0251B">
            <w:pPr>
              <w:jc w:val="center"/>
              <w:rPr>
                <w:rFonts w:ascii="Times New Roman" w:eastAsia="Times New Roman" w:hAnsi="Times New Roman"/>
                <w:sz w:val="24"/>
                <w:szCs w:val="24"/>
                <w:lang w:val="sr-Cyrl-CS"/>
              </w:rPr>
            </w:pPr>
          </w:p>
        </w:tc>
        <w:tc>
          <w:tcPr>
            <w:tcW w:w="1474" w:type="dxa"/>
            <w:tcBorders>
              <w:top w:val="single" w:sz="4" w:space="0" w:color="000000"/>
              <w:left w:val="single" w:sz="4" w:space="0" w:color="000000"/>
              <w:bottom w:val="single" w:sz="4" w:space="0" w:color="000000"/>
              <w:right w:val="single" w:sz="4" w:space="0" w:color="000000"/>
            </w:tcBorders>
            <w:shd w:val="clear" w:color="auto" w:fill="D9D9D9"/>
          </w:tcPr>
          <w:p w14:paraId="56EE1E7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520" w:type="dxa"/>
            <w:tcBorders>
              <w:top w:val="single" w:sz="4" w:space="0" w:color="000000"/>
              <w:left w:val="single" w:sz="4" w:space="0" w:color="000000"/>
              <w:bottom w:val="single" w:sz="4" w:space="0" w:color="000000"/>
              <w:right w:val="single" w:sz="4" w:space="0" w:color="000000"/>
            </w:tcBorders>
            <w:shd w:val="clear" w:color="auto" w:fill="D9D9D9"/>
          </w:tcPr>
          <w:p w14:paraId="081417F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Pr>
          <w:p w14:paraId="05E8634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260" w:type="dxa"/>
            <w:tcBorders>
              <w:top w:val="single" w:sz="4" w:space="0" w:color="000000"/>
              <w:left w:val="single" w:sz="4" w:space="0" w:color="000000"/>
              <w:bottom w:val="single" w:sz="4" w:space="0" w:color="000000"/>
              <w:right w:val="single" w:sz="4" w:space="0" w:color="000000"/>
            </w:tcBorders>
            <w:shd w:val="clear" w:color="auto" w:fill="D9D9D9"/>
          </w:tcPr>
          <w:p w14:paraId="3F3580F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2022. година</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02A2873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3028FA0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30" w:type="dxa"/>
            <w:tcBorders>
              <w:top w:val="single" w:sz="4" w:space="0" w:color="000000"/>
              <w:left w:val="single" w:sz="4" w:space="0" w:color="000000"/>
              <w:bottom w:val="single" w:sz="4" w:space="0" w:color="000000"/>
              <w:right w:val="single" w:sz="4" w:space="0" w:color="000000"/>
            </w:tcBorders>
            <w:shd w:val="clear" w:color="auto" w:fill="D9D9D9"/>
          </w:tcPr>
          <w:p w14:paraId="2F0CC43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62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7D09BD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32FB09CA"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09C9E1FD"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средњих постројења за сагоревање усклађених са</w:t>
            </w:r>
            <w:r w:rsidRPr="00CC35F0">
              <w:rPr>
                <w:rFonts w:ascii="Times New Roman" w:eastAsia="Times New Roman" w:hAnsi="Times New Roman"/>
                <w:color w:val="000000"/>
                <w:sz w:val="24"/>
                <w:szCs w:val="24"/>
                <w:lang w:val="sr-Cyrl-CS"/>
              </w:rPr>
              <w:t xml:space="preserve"> Директивом ЕУ 2015/2193 о ограничењу емисија одређених загађујућих материја у ваздух из средњих постројења за сагоревање</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cPr>
          <w:p w14:paraId="20EF5F4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Pr>
          <w:p w14:paraId="1A26313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АЗЖС </w:t>
            </w:r>
          </w:p>
          <w:p w14:paraId="463B7E7F"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Регистар средњих постројења за сагоревање</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370B4B6"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cPr>
          <w:p w14:paraId="45D19D8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1594539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765715F3"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05F20C8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60 </w:t>
            </w:r>
          </w:p>
        </w:tc>
        <w:tc>
          <w:tcPr>
            <w:tcW w:w="1623" w:type="dxa"/>
            <w:tcBorders>
              <w:top w:val="single" w:sz="4" w:space="0" w:color="000000"/>
              <w:left w:val="single" w:sz="4" w:space="0" w:color="000000"/>
              <w:bottom w:val="single" w:sz="4" w:space="0" w:color="000000"/>
              <w:right w:val="single" w:sz="4" w:space="0" w:color="000000"/>
            </w:tcBorders>
            <w:shd w:val="clear" w:color="auto" w:fill="FFFFFF"/>
          </w:tcPr>
          <w:p w14:paraId="31D77D9F" w14:textId="77777777" w:rsidR="00A0251B" w:rsidRPr="00CC35F0" w:rsidRDefault="008D6506">
            <w:pPr>
              <w:spacing w:line="216" w:lineRule="auto"/>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w:t>
            </w:r>
          </w:p>
        </w:tc>
      </w:tr>
    </w:tbl>
    <w:p w14:paraId="63B359BB" w14:textId="77777777" w:rsidR="00A0251B" w:rsidRPr="00CC35F0" w:rsidRDefault="00A0251B">
      <w:pPr>
        <w:rPr>
          <w:rFonts w:ascii="Times New Roman" w:eastAsia="Times New Roman" w:hAnsi="Times New Roman"/>
          <w:sz w:val="24"/>
          <w:szCs w:val="24"/>
          <w:lang w:val="sr-Cyrl-CS"/>
        </w:rPr>
      </w:pPr>
    </w:p>
    <w:tbl>
      <w:tblPr>
        <w:tblStyle w:val="aff"/>
        <w:tblW w:w="13789"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559"/>
        <w:gridCol w:w="2700"/>
        <w:gridCol w:w="1452"/>
        <w:gridCol w:w="1532"/>
        <w:gridCol w:w="1515"/>
        <w:gridCol w:w="1494"/>
        <w:gridCol w:w="1537"/>
      </w:tblGrid>
      <w:tr w:rsidR="00A0251B" w:rsidRPr="00CC35F0" w14:paraId="5B565C64" w14:textId="77777777">
        <w:trPr>
          <w:trHeight w:val="227"/>
        </w:trPr>
        <w:tc>
          <w:tcPr>
            <w:tcW w:w="3559" w:type="dxa"/>
            <w:vMerge w:val="restart"/>
            <w:shd w:val="clear" w:color="auto" w:fill="A8D08D"/>
          </w:tcPr>
          <w:p w14:paraId="7286427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23B169F0" w14:textId="77777777" w:rsidR="00A0251B" w:rsidRPr="00CC35F0" w:rsidRDefault="00A0251B">
            <w:pPr>
              <w:jc w:val="center"/>
              <w:rPr>
                <w:rFonts w:ascii="Times New Roman" w:eastAsia="Times New Roman" w:hAnsi="Times New Roman"/>
                <w:sz w:val="24"/>
                <w:szCs w:val="24"/>
                <w:lang w:val="sr-Cyrl-CS"/>
              </w:rPr>
            </w:pPr>
          </w:p>
        </w:tc>
        <w:tc>
          <w:tcPr>
            <w:tcW w:w="2700" w:type="dxa"/>
            <w:vMerge w:val="restart"/>
            <w:shd w:val="clear" w:color="auto" w:fill="A8D08D"/>
          </w:tcPr>
          <w:p w14:paraId="6839DC6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0EC92873" w14:textId="77777777" w:rsidR="00A0251B" w:rsidRPr="00CC35F0" w:rsidRDefault="00A0251B">
            <w:pPr>
              <w:jc w:val="center"/>
              <w:rPr>
                <w:rFonts w:ascii="Times New Roman" w:eastAsia="Times New Roman" w:hAnsi="Times New Roman"/>
                <w:sz w:val="24"/>
                <w:szCs w:val="24"/>
                <w:lang w:val="sr-Cyrl-CS"/>
              </w:rPr>
            </w:pPr>
          </w:p>
        </w:tc>
        <w:tc>
          <w:tcPr>
            <w:tcW w:w="7530" w:type="dxa"/>
            <w:gridSpan w:val="5"/>
            <w:shd w:val="clear" w:color="auto" w:fill="A8D08D"/>
            <w:vAlign w:val="center"/>
          </w:tcPr>
          <w:p w14:paraId="56216CC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089B54DC" w14:textId="77777777">
        <w:trPr>
          <w:trHeight w:val="227"/>
        </w:trPr>
        <w:tc>
          <w:tcPr>
            <w:tcW w:w="3559" w:type="dxa"/>
            <w:vMerge/>
            <w:shd w:val="clear" w:color="auto" w:fill="A8D08D"/>
          </w:tcPr>
          <w:p w14:paraId="1B23433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700" w:type="dxa"/>
            <w:vMerge/>
            <w:shd w:val="clear" w:color="auto" w:fill="A8D08D"/>
          </w:tcPr>
          <w:p w14:paraId="32D67B7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52" w:type="dxa"/>
            <w:shd w:val="clear" w:color="auto" w:fill="A8D08D"/>
            <w:vAlign w:val="center"/>
          </w:tcPr>
          <w:p w14:paraId="694C0A1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532" w:type="dxa"/>
            <w:shd w:val="clear" w:color="auto" w:fill="A8D08D"/>
            <w:vAlign w:val="center"/>
          </w:tcPr>
          <w:p w14:paraId="252C814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515" w:type="dxa"/>
            <w:shd w:val="clear" w:color="auto" w:fill="A8D08D"/>
            <w:vAlign w:val="center"/>
          </w:tcPr>
          <w:p w14:paraId="376867F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494" w:type="dxa"/>
            <w:shd w:val="clear" w:color="auto" w:fill="A8D08D"/>
            <w:vAlign w:val="center"/>
          </w:tcPr>
          <w:p w14:paraId="3B69738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537" w:type="dxa"/>
            <w:shd w:val="clear" w:color="auto" w:fill="A8D08D"/>
            <w:vAlign w:val="center"/>
          </w:tcPr>
          <w:p w14:paraId="5780F09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25803BA5" w14:textId="77777777">
        <w:trPr>
          <w:trHeight w:val="398"/>
        </w:trPr>
        <w:tc>
          <w:tcPr>
            <w:tcW w:w="3559" w:type="dxa"/>
            <w:shd w:val="clear" w:color="auto" w:fill="FFFFFF"/>
          </w:tcPr>
          <w:p w14:paraId="4A133AA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p w14:paraId="5EBD5A5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p w14:paraId="213F1D9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ЕУ/донатори</w:t>
            </w:r>
          </w:p>
        </w:tc>
        <w:tc>
          <w:tcPr>
            <w:tcW w:w="2700" w:type="dxa"/>
            <w:shd w:val="clear" w:color="auto" w:fill="FFFFFF"/>
          </w:tcPr>
          <w:p w14:paraId="0D5DD70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0404-560-0002-411</w:t>
            </w:r>
          </w:p>
          <w:p w14:paraId="640E3C5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0404-560-0007-411</w:t>
            </w:r>
          </w:p>
          <w:p w14:paraId="112CF26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452" w:type="dxa"/>
            <w:shd w:val="clear" w:color="auto" w:fill="FFFFFF"/>
          </w:tcPr>
          <w:p w14:paraId="045C2061" w14:textId="77777777" w:rsidR="00A0251B" w:rsidRPr="00CC35F0" w:rsidRDefault="00A0251B">
            <w:pPr>
              <w:jc w:val="right"/>
              <w:rPr>
                <w:rFonts w:ascii="Times New Roman" w:eastAsia="Times New Roman" w:hAnsi="Times New Roman"/>
                <w:sz w:val="24"/>
                <w:szCs w:val="24"/>
                <w:lang w:val="sr-Cyrl-CS"/>
              </w:rPr>
            </w:pPr>
          </w:p>
          <w:p w14:paraId="5D52DD3D" w14:textId="77777777" w:rsidR="00A0251B" w:rsidRPr="00CC35F0" w:rsidRDefault="00A0251B">
            <w:pPr>
              <w:jc w:val="right"/>
              <w:rPr>
                <w:rFonts w:ascii="Times New Roman" w:eastAsia="Times New Roman" w:hAnsi="Times New Roman"/>
                <w:sz w:val="24"/>
                <w:szCs w:val="24"/>
                <w:lang w:val="sr-Cyrl-CS"/>
              </w:rPr>
            </w:pPr>
          </w:p>
          <w:p w14:paraId="4EFE493F" w14:textId="77777777" w:rsidR="00A0251B" w:rsidRPr="00CC35F0" w:rsidRDefault="00A0251B">
            <w:pPr>
              <w:jc w:val="right"/>
              <w:rPr>
                <w:rFonts w:ascii="Times New Roman" w:eastAsia="Times New Roman" w:hAnsi="Times New Roman"/>
                <w:sz w:val="24"/>
                <w:szCs w:val="24"/>
                <w:lang w:val="sr-Cyrl-CS"/>
              </w:rPr>
            </w:pPr>
          </w:p>
        </w:tc>
        <w:tc>
          <w:tcPr>
            <w:tcW w:w="1532" w:type="dxa"/>
            <w:shd w:val="clear" w:color="auto" w:fill="FFFFFF"/>
          </w:tcPr>
          <w:p w14:paraId="0C4CD8C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2.350*</w:t>
            </w:r>
          </w:p>
          <w:p w14:paraId="7B25B497" w14:textId="77777777" w:rsidR="00A0251B" w:rsidRPr="00CC35F0" w:rsidRDefault="00A0251B">
            <w:pPr>
              <w:jc w:val="right"/>
              <w:rPr>
                <w:rFonts w:ascii="Times New Roman" w:eastAsia="Times New Roman" w:hAnsi="Times New Roman"/>
                <w:sz w:val="24"/>
                <w:szCs w:val="24"/>
                <w:lang w:val="sr-Cyrl-CS"/>
              </w:rPr>
            </w:pPr>
          </w:p>
          <w:p w14:paraId="708E04A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47.000*</w:t>
            </w:r>
          </w:p>
        </w:tc>
        <w:tc>
          <w:tcPr>
            <w:tcW w:w="1515" w:type="dxa"/>
            <w:shd w:val="clear" w:color="auto" w:fill="FFFFFF"/>
          </w:tcPr>
          <w:p w14:paraId="135682E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w:t>
            </w:r>
          </w:p>
          <w:p w14:paraId="78E94703" w14:textId="77777777" w:rsidR="00C75A02" w:rsidRPr="00CC35F0" w:rsidRDefault="00C75A02">
            <w:pPr>
              <w:jc w:val="right"/>
              <w:rPr>
                <w:rFonts w:ascii="Times New Roman" w:eastAsia="Times New Roman" w:hAnsi="Times New Roman"/>
                <w:sz w:val="24"/>
                <w:szCs w:val="24"/>
                <w:lang w:val="sr-Cyrl-CS"/>
              </w:rPr>
            </w:pPr>
          </w:p>
          <w:p w14:paraId="28562F88" w14:textId="77777777" w:rsidR="00A0251B" w:rsidRPr="00CC35F0" w:rsidRDefault="00C75A02">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47.000*</w:t>
            </w:r>
          </w:p>
        </w:tc>
        <w:tc>
          <w:tcPr>
            <w:tcW w:w="1494" w:type="dxa"/>
            <w:shd w:val="clear" w:color="auto" w:fill="FFFFFF"/>
          </w:tcPr>
          <w:p w14:paraId="0D6A4E8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9.400*</w:t>
            </w:r>
          </w:p>
          <w:p w14:paraId="4254180B" w14:textId="77777777" w:rsidR="00A0251B" w:rsidRPr="00CC35F0" w:rsidRDefault="00A0251B">
            <w:pPr>
              <w:jc w:val="right"/>
              <w:rPr>
                <w:rFonts w:ascii="Times New Roman" w:eastAsia="Times New Roman" w:hAnsi="Times New Roman"/>
                <w:sz w:val="24"/>
                <w:szCs w:val="24"/>
                <w:lang w:val="sr-Cyrl-CS"/>
              </w:rPr>
            </w:pPr>
          </w:p>
        </w:tc>
        <w:tc>
          <w:tcPr>
            <w:tcW w:w="1537" w:type="dxa"/>
            <w:shd w:val="clear" w:color="auto" w:fill="FFFFFF"/>
          </w:tcPr>
          <w:p w14:paraId="2F2B26E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9.400*</w:t>
            </w:r>
          </w:p>
        </w:tc>
      </w:tr>
    </w:tbl>
    <w:p w14:paraId="437CE69C" w14:textId="77777777" w:rsidR="00A0251B" w:rsidRPr="00CC35F0" w:rsidRDefault="00A0251B">
      <w:pPr>
        <w:rPr>
          <w:rFonts w:ascii="Times New Roman" w:eastAsia="Times New Roman" w:hAnsi="Times New Roman"/>
          <w:sz w:val="24"/>
          <w:szCs w:val="24"/>
          <w:lang w:val="sr-Cyrl-CS"/>
        </w:rPr>
      </w:pPr>
    </w:p>
    <w:p w14:paraId="29A7B4F5" w14:textId="77777777" w:rsidR="00A0251B" w:rsidRPr="00CC35F0" w:rsidRDefault="00A0251B">
      <w:pPr>
        <w:rPr>
          <w:rFonts w:ascii="Times New Roman" w:eastAsia="Times New Roman" w:hAnsi="Times New Roman"/>
          <w:sz w:val="24"/>
          <w:szCs w:val="24"/>
          <w:lang w:val="sr-Cyrl-CS"/>
        </w:rPr>
      </w:pPr>
    </w:p>
    <w:p w14:paraId="21D5DD05" w14:textId="77777777" w:rsidR="00A0251B" w:rsidRPr="00CC35F0" w:rsidRDefault="00A0251B">
      <w:pPr>
        <w:rPr>
          <w:rFonts w:ascii="Times New Roman" w:eastAsia="Times New Roman" w:hAnsi="Times New Roman"/>
          <w:sz w:val="24"/>
          <w:szCs w:val="24"/>
          <w:lang w:val="sr-Cyrl-CS"/>
        </w:rPr>
      </w:pPr>
    </w:p>
    <w:p w14:paraId="248CBD45" w14:textId="77777777" w:rsidR="00A0251B" w:rsidRPr="00CC35F0" w:rsidRDefault="00A0251B">
      <w:pPr>
        <w:rPr>
          <w:rFonts w:ascii="Times New Roman" w:eastAsia="Times New Roman" w:hAnsi="Times New Roman"/>
          <w:sz w:val="24"/>
          <w:szCs w:val="24"/>
          <w:lang w:val="sr-Cyrl-CS"/>
        </w:rPr>
      </w:pPr>
    </w:p>
    <w:p w14:paraId="4645B93D" w14:textId="77777777" w:rsidR="00A0251B" w:rsidRPr="00CC35F0" w:rsidRDefault="00A0251B">
      <w:pPr>
        <w:rPr>
          <w:rFonts w:ascii="Times New Roman" w:eastAsia="Times New Roman" w:hAnsi="Times New Roman"/>
          <w:sz w:val="24"/>
          <w:szCs w:val="24"/>
          <w:lang w:val="sr-Cyrl-CS"/>
        </w:rPr>
      </w:pPr>
    </w:p>
    <w:tbl>
      <w:tblPr>
        <w:tblStyle w:val="aff0"/>
        <w:tblW w:w="14456"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1809"/>
        <w:gridCol w:w="1608"/>
        <w:gridCol w:w="1553"/>
        <w:gridCol w:w="1427"/>
        <w:gridCol w:w="1698"/>
        <w:gridCol w:w="1565"/>
        <w:gridCol w:w="1116"/>
        <w:gridCol w:w="920"/>
        <w:gridCol w:w="925"/>
        <w:gridCol w:w="915"/>
        <w:gridCol w:w="920"/>
      </w:tblGrid>
      <w:tr w:rsidR="00A0251B" w:rsidRPr="00CC35F0" w14:paraId="534FFBD5" w14:textId="77777777">
        <w:trPr>
          <w:trHeight w:val="140"/>
          <w:tblHeader/>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BE0235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Назив активности:</w:t>
            </w:r>
          </w:p>
        </w:tc>
        <w:tc>
          <w:tcPr>
            <w:tcW w:w="160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60B893B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553"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40724C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42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11BA01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69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5BD9877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32EDCC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77D7FA54" w14:textId="77777777" w:rsidR="00A0251B" w:rsidRPr="00CC35F0" w:rsidRDefault="00A0251B">
            <w:pPr>
              <w:jc w:val="center"/>
              <w:rPr>
                <w:rFonts w:ascii="Times New Roman" w:eastAsia="Times New Roman" w:hAnsi="Times New Roman"/>
                <w:sz w:val="24"/>
                <w:szCs w:val="24"/>
                <w:lang w:val="sr-Cyrl-CS"/>
              </w:rPr>
            </w:pPr>
          </w:p>
        </w:tc>
        <w:tc>
          <w:tcPr>
            <w:tcW w:w="4796" w:type="dxa"/>
            <w:gridSpan w:val="5"/>
            <w:tcBorders>
              <w:top w:val="single" w:sz="4" w:space="0" w:color="000000"/>
              <w:left w:val="single" w:sz="4" w:space="0" w:color="000000"/>
              <w:bottom w:val="single" w:sz="4" w:space="0" w:color="000000"/>
              <w:right w:val="single" w:sz="4" w:space="0" w:color="000000"/>
            </w:tcBorders>
            <w:shd w:val="clear" w:color="auto" w:fill="FFF2CC"/>
          </w:tcPr>
          <w:p w14:paraId="33AB7262" w14:textId="77777777" w:rsidR="00A0251B" w:rsidRPr="00CC35F0" w:rsidRDefault="008D6506">
            <w:pPr>
              <w:jc w:val="cente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0040371E" w:rsidRPr="00CC35F0">
              <w:rPr>
                <w:rFonts w:ascii="Times New Roman" w:eastAsia="Times New Roman" w:hAnsi="Times New Roman"/>
                <w:sz w:val="24"/>
                <w:szCs w:val="24"/>
                <w:vertAlign w:val="superscript"/>
                <w:lang w:val="sr-Cyrl-CS"/>
              </w:rPr>
              <w:t>82</w:t>
            </w:r>
          </w:p>
        </w:tc>
      </w:tr>
      <w:tr w:rsidR="00A0251B" w:rsidRPr="00CC35F0" w14:paraId="617D5029" w14:textId="77777777" w:rsidTr="009F4979">
        <w:trPr>
          <w:trHeight w:val="386"/>
          <w:tblHeader/>
        </w:trPr>
        <w:tc>
          <w:tcPr>
            <w:tcW w:w="1809" w:type="dxa"/>
            <w:vMerge/>
            <w:tcBorders>
              <w:top w:val="single" w:sz="4" w:space="0" w:color="000000"/>
              <w:left w:val="single" w:sz="4" w:space="0" w:color="000000"/>
              <w:bottom w:val="single" w:sz="4" w:space="0" w:color="000000"/>
              <w:right w:val="single" w:sz="4" w:space="0" w:color="000000"/>
            </w:tcBorders>
            <w:shd w:val="clear" w:color="auto" w:fill="FFF2CC"/>
          </w:tcPr>
          <w:p w14:paraId="3E7CF93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08" w:type="dxa"/>
            <w:vMerge/>
            <w:tcBorders>
              <w:top w:val="single" w:sz="4" w:space="0" w:color="000000"/>
              <w:left w:val="single" w:sz="4" w:space="0" w:color="000000"/>
              <w:bottom w:val="single" w:sz="4" w:space="0" w:color="000000"/>
              <w:right w:val="single" w:sz="4" w:space="0" w:color="000000"/>
            </w:tcBorders>
            <w:shd w:val="clear" w:color="auto" w:fill="FFF2CC"/>
          </w:tcPr>
          <w:p w14:paraId="5B727159"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53" w:type="dxa"/>
            <w:vMerge/>
            <w:tcBorders>
              <w:top w:val="single" w:sz="4" w:space="0" w:color="000000"/>
              <w:left w:val="single" w:sz="4" w:space="0" w:color="000000"/>
              <w:bottom w:val="single" w:sz="4" w:space="0" w:color="000000"/>
              <w:right w:val="single" w:sz="4" w:space="0" w:color="000000"/>
            </w:tcBorders>
            <w:shd w:val="clear" w:color="auto" w:fill="FFF2CC"/>
          </w:tcPr>
          <w:p w14:paraId="50735B84"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7" w:type="dxa"/>
            <w:vMerge/>
            <w:tcBorders>
              <w:top w:val="single" w:sz="4" w:space="0" w:color="000000"/>
              <w:left w:val="single" w:sz="4" w:space="0" w:color="000000"/>
              <w:bottom w:val="single" w:sz="4" w:space="0" w:color="000000"/>
              <w:right w:val="single" w:sz="4" w:space="0" w:color="000000"/>
            </w:tcBorders>
            <w:shd w:val="clear" w:color="auto" w:fill="FFF2CC"/>
          </w:tcPr>
          <w:p w14:paraId="748ABE47"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98" w:type="dxa"/>
            <w:vMerge/>
            <w:tcBorders>
              <w:top w:val="single" w:sz="4" w:space="0" w:color="000000"/>
              <w:left w:val="single" w:sz="4" w:space="0" w:color="000000"/>
              <w:bottom w:val="single" w:sz="4" w:space="0" w:color="000000"/>
              <w:right w:val="single" w:sz="4" w:space="0" w:color="000000"/>
            </w:tcBorders>
            <w:shd w:val="clear" w:color="auto" w:fill="FFF2CC"/>
          </w:tcPr>
          <w:p w14:paraId="09B29625"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5" w:type="dxa"/>
            <w:vMerge/>
            <w:tcBorders>
              <w:top w:val="single" w:sz="4" w:space="0" w:color="000000"/>
              <w:left w:val="single" w:sz="4" w:space="0" w:color="000000"/>
              <w:bottom w:val="single" w:sz="4" w:space="0" w:color="000000"/>
              <w:right w:val="single" w:sz="4" w:space="0" w:color="000000"/>
            </w:tcBorders>
            <w:shd w:val="clear" w:color="auto" w:fill="FFF2CC"/>
          </w:tcPr>
          <w:p w14:paraId="2336AFB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116" w:type="dxa"/>
            <w:shd w:val="clear" w:color="auto" w:fill="FFF2CC"/>
          </w:tcPr>
          <w:p w14:paraId="04006BC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920" w:type="dxa"/>
            <w:shd w:val="clear" w:color="auto" w:fill="FFF2CC"/>
          </w:tcPr>
          <w:p w14:paraId="1F3493A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25" w:type="dxa"/>
            <w:shd w:val="clear" w:color="auto" w:fill="FFF2CC"/>
          </w:tcPr>
          <w:p w14:paraId="3F10608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915" w:type="dxa"/>
            <w:shd w:val="clear" w:color="auto" w:fill="FFF2CC"/>
          </w:tcPr>
          <w:p w14:paraId="7253069B" w14:textId="77777777" w:rsidR="00A0251B" w:rsidRPr="00CC35F0" w:rsidRDefault="008D6506">
            <w:pPr>
              <w:jc w:val="center"/>
              <w:rPr>
                <w:rFonts w:ascii="Times New Roman" w:eastAsia="Times New Roman" w:hAnsi="Times New Roman"/>
                <w:sz w:val="23"/>
                <w:szCs w:val="23"/>
                <w:lang w:val="sr-Cyrl-CS"/>
              </w:rPr>
            </w:pPr>
            <w:r w:rsidRPr="00CC35F0">
              <w:rPr>
                <w:rFonts w:ascii="Times New Roman" w:eastAsia="Times New Roman" w:hAnsi="Times New Roman"/>
                <w:sz w:val="23"/>
                <w:szCs w:val="23"/>
                <w:lang w:val="sr-Cyrl-CS"/>
              </w:rPr>
              <w:t>2025. године</w:t>
            </w:r>
          </w:p>
        </w:tc>
        <w:tc>
          <w:tcPr>
            <w:tcW w:w="920" w:type="dxa"/>
            <w:shd w:val="clear" w:color="auto" w:fill="FFF2CC"/>
          </w:tcPr>
          <w:p w14:paraId="76316F0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2181257D" w14:textId="77777777" w:rsidTr="009F4979">
        <w:trPr>
          <w:trHeight w:val="543"/>
        </w:trPr>
        <w:tc>
          <w:tcPr>
            <w:tcW w:w="1809" w:type="dxa"/>
          </w:tcPr>
          <w:p w14:paraId="1F790F0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1.1.2.1 </w:t>
            </w:r>
            <w:r w:rsidRPr="00CC35F0">
              <w:rPr>
                <w:rFonts w:ascii="Times New Roman" w:eastAsia="Times New Roman" w:hAnsi="Times New Roman"/>
                <w:color w:val="000000"/>
                <w:sz w:val="24"/>
                <w:szCs w:val="24"/>
                <w:lang w:val="sr-Cyrl-CS"/>
              </w:rPr>
              <w:t>Довршити потпуно усклађивање националног законодавства са Директивом о средњим постројењима за сагоревање</w:t>
            </w:r>
          </w:p>
        </w:tc>
        <w:tc>
          <w:tcPr>
            <w:tcW w:w="1608" w:type="dxa"/>
          </w:tcPr>
          <w:p w14:paraId="0242937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553" w:type="dxa"/>
          </w:tcPr>
          <w:p w14:paraId="4F1F920C" w14:textId="77777777" w:rsidR="00A0251B" w:rsidRPr="00CC35F0" w:rsidRDefault="008D6506">
            <w:pPr>
              <w:ind w:left="-69"/>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Покрајински секретаријат за послове заштите животне средине и локалне самоуправе надлежне за издавање интегрисаних дозвола</w:t>
            </w:r>
          </w:p>
          <w:p w14:paraId="0932A617" w14:textId="77777777" w:rsidR="00A0251B" w:rsidRPr="00CC35F0" w:rsidRDefault="008D6506">
            <w:pPr>
              <w:ind w:left="-69" w:right="-140"/>
              <w:jc w:val="cente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АЗЖС</w:t>
            </w:r>
          </w:p>
        </w:tc>
        <w:tc>
          <w:tcPr>
            <w:tcW w:w="1427" w:type="dxa"/>
          </w:tcPr>
          <w:p w14:paraId="771A6EA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w:t>
            </w:r>
            <w:r w:rsidR="00C75A02" w:rsidRPr="00CC35F0">
              <w:rPr>
                <w:rFonts w:ascii="Times New Roman" w:eastAsia="Times New Roman" w:hAnsi="Times New Roman"/>
                <w:sz w:val="24"/>
                <w:szCs w:val="24"/>
                <w:lang w:val="sr-Cyrl-CS"/>
              </w:rPr>
              <w:t>4</w:t>
            </w:r>
          </w:p>
        </w:tc>
        <w:tc>
          <w:tcPr>
            <w:tcW w:w="1698" w:type="dxa"/>
          </w:tcPr>
          <w:p w14:paraId="4C142CF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Буџет/редовна издвајања</w:t>
            </w:r>
          </w:p>
        </w:tc>
        <w:tc>
          <w:tcPr>
            <w:tcW w:w="1565" w:type="dxa"/>
          </w:tcPr>
          <w:p w14:paraId="3D0E35B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ПР/ПА</w:t>
            </w:r>
          </w:p>
        </w:tc>
        <w:tc>
          <w:tcPr>
            <w:tcW w:w="1116" w:type="dxa"/>
          </w:tcPr>
          <w:p w14:paraId="653028A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0393F00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5" w:type="dxa"/>
          </w:tcPr>
          <w:p w14:paraId="5D6BE4D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15" w:type="dxa"/>
          </w:tcPr>
          <w:p w14:paraId="0F3774C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5D87101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30608717" w14:textId="77777777" w:rsidTr="009F4979">
        <w:trPr>
          <w:trHeight w:val="140"/>
        </w:trPr>
        <w:tc>
          <w:tcPr>
            <w:tcW w:w="1809" w:type="dxa"/>
          </w:tcPr>
          <w:p w14:paraId="7287EBCC" w14:textId="77777777" w:rsidR="00A0251B" w:rsidRPr="00CC35F0" w:rsidRDefault="008D6506">
            <w:pPr>
              <w:rPr>
                <w:rFonts w:ascii="Times New Roman" w:eastAsia="Times New Roman" w:hAnsi="Times New Roman"/>
                <w:sz w:val="24"/>
                <w:szCs w:val="24"/>
                <w:lang w:val="sr-Cyrl-CS"/>
              </w:rPr>
            </w:pPr>
            <w:bookmarkStart w:id="126" w:name="_heading=h.243i4a2" w:colFirst="0" w:colLast="0"/>
            <w:bookmarkEnd w:id="126"/>
            <w:r w:rsidRPr="00CC35F0">
              <w:rPr>
                <w:rFonts w:ascii="Times New Roman" w:eastAsia="Times New Roman" w:hAnsi="Times New Roman"/>
                <w:sz w:val="24"/>
                <w:szCs w:val="24"/>
                <w:lang w:val="sr-Cyrl-CS"/>
              </w:rPr>
              <w:t xml:space="preserve">1.1.2.2. </w:t>
            </w:r>
            <w:r w:rsidRPr="00CC35F0">
              <w:rPr>
                <w:rFonts w:ascii="Times New Roman" w:eastAsia="Times New Roman" w:hAnsi="Times New Roman"/>
                <w:color w:val="000000"/>
                <w:sz w:val="24"/>
                <w:szCs w:val="24"/>
                <w:lang w:val="sr-Cyrl-CS"/>
              </w:rPr>
              <w:t>Како би се осигурало спровођење захтева из Директиве  о средњим постројењима за сагоревање, треба обезбедити</w:t>
            </w:r>
            <w:r w:rsidRPr="00CC35F0">
              <w:rPr>
                <w:rFonts w:ascii="Times New Roman" w:eastAsia="Times New Roman" w:hAnsi="Times New Roman"/>
                <w:color w:val="000000"/>
                <w:sz w:val="24"/>
                <w:szCs w:val="24"/>
                <w:lang w:val="sr-Cyrl-CS"/>
              </w:rPr>
              <w:br/>
              <w:t>-</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 xml:space="preserve">наставак анализе тренутно доступних података о средњим </w:t>
            </w:r>
            <w:r w:rsidRPr="00CC35F0">
              <w:rPr>
                <w:rFonts w:ascii="Times New Roman" w:eastAsia="Times New Roman" w:hAnsi="Times New Roman"/>
                <w:color w:val="000000"/>
                <w:sz w:val="24"/>
                <w:szCs w:val="24"/>
                <w:lang w:val="sr-Cyrl-CS"/>
              </w:rPr>
              <w:lastRenderedPageBreak/>
              <w:t>постројењима за сагоревање;</w:t>
            </w:r>
            <w:r w:rsidRPr="00CC35F0">
              <w:rPr>
                <w:rFonts w:ascii="Times New Roman" w:eastAsia="Times New Roman" w:hAnsi="Times New Roman"/>
                <w:color w:val="000000"/>
                <w:sz w:val="24"/>
                <w:szCs w:val="24"/>
                <w:lang w:val="sr-Cyrl-CS"/>
              </w:rPr>
              <w:br/>
              <w:t>- допуњавање базе података тако да садржи укупан број средњих постројења за сагоревање;</w:t>
            </w:r>
            <w:r w:rsidRPr="00CC35F0">
              <w:rPr>
                <w:rFonts w:ascii="Times New Roman" w:eastAsia="Times New Roman" w:hAnsi="Times New Roman"/>
                <w:color w:val="000000"/>
                <w:sz w:val="24"/>
                <w:szCs w:val="24"/>
                <w:lang w:val="sr-Cyrl-CS"/>
              </w:rPr>
              <w:br/>
              <w:t>- успоставити систем извештавања и базу података (члан 11)</w:t>
            </w:r>
            <w:r w:rsidRPr="00CC35F0">
              <w:rPr>
                <w:rFonts w:ascii="Times New Roman" w:eastAsia="Times New Roman" w:hAnsi="Times New Roman"/>
                <w:color w:val="000000"/>
                <w:sz w:val="24"/>
                <w:szCs w:val="24"/>
                <w:vertAlign w:val="superscript"/>
                <w:lang w:val="sr-Cyrl-CS"/>
              </w:rPr>
              <w:footnoteReference w:id="83"/>
            </w:r>
          </w:p>
        </w:tc>
        <w:tc>
          <w:tcPr>
            <w:tcW w:w="1608" w:type="dxa"/>
          </w:tcPr>
          <w:p w14:paraId="636DE49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АЗЖС</w:t>
            </w:r>
          </w:p>
        </w:tc>
        <w:tc>
          <w:tcPr>
            <w:tcW w:w="1553" w:type="dxa"/>
          </w:tcPr>
          <w:p w14:paraId="09E6B1C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427" w:type="dxa"/>
          </w:tcPr>
          <w:p w14:paraId="723FA32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2023</w:t>
            </w:r>
          </w:p>
          <w:p w14:paraId="0E629996" w14:textId="77777777" w:rsidR="00A0251B" w:rsidRPr="00CC35F0" w:rsidRDefault="00A0251B">
            <w:pPr>
              <w:jc w:val="center"/>
              <w:rPr>
                <w:rFonts w:ascii="Times New Roman" w:eastAsia="Times New Roman" w:hAnsi="Times New Roman"/>
                <w:sz w:val="24"/>
                <w:szCs w:val="24"/>
                <w:lang w:val="sr-Cyrl-CS"/>
              </w:rPr>
            </w:pPr>
          </w:p>
        </w:tc>
        <w:tc>
          <w:tcPr>
            <w:tcW w:w="1698" w:type="dxa"/>
          </w:tcPr>
          <w:p w14:paraId="77AACC8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65" w:type="dxa"/>
          </w:tcPr>
          <w:p w14:paraId="6E766536" w14:textId="77777777" w:rsidR="00A0251B" w:rsidRPr="00CC35F0" w:rsidRDefault="00A0251B">
            <w:pPr>
              <w:jc w:val="right"/>
              <w:rPr>
                <w:rFonts w:ascii="Times New Roman" w:eastAsia="Times New Roman" w:hAnsi="Times New Roman"/>
                <w:sz w:val="24"/>
                <w:szCs w:val="24"/>
                <w:lang w:val="sr-Cyrl-CS"/>
              </w:rPr>
            </w:pPr>
          </w:p>
        </w:tc>
        <w:tc>
          <w:tcPr>
            <w:tcW w:w="1116" w:type="dxa"/>
          </w:tcPr>
          <w:p w14:paraId="4F15ABBF"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0D6AA43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47.000 </w:t>
            </w:r>
          </w:p>
        </w:tc>
        <w:tc>
          <w:tcPr>
            <w:tcW w:w="925" w:type="dxa"/>
          </w:tcPr>
          <w:p w14:paraId="4F2AA60D" w14:textId="77777777" w:rsidR="00A0251B" w:rsidRPr="00CC35F0" w:rsidRDefault="00C75A02">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47.000</w:t>
            </w:r>
          </w:p>
        </w:tc>
        <w:tc>
          <w:tcPr>
            <w:tcW w:w="915" w:type="dxa"/>
          </w:tcPr>
          <w:p w14:paraId="323112EC"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1FAFA52E" w14:textId="77777777" w:rsidR="00A0251B" w:rsidRPr="00CC35F0" w:rsidRDefault="00A0251B">
            <w:pPr>
              <w:jc w:val="right"/>
              <w:rPr>
                <w:rFonts w:ascii="Times New Roman" w:eastAsia="Times New Roman" w:hAnsi="Times New Roman"/>
                <w:sz w:val="24"/>
                <w:szCs w:val="24"/>
                <w:lang w:val="sr-Cyrl-CS"/>
              </w:rPr>
            </w:pPr>
          </w:p>
        </w:tc>
      </w:tr>
      <w:tr w:rsidR="00A0251B" w:rsidRPr="00CC35F0" w14:paraId="46E6044B" w14:textId="77777777" w:rsidTr="009F4979">
        <w:trPr>
          <w:trHeight w:val="140"/>
        </w:trPr>
        <w:tc>
          <w:tcPr>
            <w:tcW w:w="1809" w:type="dxa"/>
          </w:tcPr>
          <w:p w14:paraId="022B4BBC"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color w:val="000000"/>
                <w:sz w:val="24"/>
                <w:szCs w:val="24"/>
                <w:lang w:val="sr-Cyrl-CS"/>
              </w:rPr>
              <w:t>1.1.2.3. Усаглашавање средњих постројења за сагоревање са граничним вредностима</w:t>
            </w:r>
            <w:r w:rsidR="00601E7A" w:rsidRPr="00CC35F0">
              <w:rPr>
                <w:rFonts w:ascii="Times New Roman" w:eastAsia="Times New Roman" w:hAnsi="Times New Roman"/>
                <w:color w:val="000000"/>
                <w:sz w:val="24"/>
                <w:szCs w:val="24"/>
                <w:vertAlign w:val="superscript"/>
                <w:lang w:val="sr-Cyrl-CS"/>
              </w:rPr>
              <w:t>#</w:t>
            </w:r>
          </w:p>
        </w:tc>
        <w:tc>
          <w:tcPr>
            <w:tcW w:w="1608" w:type="dxa"/>
          </w:tcPr>
          <w:p w14:paraId="52051E9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553" w:type="dxa"/>
          </w:tcPr>
          <w:p w14:paraId="2974A3D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p>
        </w:tc>
        <w:tc>
          <w:tcPr>
            <w:tcW w:w="1427" w:type="dxa"/>
          </w:tcPr>
          <w:p w14:paraId="7ABF278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IV квартал 2026</w:t>
            </w:r>
          </w:p>
          <w:p w14:paraId="125D5D5D" w14:textId="77777777" w:rsidR="00A0251B" w:rsidRPr="00CC35F0" w:rsidRDefault="00A0251B">
            <w:pPr>
              <w:jc w:val="center"/>
              <w:rPr>
                <w:rFonts w:ascii="Times New Roman" w:eastAsia="Times New Roman" w:hAnsi="Times New Roman"/>
                <w:sz w:val="24"/>
                <w:szCs w:val="24"/>
                <w:lang w:val="sr-Cyrl-CS"/>
              </w:rPr>
            </w:pPr>
          </w:p>
        </w:tc>
        <w:tc>
          <w:tcPr>
            <w:tcW w:w="1698" w:type="dxa"/>
          </w:tcPr>
          <w:p w14:paraId="22D3661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p>
        </w:tc>
        <w:tc>
          <w:tcPr>
            <w:tcW w:w="1565" w:type="dxa"/>
          </w:tcPr>
          <w:p w14:paraId="2301629E" w14:textId="77777777" w:rsidR="00A0251B" w:rsidRPr="00CC35F0" w:rsidRDefault="00A0251B">
            <w:pPr>
              <w:jc w:val="right"/>
              <w:rPr>
                <w:rFonts w:ascii="Times New Roman" w:eastAsia="Times New Roman" w:hAnsi="Times New Roman"/>
                <w:sz w:val="24"/>
                <w:szCs w:val="24"/>
                <w:lang w:val="sr-Cyrl-CS"/>
              </w:rPr>
            </w:pPr>
          </w:p>
        </w:tc>
        <w:tc>
          <w:tcPr>
            <w:tcW w:w="1116" w:type="dxa"/>
          </w:tcPr>
          <w:p w14:paraId="0731197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01AA004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5" w:type="dxa"/>
          </w:tcPr>
          <w:p w14:paraId="71D9AA2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15" w:type="dxa"/>
          </w:tcPr>
          <w:p w14:paraId="4660F4B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109889A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05AE6946" w14:textId="77777777" w:rsidTr="009F4979">
        <w:trPr>
          <w:trHeight w:val="1285"/>
        </w:trPr>
        <w:tc>
          <w:tcPr>
            <w:tcW w:w="1809" w:type="dxa"/>
            <w:vMerge w:val="restart"/>
          </w:tcPr>
          <w:p w14:paraId="013F7A4E"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lastRenderedPageBreak/>
              <w:t xml:space="preserve"> </w:t>
            </w:r>
            <w:r w:rsidRPr="00CC35F0">
              <w:rPr>
                <w:rFonts w:ascii="Times New Roman" w:eastAsia="Times New Roman" w:hAnsi="Times New Roman"/>
                <w:color w:val="000000"/>
                <w:sz w:val="24"/>
                <w:szCs w:val="24"/>
                <w:lang w:val="sr-Cyrl-CS"/>
              </w:rPr>
              <w:t xml:space="preserve">1.1.2.4. Обезбедити повећање броја запослених у институцијама Републике Србије који би радили на пословима у вези са средњим постројењима за сагоревање (али и другим, као што су мала постројења за сагоревање и кућна грејна тела):  МЗЖС: 2 радна места за стручњака за средња постројења за сагоревање (али и за мала постројења за сагоревање и за </w:t>
            </w:r>
            <w:r w:rsidRPr="00CC35F0">
              <w:rPr>
                <w:rFonts w:ascii="Times New Roman" w:eastAsia="Times New Roman" w:hAnsi="Times New Roman"/>
                <w:color w:val="000000"/>
                <w:sz w:val="24"/>
                <w:szCs w:val="24"/>
                <w:lang w:val="sr-Cyrl-CS"/>
              </w:rPr>
              <w:lastRenderedPageBreak/>
              <w:t xml:space="preserve">кућна грејна тела) </w:t>
            </w:r>
          </w:p>
          <w:p w14:paraId="7B43B9A1"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АП Војводина (Покрајински секретаријат за урбанизам и заштиту животне средине): 1 радно место за стручњака за средња постројења за сагоревање (али и за мала постројења за сагоревање и за кућна грејна тела)</w:t>
            </w:r>
          </w:p>
          <w:p w14:paraId="703557A3"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 1 службеник за средња постројења за сагоревање (али и за мала постројења за сагоревање и за кућна грејна тела)</w:t>
            </w:r>
          </w:p>
        </w:tc>
        <w:tc>
          <w:tcPr>
            <w:tcW w:w="1608" w:type="dxa"/>
          </w:tcPr>
          <w:p w14:paraId="4970013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МЗЖС</w:t>
            </w:r>
          </w:p>
        </w:tc>
        <w:tc>
          <w:tcPr>
            <w:tcW w:w="1553" w:type="dxa"/>
          </w:tcPr>
          <w:p w14:paraId="68EBCF0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427" w:type="dxa"/>
          </w:tcPr>
          <w:p w14:paraId="3972524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2023</w:t>
            </w:r>
          </w:p>
          <w:p w14:paraId="71CA541D" w14:textId="77777777" w:rsidR="00A0251B" w:rsidRPr="00CC35F0" w:rsidRDefault="00A0251B">
            <w:pPr>
              <w:jc w:val="center"/>
              <w:rPr>
                <w:rFonts w:ascii="Times New Roman" w:eastAsia="Times New Roman" w:hAnsi="Times New Roman"/>
                <w:sz w:val="24"/>
                <w:szCs w:val="24"/>
                <w:lang w:val="sr-Cyrl-CS"/>
              </w:rPr>
            </w:pPr>
          </w:p>
        </w:tc>
        <w:tc>
          <w:tcPr>
            <w:tcW w:w="1698" w:type="dxa"/>
          </w:tcPr>
          <w:p w14:paraId="7A09C7D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565" w:type="dxa"/>
          </w:tcPr>
          <w:p w14:paraId="6444146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0404-560-0002-411</w:t>
            </w:r>
          </w:p>
        </w:tc>
        <w:tc>
          <w:tcPr>
            <w:tcW w:w="1116" w:type="dxa"/>
          </w:tcPr>
          <w:p w14:paraId="22CFFEDA"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2070AA9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2.350</w:t>
            </w:r>
          </w:p>
        </w:tc>
        <w:tc>
          <w:tcPr>
            <w:tcW w:w="925" w:type="dxa"/>
          </w:tcPr>
          <w:p w14:paraId="1D4D41F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w:t>
            </w:r>
          </w:p>
        </w:tc>
        <w:tc>
          <w:tcPr>
            <w:tcW w:w="915" w:type="dxa"/>
          </w:tcPr>
          <w:p w14:paraId="37E78149" w14:textId="77777777" w:rsidR="00A0251B" w:rsidRPr="00CC35F0" w:rsidRDefault="008D6506" w:rsidP="00601E7A">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w:t>
            </w:r>
          </w:p>
        </w:tc>
        <w:tc>
          <w:tcPr>
            <w:tcW w:w="920" w:type="dxa"/>
          </w:tcPr>
          <w:p w14:paraId="475792F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w:t>
            </w:r>
          </w:p>
        </w:tc>
      </w:tr>
      <w:tr w:rsidR="00A0251B" w:rsidRPr="00CC35F0" w14:paraId="756A879E" w14:textId="77777777" w:rsidTr="009F4979">
        <w:trPr>
          <w:trHeight w:val="1285"/>
        </w:trPr>
        <w:tc>
          <w:tcPr>
            <w:tcW w:w="1809" w:type="dxa"/>
            <w:vMerge/>
          </w:tcPr>
          <w:p w14:paraId="0F095DD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08" w:type="dxa"/>
          </w:tcPr>
          <w:p w14:paraId="7562293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АП Војводина (Покрајински секретаријат за урбанизам и заштиту животне средине)</w:t>
            </w:r>
          </w:p>
        </w:tc>
        <w:tc>
          <w:tcPr>
            <w:tcW w:w="1553" w:type="dxa"/>
          </w:tcPr>
          <w:p w14:paraId="51D52071" w14:textId="77777777" w:rsidR="00A0251B" w:rsidRPr="00CC35F0" w:rsidRDefault="00A0251B">
            <w:pPr>
              <w:rPr>
                <w:rFonts w:ascii="Times New Roman" w:eastAsia="Times New Roman" w:hAnsi="Times New Roman"/>
                <w:sz w:val="24"/>
                <w:szCs w:val="24"/>
                <w:lang w:val="sr-Cyrl-CS"/>
              </w:rPr>
            </w:pPr>
          </w:p>
        </w:tc>
        <w:tc>
          <w:tcPr>
            <w:tcW w:w="1427" w:type="dxa"/>
          </w:tcPr>
          <w:p w14:paraId="784A5EB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2025</w:t>
            </w:r>
          </w:p>
        </w:tc>
        <w:tc>
          <w:tcPr>
            <w:tcW w:w="1698" w:type="dxa"/>
          </w:tcPr>
          <w:p w14:paraId="581FD61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565" w:type="dxa"/>
          </w:tcPr>
          <w:p w14:paraId="5864FAE8" w14:textId="77777777" w:rsidR="00A0251B" w:rsidRPr="00CC35F0" w:rsidRDefault="00A0251B">
            <w:pPr>
              <w:jc w:val="right"/>
              <w:rPr>
                <w:rFonts w:ascii="Times New Roman" w:eastAsia="Times New Roman" w:hAnsi="Times New Roman"/>
                <w:sz w:val="24"/>
                <w:szCs w:val="24"/>
                <w:lang w:val="sr-Cyrl-CS"/>
              </w:rPr>
            </w:pPr>
          </w:p>
        </w:tc>
        <w:tc>
          <w:tcPr>
            <w:tcW w:w="1116" w:type="dxa"/>
          </w:tcPr>
          <w:p w14:paraId="34FA8C38"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0AE21671" w14:textId="77777777" w:rsidR="00A0251B" w:rsidRPr="00CC35F0" w:rsidRDefault="00A0251B">
            <w:pPr>
              <w:jc w:val="right"/>
              <w:rPr>
                <w:rFonts w:ascii="Times New Roman" w:eastAsia="Times New Roman" w:hAnsi="Times New Roman"/>
                <w:sz w:val="24"/>
                <w:szCs w:val="24"/>
                <w:lang w:val="sr-Cyrl-CS"/>
              </w:rPr>
            </w:pPr>
          </w:p>
        </w:tc>
        <w:tc>
          <w:tcPr>
            <w:tcW w:w="925" w:type="dxa"/>
          </w:tcPr>
          <w:p w14:paraId="1E839537" w14:textId="77777777" w:rsidR="00A0251B" w:rsidRPr="00CC35F0" w:rsidRDefault="00A0251B">
            <w:pPr>
              <w:jc w:val="right"/>
              <w:rPr>
                <w:rFonts w:ascii="Times New Roman" w:eastAsia="Times New Roman" w:hAnsi="Times New Roman"/>
                <w:sz w:val="24"/>
                <w:szCs w:val="24"/>
                <w:lang w:val="sr-Cyrl-CS"/>
              </w:rPr>
            </w:pPr>
          </w:p>
        </w:tc>
        <w:tc>
          <w:tcPr>
            <w:tcW w:w="915" w:type="dxa"/>
          </w:tcPr>
          <w:p w14:paraId="3900203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2.350</w:t>
            </w:r>
          </w:p>
        </w:tc>
        <w:tc>
          <w:tcPr>
            <w:tcW w:w="920" w:type="dxa"/>
          </w:tcPr>
          <w:p w14:paraId="54E1CC6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2.350</w:t>
            </w:r>
          </w:p>
        </w:tc>
      </w:tr>
      <w:tr w:rsidR="00A0251B" w:rsidRPr="00CC35F0" w14:paraId="486A2369" w14:textId="77777777" w:rsidTr="009F4979">
        <w:trPr>
          <w:trHeight w:val="2957"/>
        </w:trPr>
        <w:tc>
          <w:tcPr>
            <w:tcW w:w="1809" w:type="dxa"/>
            <w:vMerge/>
          </w:tcPr>
          <w:p w14:paraId="12E1A533"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08" w:type="dxa"/>
          </w:tcPr>
          <w:p w14:paraId="758B3F1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p>
        </w:tc>
        <w:tc>
          <w:tcPr>
            <w:tcW w:w="1553" w:type="dxa"/>
          </w:tcPr>
          <w:p w14:paraId="7A010E1A" w14:textId="77777777" w:rsidR="00A0251B" w:rsidRPr="00CC35F0" w:rsidRDefault="00A0251B">
            <w:pPr>
              <w:rPr>
                <w:rFonts w:ascii="Times New Roman" w:eastAsia="Times New Roman" w:hAnsi="Times New Roman"/>
                <w:sz w:val="24"/>
                <w:szCs w:val="24"/>
                <w:lang w:val="sr-Cyrl-CS"/>
              </w:rPr>
            </w:pPr>
          </w:p>
        </w:tc>
        <w:tc>
          <w:tcPr>
            <w:tcW w:w="1427" w:type="dxa"/>
          </w:tcPr>
          <w:p w14:paraId="1587023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2025</w:t>
            </w:r>
          </w:p>
          <w:p w14:paraId="776DD5AB" w14:textId="77777777" w:rsidR="00A0251B" w:rsidRPr="00CC35F0" w:rsidRDefault="00A0251B">
            <w:pPr>
              <w:jc w:val="center"/>
              <w:rPr>
                <w:rFonts w:ascii="Times New Roman" w:eastAsia="Times New Roman" w:hAnsi="Times New Roman"/>
                <w:sz w:val="24"/>
                <w:szCs w:val="24"/>
                <w:lang w:val="sr-Cyrl-CS"/>
              </w:rPr>
            </w:pPr>
          </w:p>
        </w:tc>
        <w:tc>
          <w:tcPr>
            <w:tcW w:w="1698" w:type="dxa"/>
          </w:tcPr>
          <w:p w14:paraId="4BAAF67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565" w:type="dxa"/>
          </w:tcPr>
          <w:p w14:paraId="78BDD1B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0404-560-0007-411</w:t>
            </w:r>
          </w:p>
        </w:tc>
        <w:tc>
          <w:tcPr>
            <w:tcW w:w="1116" w:type="dxa"/>
          </w:tcPr>
          <w:p w14:paraId="2523A3A4" w14:textId="77777777" w:rsidR="00A0251B" w:rsidRPr="00CC35F0" w:rsidRDefault="00A0251B">
            <w:pPr>
              <w:rPr>
                <w:rFonts w:ascii="Times New Roman" w:eastAsia="Times New Roman" w:hAnsi="Times New Roman"/>
                <w:sz w:val="24"/>
                <w:szCs w:val="24"/>
                <w:lang w:val="sr-Cyrl-CS"/>
              </w:rPr>
            </w:pPr>
          </w:p>
        </w:tc>
        <w:tc>
          <w:tcPr>
            <w:tcW w:w="920" w:type="dxa"/>
          </w:tcPr>
          <w:p w14:paraId="634980C0" w14:textId="77777777" w:rsidR="00A0251B" w:rsidRPr="00CC35F0" w:rsidRDefault="00A0251B">
            <w:pPr>
              <w:jc w:val="right"/>
              <w:rPr>
                <w:rFonts w:ascii="Times New Roman" w:eastAsia="Times New Roman" w:hAnsi="Times New Roman"/>
                <w:sz w:val="24"/>
                <w:szCs w:val="24"/>
                <w:lang w:val="sr-Cyrl-CS"/>
              </w:rPr>
            </w:pPr>
          </w:p>
        </w:tc>
        <w:tc>
          <w:tcPr>
            <w:tcW w:w="925" w:type="dxa"/>
          </w:tcPr>
          <w:p w14:paraId="15DD2C1B" w14:textId="77777777" w:rsidR="00A0251B" w:rsidRPr="00CC35F0" w:rsidRDefault="00A0251B">
            <w:pPr>
              <w:jc w:val="right"/>
              <w:rPr>
                <w:rFonts w:ascii="Times New Roman" w:eastAsia="Times New Roman" w:hAnsi="Times New Roman"/>
                <w:sz w:val="24"/>
                <w:szCs w:val="24"/>
                <w:lang w:val="sr-Cyrl-CS"/>
              </w:rPr>
            </w:pPr>
          </w:p>
        </w:tc>
        <w:tc>
          <w:tcPr>
            <w:tcW w:w="915" w:type="dxa"/>
          </w:tcPr>
          <w:p w14:paraId="60F1BFE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2.350</w:t>
            </w:r>
          </w:p>
        </w:tc>
        <w:tc>
          <w:tcPr>
            <w:tcW w:w="920" w:type="dxa"/>
          </w:tcPr>
          <w:p w14:paraId="355CE92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2.350</w:t>
            </w:r>
          </w:p>
        </w:tc>
      </w:tr>
    </w:tbl>
    <w:p w14:paraId="2ADD5899" w14:textId="77777777" w:rsidR="00A0251B" w:rsidRPr="00CC35F0" w:rsidRDefault="00A0251B">
      <w:pPr>
        <w:rPr>
          <w:rFonts w:ascii="Times New Roman" w:eastAsia="Times New Roman" w:hAnsi="Times New Roman"/>
          <w:sz w:val="24"/>
          <w:szCs w:val="24"/>
          <w:lang w:val="sr-Cyrl-CS"/>
        </w:rPr>
      </w:pPr>
    </w:p>
    <w:tbl>
      <w:tblPr>
        <w:tblStyle w:val="aff1"/>
        <w:tblW w:w="1437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2765"/>
        <w:gridCol w:w="1440"/>
        <w:gridCol w:w="1530"/>
        <w:gridCol w:w="1620"/>
        <w:gridCol w:w="1440"/>
        <w:gridCol w:w="1350"/>
        <w:gridCol w:w="1350"/>
        <w:gridCol w:w="1350"/>
        <w:gridCol w:w="1530"/>
      </w:tblGrid>
      <w:tr w:rsidR="00A0251B" w:rsidRPr="00CC35F0" w14:paraId="001227CA" w14:textId="77777777">
        <w:trPr>
          <w:trHeight w:val="168"/>
        </w:trPr>
        <w:tc>
          <w:tcPr>
            <w:tcW w:w="14375" w:type="dxa"/>
            <w:gridSpan w:val="9"/>
            <w:tcBorders>
              <w:top w:val="single" w:sz="4" w:space="0" w:color="000000"/>
              <w:left w:val="single" w:sz="4" w:space="0" w:color="000000"/>
              <w:bottom w:val="single" w:sz="4" w:space="0" w:color="000000"/>
              <w:right w:val="single" w:sz="4" w:space="0" w:color="000000"/>
            </w:tcBorders>
            <w:shd w:val="clear" w:color="auto" w:fill="F7CBAC"/>
          </w:tcPr>
          <w:p w14:paraId="089CBD2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Мера 1.1.3:</w:t>
            </w:r>
            <w:r w:rsidRPr="00CC35F0">
              <w:rPr>
                <w:rFonts w:ascii="Times New Roman" w:eastAsia="Times New Roman" w:hAnsi="Times New Roman"/>
                <w:b/>
                <w:color w:val="000000"/>
                <w:sz w:val="24"/>
                <w:szCs w:val="24"/>
                <w:lang w:val="sr-Cyrl-CS"/>
              </w:rPr>
              <w:t xml:space="preserve"> </w:t>
            </w:r>
            <w:r w:rsidRPr="00CC35F0">
              <w:rPr>
                <w:rFonts w:ascii="Times New Roman" w:eastAsia="Times New Roman" w:hAnsi="Times New Roman"/>
                <w:b/>
                <w:sz w:val="24"/>
                <w:szCs w:val="24"/>
                <w:u w:val="single"/>
                <w:lang w:val="sr-Cyrl-CS"/>
              </w:rPr>
              <w:t>Спровођење Уредбе о граничним вредностима емисија загађујућих материја у ваздух из постројења са сагоревањем у делу који се односи на мала постројења за сагоревање (капацитет до 1 MW) која не подлежу Директиви о еко</w:t>
            </w:r>
            <w:r w:rsidR="007D14E0">
              <w:rPr>
                <w:rFonts w:ascii="Times New Roman" w:eastAsia="Times New Roman" w:hAnsi="Times New Roman"/>
                <w:b/>
                <w:sz w:val="24"/>
                <w:szCs w:val="24"/>
                <w:u w:val="single"/>
                <w:lang w:val="sr-Cyrl-CS"/>
              </w:rPr>
              <w:t>-</w:t>
            </w:r>
            <w:r w:rsidRPr="00CC35F0">
              <w:rPr>
                <w:rFonts w:ascii="Times New Roman" w:eastAsia="Times New Roman" w:hAnsi="Times New Roman"/>
                <w:b/>
                <w:sz w:val="24"/>
                <w:szCs w:val="24"/>
                <w:u w:val="single"/>
                <w:lang w:val="sr-Cyrl-CS"/>
              </w:rPr>
              <w:t xml:space="preserve">дизајну   </w:t>
            </w:r>
          </w:p>
        </w:tc>
      </w:tr>
      <w:tr w:rsidR="00A0251B" w:rsidRPr="00CC35F0" w14:paraId="69DBF2A0" w14:textId="77777777">
        <w:trPr>
          <w:trHeight w:val="298"/>
        </w:trPr>
        <w:tc>
          <w:tcPr>
            <w:tcW w:w="14375" w:type="dxa"/>
            <w:gridSpan w:val="9"/>
            <w:tcBorders>
              <w:top w:val="single" w:sz="4" w:space="0" w:color="000000"/>
              <w:left w:val="single" w:sz="4" w:space="0" w:color="000000"/>
              <w:bottom w:val="single" w:sz="4" w:space="0" w:color="000000"/>
              <w:right w:val="single" w:sz="4" w:space="0" w:color="000000"/>
            </w:tcBorders>
            <w:shd w:val="clear" w:color="auto" w:fill="F7CBAC"/>
            <w:vAlign w:val="center"/>
          </w:tcPr>
          <w:p w14:paraId="538D2BF3"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sz w:val="24"/>
                <w:szCs w:val="24"/>
                <w:lang w:val="sr-Cyrl-CS"/>
              </w:rPr>
              <w:t xml:space="preserve"> МЗЖС</w:t>
            </w:r>
          </w:p>
        </w:tc>
      </w:tr>
      <w:tr w:rsidR="00A0251B" w:rsidRPr="00CC35F0" w14:paraId="5B663D42" w14:textId="77777777">
        <w:trPr>
          <w:trHeight w:val="298"/>
        </w:trPr>
        <w:tc>
          <w:tcPr>
            <w:tcW w:w="5735" w:type="dxa"/>
            <w:gridSpan w:val="3"/>
            <w:tcBorders>
              <w:top w:val="single" w:sz="4" w:space="0" w:color="000000"/>
              <w:left w:val="single" w:sz="4" w:space="0" w:color="000000"/>
              <w:bottom w:val="single" w:sz="4" w:space="0" w:color="000000"/>
              <w:right w:val="single" w:sz="4" w:space="0" w:color="000000"/>
            </w:tcBorders>
            <w:shd w:val="clear" w:color="auto" w:fill="F7CBAC"/>
          </w:tcPr>
          <w:p w14:paraId="35F7DA70"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Период спровођења:2022-20</w:t>
            </w:r>
            <w:r w:rsidR="00601E7A" w:rsidRPr="00CC35F0">
              <w:rPr>
                <w:rFonts w:ascii="Times New Roman" w:eastAsia="Times New Roman" w:hAnsi="Times New Roman"/>
                <w:sz w:val="24"/>
                <w:szCs w:val="24"/>
                <w:lang w:val="sr-Cyrl-CS"/>
              </w:rPr>
              <w:t>26</w:t>
            </w:r>
            <w:r w:rsidR="00601E7A" w:rsidRPr="00CC35F0">
              <w:rPr>
                <w:rFonts w:ascii="Times New Roman" w:eastAsia="Times New Roman" w:hAnsi="Times New Roman"/>
                <w:sz w:val="24"/>
                <w:szCs w:val="24"/>
                <w:vertAlign w:val="superscript"/>
                <w:lang w:val="sr-Cyrl-CS"/>
              </w:rPr>
              <w:t>#</w:t>
            </w:r>
          </w:p>
        </w:tc>
        <w:tc>
          <w:tcPr>
            <w:tcW w:w="8640" w:type="dxa"/>
            <w:gridSpan w:val="6"/>
            <w:tcBorders>
              <w:top w:val="single" w:sz="4" w:space="0" w:color="000000"/>
              <w:left w:val="single" w:sz="4" w:space="0" w:color="000000"/>
              <w:bottom w:val="single" w:sz="4" w:space="0" w:color="000000"/>
              <w:right w:val="single" w:sz="4" w:space="0" w:color="000000"/>
            </w:tcBorders>
            <w:shd w:val="clear" w:color="auto" w:fill="F7CBAC"/>
          </w:tcPr>
          <w:p w14:paraId="0083CD4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w:t>
            </w:r>
          </w:p>
        </w:tc>
      </w:tr>
      <w:tr w:rsidR="00A0251B" w:rsidRPr="00CC35F0" w14:paraId="119D5356" w14:textId="77777777">
        <w:trPr>
          <w:trHeight w:val="298"/>
        </w:trPr>
        <w:tc>
          <w:tcPr>
            <w:tcW w:w="5735" w:type="dxa"/>
            <w:gridSpan w:val="3"/>
            <w:tcBorders>
              <w:top w:val="single" w:sz="4" w:space="0" w:color="000000"/>
              <w:left w:val="single" w:sz="4" w:space="0" w:color="000000"/>
              <w:bottom w:val="single" w:sz="4" w:space="0" w:color="000000"/>
              <w:right w:val="single" w:sz="4" w:space="0" w:color="000000"/>
            </w:tcBorders>
            <w:shd w:val="clear" w:color="auto" w:fill="F7CBAC"/>
          </w:tcPr>
          <w:p w14:paraId="7C48F67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8640" w:type="dxa"/>
            <w:gridSpan w:val="6"/>
            <w:tcBorders>
              <w:top w:val="single" w:sz="4" w:space="0" w:color="000000"/>
              <w:left w:val="single" w:sz="4" w:space="0" w:color="000000"/>
              <w:bottom w:val="single" w:sz="4" w:space="0" w:color="000000"/>
              <w:right w:val="single" w:sz="4" w:space="0" w:color="000000"/>
            </w:tcBorders>
            <w:shd w:val="clear" w:color="auto" w:fill="F7CBAC"/>
          </w:tcPr>
          <w:p w14:paraId="1624820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Уредба о граничним вредностима емисија загађујућих материја у ваздух из малих постројења за сагоревање. </w:t>
            </w:r>
          </w:p>
        </w:tc>
      </w:tr>
      <w:tr w:rsidR="00A0251B" w:rsidRPr="00CC35F0" w14:paraId="1A574749" w14:textId="77777777">
        <w:trPr>
          <w:trHeight w:val="950"/>
        </w:trPr>
        <w:tc>
          <w:tcPr>
            <w:tcW w:w="2765" w:type="dxa"/>
            <w:tcBorders>
              <w:top w:val="single" w:sz="4" w:space="0" w:color="000000"/>
              <w:left w:val="single" w:sz="4" w:space="0" w:color="000000"/>
              <w:bottom w:val="single" w:sz="4" w:space="0" w:color="000000"/>
              <w:right w:val="single" w:sz="4" w:space="0" w:color="000000"/>
            </w:tcBorders>
            <w:shd w:val="clear" w:color="auto" w:fill="D9D9D9"/>
          </w:tcPr>
          <w:p w14:paraId="5B92C95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29429979" w14:textId="77777777" w:rsidR="00A0251B" w:rsidRPr="00CC35F0" w:rsidRDefault="00A0251B">
            <w:pPr>
              <w:jc w:val="center"/>
              <w:rPr>
                <w:rFonts w:ascii="Times New Roman" w:eastAsia="Times New Roman" w:hAnsi="Times New Roman"/>
                <w:sz w:val="24"/>
                <w:szCs w:val="24"/>
                <w:lang w:val="sr-Cyrl-CS"/>
              </w:rPr>
            </w:pPr>
          </w:p>
        </w:tc>
        <w:tc>
          <w:tcPr>
            <w:tcW w:w="1440" w:type="dxa"/>
            <w:tcBorders>
              <w:top w:val="single" w:sz="4" w:space="0" w:color="000000"/>
              <w:left w:val="single" w:sz="4" w:space="0" w:color="000000"/>
              <w:bottom w:val="single" w:sz="4" w:space="0" w:color="000000"/>
              <w:right w:val="single" w:sz="4" w:space="0" w:color="000000"/>
            </w:tcBorders>
            <w:shd w:val="clear" w:color="auto" w:fill="D9D9D9"/>
          </w:tcPr>
          <w:p w14:paraId="7B06776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530" w:type="dxa"/>
            <w:tcBorders>
              <w:top w:val="single" w:sz="4" w:space="0" w:color="000000"/>
              <w:left w:val="single" w:sz="4" w:space="0" w:color="000000"/>
              <w:bottom w:val="single" w:sz="4" w:space="0" w:color="000000"/>
              <w:right w:val="single" w:sz="4" w:space="0" w:color="000000"/>
            </w:tcBorders>
            <w:shd w:val="clear" w:color="auto" w:fill="D9D9D9"/>
          </w:tcPr>
          <w:p w14:paraId="421F3F9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620" w:type="dxa"/>
            <w:tcBorders>
              <w:top w:val="single" w:sz="4" w:space="0" w:color="000000"/>
              <w:left w:val="single" w:sz="4" w:space="0" w:color="000000"/>
              <w:bottom w:val="single" w:sz="4" w:space="0" w:color="000000"/>
              <w:right w:val="single" w:sz="4" w:space="0" w:color="000000"/>
            </w:tcBorders>
            <w:shd w:val="clear" w:color="auto" w:fill="D9D9D9"/>
          </w:tcPr>
          <w:p w14:paraId="43D8A03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Pr>
          <w:p w14:paraId="68861AB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2022. година</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7BBBD10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6F4F88C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593F4F2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5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CCD483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6E8D3334" w14:textId="77777777">
        <w:trPr>
          <w:trHeight w:val="302"/>
        </w:trPr>
        <w:tc>
          <w:tcPr>
            <w:tcW w:w="2765" w:type="dxa"/>
            <w:tcBorders>
              <w:top w:val="single" w:sz="4" w:space="0" w:color="000000"/>
              <w:left w:val="single" w:sz="4" w:space="0" w:color="000000"/>
              <w:bottom w:val="single" w:sz="4" w:space="0" w:color="000000"/>
              <w:right w:val="single" w:sz="4" w:space="0" w:color="000000"/>
            </w:tcBorders>
            <w:shd w:val="clear" w:color="auto" w:fill="FFFFFF"/>
          </w:tcPr>
          <w:p w14:paraId="21567A16" w14:textId="77777777" w:rsidR="00A0251B" w:rsidRPr="00CC35F0" w:rsidRDefault="008D6506">
            <w:pPr>
              <w:shd w:val="clear" w:color="auto" w:fill="FFFFFF"/>
              <w:rPr>
                <w:rFonts w:ascii="Times New Roman" w:eastAsia="Times New Roman" w:hAnsi="Times New Roman"/>
                <w:sz w:val="24"/>
                <w:szCs w:val="24"/>
                <w:highlight w:val="red"/>
                <w:lang w:val="sr-Cyrl-CS"/>
              </w:rPr>
            </w:pPr>
            <w:r w:rsidRPr="00CC35F0">
              <w:rPr>
                <w:rFonts w:ascii="Times New Roman" w:eastAsia="Times New Roman" w:hAnsi="Times New Roman"/>
                <w:sz w:val="24"/>
                <w:szCs w:val="24"/>
                <w:lang w:val="sr-Cyrl-CS"/>
              </w:rPr>
              <w:t xml:space="preserve">Удео малих постројења за сагоревање која не подлежу Директиви о еко-дизајну у складу са нижим граничним  вредностима емисије из Уредбе о граничним вредностима емисија загађујућих материја у ваздух из постројења са сагоревањем у делу који се односи на мала постројења за сагоревање (капацитет до 1 MW)  </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0D966B2C" w14:textId="77777777" w:rsidR="00A0251B" w:rsidRPr="00CC35F0" w:rsidRDefault="008D6506">
            <w:pPr>
              <w:shd w:val="clear" w:color="auto" w:fill="FFFFFF"/>
              <w:rPr>
                <w:rFonts w:ascii="Times New Roman" w:eastAsia="Times New Roman" w:hAnsi="Times New Roman"/>
                <w:sz w:val="24"/>
                <w:szCs w:val="24"/>
                <w:highlight w:val="red"/>
                <w:lang w:val="sr-Cyrl-CS"/>
              </w:rPr>
            </w:pPr>
            <w:r w:rsidRPr="00CC35F0">
              <w:rPr>
                <w:rFonts w:ascii="Times New Roman" w:eastAsia="Times New Roman" w:hAnsi="Times New Roman"/>
                <w:sz w:val="24"/>
                <w:szCs w:val="24"/>
                <w:lang w:val="sr-Cyrl-CS"/>
              </w:rPr>
              <w:t xml:space="preserve">%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5E9A2DE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Годишњи мониторинг емисија из малих постројења за сагоревање који врше овлашћена правна лица </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5BDFFC97" w14:textId="77777777" w:rsidR="00A0251B" w:rsidRPr="00CC35F0" w:rsidRDefault="008D6506">
            <w:pPr>
              <w:spacing w:line="216" w:lineRule="auto"/>
              <w:ind w:left="-142" w:right="-74"/>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AEA087E" w14:textId="77777777" w:rsidR="00A0251B" w:rsidRPr="00CC35F0" w:rsidRDefault="008D6506">
            <w:pPr>
              <w:shd w:val="clear" w:color="auto" w:fill="FFFFFF"/>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3F54A93C" w14:textId="77777777" w:rsidR="00A0251B" w:rsidRPr="00CC35F0" w:rsidRDefault="008D6506">
            <w:pPr>
              <w:shd w:val="clear" w:color="auto" w:fill="FFFFFF"/>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2DED260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7DD7F1F1"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606994DF"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w:t>
            </w:r>
          </w:p>
          <w:p w14:paraId="4D81259F" w14:textId="77777777" w:rsidR="00A0251B" w:rsidRPr="00CC35F0" w:rsidRDefault="00A0251B">
            <w:pPr>
              <w:shd w:val="clear" w:color="auto" w:fill="FFFFFF"/>
              <w:rPr>
                <w:rFonts w:ascii="Times New Roman" w:eastAsia="Times New Roman" w:hAnsi="Times New Roman"/>
                <w:sz w:val="24"/>
                <w:szCs w:val="24"/>
                <w:lang w:val="sr-Cyrl-CS"/>
              </w:rPr>
            </w:pPr>
          </w:p>
        </w:tc>
      </w:tr>
    </w:tbl>
    <w:p w14:paraId="39F2480E" w14:textId="77777777" w:rsidR="00A0251B" w:rsidRPr="00CC35F0" w:rsidRDefault="00A0251B">
      <w:pPr>
        <w:rPr>
          <w:rFonts w:ascii="Times New Roman" w:eastAsia="Times New Roman" w:hAnsi="Times New Roman"/>
          <w:sz w:val="24"/>
          <w:szCs w:val="24"/>
          <w:lang w:val="sr-Cyrl-CS"/>
        </w:rPr>
      </w:pPr>
    </w:p>
    <w:tbl>
      <w:tblPr>
        <w:tblStyle w:val="aff2"/>
        <w:tblW w:w="13843"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673"/>
        <w:gridCol w:w="2784"/>
        <w:gridCol w:w="1357"/>
        <w:gridCol w:w="1530"/>
        <w:gridCol w:w="1521"/>
        <w:gridCol w:w="1452"/>
        <w:gridCol w:w="1520"/>
        <w:gridCol w:w="6"/>
      </w:tblGrid>
      <w:tr w:rsidR="00A0251B" w:rsidRPr="00CC35F0" w14:paraId="59323ACC" w14:textId="77777777">
        <w:trPr>
          <w:trHeight w:val="227"/>
        </w:trPr>
        <w:tc>
          <w:tcPr>
            <w:tcW w:w="3674" w:type="dxa"/>
            <w:vMerge w:val="restart"/>
            <w:shd w:val="clear" w:color="auto" w:fill="A8D08D"/>
          </w:tcPr>
          <w:p w14:paraId="1EC305C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3AC22C3D" w14:textId="77777777" w:rsidR="00A0251B" w:rsidRPr="00CC35F0" w:rsidRDefault="00A0251B">
            <w:pPr>
              <w:jc w:val="center"/>
              <w:rPr>
                <w:rFonts w:ascii="Times New Roman" w:eastAsia="Times New Roman" w:hAnsi="Times New Roman"/>
                <w:sz w:val="24"/>
                <w:szCs w:val="24"/>
                <w:lang w:val="sr-Cyrl-CS"/>
              </w:rPr>
            </w:pPr>
          </w:p>
        </w:tc>
        <w:tc>
          <w:tcPr>
            <w:tcW w:w="2784" w:type="dxa"/>
            <w:vMerge w:val="restart"/>
            <w:shd w:val="clear" w:color="auto" w:fill="A8D08D"/>
          </w:tcPr>
          <w:p w14:paraId="462804C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084C910D" w14:textId="77777777" w:rsidR="00A0251B" w:rsidRPr="00CC35F0" w:rsidRDefault="00A0251B">
            <w:pPr>
              <w:jc w:val="center"/>
              <w:rPr>
                <w:rFonts w:ascii="Times New Roman" w:eastAsia="Times New Roman" w:hAnsi="Times New Roman"/>
                <w:sz w:val="24"/>
                <w:szCs w:val="24"/>
                <w:lang w:val="sr-Cyrl-CS"/>
              </w:rPr>
            </w:pPr>
          </w:p>
        </w:tc>
        <w:tc>
          <w:tcPr>
            <w:tcW w:w="7386" w:type="dxa"/>
            <w:gridSpan w:val="6"/>
            <w:shd w:val="clear" w:color="auto" w:fill="A8D08D"/>
            <w:vAlign w:val="center"/>
          </w:tcPr>
          <w:p w14:paraId="7C65672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3C9E38DA" w14:textId="77777777">
        <w:trPr>
          <w:gridAfter w:val="1"/>
          <w:wAfter w:w="6" w:type="dxa"/>
          <w:trHeight w:val="227"/>
        </w:trPr>
        <w:tc>
          <w:tcPr>
            <w:tcW w:w="3674" w:type="dxa"/>
            <w:vMerge/>
            <w:shd w:val="clear" w:color="auto" w:fill="A8D08D"/>
          </w:tcPr>
          <w:p w14:paraId="77068DD5"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784" w:type="dxa"/>
            <w:vMerge/>
            <w:shd w:val="clear" w:color="auto" w:fill="A8D08D"/>
          </w:tcPr>
          <w:p w14:paraId="517C098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57" w:type="dxa"/>
            <w:shd w:val="clear" w:color="auto" w:fill="A8D08D"/>
            <w:vAlign w:val="center"/>
          </w:tcPr>
          <w:p w14:paraId="1E8688A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530" w:type="dxa"/>
            <w:shd w:val="clear" w:color="auto" w:fill="A8D08D"/>
            <w:vAlign w:val="center"/>
          </w:tcPr>
          <w:p w14:paraId="2A34B41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521" w:type="dxa"/>
            <w:shd w:val="clear" w:color="auto" w:fill="A8D08D"/>
            <w:vAlign w:val="center"/>
          </w:tcPr>
          <w:p w14:paraId="42ED151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452" w:type="dxa"/>
            <w:shd w:val="clear" w:color="auto" w:fill="A8D08D"/>
            <w:vAlign w:val="center"/>
          </w:tcPr>
          <w:p w14:paraId="1C4F0B8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520" w:type="dxa"/>
            <w:shd w:val="clear" w:color="auto" w:fill="A8D08D"/>
            <w:vAlign w:val="center"/>
          </w:tcPr>
          <w:p w14:paraId="1F7A947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5BAB30F2" w14:textId="77777777">
        <w:trPr>
          <w:gridAfter w:val="1"/>
          <w:wAfter w:w="6" w:type="dxa"/>
          <w:trHeight w:val="398"/>
        </w:trPr>
        <w:tc>
          <w:tcPr>
            <w:tcW w:w="3674" w:type="dxa"/>
            <w:shd w:val="clear" w:color="auto" w:fill="FFFFFF"/>
          </w:tcPr>
          <w:p w14:paraId="1CF7CFB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Буџет РС</w:t>
            </w:r>
          </w:p>
          <w:p w14:paraId="69E7CAF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2784" w:type="dxa"/>
            <w:shd w:val="clear" w:color="auto" w:fill="FFFFFF"/>
          </w:tcPr>
          <w:p w14:paraId="7C621D66" w14:textId="77777777" w:rsidR="00A0251B" w:rsidRPr="00CC35F0" w:rsidRDefault="00A0251B">
            <w:pPr>
              <w:rPr>
                <w:rFonts w:ascii="Times New Roman" w:eastAsia="Times New Roman" w:hAnsi="Times New Roman"/>
                <w:sz w:val="24"/>
                <w:szCs w:val="24"/>
                <w:lang w:val="sr-Cyrl-CS"/>
              </w:rPr>
            </w:pPr>
          </w:p>
          <w:p w14:paraId="5B0ED0A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Донаторска средства/Taiex </w:t>
            </w:r>
          </w:p>
        </w:tc>
        <w:tc>
          <w:tcPr>
            <w:tcW w:w="1357" w:type="dxa"/>
            <w:shd w:val="clear" w:color="auto" w:fill="FFFFFF"/>
          </w:tcPr>
          <w:p w14:paraId="6268A283" w14:textId="77777777" w:rsidR="00A0251B" w:rsidRPr="00CC35F0" w:rsidRDefault="00A0251B">
            <w:pPr>
              <w:jc w:val="right"/>
              <w:rPr>
                <w:rFonts w:ascii="Times New Roman" w:eastAsia="Times New Roman" w:hAnsi="Times New Roman"/>
                <w:sz w:val="24"/>
                <w:szCs w:val="24"/>
                <w:lang w:val="sr-Cyrl-CS"/>
              </w:rPr>
            </w:pPr>
          </w:p>
          <w:p w14:paraId="632F6CBB" w14:textId="77777777" w:rsidR="00A0251B" w:rsidRPr="00CC35F0" w:rsidRDefault="00A0251B">
            <w:pPr>
              <w:jc w:val="right"/>
              <w:rPr>
                <w:rFonts w:ascii="Times New Roman" w:eastAsia="Times New Roman" w:hAnsi="Times New Roman"/>
                <w:sz w:val="24"/>
                <w:szCs w:val="24"/>
                <w:lang w:val="sr-Cyrl-CS"/>
              </w:rPr>
            </w:pPr>
          </w:p>
        </w:tc>
        <w:tc>
          <w:tcPr>
            <w:tcW w:w="1530" w:type="dxa"/>
            <w:shd w:val="clear" w:color="auto" w:fill="FFFFFF"/>
          </w:tcPr>
          <w:p w14:paraId="2D6B266A" w14:textId="77777777" w:rsidR="00A0251B" w:rsidRPr="00CC35F0" w:rsidRDefault="00A0251B">
            <w:pPr>
              <w:jc w:val="right"/>
              <w:rPr>
                <w:rFonts w:ascii="Times New Roman" w:eastAsia="Times New Roman" w:hAnsi="Times New Roman"/>
                <w:sz w:val="24"/>
                <w:szCs w:val="24"/>
                <w:lang w:val="sr-Cyrl-CS"/>
              </w:rPr>
            </w:pPr>
          </w:p>
          <w:p w14:paraId="02AD7A3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c>
          <w:tcPr>
            <w:tcW w:w="1521" w:type="dxa"/>
            <w:shd w:val="clear" w:color="auto" w:fill="FFFFFF"/>
          </w:tcPr>
          <w:p w14:paraId="543745CF" w14:textId="77777777" w:rsidR="00A0251B" w:rsidRPr="00CC35F0" w:rsidRDefault="00A0251B">
            <w:pPr>
              <w:rPr>
                <w:rFonts w:ascii="Times New Roman" w:eastAsia="Times New Roman" w:hAnsi="Times New Roman"/>
                <w:sz w:val="24"/>
                <w:szCs w:val="24"/>
                <w:lang w:val="sr-Cyrl-CS"/>
              </w:rPr>
            </w:pPr>
          </w:p>
        </w:tc>
        <w:tc>
          <w:tcPr>
            <w:tcW w:w="1452" w:type="dxa"/>
            <w:shd w:val="clear" w:color="auto" w:fill="FFFFFF"/>
          </w:tcPr>
          <w:p w14:paraId="677DF343" w14:textId="77777777" w:rsidR="00A0251B" w:rsidRPr="00CC35F0" w:rsidRDefault="00A0251B">
            <w:pPr>
              <w:rPr>
                <w:rFonts w:ascii="Times New Roman" w:eastAsia="Times New Roman" w:hAnsi="Times New Roman"/>
                <w:sz w:val="24"/>
                <w:szCs w:val="24"/>
                <w:lang w:val="sr-Cyrl-CS"/>
              </w:rPr>
            </w:pPr>
          </w:p>
        </w:tc>
        <w:tc>
          <w:tcPr>
            <w:tcW w:w="1520" w:type="dxa"/>
            <w:shd w:val="clear" w:color="auto" w:fill="FFFFFF"/>
          </w:tcPr>
          <w:p w14:paraId="65EA32BF" w14:textId="77777777" w:rsidR="00A0251B" w:rsidRPr="00CC35F0" w:rsidRDefault="00A0251B">
            <w:pPr>
              <w:rPr>
                <w:rFonts w:ascii="Times New Roman" w:eastAsia="Times New Roman" w:hAnsi="Times New Roman"/>
                <w:sz w:val="24"/>
                <w:szCs w:val="24"/>
                <w:highlight w:val="yellow"/>
                <w:lang w:val="sr-Cyrl-CS"/>
              </w:rPr>
            </w:pPr>
          </w:p>
          <w:p w14:paraId="64A9A852" w14:textId="77777777" w:rsidR="00A0251B" w:rsidRPr="00CC35F0" w:rsidRDefault="00A0251B">
            <w:pPr>
              <w:rPr>
                <w:rFonts w:ascii="Times New Roman" w:eastAsia="Times New Roman" w:hAnsi="Times New Roman"/>
                <w:sz w:val="24"/>
                <w:szCs w:val="24"/>
                <w:lang w:val="sr-Cyrl-CS"/>
              </w:rPr>
            </w:pPr>
          </w:p>
        </w:tc>
      </w:tr>
    </w:tbl>
    <w:p w14:paraId="5181A7FA" w14:textId="77777777" w:rsidR="00A0251B" w:rsidRPr="00CC35F0" w:rsidRDefault="00A0251B">
      <w:pPr>
        <w:rPr>
          <w:rFonts w:ascii="Times New Roman" w:eastAsia="Times New Roman" w:hAnsi="Times New Roman"/>
          <w:sz w:val="24"/>
          <w:szCs w:val="24"/>
          <w:lang w:val="sr-Cyrl-CS"/>
        </w:rPr>
      </w:pPr>
    </w:p>
    <w:tbl>
      <w:tblPr>
        <w:tblStyle w:val="aff3"/>
        <w:tblW w:w="14403"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2284"/>
        <w:gridCol w:w="1246"/>
        <w:gridCol w:w="1441"/>
        <w:gridCol w:w="1427"/>
        <w:gridCol w:w="1716"/>
        <w:gridCol w:w="1565"/>
        <w:gridCol w:w="920"/>
        <w:gridCol w:w="996"/>
        <w:gridCol w:w="920"/>
        <w:gridCol w:w="920"/>
        <w:gridCol w:w="968"/>
      </w:tblGrid>
      <w:tr w:rsidR="00A0251B" w:rsidRPr="00CC35F0" w14:paraId="492C729D" w14:textId="77777777">
        <w:trPr>
          <w:trHeight w:val="140"/>
        </w:trPr>
        <w:tc>
          <w:tcPr>
            <w:tcW w:w="228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616098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Назив активности:</w:t>
            </w:r>
          </w:p>
        </w:tc>
        <w:tc>
          <w:tcPr>
            <w:tcW w:w="1246"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6781C2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44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8DC6F6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42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BAB034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716"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3AA9CFD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1F96B65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73DE9FB1" w14:textId="77777777" w:rsidR="00A0251B" w:rsidRPr="00CC35F0" w:rsidRDefault="00A0251B">
            <w:pPr>
              <w:jc w:val="center"/>
              <w:rPr>
                <w:rFonts w:ascii="Times New Roman" w:eastAsia="Times New Roman" w:hAnsi="Times New Roman"/>
                <w:sz w:val="24"/>
                <w:szCs w:val="24"/>
                <w:lang w:val="sr-Cyrl-CS"/>
              </w:rPr>
            </w:pPr>
          </w:p>
        </w:tc>
        <w:tc>
          <w:tcPr>
            <w:tcW w:w="4724" w:type="dxa"/>
            <w:gridSpan w:val="5"/>
            <w:tcBorders>
              <w:top w:val="single" w:sz="4" w:space="0" w:color="000000"/>
              <w:left w:val="single" w:sz="4" w:space="0" w:color="000000"/>
              <w:bottom w:val="single" w:sz="4" w:space="0" w:color="000000"/>
              <w:right w:val="single" w:sz="4" w:space="0" w:color="000000"/>
            </w:tcBorders>
            <w:shd w:val="clear" w:color="auto" w:fill="FFF2CC"/>
          </w:tcPr>
          <w:p w14:paraId="3EA132F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p>
        </w:tc>
      </w:tr>
      <w:tr w:rsidR="00A0251B" w:rsidRPr="00CC35F0" w14:paraId="1432E1F5" w14:textId="77777777">
        <w:trPr>
          <w:trHeight w:val="386"/>
        </w:trPr>
        <w:tc>
          <w:tcPr>
            <w:tcW w:w="2285" w:type="dxa"/>
            <w:vMerge/>
            <w:tcBorders>
              <w:top w:val="single" w:sz="4" w:space="0" w:color="000000"/>
              <w:left w:val="single" w:sz="4" w:space="0" w:color="000000"/>
              <w:bottom w:val="single" w:sz="4" w:space="0" w:color="000000"/>
              <w:right w:val="single" w:sz="4" w:space="0" w:color="000000"/>
            </w:tcBorders>
            <w:shd w:val="clear" w:color="auto" w:fill="FFF2CC"/>
          </w:tcPr>
          <w:p w14:paraId="4935BECF"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246" w:type="dxa"/>
            <w:vMerge/>
            <w:tcBorders>
              <w:top w:val="single" w:sz="4" w:space="0" w:color="000000"/>
              <w:left w:val="single" w:sz="4" w:space="0" w:color="000000"/>
              <w:bottom w:val="single" w:sz="4" w:space="0" w:color="000000"/>
              <w:right w:val="single" w:sz="4" w:space="0" w:color="000000"/>
            </w:tcBorders>
            <w:shd w:val="clear" w:color="auto" w:fill="FFF2CC"/>
          </w:tcPr>
          <w:p w14:paraId="2DE5F9DF"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41" w:type="dxa"/>
            <w:vMerge/>
            <w:tcBorders>
              <w:top w:val="single" w:sz="4" w:space="0" w:color="000000"/>
              <w:left w:val="single" w:sz="4" w:space="0" w:color="000000"/>
              <w:bottom w:val="single" w:sz="4" w:space="0" w:color="000000"/>
              <w:right w:val="single" w:sz="4" w:space="0" w:color="000000"/>
            </w:tcBorders>
            <w:shd w:val="clear" w:color="auto" w:fill="FFF2CC"/>
          </w:tcPr>
          <w:p w14:paraId="6AAF9E5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7" w:type="dxa"/>
            <w:vMerge/>
            <w:tcBorders>
              <w:top w:val="single" w:sz="4" w:space="0" w:color="000000"/>
              <w:left w:val="single" w:sz="4" w:space="0" w:color="000000"/>
              <w:bottom w:val="single" w:sz="4" w:space="0" w:color="000000"/>
              <w:right w:val="single" w:sz="4" w:space="0" w:color="000000"/>
            </w:tcBorders>
            <w:shd w:val="clear" w:color="auto" w:fill="FFF2CC"/>
          </w:tcPr>
          <w:p w14:paraId="6E5AC154"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16" w:type="dxa"/>
            <w:vMerge/>
            <w:tcBorders>
              <w:top w:val="single" w:sz="4" w:space="0" w:color="000000"/>
              <w:left w:val="single" w:sz="4" w:space="0" w:color="000000"/>
              <w:bottom w:val="single" w:sz="4" w:space="0" w:color="000000"/>
              <w:right w:val="single" w:sz="4" w:space="0" w:color="000000"/>
            </w:tcBorders>
            <w:shd w:val="clear" w:color="auto" w:fill="FFF2CC"/>
          </w:tcPr>
          <w:p w14:paraId="2AB79D2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5" w:type="dxa"/>
            <w:vMerge/>
            <w:tcBorders>
              <w:top w:val="single" w:sz="4" w:space="0" w:color="000000"/>
              <w:left w:val="single" w:sz="4" w:space="0" w:color="000000"/>
              <w:bottom w:val="single" w:sz="4" w:space="0" w:color="000000"/>
              <w:right w:val="single" w:sz="4" w:space="0" w:color="000000"/>
            </w:tcBorders>
            <w:shd w:val="clear" w:color="auto" w:fill="FFF2CC"/>
          </w:tcPr>
          <w:p w14:paraId="61153297"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20" w:type="dxa"/>
            <w:shd w:val="clear" w:color="auto" w:fill="FFF2CC"/>
          </w:tcPr>
          <w:p w14:paraId="0542BF0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996" w:type="dxa"/>
            <w:shd w:val="clear" w:color="auto" w:fill="FFF2CC"/>
          </w:tcPr>
          <w:p w14:paraId="6CA604F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20" w:type="dxa"/>
            <w:shd w:val="clear" w:color="auto" w:fill="FFF2CC"/>
          </w:tcPr>
          <w:p w14:paraId="3818764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920" w:type="dxa"/>
            <w:shd w:val="clear" w:color="auto" w:fill="FFF2CC"/>
          </w:tcPr>
          <w:p w14:paraId="1D7D7A4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968" w:type="dxa"/>
            <w:shd w:val="clear" w:color="auto" w:fill="FFF2CC"/>
          </w:tcPr>
          <w:p w14:paraId="71C7AC8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27E65ED7" w14:textId="77777777">
        <w:trPr>
          <w:trHeight w:val="1447"/>
        </w:trPr>
        <w:tc>
          <w:tcPr>
            <w:tcW w:w="2285" w:type="dxa"/>
            <w:vAlign w:val="center"/>
          </w:tcPr>
          <w:p w14:paraId="7F1333E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1.1.3.1. Ажурирање граничних вредности емисије за мала постројења за сагоревање капацитета до 1 MW (котлови или стационарни мотори).</w:t>
            </w:r>
          </w:p>
        </w:tc>
        <w:tc>
          <w:tcPr>
            <w:tcW w:w="1246" w:type="dxa"/>
          </w:tcPr>
          <w:p w14:paraId="1EBB95E4" w14:textId="77777777" w:rsidR="00A0251B" w:rsidRPr="00CC35F0" w:rsidRDefault="008D6506">
            <w:pPr>
              <w:ind w:left="-62" w:right="3"/>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МЗЖС</w:t>
            </w:r>
          </w:p>
          <w:p w14:paraId="1D72054D" w14:textId="77777777" w:rsidR="00A0251B" w:rsidRPr="00CC35F0" w:rsidRDefault="00A0251B">
            <w:pPr>
              <w:rPr>
                <w:rFonts w:ascii="Times New Roman" w:eastAsia="Times New Roman" w:hAnsi="Times New Roman"/>
                <w:sz w:val="24"/>
                <w:szCs w:val="24"/>
                <w:lang w:val="sr-Cyrl-CS"/>
              </w:rPr>
            </w:pPr>
          </w:p>
        </w:tc>
        <w:tc>
          <w:tcPr>
            <w:tcW w:w="1441" w:type="dxa"/>
          </w:tcPr>
          <w:p w14:paraId="3A421AAA" w14:textId="77777777" w:rsidR="00A0251B" w:rsidRPr="00CC35F0" w:rsidRDefault="008D6506">
            <w:pPr>
              <w:ind w:left="-62" w:right="3"/>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w:t>
            </w:r>
          </w:p>
        </w:tc>
        <w:tc>
          <w:tcPr>
            <w:tcW w:w="1427" w:type="dxa"/>
          </w:tcPr>
          <w:p w14:paraId="1505AE5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2023</w:t>
            </w:r>
          </w:p>
        </w:tc>
        <w:tc>
          <w:tcPr>
            <w:tcW w:w="1716" w:type="dxa"/>
          </w:tcPr>
          <w:p w14:paraId="15FF385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средства/Taiex</w:t>
            </w:r>
          </w:p>
        </w:tc>
        <w:tc>
          <w:tcPr>
            <w:tcW w:w="1565" w:type="dxa"/>
          </w:tcPr>
          <w:p w14:paraId="7B216CE5"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4C5B80BB" w14:textId="77777777" w:rsidR="00A0251B" w:rsidRPr="00CC35F0" w:rsidRDefault="00A0251B">
            <w:pPr>
              <w:jc w:val="right"/>
              <w:rPr>
                <w:rFonts w:ascii="Times New Roman" w:eastAsia="Times New Roman" w:hAnsi="Times New Roman"/>
                <w:sz w:val="24"/>
                <w:szCs w:val="24"/>
                <w:lang w:val="sr-Cyrl-CS"/>
              </w:rPr>
            </w:pPr>
          </w:p>
        </w:tc>
        <w:tc>
          <w:tcPr>
            <w:tcW w:w="996" w:type="dxa"/>
          </w:tcPr>
          <w:p w14:paraId="6D66635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c>
          <w:tcPr>
            <w:tcW w:w="920" w:type="dxa"/>
          </w:tcPr>
          <w:p w14:paraId="0BFEFA66"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4FD8C83C" w14:textId="77777777" w:rsidR="00A0251B" w:rsidRPr="00CC35F0" w:rsidRDefault="00A0251B">
            <w:pPr>
              <w:rPr>
                <w:rFonts w:ascii="Times New Roman" w:eastAsia="Times New Roman" w:hAnsi="Times New Roman"/>
                <w:sz w:val="24"/>
                <w:szCs w:val="24"/>
                <w:lang w:val="sr-Cyrl-CS"/>
              </w:rPr>
            </w:pPr>
          </w:p>
        </w:tc>
        <w:tc>
          <w:tcPr>
            <w:tcW w:w="968" w:type="dxa"/>
          </w:tcPr>
          <w:p w14:paraId="4A8693F1" w14:textId="77777777" w:rsidR="00A0251B" w:rsidRPr="00CC35F0" w:rsidRDefault="00A0251B">
            <w:pPr>
              <w:rPr>
                <w:rFonts w:ascii="Times New Roman" w:eastAsia="Times New Roman" w:hAnsi="Times New Roman"/>
                <w:sz w:val="24"/>
                <w:szCs w:val="24"/>
                <w:lang w:val="sr-Cyrl-CS"/>
              </w:rPr>
            </w:pPr>
          </w:p>
        </w:tc>
      </w:tr>
      <w:tr w:rsidR="00A0251B" w:rsidRPr="00CC35F0" w14:paraId="53096A6C" w14:textId="77777777">
        <w:trPr>
          <w:trHeight w:val="1447"/>
        </w:trPr>
        <w:tc>
          <w:tcPr>
            <w:tcW w:w="2285" w:type="dxa"/>
            <w:shd w:val="clear" w:color="auto" w:fill="auto"/>
            <w:vAlign w:val="center"/>
          </w:tcPr>
          <w:p w14:paraId="4BD13339"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1.1.3.2. Обезбеђивање усаглашености са строжим граничним вредностима емисије за мала постројења за сагоревање која не подлежу Директиви о еко</w:t>
            </w:r>
            <w:r w:rsidR="00346A28"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дизајну.</w:t>
            </w:r>
            <w:r w:rsidR="00C50A53" w:rsidRPr="00CC35F0">
              <w:rPr>
                <w:rFonts w:ascii="Times New Roman" w:eastAsia="Times New Roman" w:hAnsi="Times New Roman"/>
                <w:sz w:val="24"/>
                <w:szCs w:val="24"/>
                <w:vertAlign w:val="superscript"/>
                <w:lang w:val="sr-Cyrl-CS"/>
              </w:rPr>
              <w:t>#</w:t>
            </w:r>
          </w:p>
        </w:tc>
        <w:tc>
          <w:tcPr>
            <w:tcW w:w="1246" w:type="dxa"/>
          </w:tcPr>
          <w:p w14:paraId="33A6F8BC" w14:textId="77777777" w:rsidR="00A0251B" w:rsidRPr="00CC35F0" w:rsidRDefault="008D6506">
            <w:pPr>
              <w:ind w:left="-62" w:right="3"/>
              <w:jc w:val="cente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МЗЖС</w:t>
            </w:r>
          </w:p>
          <w:p w14:paraId="27A114C6" w14:textId="77777777" w:rsidR="00A0251B" w:rsidRPr="00CC35F0" w:rsidRDefault="00A0251B">
            <w:pPr>
              <w:ind w:left="-62" w:right="3"/>
              <w:jc w:val="center"/>
              <w:rPr>
                <w:rFonts w:ascii="Times New Roman" w:eastAsia="Times New Roman" w:hAnsi="Times New Roman"/>
                <w:sz w:val="24"/>
                <w:szCs w:val="24"/>
                <w:lang w:val="sr-Cyrl-CS"/>
              </w:rPr>
            </w:pPr>
          </w:p>
        </w:tc>
        <w:tc>
          <w:tcPr>
            <w:tcW w:w="1441" w:type="dxa"/>
          </w:tcPr>
          <w:p w14:paraId="69A6A68D" w14:textId="77777777" w:rsidR="00A0251B" w:rsidRPr="00CC35F0" w:rsidRDefault="00A0251B">
            <w:pPr>
              <w:ind w:left="-62" w:right="3"/>
              <w:jc w:val="center"/>
              <w:rPr>
                <w:rFonts w:ascii="Times New Roman" w:eastAsia="Times New Roman" w:hAnsi="Times New Roman"/>
                <w:color w:val="000000"/>
                <w:sz w:val="24"/>
                <w:szCs w:val="24"/>
                <w:lang w:val="sr-Cyrl-CS"/>
              </w:rPr>
            </w:pPr>
          </w:p>
        </w:tc>
        <w:tc>
          <w:tcPr>
            <w:tcW w:w="1427" w:type="dxa"/>
          </w:tcPr>
          <w:p w14:paraId="3950590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IV квартал 2026</w:t>
            </w:r>
          </w:p>
        </w:tc>
        <w:tc>
          <w:tcPr>
            <w:tcW w:w="1716" w:type="dxa"/>
          </w:tcPr>
          <w:p w14:paraId="5A7400F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p>
        </w:tc>
        <w:tc>
          <w:tcPr>
            <w:tcW w:w="1565" w:type="dxa"/>
          </w:tcPr>
          <w:p w14:paraId="2F54D526"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6481E41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96" w:type="dxa"/>
          </w:tcPr>
          <w:p w14:paraId="6618965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584D03E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1D9B0BB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68" w:type="dxa"/>
          </w:tcPr>
          <w:p w14:paraId="601CFC5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bl>
    <w:p w14:paraId="2B44A2C1" w14:textId="77777777" w:rsidR="00A0251B" w:rsidRPr="00CC35F0" w:rsidRDefault="00A0251B">
      <w:pPr>
        <w:rPr>
          <w:rFonts w:ascii="Times New Roman" w:eastAsia="Times New Roman" w:hAnsi="Times New Roman"/>
          <w:sz w:val="24"/>
          <w:szCs w:val="24"/>
          <w:lang w:val="sr-Cyrl-CS"/>
        </w:rPr>
      </w:pPr>
    </w:p>
    <w:p w14:paraId="032480B6" w14:textId="77777777" w:rsidR="00A0251B" w:rsidRPr="00CC35F0" w:rsidRDefault="00A0251B">
      <w:pPr>
        <w:rPr>
          <w:rFonts w:ascii="Times New Roman" w:eastAsia="Times New Roman" w:hAnsi="Times New Roman"/>
          <w:sz w:val="24"/>
          <w:szCs w:val="24"/>
          <w:lang w:val="sr-Cyrl-CS"/>
        </w:rPr>
      </w:pPr>
    </w:p>
    <w:p w14:paraId="2A6A7B3E" w14:textId="77777777" w:rsidR="00DC4692" w:rsidRPr="00CC35F0" w:rsidRDefault="00DC4692">
      <w:pPr>
        <w:rPr>
          <w:rFonts w:ascii="Times New Roman" w:eastAsia="Times New Roman" w:hAnsi="Times New Roman"/>
          <w:sz w:val="24"/>
          <w:szCs w:val="24"/>
          <w:lang w:val="sr-Cyrl-CS"/>
        </w:rPr>
      </w:pPr>
    </w:p>
    <w:tbl>
      <w:tblPr>
        <w:tblStyle w:val="aff4"/>
        <w:tblW w:w="14152"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8"/>
        <w:gridCol w:w="1077"/>
        <w:gridCol w:w="1492"/>
        <w:gridCol w:w="1440"/>
        <w:gridCol w:w="1350"/>
        <w:gridCol w:w="1210"/>
        <w:gridCol w:w="1524"/>
        <w:gridCol w:w="1572"/>
        <w:gridCol w:w="1269"/>
      </w:tblGrid>
      <w:tr w:rsidR="00A0251B" w:rsidRPr="00CC35F0" w14:paraId="69A86DD0" w14:textId="77777777">
        <w:trPr>
          <w:trHeight w:val="168"/>
        </w:trPr>
        <w:tc>
          <w:tcPr>
            <w:tcW w:w="14152" w:type="dxa"/>
            <w:gridSpan w:val="9"/>
            <w:tcBorders>
              <w:top w:val="single" w:sz="4" w:space="0" w:color="000000"/>
              <w:left w:val="single" w:sz="4" w:space="0" w:color="000000"/>
              <w:bottom w:val="single" w:sz="4" w:space="0" w:color="000000"/>
              <w:right w:val="single" w:sz="4" w:space="0" w:color="000000"/>
            </w:tcBorders>
            <w:shd w:val="clear" w:color="auto" w:fill="F7CBAC"/>
          </w:tcPr>
          <w:p w14:paraId="5206CB0C" w14:textId="77777777" w:rsidR="00A0251B" w:rsidRPr="00CC35F0" w:rsidRDefault="008D6506">
            <w:pPr>
              <w:rPr>
                <w:rFonts w:ascii="Times New Roman" w:eastAsia="Times New Roman" w:hAnsi="Times New Roman"/>
                <w:sz w:val="24"/>
                <w:szCs w:val="24"/>
                <w:lang w:val="sr-Cyrl-CS"/>
              </w:rPr>
            </w:pPr>
            <w:bookmarkStart w:id="127" w:name="_heading=h.j8sehv" w:colFirst="0" w:colLast="0"/>
            <w:bookmarkEnd w:id="127"/>
            <w:r w:rsidRPr="00CC35F0">
              <w:rPr>
                <w:rFonts w:ascii="Times New Roman" w:eastAsia="Times New Roman" w:hAnsi="Times New Roman"/>
                <w:sz w:val="24"/>
                <w:szCs w:val="24"/>
                <w:lang w:val="sr-Cyrl-CS"/>
              </w:rPr>
              <w:lastRenderedPageBreak/>
              <w:t xml:space="preserve">Мера 1.1.4: </w:t>
            </w:r>
            <w:r w:rsidRPr="00CC35F0">
              <w:rPr>
                <w:rFonts w:ascii="Times New Roman" w:eastAsia="Times New Roman" w:hAnsi="Times New Roman"/>
                <w:b/>
                <w:color w:val="000000"/>
                <w:sz w:val="24"/>
                <w:szCs w:val="24"/>
                <w:lang w:val="sr-Cyrl-CS"/>
              </w:rPr>
              <w:t xml:space="preserve">Спровођење најмање Euro стандарда за половна увезена возила: Euro 5/V од 1. јануара 2024. и Euro 6/VI од 1. јануара 2025. године </w:t>
            </w:r>
          </w:p>
        </w:tc>
      </w:tr>
      <w:tr w:rsidR="00A0251B" w:rsidRPr="00CC35F0" w14:paraId="27713A58" w14:textId="77777777">
        <w:trPr>
          <w:trHeight w:val="298"/>
        </w:trPr>
        <w:tc>
          <w:tcPr>
            <w:tcW w:w="14152" w:type="dxa"/>
            <w:gridSpan w:val="9"/>
            <w:tcBorders>
              <w:top w:val="single" w:sz="4" w:space="0" w:color="000000"/>
              <w:left w:val="single" w:sz="4" w:space="0" w:color="000000"/>
              <w:bottom w:val="single" w:sz="4" w:space="0" w:color="000000"/>
              <w:right w:val="single" w:sz="4" w:space="0" w:color="000000"/>
            </w:tcBorders>
            <w:shd w:val="clear" w:color="auto" w:fill="F7CBAC"/>
            <w:vAlign w:val="center"/>
          </w:tcPr>
          <w:p w14:paraId="7D89B853"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Министарство унутрашње и спољне трговине</w:t>
            </w:r>
          </w:p>
        </w:tc>
      </w:tr>
      <w:tr w:rsidR="00A0251B" w:rsidRPr="00CC35F0" w14:paraId="1A2D2776" w14:textId="77777777">
        <w:trPr>
          <w:trHeight w:val="298"/>
        </w:trPr>
        <w:tc>
          <w:tcPr>
            <w:tcW w:w="5787" w:type="dxa"/>
            <w:gridSpan w:val="3"/>
            <w:tcBorders>
              <w:top w:val="single" w:sz="4" w:space="0" w:color="000000"/>
              <w:left w:val="single" w:sz="4" w:space="0" w:color="000000"/>
              <w:bottom w:val="single" w:sz="4" w:space="0" w:color="000000"/>
              <w:right w:val="single" w:sz="4" w:space="0" w:color="000000"/>
            </w:tcBorders>
            <w:shd w:val="clear" w:color="auto" w:fill="F7CBAC"/>
          </w:tcPr>
          <w:p w14:paraId="3DD814E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Период спровођења:2022-2026</w:t>
            </w:r>
          </w:p>
        </w:tc>
        <w:tc>
          <w:tcPr>
            <w:tcW w:w="8365" w:type="dxa"/>
            <w:gridSpan w:val="6"/>
            <w:tcBorders>
              <w:top w:val="single" w:sz="4" w:space="0" w:color="000000"/>
              <w:left w:val="single" w:sz="4" w:space="0" w:color="000000"/>
              <w:bottom w:val="single" w:sz="4" w:space="0" w:color="000000"/>
              <w:right w:val="single" w:sz="4" w:space="0" w:color="000000"/>
            </w:tcBorders>
            <w:shd w:val="clear" w:color="auto" w:fill="F7CBAC"/>
          </w:tcPr>
          <w:p w14:paraId="25A731C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w:t>
            </w:r>
          </w:p>
        </w:tc>
      </w:tr>
      <w:tr w:rsidR="00A0251B" w:rsidRPr="00CC35F0" w14:paraId="43CBAC40" w14:textId="77777777">
        <w:trPr>
          <w:trHeight w:val="298"/>
        </w:trPr>
        <w:tc>
          <w:tcPr>
            <w:tcW w:w="5787" w:type="dxa"/>
            <w:gridSpan w:val="3"/>
            <w:tcBorders>
              <w:top w:val="single" w:sz="4" w:space="0" w:color="000000"/>
              <w:left w:val="single" w:sz="4" w:space="0" w:color="000000"/>
              <w:bottom w:val="single" w:sz="4" w:space="0" w:color="000000"/>
              <w:right w:val="single" w:sz="4" w:space="0" w:color="000000"/>
            </w:tcBorders>
            <w:shd w:val="clear" w:color="auto" w:fill="F7CBAC"/>
          </w:tcPr>
          <w:p w14:paraId="514FABF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8365" w:type="dxa"/>
            <w:gridSpan w:val="6"/>
            <w:tcBorders>
              <w:top w:val="single" w:sz="4" w:space="0" w:color="000000"/>
              <w:left w:val="single" w:sz="4" w:space="0" w:color="000000"/>
              <w:bottom w:val="single" w:sz="4" w:space="0" w:color="000000"/>
              <w:right w:val="single" w:sz="4" w:space="0" w:color="000000"/>
            </w:tcBorders>
            <w:shd w:val="clear" w:color="auto" w:fill="F7CBAC"/>
          </w:tcPr>
          <w:p w14:paraId="7885E5BE" w14:textId="77777777" w:rsidR="00A0251B" w:rsidRPr="00CC35F0" w:rsidRDefault="008D6506" w:rsidP="00A265F5">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Уредба о увозу моторних возила </w:t>
            </w:r>
          </w:p>
        </w:tc>
      </w:tr>
      <w:tr w:rsidR="00A0251B" w:rsidRPr="00CC35F0" w14:paraId="644E6ECF" w14:textId="77777777">
        <w:trPr>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779BE16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3222F134" w14:textId="77777777" w:rsidR="00A0251B" w:rsidRPr="00CC35F0" w:rsidRDefault="00A0251B">
            <w:pPr>
              <w:jc w:val="center"/>
              <w:rPr>
                <w:rFonts w:ascii="Times New Roman" w:eastAsia="Times New Roman" w:hAnsi="Times New Roman"/>
                <w:sz w:val="24"/>
                <w:szCs w:val="24"/>
                <w:lang w:val="sr-Cyrl-CS"/>
              </w:rPr>
            </w:pPr>
          </w:p>
        </w:tc>
        <w:tc>
          <w:tcPr>
            <w:tcW w:w="1077" w:type="dxa"/>
            <w:tcBorders>
              <w:top w:val="single" w:sz="4" w:space="0" w:color="000000"/>
              <w:left w:val="single" w:sz="4" w:space="0" w:color="000000"/>
              <w:bottom w:val="single" w:sz="4" w:space="0" w:color="000000"/>
              <w:right w:val="single" w:sz="4" w:space="0" w:color="000000"/>
            </w:tcBorders>
            <w:shd w:val="clear" w:color="auto" w:fill="D9D9D9"/>
          </w:tcPr>
          <w:p w14:paraId="018C282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92" w:type="dxa"/>
            <w:tcBorders>
              <w:top w:val="single" w:sz="4" w:space="0" w:color="000000"/>
              <w:left w:val="single" w:sz="4" w:space="0" w:color="000000"/>
              <w:bottom w:val="single" w:sz="4" w:space="0" w:color="000000"/>
              <w:right w:val="single" w:sz="4" w:space="0" w:color="000000"/>
            </w:tcBorders>
            <w:shd w:val="clear" w:color="auto" w:fill="D9D9D9"/>
          </w:tcPr>
          <w:p w14:paraId="78ECB52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Pr>
          <w:p w14:paraId="2BEEB5B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7FBD3DE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Циљана </w:t>
            </w:r>
          </w:p>
          <w:p w14:paraId="19FD021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година</w:t>
            </w:r>
          </w:p>
        </w:tc>
        <w:tc>
          <w:tcPr>
            <w:tcW w:w="1210" w:type="dxa"/>
            <w:tcBorders>
              <w:top w:val="single" w:sz="4" w:space="0" w:color="000000"/>
              <w:left w:val="single" w:sz="4" w:space="0" w:color="000000"/>
              <w:bottom w:val="single" w:sz="4" w:space="0" w:color="000000"/>
              <w:right w:val="single" w:sz="4" w:space="0" w:color="000000"/>
            </w:tcBorders>
            <w:shd w:val="clear" w:color="auto" w:fill="D9D9D9"/>
          </w:tcPr>
          <w:p w14:paraId="1A45FC4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24" w:type="dxa"/>
            <w:tcBorders>
              <w:top w:val="single" w:sz="4" w:space="0" w:color="000000"/>
              <w:left w:val="single" w:sz="4" w:space="0" w:color="000000"/>
              <w:bottom w:val="single" w:sz="4" w:space="0" w:color="000000"/>
              <w:right w:val="single" w:sz="4" w:space="0" w:color="000000"/>
            </w:tcBorders>
            <w:shd w:val="clear" w:color="auto" w:fill="D9D9D9"/>
          </w:tcPr>
          <w:p w14:paraId="09ED0EE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72" w:type="dxa"/>
            <w:tcBorders>
              <w:top w:val="single" w:sz="4" w:space="0" w:color="000000"/>
              <w:left w:val="single" w:sz="4" w:space="0" w:color="000000"/>
              <w:bottom w:val="single" w:sz="4" w:space="0" w:color="000000"/>
              <w:right w:val="single" w:sz="4" w:space="0" w:color="000000"/>
            </w:tcBorders>
            <w:shd w:val="clear" w:color="auto" w:fill="D9D9D9"/>
          </w:tcPr>
          <w:p w14:paraId="6661BA9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26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E3F0FD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085F8C9A"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2FFDE9A5"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Спроведени минимални стандарди за увезена половна возила: Euro 5/V од 1. јануара 2024. </w:t>
            </w:r>
            <w:r w:rsidR="00A46FB0" w:rsidRPr="00CC35F0">
              <w:rPr>
                <w:rFonts w:ascii="Times New Roman" w:eastAsia="Times New Roman" w:hAnsi="Times New Roman"/>
                <w:color w:val="000000"/>
                <w:sz w:val="24"/>
                <w:szCs w:val="24"/>
                <w:lang w:val="sr-Cyrl-CS"/>
              </w:rPr>
              <w:t>године</w:t>
            </w:r>
          </w:p>
          <w:p w14:paraId="3AF92EBE" w14:textId="77777777" w:rsidR="00A0251B" w:rsidRPr="00CC35F0" w:rsidRDefault="00A0251B">
            <w:pPr>
              <w:shd w:val="clear" w:color="auto" w:fill="FFFFFF"/>
              <w:rPr>
                <w:rFonts w:ascii="Times New Roman" w:eastAsia="Times New Roman" w:hAnsi="Times New Roman"/>
                <w:sz w:val="24"/>
                <w:szCs w:val="24"/>
                <w:lang w:val="sr-Cyrl-CS"/>
              </w:rPr>
            </w:pPr>
          </w:p>
        </w:tc>
        <w:tc>
          <w:tcPr>
            <w:tcW w:w="1077" w:type="dxa"/>
            <w:tcBorders>
              <w:top w:val="single" w:sz="4" w:space="0" w:color="000000"/>
              <w:left w:val="single" w:sz="4" w:space="0" w:color="000000"/>
              <w:bottom w:val="single" w:sz="4" w:space="0" w:color="000000"/>
              <w:right w:val="single" w:sz="4" w:space="0" w:color="000000"/>
            </w:tcBorders>
            <w:shd w:val="clear" w:color="auto" w:fill="FFFFFF"/>
          </w:tcPr>
          <w:p w14:paraId="0482F3A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Да/Не</w:t>
            </w:r>
          </w:p>
          <w:p w14:paraId="2ECA5C8F" w14:textId="77777777" w:rsidR="00A0251B" w:rsidRPr="00CC35F0" w:rsidRDefault="00A0251B">
            <w:pPr>
              <w:shd w:val="clear" w:color="auto" w:fill="FFFFFF"/>
              <w:rPr>
                <w:rFonts w:ascii="Times New Roman" w:eastAsia="Times New Roman" w:hAnsi="Times New Roman"/>
                <w:sz w:val="24"/>
                <w:szCs w:val="24"/>
                <w:lang w:val="sr-Cyrl-CS"/>
              </w:rPr>
            </w:pPr>
          </w:p>
          <w:p w14:paraId="244D9C56" w14:textId="77777777" w:rsidR="00A0251B" w:rsidRPr="00CC35F0" w:rsidRDefault="00A0251B">
            <w:pPr>
              <w:shd w:val="clear" w:color="auto" w:fill="FFFFFF"/>
              <w:rPr>
                <w:rFonts w:ascii="Times New Roman" w:eastAsia="Times New Roman" w:hAnsi="Times New Roman"/>
                <w:sz w:val="24"/>
                <w:szCs w:val="24"/>
                <w:lang w:val="sr-Cyrl-CS"/>
              </w:rPr>
            </w:pPr>
          </w:p>
          <w:p w14:paraId="50736688" w14:textId="77777777" w:rsidR="00A0251B" w:rsidRPr="00CC35F0" w:rsidRDefault="00A0251B">
            <w:pPr>
              <w:shd w:val="clear" w:color="auto" w:fill="FFFFFF"/>
              <w:rPr>
                <w:rFonts w:ascii="Times New Roman" w:eastAsia="Times New Roman" w:hAnsi="Times New Roman"/>
                <w:sz w:val="24"/>
                <w:szCs w:val="24"/>
                <w:lang w:val="sr-Cyrl-CS"/>
              </w:rPr>
            </w:pPr>
          </w:p>
        </w:tc>
        <w:tc>
          <w:tcPr>
            <w:tcW w:w="1492" w:type="dxa"/>
            <w:tcBorders>
              <w:top w:val="single" w:sz="4" w:space="0" w:color="000000"/>
              <w:left w:val="single" w:sz="4" w:space="0" w:color="000000"/>
              <w:bottom w:val="single" w:sz="4" w:space="0" w:color="000000"/>
              <w:right w:val="single" w:sz="4" w:space="0" w:color="000000"/>
            </w:tcBorders>
            <w:shd w:val="clear" w:color="auto" w:fill="FFFFFF"/>
          </w:tcPr>
          <w:p w14:paraId="763160B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Годишњи извештај о напредовању мониторинга</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F577F1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3AB30A31"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10" w:type="dxa"/>
            <w:tcBorders>
              <w:top w:val="single" w:sz="4" w:space="0" w:color="000000"/>
              <w:left w:val="single" w:sz="4" w:space="0" w:color="000000"/>
              <w:bottom w:val="single" w:sz="4" w:space="0" w:color="000000"/>
              <w:right w:val="single" w:sz="4" w:space="0" w:color="000000"/>
            </w:tcBorders>
            <w:shd w:val="clear" w:color="auto" w:fill="FFFFFF"/>
          </w:tcPr>
          <w:p w14:paraId="019AD12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524" w:type="dxa"/>
            <w:tcBorders>
              <w:top w:val="single" w:sz="4" w:space="0" w:color="000000"/>
              <w:left w:val="single" w:sz="4" w:space="0" w:color="000000"/>
              <w:bottom w:val="single" w:sz="4" w:space="0" w:color="000000"/>
              <w:right w:val="single" w:sz="4" w:space="0" w:color="000000"/>
            </w:tcBorders>
            <w:shd w:val="clear" w:color="auto" w:fill="FFFFFF"/>
          </w:tcPr>
          <w:p w14:paraId="2B573085"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tc>
        <w:tc>
          <w:tcPr>
            <w:tcW w:w="1572" w:type="dxa"/>
            <w:tcBorders>
              <w:top w:val="single" w:sz="4" w:space="0" w:color="000000"/>
              <w:left w:val="single" w:sz="4" w:space="0" w:color="000000"/>
              <w:bottom w:val="single" w:sz="4" w:space="0" w:color="000000"/>
              <w:right w:val="single" w:sz="4" w:space="0" w:color="000000"/>
            </w:tcBorders>
            <w:shd w:val="clear" w:color="auto" w:fill="FFFFFF"/>
          </w:tcPr>
          <w:p w14:paraId="4AED264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tc>
        <w:tc>
          <w:tcPr>
            <w:tcW w:w="1269" w:type="dxa"/>
            <w:tcBorders>
              <w:top w:val="single" w:sz="4" w:space="0" w:color="000000"/>
              <w:left w:val="single" w:sz="4" w:space="0" w:color="000000"/>
              <w:bottom w:val="single" w:sz="4" w:space="0" w:color="000000"/>
              <w:right w:val="single" w:sz="4" w:space="0" w:color="000000"/>
            </w:tcBorders>
            <w:shd w:val="clear" w:color="auto" w:fill="FFFFFF"/>
          </w:tcPr>
          <w:p w14:paraId="06E1329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tc>
      </w:tr>
      <w:tr w:rsidR="00A0251B" w:rsidRPr="00CC35F0" w14:paraId="1742DFDB"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54A1A212"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Спроведени минимални стандарди за увезена половна возила:  Euro 6/VI од 1. јануара 2025. године</w:t>
            </w:r>
          </w:p>
        </w:tc>
        <w:tc>
          <w:tcPr>
            <w:tcW w:w="1077" w:type="dxa"/>
            <w:tcBorders>
              <w:top w:val="single" w:sz="4" w:space="0" w:color="000000"/>
              <w:left w:val="single" w:sz="4" w:space="0" w:color="000000"/>
              <w:bottom w:val="single" w:sz="4" w:space="0" w:color="000000"/>
              <w:right w:val="single" w:sz="4" w:space="0" w:color="000000"/>
            </w:tcBorders>
            <w:shd w:val="clear" w:color="auto" w:fill="FFFFFF"/>
          </w:tcPr>
          <w:p w14:paraId="57D37A3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Да/Не</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Pr>
          <w:p w14:paraId="670526A3"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Годишњи извештај о напредовању мониторинга</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BA8290F"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0D3C093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10" w:type="dxa"/>
            <w:tcBorders>
              <w:top w:val="single" w:sz="4" w:space="0" w:color="000000"/>
              <w:left w:val="single" w:sz="4" w:space="0" w:color="000000"/>
              <w:bottom w:val="single" w:sz="4" w:space="0" w:color="000000"/>
              <w:right w:val="single" w:sz="4" w:space="0" w:color="000000"/>
            </w:tcBorders>
            <w:shd w:val="clear" w:color="auto" w:fill="FFFFFF"/>
          </w:tcPr>
          <w:p w14:paraId="533ADBA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524" w:type="dxa"/>
            <w:tcBorders>
              <w:top w:val="single" w:sz="4" w:space="0" w:color="000000"/>
              <w:left w:val="single" w:sz="4" w:space="0" w:color="000000"/>
              <w:bottom w:val="single" w:sz="4" w:space="0" w:color="000000"/>
              <w:right w:val="single" w:sz="4" w:space="0" w:color="000000"/>
            </w:tcBorders>
            <w:shd w:val="clear" w:color="auto" w:fill="FFFFFF"/>
          </w:tcPr>
          <w:p w14:paraId="140A3B0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572" w:type="dxa"/>
            <w:tcBorders>
              <w:top w:val="single" w:sz="4" w:space="0" w:color="000000"/>
              <w:left w:val="single" w:sz="4" w:space="0" w:color="000000"/>
              <w:bottom w:val="single" w:sz="4" w:space="0" w:color="000000"/>
              <w:right w:val="single" w:sz="4" w:space="0" w:color="000000"/>
            </w:tcBorders>
            <w:shd w:val="clear" w:color="auto" w:fill="FFFFFF"/>
          </w:tcPr>
          <w:p w14:paraId="6786C0A6"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tc>
        <w:tc>
          <w:tcPr>
            <w:tcW w:w="1269" w:type="dxa"/>
            <w:tcBorders>
              <w:top w:val="single" w:sz="4" w:space="0" w:color="000000"/>
              <w:left w:val="single" w:sz="4" w:space="0" w:color="000000"/>
              <w:bottom w:val="single" w:sz="4" w:space="0" w:color="000000"/>
              <w:right w:val="single" w:sz="4" w:space="0" w:color="000000"/>
            </w:tcBorders>
            <w:shd w:val="clear" w:color="auto" w:fill="FFFFFF"/>
          </w:tcPr>
          <w:p w14:paraId="379982F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tc>
      </w:tr>
    </w:tbl>
    <w:p w14:paraId="7B929405" w14:textId="77777777" w:rsidR="00A0251B" w:rsidRPr="00CC35F0" w:rsidRDefault="00A0251B">
      <w:pPr>
        <w:rPr>
          <w:rFonts w:ascii="Times New Roman" w:eastAsia="Times New Roman" w:hAnsi="Times New Roman"/>
          <w:sz w:val="24"/>
          <w:szCs w:val="24"/>
          <w:lang w:val="sr-Cyrl-CS"/>
        </w:rPr>
      </w:pPr>
    </w:p>
    <w:tbl>
      <w:tblPr>
        <w:tblStyle w:val="aff5"/>
        <w:tblW w:w="13725" w:type="dxa"/>
        <w:tblInd w:w="2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674"/>
        <w:gridCol w:w="2784"/>
        <w:gridCol w:w="1455"/>
        <w:gridCol w:w="1539"/>
        <w:gridCol w:w="1438"/>
        <w:gridCol w:w="1418"/>
        <w:gridCol w:w="1417"/>
      </w:tblGrid>
      <w:tr w:rsidR="00A0251B" w:rsidRPr="00CC35F0" w14:paraId="1E906894" w14:textId="77777777">
        <w:trPr>
          <w:trHeight w:val="227"/>
        </w:trPr>
        <w:tc>
          <w:tcPr>
            <w:tcW w:w="3674" w:type="dxa"/>
            <w:vMerge w:val="restart"/>
            <w:shd w:val="clear" w:color="auto" w:fill="A8D08D"/>
          </w:tcPr>
          <w:p w14:paraId="41457E4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22092F99" w14:textId="77777777" w:rsidR="00A0251B" w:rsidRPr="00CC35F0" w:rsidRDefault="00A0251B">
            <w:pPr>
              <w:jc w:val="center"/>
              <w:rPr>
                <w:rFonts w:ascii="Times New Roman" w:eastAsia="Times New Roman" w:hAnsi="Times New Roman"/>
                <w:sz w:val="24"/>
                <w:szCs w:val="24"/>
                <w:lang w:val="sr-Cyrl-CS"/>
              </w:rPr>
            </w:pPr>
          </w:p>
        </w:tc>
        <w:tc>
          <w:tcPr>
            <w:tcW w:w="2784" w:type="dxa"/>
            <w:vMerge w:val="restart"/>
            <w:shd w:val="clear" w:color="auto" w:fill="A8D08D"/>
          </w:tcPr>
          <w:p w14:paraId="5573CBF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56646BDD" w14:textId="77777777" w:rsidR="00A0251B" w:rsidRPr="00CC35F0" w:rsidRDefault="00A0251B">
            <w:pPr>
              <w:jc w:val="center"/>
              <w:rPr>
                <w:rFonts w:ascii="Times New Roman" w:eastAsia="Times New Roman" w:hAnsi="Times New Roman"/>
                <w:sz w:val="24"/>
                <w:szCs w:val="24"/>
                <w:lang w:val="sr-Cyrl-CS"/>
              </w:rPr>
            </w:pPr>
          </w:p>
        </w:tc>
        <w:tc>
          <w:tcPr>
            <w:tcW w:w="7267" w:type="dxa"/>
            <w:gridSpan w:val="5"/>
            <w:shd w:val="clear" w:color="auto" w:fill="A8D08D"/>
            <w:vAlign w:val="center"/>
          </w:tcPr>
          <w:p w14:paraId="658AF2C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18D61ABB" w14:textId="77777777">
        <w:trPr>
          <w:trHeight w:val="227"/>
        </w:trPr>
        <w:tc>
          <w:tcPr>
            <w:tcW w:w="3674" w:type="dxa"/>
            <w:vMerge/>
            <w:shd w:val="clear" w:color="auto" w:fill="A8D08D"/>
          </w:tcPr>
          <w:p w14:paraId="2508B6A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784" w:type="dxa"/>
            <w:vMerge/>
            <w:shd w:val="clear" w:color="auto" w:fill="A8D08D"/>
          </w:tcPr>
          <w:p w14:paraId="5A540A0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55" w:type="dxa"/>
            <w:shd w:val="clear" w:color="auto" w:fill="A8D08D"/>
            <w:vAlign w:val="center"/>
          </w:tcPr>
          <w:p w14:paraId="65123EF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539" w:type="dxa"/>
            <w:shd w:val="clear" w:color="auto" w:fill="A8D08D"/>
            <w:vAlign w:val="center"/>
          </w:tcPr>
          <w:p w14:paraId="08070E1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438" w:type="dxa"/>
            <w:shd w:val="clear" w:color="auto" w:fill="A8D08D"/>
            <w:vAlign w:val="center"/>
          </w:tcPr>
          <w:p w14:paraId="11B5035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418" w:type="dxa"/>
            <w:shd w:val="clear" w:color="auto" w:fill="A8D08D"/>
            <w:vAlign w:val="center"/>
          </w:tcPr>
          <w:p w14:paraId="684EF3A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417" w:type="dxa"/>
            <w:shd w:val="clear" w:color="auto" w:fill="A8D08D"/>
            <w:vAlign w:val="center"/>
          </w:tcPr>
          <w:p w14:paraId="37E64AF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10938F3A" w14:textId="77777777">
        <w:trPr>
          <w:trHeight w:val="398"/>
        </w:trPr>
        <w:tc>
          <w:tcPr>
            <w:tcW w:w="3674" w:type="dxa"/>
            <w:tcBorders>
              <w:top w:val="single" w:sz="4" w:space="0" w:color="000000"/>
              <w:left w:val="single" w:sz="4" w:space="0" w:color="000000"/>
              <w:bottom w:val="single" w:sz="4" w:space="0" w:color="000000"/>
              <w:right w:val="single" w:sz="4" w:space="0" w:color="000000"/>
            </w:tcBorders>
            <w:shd w:val="clear" w:color="auto" w:fill="FFFFFF"/>
          </w:tcPr>
          <w:p w14:paraId="68CC323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p w14:paraId="7CAFC10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2784" w:type="dxa"/>
            <w:tcBorders>
              <w:top w:val="single" w:sz="4" w:space="0" w:color="000000"/>
              <w:left w:val="single" w:sz="4" w:space="0" w:color="000000"/>
              <w:bottom w:val="single" w:sz="4" w:space="0" w:color="000000"/>
              <w:right w:val="single" w:sz="4" w:space="0" w:color="000000"/>
            </w:tcBorders>
            <w:shd w:val="clear" w:color="auto" w:fill="FFFFFF"/>
          </w:tcPr>
          <w:p w14:paraId="7D8DCB5D" w14:textId="77777777" w:rsidR="00A0251B" w:rsidRPr="00CC35F0" w:rsidRDefault="00A0251B">
            <w:pPr>
              <w:rPr>
                <w:rFonts w:ascii="Times New Roman" w:eastAsia="Times New Roman" w:hAnsi="Times New Roman"/>
                <w:sz w:val="24"/>
                <w:szCs w:val="24"/>
                <w:lang w:val="sr-Cyrl-CS"/>
              </w:rPr>
            </w:pPr>
          </w:p>
          <w:p w14:paraId="43BF9F1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средства/Taiex</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Pr>
          <w:p w14:paraId="29478D13" w14:textId="77777777" w:rsidR="00A0251B" w:rsidRPr="00CC35F0" w:rsidRDefault="00A0251B">
            <w:pPr>
              <w:jc w:val="right"/>
              <w:rPr>
                <w:rFonts w:ascii="Times New Roman" w:eastAsia="Times New Roman" w:hAnsi="Times New Roman"/>
                <w:sz w:val="24"/>
                <w:szCs w:val="24"/>
                <w:lang w:val="sr-Cyrl-CS"/>
              </w:rPr>
            </w:pPr>
          </w:p>
          <w:p w14:paraId="38FBE992" w14:textId="77777777" w:rsidR="00A0251B" w:rsidRPr="00CC35F0" w:rsidRDefault="00A0251B">
            <w:pPr>
              <w:jc w:val="right"/>
              <w:rPr>
                <w:rFonts w:ascii="Times New Roman" w:eastAsia="Times New Roman" w:hAnsi="Times New Roman"/>
                <w:sz w:val="24"/>
                <w:szCs w:val="24"/>
                <w:lang w:val="sr-Cyrl-CS"/>
              </w:rPr>
            </w:pPr>
          </w:p>
        </w:tc>
        <w:tc>
          <w:tcPr>
            <w:tcW w:w="1539" w:type="dxa"/>
            <w:tcBorders>
              <w:top w:val="single" w:sz="4" w:space="0" w:color="000000"/>
              <w:left w:val="single" w:sz="4" w:space="0" w:color="000000"/>
              <w:bottom w:val="single" w:sz="4" w:space="0" w:color="000000"/>
              <w:right w:val="single" w:sz="4" w:space="0" w:color="000000"/>
            </w:tcBorders>
            <w:shd w:val="clear" w:color="auto" w:fill="FFFFFF"/>
          </w:tcPr>
          <w:p w14:paraId="333C4D72" w14:textId="77777777" w:rsidR="00A0251B" w:rsidRPr="00CC35F0" w:rsidRDefault="005346DD">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w:t>
            </w:r>
          </w:p>
        </w:tc>
        <w:tc>
          <w:tcPr>
            <w:tcW w:w="1438" w:type="dxa"/>
            <w:tcBorders>
              <w:top w:val="single" w:sz="4" w:space="0" w:color="000000"/>
              <w:left w:val="single" w:sz="4" w:space="0" w:color="000000"/>
              <w:bottom w:val="single" w:sz="4" w:space="0" w:color="000000"/>
              <w:right w:val="single" w:sz="4" w:space="0" w:color="000000"/>
            </w:tcBorders>
            <w:shd w:val="clear" w:color="auto" w:fill="FFFFFF"/>
          </w:tcPr>
          <w:p w14:paraId="2B73EC3A" w14:textId="77777777" w:rsidR="00A0251B" w:rsidRPr="00CC35F0" w:rsidRDefault="00A0251B">
            <w:pPr>
              <w:jc w:val="right"/>
              <w:rPr>
                <w:rFonts w:ascii="Times New Roman" w:eastAsia="Times New Roman" w:hAnsi="Times New Roman"/>
                <w:sz w:val="24"/>
                <w:szCs w:val="24"/>
                <w:lang w:val="sr-Cyrl-CS"/>
              </w:rPr>
            </w:pPr>
          </w:p>
        </w:tc>
        <w:tc>
          <w:tcPr>
            <w:tcW w:w="1418" w:type="dxa"/>
            <w:tcBorders>
              <w:top w:val="single" w:sz="4" w:space="0" w:color="000000"/>
              <w:left w:val="single" w:sz="4" w:space="0" w:color="000000"/>
              <w:bottom w:val="single" w:sz="4" w:space="0" w:color="000000"/>
              <w:right w:val="single" w:sz="4" w:space="0" w:color="000000"/>
            </w:tcBorders>
            <w:shd w:val="clear" w:color="auto" w:fill="FFFFFF"/>
          </w:tcPr>
          <w:p w14:paraId="193A306F" w14:textId="77777777" w:rsidR="00A0251B" w:rsidRPr="00CC35F0" w:rsidRDefault="00A0251B">
            <w:pPr>
              <w:jc w:val="right"/>
              <w:rPr>
                <w:rFonts w:ascii="Times New Roman" w:eastAsia="Times New Roman" w:hAnsi="Times New Roman"/>
                <w:sz w:val="24"/>
                <w:szCs w:val="24"/>
                <w:lang w:val="sr-Cyrl-CS"/>
              </w:rPr>
            </w:pPr>
          </w:p>
          <w:p w14:paraId="6860D11D" w14:textId="77777777" w:rsidR="00A0251B" w:rsidRPr="00CC35F0" w:rsidRDefault="00A0251B">
            <w:pPr>
              <w:jc w:val="right"/>
              <w:rPr>
                <w:rFonts w:ascii="Times New Roman" w:eastAsia="Times New Roman" w:hAnsi="Times New Roman"/>
                <w:sz w:val="24"/>
                <w:szCs w:val="24"/>
                <w:lang w:val="sr-Cyrl-CS"/>
              </w:rPr>
            </w:pP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6543279D" w14:textId="77777777" w:rsidR="00A0251B" w:rsidRPr="00CC35F0" w:rsidRDefault="00A0251B">
            <w:pPr>
              <w:jc w:val="right"/>
              <w:rPr>
                <w:rFonts w:ascii="Times New Roman" w:eastAsia="Times New Roman" w:hAnsi="Times New Roman"/>
                <w:sz w:val="24"/>
                <w:szCs w:val="24"/>
                <w:lang w:val="sr-Cyrl-CS"/>
              </w:rPr>
            </w:pPr>
          </w:p>
          <w:p w14:paraId="5C53A952" w14:textId="77777777" w:rsidR="00A0251B" w:rsidRPr="00CC35F0" w:rsidRDefault="00A0251B">
            <w:pPr>
              <w:jc w:val="right"/>
              <w:rPr>
                <w:rFonts w:ascii="Times New Roman" w:eastAsia="Times New Roman" w:hAnsi="Times New Roman"/>
                <w:sz w:val="24"/>
                <w:szCs w:val="24"/>
                <w:lang w:val="sr-Cyrl-CS"/>
              </w:rPr>
            </w:pPr>
          </w:p>
        </w:tc>
      </w:tr>
    </w:tbl>
    <w:p w14:paraId="07EA4EC8" w14:textId="77777777" w:rsidR="00A0251B" w:rsidRPr="00CC35F0" w:rsidRDefault="00A0251B">
      <w:pPr>
        <w:rPr>
          <w:rFonts w:ascii="Times New Roman" w:eastAsia="Times New Roman" w:hAnsi="Times New Roman"/>
          <w:sz w:val="24"/>
          <w:szCs w:val="24"/>
          <w:lang w:val="sr-Cyrl-CS"/>
        </w:rPr>
      </w:pPr>
    </w:p>
    <w:tbl>
      <w:tblPr>
        <w:tblStyle w:val="aff6"/>
        <w:tblW w:w="14541"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1715"/>
        <w:gridCol w:w="1698"/>
        <w:gridCol w:w="1820"/>
        <w:gridCol w:w="1427"/>
        <w:gridCol w:w="1716"/>
        <w:gridCol w:w="1565"/>
        <w:gridCol w:w="920"/>
        <w:gridCol w:w="920"/>
        <w:gridCol w:w="920"/>
        <w:gridCol w:w="920"/>
        <w:gridCol w:w="920"/>
      </w:tblGrid>
      <w:tr w:rsidR="00A0251B" w:rsidRPr="00CC35F0" w14:paraId="6415C069" w14:textId="77777777">
        <w:trPr>
          <w:trHeight w:val="140"/>
        </w:trPr>
        <w:tc>
          <w:tcPr>
            <w:tcW w:w="171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2DD16A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Назив активности:</w:t>
            </w:r>
          </w:p>
        </w:tc>
        <w:tc>
          <w:tcPr>
            <w:tcW w:w="169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36BB409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820"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8A9A99C" w14:textId="77777777" w:rsidR="00A0251B" w:rsidRPr="00CC35F0" w:rsidRDefault="008D6506">
            <w:pPr>
              <w:jc w:val="center"/>
              <w:rPr>
                <w:rFonts w:ascii="Times New Roman" w:eastAsia="Times New Roman" w:hAnsi="Times New Roman"/>
                <w:sz w:val="24"/>
                <w:szCs w:val="24"/>
                <w:lang w:val="sr-Cyrl-CS"/>
              </w:rPr>
            </w:pPr>
            <w:bookmarkStart w:id="128" w:name="_heading=h.338fx5o" w:colFirst="0" w:colLast="0"/>
            <w:bookmarkEnd w:id="128"/>
            <w:r w:rsidRPr="00CC35F0">
              <w:rPr>
                <w:rFonts w:ascii="Times New Roman" w:eastAsia="Times New Roman" w:hAnsi="Times New Roman"/>
                <w:sz w:val="24"/>
                <w:szCs w:val="24"/>
                <w:lang w:val="sr-Cyrl-CS"/>
              </w:rPr>
              <w:t>Партнерски органи у спровођењу активности</w:t>
            </w:r>
          </w:p>
        </w:tc>
        <w:tc>
          <w:tcPr>
            <w:tcW w:w="142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FDCADD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спровођење активности</w:t>
            </w:r>
          </w:p>
        </w:tc>
        <w:tc>
          <w:tcPr>
            <w:tcW w:w="1716"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0053D9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41782D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350387E3" w14:textId="77777777" w:rsidR="00A0251B" w:rsidRPr="00CC35F0" w:rsidRDefault="00A0251B">
            <w:pPr>
              <w:jc w:val="center"/>
              <w:rPr>
                <w:rFonts w:ascii="Times New Roman" w:eastAsia="Times New Roman" w:hAnsi="Times New Roman"/>
                <w:sz w:val="24"/>
                <w:szCs w:val="24"/>
                <w:lang w:val="sr-Cyrl-CS"/>
              </w:rPr>
            </w:pPr>
          </w:p>
        </w:tc>
        <w:tc>
          <w:tcPr>
            <w:tcW w:w="4600" w:type="dxa"/>
            <w:gridSpan w:val="5"/>
            <w:tcBorders>
              <w:top w:val="single" w:sz="4" w:space="0" w:color="000000"/>
              <w:left w:val="single" w:sz="4" w:space="0" w:color="000000"/>
              <w:bottom w:val="single" w:sz="4" w:space="0" w:color="000000"/>
              <w:right w:val="single" w:sz="4" w:space="0" w:color="000000"/>
            </w:tcBorders>
            <w:shd w:val="clear" w:color="auto" w:fill="FFF2CC"/>
          </w:tcPr>
          <w:p w14:paraId="6380ED20" w14:textId="77777777" w:rsidR="00A0251B" w:rsidRPr="00CC35F0" w:rsidRDefault="008D6506">
            <w:pPr>
              <w:jc w:val="cente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00601E7A" w:rsidRPr="00CC35F0">
              <w:rPr>
                <w:rFonts w:ascii="Times New Roman" w:eastAsia="Times New Roman" w:hAnsi="Times New Roman"/>
                <w:sz w:val="24"/>
                <w:szCs w:val="24"/>
                <w:vertAlign w:val="superscript"/>
                <w:lang w:val="sr-Cyrl-CS"/>
              </w:rPr>
              <w:t>82</w:t>
            </w:r>
          </w:p>
        </w:tc>
      </w:tr>
      <w:tr w:rsidR="00A0251B" w:rsidRPr="00CC35F0" w14:paraId="10955C95" w14:textId="77777777">
        <w:trPr>
          <w:trHeight w:val="386"/>
        </w:trPr>
        <w:tc>
          <w:tcPr>
            <w:tcW w:w="1715" w:type="dxa"/>
            <w:vMerge/>
            <w:tcBorders>
              <w:top w:val="single" w:sz="4" w:space="0" w:color="000000"/>
              <w:left w:val="single" w:sz="4" w:space="0" w:color="000000"/>
              <w:bottom w:val="single" w:sz="4" w:space="0" w:color="000000"/>
              <w:right w:val="single" w:sz="4" w:space="0" w:color="000000"/>
            </w:tcBorders>
            <w:shd w:val="clear" w:color="auto" w:fill="FFF2CC"/>
          </w:tcPr>
          <w:p w14:paraId="3183698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98" w:type="dxa"/>
            <w:vMerge/>
            <w:tcBorders>
              <w:top w:val="single" w:sz="4" w:space="0" w:color="000000"/>
              <w:left w:val="single" w:sz="4" w:space="0" w:color="000000"/>
              <w:bottom w:val="single" w:sz="4" w:space="0" w:color="000000"/>
              <w:right w:val="single" w:sz="4" w:space="0" w:color="000000"/>
            </w:tcBorders>
            <w:shd w:val="clear" w:color="auto" w:fill="FFF2CC"/>
          </w:tcPr>
          <w:p w14:paraId="1974B47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820" w:type="dxa"/>
            <w:vMerge/>
            <w:tcBorders>
              <w:top w:val="single" w:sz="4" w:space="0" w:color="000000"/>
              <w:left w:val="single" w:sz="4" w:space="0" w:color="000000"/>
              <w:bottom w:val="single" w:sz="4" w:space="0" w:color="000000"/>
              <w:right w:val="single" w:sz="4" w:space="0" w:color="000000"/>
            </w:tcBorders>
            <w:shd w:val="clear" w:color="auto" w:fill="FFF2CC"/>
          </w:tcPr>
          <w:p w14:paraId="2D3C1133"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7" w:type="dxa"/>
            <w:vMerge/>
            <w:tcBorders>
              <w:top w:val="single" w:sz="4" w:space="0" w:color="000000"/>
              <w:left w:val="single" w:sz="4" w:space="0" w:color="000000"/>
              <w:bottom w:val="single" w:sz="4" w:space="0" w:color="000000"/>
              <w:right w:val="single" w:sz="4" w:space="0" w:color="000000"/>
            </w:tcBorders>
            <w:shd w:val="clear" w:color="auto" w:fill="FFF2CC"/>
          </w:tcPr>
          <w:p w14:paraId="746C8E7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16" w:type="dxa"/>
            <w:vMerge/>
            <w:tcBorders>
              <w:top w:val="single" w:sz="4" w:space="0" w:color="000000"/>
              <w:left w:val="single" w:sz="4" w:space="0" w:color="000000"/>
              <w:bottom w:val="single" w:sz="4" w:space="0" w:color="000000"/>
              <w:right w:val="single" w:sz="4" w:space="0" w:color="000000"/>
            </w:tcBorders>
            <w:shd w:val="clear" w:color="auto" w:fill="FFF2CC"/>
          </w:tcPr>
          <w:p w14:paraId="03A178BE"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5" w:type="dxa"/>
            <w:vMerge/>
            <w:tcBorders>
              <w:top w:val="single" w:sz="4" w:space="0" w:color="000000"/>
              <w:left w:val="single" w:sz="4" w:space="0" w:color="000000"/>
              <w:bottom w:val="single" w:sz="4" w:space="0" w:color="000000"/>
              <w:right w:val="single" w:sz="4" w:space="0" w:color="000000"/>
            </w:tcBorders>
            <w:shd w:val="clear" w:color="auto" w:fill="FFF2CC"/>
          </w:tcPr>
          <w:p w14:paraId="64A1D5E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20" w:type="dxa"/>
            <w:shd w:val="clear" w:color="auto" w:fill="FFF2CC"/>
          </w:tcPr>
          <w:p w14:paraId="2F97162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920" w:type="dxa"/>
            <w:shd w:val="clear" w:color="auto" w:fill="FFF2CC"/>
          </w:tcPr>
          <w:p w14:paraId="523A4C0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20" w:type="dxa"/>
            <w:shd w:val="clear" w:color="auto" w:fill="FFF2CC"/>
          </w:tcPr>
          <w:p w14:paraId="2182C12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920" w:type="dxa"/>
            <w:shd w:val="clear" w:color="auto" w:fill="FFF2CC"/>
          </w:tcPr>
          <w:p w14:paraId="303868C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920" w:type="dxa"/>
            <w:shd w:val="clear" w:color="auto" w:fill="FFF2CC"/>
          </w:tcPr>
          <w:p w14:paraId="7F1981C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5BCE6EBE" w14:textId="77777777">
        <w:trPr>
          <w:trHeight w:val="543"/>
        </w:trPr>
        <w:tc>
          <w:tcPr>
            <w:tcW w:w="1715" w:type="dxa"/>
            <w:tcBorders>
              <w:top w:val="single" w:sz="4" w:space="0" w:color="000000"/>
              <w:left w:val="single" w:sz="4" w:space="0" w:color="000000"/>
              <w:bottom w:val="single" w:sz="4" w:space="0" w:color="000000"/>
              <w:right w:val="single" w:sz="4" w:space="0" w:color="000000"/>
            </w:tcBorders>
          </w:tcPr>
          <w:p w14:paraId="4D0D8224" w14:textId="77777777" w:rsidR="00A0251B" w:rsidRPr="009B069A" w:rsidRDefault="008D6506" w:rsidP="005922A7">
            <w:pPr>
              <w:rPr>
                <w:rFonts w:ascii="Times New Roman" w:eastAsia="Times New Roman" w:hAnsi="Times New Roman"/>
                <w:lang w:val="sr-Cyrl-CS"/>
              </w:rPr>
            </w:pPr>
            <w:bookmarkStart w:id="129" w:name="_heading=h.1idq7dh" w:colFirst="0" w:colLast="0"/>
            <w:bookmarkEnd w:id="129"/>
            <w:r w:rsidRPr="009B069A">
              <w:rPr>
                <w:rFonts w:ascii="Times New Roman" w:eastAsia="Times New Roman" w:hAnsi="Times New Roman"/>
                <w:lang w:val="sr-Cyrl-CS"/>
              </w:rPr>
              <w:t>1.1.4.1</w:t>
            </w:r>
            <w:r w:rsidRPr="009B069A">
              <w:rPr>
                <w:rFonts w:ascii="Times New Roman" w:eastAsia="Times New Roman" w:hAnsi="Times New Roman"/>
                <w:color w:val="000000"/>
                <w:lang w:val="sr-Cyrl-CS"/>
              </w:rPr>
              <w:t xml:space="preserve"> Измена и допуна Уредбе о ув</w:t>
            </w:r>
            <w:r w:rsidR="005922A7" w:rsidRPr="009B069A">
              <w:rPr>
                <w:rFonts w:ascii="Times New Roman" w:eastAsia="Times New Roman" w:hAnsi="Times New Roman"/>
                <w:color w:val="000000"/>
                <w:lang w:val="sr-Cyrl-CS"/>
              </w:rPr>
              <w:t>озу моторних возила</w:t>
            </w:r>
            <w:r w:rsidRPr="009B069A">
              <w:rPr>
                <w:rFonts w:ascii="Times New Roman" w:eastAsia="Times New Roman" w:hAnsi="Times New Roman"/>
                <w:color w:val="000000"/>
                <w:lang w:val="sr-Cyrl-CS"/>
              </w:rPr>
              <w:t>, стандарда за увезене путничке аутомобиле, теретна возила и аутобусе. Минимални стандарди су Euro 5/V</w:t>
            </w:r>
            <w:r w:rsidRPr="009B069A">
              <w:rPr>
                <w:rFonts w:ascii="Times New Roman" w:eastAsia="Times New Roman" w:hAnsi="Times New Roman"/>
                <w:b/>
                <w:color w:val="000000"/>
                <w:lang w:val="sr-Cyrl-CS"/>
              </w:rPr>
              <w:t xml:space="preserve"> </w:t>
            </w:r>
            <w:r w:rsidRPr="009B069A">
              <w:rPr>
                <w:rFonts w:ascii="Times New Roman" w:eastAsia="Times New Roman" w:hAnsi="Times New Roman"/>
                <w:color w:val="000000"/>
                <w:lang w:val="sr-Cyrl-CS"/>
              </w:rPr>
              <w:t>од 1. јануара 2024. и Euro 6/VI од 1. јануара 2025. године.</w:t>
            </w:r>
          </w:p>
        </w:tc>
        <w:tc>
          <w:tcPr>
            <w:tcW w:w="1698" w:type="dxa"/>
            <w:tcBorders>
              <w:top w:val="single" w:sz="4" w:space="0" w:color="000000"/>
              <w:left w:val="single" w:sz="4" w:space="0" w:color="000000"/>
              <w:bottom w:val="single" w:sz="4" w:space="0" w:color="000000"/>
              <w:right w:val="single" w:sz="4" w:space="0" w:color="000000"/>
            </w:tcBorders>
          </w:tcPr>
          <w:p w14:paraId="1A4679E5" w14:textId="77777777" w:rsidR="00A0251B" w:rsidRPr="009B069A" w:rsidRDefault="008D6506">
            <w:pPr>
              <w:rPr>
                <w:rFonts w:ascii="Times New Roman" w:eastAsia="Times New Roman" w:hAnsi="Times New Roman"/>
                <w:color w:val="000000"/>
                <w:lang w:val="sr-Cyrl-CS"/>
              </w:rPr>
            </w:pPr>
            <w:r w:rsidRPr="009B069A">
              <w:rPr>
                <w:rFonts w:ascii="Times New Roman" w:eastAsia="Times New Roman" w:hAnsi="Times New Roman"/>
                <w:color w:val="000000"/>
                <w:lang w:val="sr-Cyrl-CS"/>
              </w:rPr>
              <w:t>Министарство унутрашње и спољне трговине</w:t>
            </w:r>
          </w:p>
          <w:p w14:paraId="1CBEFF5D" w14:textId="77777777" w:rsidR="00A0251B" w:rsidRPr="009B069A" w:rsidRDefault="00A0251B">
            <w:pPr>
              <w:rPr>
                <w:rFonts w:ascii="Times New Roman" w:eastAsia="Times New Roman" w:hAnsi="Times New Roman"/>
                <w:lang w:val="sr-Cyrl-CS"/>
              </w:rPr>
            </w:pPr>
          </w:p>
        </w:tc>
        <w:tc>
          <w:tcPr>
            <w:tcW w:w="1820" w:type="dxa"/>
            <w:tcBorders>
              <w:top w:val="single" w:sz="4" w:space="0" w:color="000000"/>
              <w:left w:val="single" w:sz="4" w:space="0" w:color="000000"/>
              <w:bottom w:val="single" w:sz="4" w:space="0" w:color="000000"/>
              <w:right w:val="single" w:sz="4" w:space="0" w:color="000000"/>
            </w:tcBorders>
          </w:tcPr>
          <w:p w14:paraId="66575CF6" w14:textId="77777777" w:rsidR="00A0251B" w:rsidRPr="009B069A" w:rsidRDefault="008D6506">
            <w:pPr>
              <w:rPr>
                <w:rFonts w:ascii="Times New Roman" w:eastAsia="Times New Roman" w:hAnsi="Times New Roman"/>
                <w:lang w:val="sr-Cyrl-CS"/>
              </w:rPr>
            </w:pPr>
            <w:r w:rsidRPr="009B069A">
              <w:rPr>
                <w:rFonts w:ascii="Times New Roman" w:eastAsia="Times New Roman" w:hAnsi="Times New Roman"/>
                <w:lang w:val="sr-Cyrl-CS"/>
              </w:rPr>
              <w:t>МЗЖС</w:t>
            </w:r>
          </w:p>
          <w:p w14:paraId="409642D4" w14:textId="77777777" w:rsidR="00A0251B" w:rsidRPr="009B069A" w:rsidRDefault="008D6506">
            <w:pPr>
              <w:rPr>
                <w:rFonts w:ascii="Times New Roman" w:eastAsia="Times New Roman" w:hAnsi="Times New Roman"/>
                <w:lang w:val="sr-Cyrl-CS"/>
              </w:rPr>
            </w:pPr>
            <w:r w:rsidRPr="009B069A">
              <w:rPr>
                <w:rFonts w:ascii="Times New Roman" w:eastAsia="Times New Roman" w:hAnsi="Times New Roman"/>
                <w:lang w:val="sr-Cyrl-CS"/>
              </w:rPr>
              <w:t>МГСИ,</w:t>
            </w:r>
          </w:p>
          <w:p w14:paraId="5F8E8359" w14:textId="77777777" w:rsidR="00A0251B" w:rsidRPr="009B069A" w:rsidRDefault="008D6506">
            <w:pPr>
              <w:jc w:val="left"/>
              <w:rPr>
                <w:rFonts w:ascii="Times New Roman" w:eastAsia="Times New Roman" w:hAnsi="Times New Roman"/>
                <w:color w:val="000000"/>
                <w:lang w:val="sr-Cyrl-CS"/>
              </w:rPr>
            </w:pPr>
            <w:r w:rsidRPr="009B069A">
              <w:rPr>
                <w:rFonts w:ascii="Times New Roman" w:eastAsia="Times New Roman" w:hAnsi="Times New Roman"/>
                <w:color w:val="000000"/>
                <w:lang w:val="sr-Cyrl-CS"/>
              </w:rPr>
              <w:t xml:space="preserve">Агенција за безбедност саобраћаја, </w:t>
            </w:r>
          </w:p>
          <w:p w14:paraId="7951E058" w14:textId="77777777" w:rsidR="00A0251B" w:rsidRPr="009B069A" w:rsidRDefault="008D6506">
            <w:pPr>
              <w:rPr>
                <w:rFonts w:ascii="Times New Roman" w:eastAsia="Times New Roman" w:hAnsi="Times New Roman"/>
                <w:lang w:val="sr-Cyrl-CS"/>
              </w:rPr>
            </w:pPr>
            <w:r w:rsidRPr="009B069A">
              <w:rPr>
                <w:rFonts w:ascii="Times New Roman" w:eastAsia="Times New Roman" w:hAnsi="Times New Roman"/>
                <w:color w:val="000000"/>
                <w:lang w:val="sr-Cyrl-CS"/>
              </w:rPr>
              <w:t>Министарство финансија</w:t>
            </w:r>
          </w:p>
        </w:tc>
        <w:tc>
          <w:tcPr>
            <w:tcW w:w="1427" w:type="dxa"/>
            <w:tcBorders>
              <w:top w:val="single" w:sz="4" w:space="0" w:color="000000"/>
              <w:left w:val="single" w:sz="4" w:space="0" w:color="000000"/>
              <w:bottom w:val="single" w:sz="4" w:space="0" w:color="000000"/>
              <w:right w:val="single" w:sz="4" w:space="0" w:color="000000"/>
            </w:tcBorders>
          </w:tcPr>
          <w:p w14:paraId="55188934" w14:textId="77777777" w:rsidR="00A0251B" w:rsidRPr="009B069A" w:rsidRDefault="008D6506">
            <w:pPr>
              <w:jc w:val="center"/>
              <w:rPr>
                <w:rFonts w:ascii="Times New Roman" w:eastAsia="Times New Roman" w:hAnsi="Times New Roman"/>
                <w:lang w:val="sr-Cyrl-CS"/>
              </w:rPr>
            </w:pPr>
            <w:r w:rsidRPr="009B069A">
              <w:rPr>
                <w:rFonts w:ascii="Times New Roman" w:eastAsia="Times New Roman" w:hAnsi="Times New Roman"/>
                <w:lang w:val="sr-Cyrl-CS"/>
              </w:rPr>
              <w:t>IV квартал 2023</w:t>
            </w:r>
          </w:p>
        </w:tc>
        <w:tc>
          <w:tcPr>
            <w:tcW w:w="1716" w:type="dxa"/>
            <w:tcBorders>
              <w:top w:val="single" w:sz="4" w:space="0" w:color="000000"/>
              <w:left w:val="single" w:sz="4" w:space="0" w:color="000000"/>
              <w:bottom w:val="single" w:sz="4" w:space="0" w:color="000000"/>
              <w:right w:val="single" w:sz="4" w:space="0" w:color="000000"/>
            </w:tcBorders>
          </w:tcPr>
          <w:p w14:paraId="295465D6" w14:textId="77777777" w:rsidR="00A0251B" w:rsidRPr="009B069A" w:rsidRDefault="008D6506">
            <w:pPr>
              <w:jc w:val="center"/>
              <w:rPr>
                <w:rFonts w:ascii="Times New Roman" w:eastAsia="Times New Roman" w:hAnsi="Times New Roman"/>
                <w:lang w:val="sr-Cyrl-CS"/>
              </w:rPr>
            </w:pPr>
            <w:r w:rsidRPr="009B069A">
              <w:rPr>
                <w:rFonts w:ascii="Times New Roman" w:eastAsia="Times New Roman" w:hAnsi="Times New Roman"/>
                <w:lang w:val="sr-Cyrl-CS"/>
              </w:rPr>
              <w:t>Донаторска средства/Taiex</w:t>
            </w:r>
          </w:p>
        </w:tc>
        <w:tc>
          <w:tcPr>
            <w:tcW w:w="1565" w:type="dxa"/>
            <w:tcBorders>
              <w:top w:val="single" w:sz="4" w:space="0" w:color="000000"/>
              <w:left w:val="single" w:sz="4" w:space="0" w:color="000000"/>
              <w:bottom w:val="single" w:sz="4" w:space="0" w:color="000000"/>
              <w:right w:val="single" w:sz="4" w:space="0" w:color="000000"/>
            </w:tcBorders>
          </w:tcPr>
          <w:p w14:paraId="25D38355" w14:textId="77777777" w:rsidR="00A0251B" w:rsidRPr="00CC35F0" w:rsidRDefault="00A0251B">
            <w:pPr>
              <w:jc w:val="right"/>
              <w:rPr>
                <w:rFonts w:ascii="Times New Roman" w:eastAsia="Times New Roman" w:hAnsi="Times New Roman"/>
                <w:sz w:val="24"/>
                <w:szCs w:val="24"/>
                <w:lang w:val="sr-Cyrl-CS"/>
              </w:rPr>
            </w:pPr>
          </w:p>
        </w:tc>
        <w:tc>
          <w:tcPr>
            <w:tcW w:w="920" w:type="dxa"/>
            <w:tcBorders>
              <w:top w:val="single" w:sz="4" w:space="0" w:color="000000"/>
              <w:left w:val="single" w:sz="4" w:space="0" w:color="000000"/>
              <w:bottom w:val="single" w:sz="4" w:space="0" w:color="000000"/>
              <w:right w:val="single" w:sz="4" w:space="0" w:color="000000"/>
            </w:tcBorders>
          </w:tcPr>
          <w:p w14:paraId="3E621D62" w14:textId="77777777" w:rsidR="00A0251B" w:rsidRPr="00CC35F0" w:rsidRDefault="00A0251B">
            <w:pPr>
              <w:jc w:val="right"/>
              <w:rPr>
                <w:rFonts w:ascii="Times New Roman" w:eastAsia="Times New Roman" w:hAnsi="Times New Roman"/>
                <w:sz w:val="24"/>
                <w:szCs w:val="24"/>
                <w:lang w:val="sr-Cyrl-CS"/>
              </w:rPr>
            </w:pPr>
          </w:p>
        </w:tc>
        <w:tc>
          <w:tcPr>
            <w:tcW w:w="920" w:type="dxa"/>
            <w:tcBorders>
              <w:top w:val="single" w:sz="4" w:space="0" w:color="000000"/>
              <w:left w:val="single" w:sz="4" w:space="0" w:color="000000"/>
              <w:bottom w:val="single" w:sz="4" w:space="0" w:color="000000"/>
              <w:right w:val="single" w:sz="4" w:space="0" w:color="000000"/>
            </w:tcBorders>
          </w:tcPr>
          <w:p w14:paraId="550E19B5" w14:textId="77777777" w:rsidR="00A0251B" w:rsidRPr="00CC35F0" w:rsidRDefault="005346DD">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w:t>
            </w:r>
          </w:p>
        </w:tc>
        <w:tc>
          <w:tcPr>
            <w:tcW w:w="920" w:type="dxa"/>
            <w:tcBorders>
              <w:top w:val="single" w:sz="4" w:space="0" w:color="000000"/>
              <w:left w:val="single" w:sz="4" w:space="0" w:color="000000"/>
              <w:bottom w:val="single" w:sz="4" w:space="0" w:color="000000"/>
              <w:right w:val="single" w:sz="4" w:space="0" w:color="000000"/>
            </w:tcBorders>
          </w:tcPr>
          <w:p w14:paraId="18FD1E2E" w14:textId="77777777" w:rsidR="00A0251B" w:rsidRPr="00CC35F0" w:rsidRDefault="00A0251B">
            <w:pPr>
              <w:jc w:val="right"/>
              <w:rPr>
                <w:rFonts w:ascii="Times New Roman" w:eastAsia="Times New Roman" w:hAnsi="Times New Roman"/>
                <w:sz w:val="24"/>
                <w:szCs w:val="24"/>
                <w:lang w:val="sr-Cyrl-CS"/>
              </w:rPr>
            </w:pPr>
          </w:p>
        </w:tc>
        <w:tc>
          <w:tcPr>
            <w:tcW w:w="920" w:type="dxa"/>
            <w:tcBorders>
              <w:top w:val="single" w:sz="4" w:space="0" w:color="000000"/>
              <w:left w:val="single" w:sz="4" w:space="0" w:color="000000"/>
              <w:bottom w:val="single" w:sz="4" w:space="0" w:color="000000"/>
              <w:right w:val="single" w:sz="4" w:space="0" w:color="000000"/>
            </w:tcBorders>
          </w:tcPr>
          <w:p w14:paraId="417B93FE" w14:textId="77777777" w:rsidR="00A0251B" w:rsidRPr="00CC35F0" w:rsidRDefault="00A0251B">
            <w:pPr>
              <w:rPr>
                <w:rFonts w:ascii="Times New Roman" w:eastAsia="Times New Roman" w:hAnsi="Times New Roman"/>
                <w:sz w:val="24"/>
                <w:szCs w:val="24"/>
                <w:lang w:val="sr-Cyrl-CS"/>
              </w:rPr>
            </w:pPr>
          </w:p>
        </w:tc>
        <w:tc>
          <w:tcPr>
            <w:tcW w:w="920" w:type="dxa"/>
            <w:tcBorders>
              <w:top w:val="single" w:sz="4" w:space="0" w:color="000000"/>
              <w:left w:val="single" w:sz="4" w:space="0" w:color="000000"/>
              <w:bottom w:val="single" w:sz="4" w:space="0" w:color="000000"/>
              <w:right w:val="single" w:sz="4" w:space="0" w:color="000000"/>
            </w:tcBorders>
          </w:tcPr>
          <w:p w14:paraId="3CE9437A" w14:textId="77777777" w:rsidR="00A0251B" w:rsidRPr="00CC35F0" w:rsidRDefault="00A0251B">
            <w:pPr>
              <w:rPr>
                <w:rFonts w:ascii="Times New Roman" w:eastAsia="Times New Roman" w:hAnsi="Times New Roman"/>
                <w:sz w:val="24"/>
                <w:szCs w:val="24"/>
                <w:lang w:val="sr-Cyrl-CS"/>
              </w:rPr>
            </w:pPr>
          </w:p>
        </w:tc>
      </w:tr>
      <w:tr w:rsidR="00A0251B" w:rsidRPr="00CC35F0" w14:paraId="1A6FDDB1" w14:textId="77777777">
        <w:trPr>
          <w:trHeight w:val="543"/>
        </w:trPr>
        <w:tc>
          <w:tcPr>
            <w:tcW w:w="1715" w:type="dxa"/>
            <w:tcBorders>
              <w:top w:val="single" w:sz="4" w:space="0" w:color="000000"/>
              <w:left w:val="single" w:sz="4" w:space="0" w:color="000000"/>
              <w:bottom w:val="single" w:sz="4" w:space="0" w:color="000000"/>
              <w:right w:val="single" w:sz="4" w:space="0" w:color="000000"/>
            </w:tcBorders>
            <w:shd w:val="clear" w:color="auto" w:fill="auto"/>
          </w:tcPr>
          <w:p w14:paraId="197B5D8C" w14:textId="77777777" w:rsidR="00A0251B" w:rsidRPr="009B069A" w:rsidRDefault="009B069A">
            <w:pPr>
              <w:rPr>
                <w:rFonts w:ascii="Times New Roman" w:eastAsia="Times New Roman" w:hAnsi="Times New Roman"/>
                <w:lang w:val="sr-Cyrl-CS"/>
              </w:rPr>
            </w:pPr>
            <w:r w:rsidRPr="009B069A">
              <w:rPr>
                <w:rFonts w:ascii="Times New Roman" w:eastAsia="Times New Roman" w:hAnsi="Times New Roman"/>
                <w:color w:val="000000"/>
                <w:lang w:val="sr-Cyrl-CS"/>
              </w:rPr>
              <w:t xml:space="preserve">1.1.4.2 </w:t>
            </w:r>
            <w:r w:rsidR="008D6506" w:rsidRPr="009B069A">
              <w:rPr>
                <w:rFonts w:ascii="Times New Roman" w:eastAsia="Times New Roman" w:hAnsi="Times New Roman"/>
                <w:color w:val="000000"/>
                <w:lang w:val="sr-Cyrl-CS"/>
              </w:rPr>
              <w:t>Усаглашавање са ажурираним минималним захтевима за путничке аутомобиле, теретна возила и аутобусе.</w:t>
            </w:r>
          </w:p>
        </w:tc>
        <w:tc>
          <w:tcPr>
            <w:tcW w:w="1698" w:type="dxa"/>
            <w:tcBorders>
              <w:top w:val="single" w:sz="4" w:space="0" w:color="000000"/>
              <w:left w:val="single" w:sz="4" w:space="0" w:color="000000"/>
              <w:bottom w:val="single" w:sz="4" w:space="0" w:color="000000"/>
              <w:right w:val="single" w:sz="4" w:space="0" w:color="000000"/>
            </w:tcBorders>
          </w:tcPr>
          <w:p w14:paraId="2CC07444" w14:textId="77777777" w:rsidR="00A0251B" w:rsidRPr="009B069A" w:rsidRDefault="008D6506">
            <w:pPr>
              <w:rPr>
                <w:rFonts w:ascii="Times New Roman" w:eastAsia="Times New Roman" w:hAnsi="Times New Roman"/>
                <w:color w:val="000000"/>
                <w:lang w:val="sr-Cyrl-CS"/>
              </w:rPr>
            </w:pPr>
            <w:r w:rsidRPr="009B069A">
              <w:rPr>
                <w:rFonts w:ascii="Times New Roman" w:eastAsia="Times New Roman" w:hAnsi="Times New Roman"/>
                <w:color w:val="000000"/>
                <w:lang w:val="sr-Cyrl-CS"/>
              </w:rPr>
              <w:t>Министарство унутрашње и спољне трговине</w:t>
            </w:r>
          </w:p>
        </w:tc>
        <w:tc>
          <w:tcPr>
            <w:tcW w:w="1820" w:type="dxa"/>
            <w:tcBorders>
              <w:top w:val="single" w:sz="4" w:space="0" w:color="000000"/>
              <w:left w:val="single" w:sz="4" w:space="0" w:color="000000"/>
              <w:bottom w:val="single" w:sz="4" w:space="0" w:color="000000"/>
              <w:right w:val="single" w:sz="4" w:space="0" w:color="000000"/>
            </w:tcBorders>
          </w:tcPr>
          <w:p w14:paraId="6E391537" w14:textId="77777777" w:rsidR="00A0251B" w:rsidRPr="009B069A" w:rsidRDefault="008D6506">
            <w:pPr>
              <w:jc w:val="left"/>
              <w:rPr>
                <w:rFonts w:ascii="Times New Roman" w:eastAsia="Times New Roman" w:hAnsi="Times New Roman"/>
                <w:color w:val="000000"/>
                <w:lang w:val="sr-Cyrl-CS"/>
              </w:rPr>
            </w:pPr>
            <w:r w:rsidRPr="009B069A">
              <w:rPr>
                <w:rFonts w:ascii="Times New Roman" w:eastAsia="Times New Roman" w:hAnsi="Times New Roman"/>
                <w:color w:val="000000"/>
                <w:lang w:val="sr-Cyrl-CS"/>
              </w:rPr>
              <w:t xml:space="preserve">Агенција за безбедност саобраћаја, </w:t>
            </w:r>
          </w:p>
          <w:p w14:paraId="1EEFC7E2" w14:textId="77777777" w:rsidR="00A0251B" w:rsidRPr="009B069A" w:rsidRDefault="008D6506">
            <w:pPr>
              <w:rPr>
                <w:rFonts w:ascii="Times New Roman" w:eastAsia="Times New Roman" w:hAnsi="Times New Roman"/>
                <w:lang w:val="sr-Cyrl-CS"/>
              </w:rPr>
            </w:pPr>
            <w:r w:rsidRPr="009B069A">
              <w:rPr>
                <w:rFonts w:ascii="Times New Roman" w:eastAsia="Times New Roman" w:hAnsi="Times New Roman"/>
                <w:color w:val="000000"/>
                <w:lang w:val="sr-Cyrl-CS"/>
              </w:rPr>
              <w:t>Министарство финансија</w:t>
            </w:r>
          </w:p>
        </w:tc>
        <w:tc>
          <w:tcPr>
            <w:tcW w:w="1427" w:type="dxa"/>
            <w:tcBorders>
              <w:top w:val="single" w:sz="4" w:space="0" w:color="000000"/>
              <w:left w:val="single" w:sz="4" w:space="0" w:color="000000"/>
              <w:bottom w:val="single" w:sz="4" w:space="0" w:color="000000"/>
              <w:right w:val="single" w:sz="4" w:space="0" w:color="000000"/>
            </w:tcBorders>
          </w:tcPr>
          <w:p w14:paraId="6FD3E7F7" w14:textId="77777777" w:rsidR="00A0251B" w:rsidRPr="009B069A" w:rsidRDefault="008D6506">
            <w:pPr>
              <w:rPr>
                <w:rFonts w:ascii="Times New Roman" w:eastAsia="Times New Roman" w:hAnsi="Times New Roman"/>
                <w:lang w:val="sr-Cyrl-CS"/>
              </w:rPr>
            </w:pPr>
            <w:r w:rsidRPr="009B069A">
              <w:rPr>
                <w:rFonts w:ascii="Times New Roman" w:eastAsia="Times New Roman" w:hAnsi="Times New Roman"/>
                <w:lang w:val="sr-Cyrl-CS"/>
              </w:rPr>
              <w:t>2023- IV квартал 2025</w:t>
            </w:r>
          </w:p>
        </w:tc>
        <w:tc>
          <w:tcPr>
            <w:tcW w:w="1716" w:type="dxa"/>
            <w:tcBorders>
              <w:top w:val="single" w:sz="4" w:space="0" w:color="000000"/>
              <w:left w:val="single" w:sz="4" w:space="0" w:color="000000"/>
              <w:bottom w:val="single" w:sz="4" w:space="0" w:color="000000"/>
              <w:right w:val="single" w:sz="4" w:space="0" w:color="000000"/>
            </w:tcBorders>
          </w:tcPr>
          <w:p w14:paraId="2F76D7C8" w14:textId="77777777" w:rsidR="00A0251B" w:rsidRPr="009B069A" w:rsidRDefault="008D6506">
            <w:pPr>
              <w:rPr>
                <w:rFonts w:ascii="Times New Roman" w:eastAsia="Times New Roman" w:hAnsi="Times New Roman"/>
                <w:lang w:val="sr-Cyrl-CS"/>
              </w:rPr>
            </w:pPr>
            <w:r w:rsidRPr="009B069A">
              <w:rPr>
                <w:rFonts w:ascii="Times New Roman" w:eastAsia="Times New Roman" w:hAnsi="Times New Roman"/>
                <w:lang w:val="sr-Cyrl-CS"/>
              </w:rPr>
              <w:t>Инвеститори и потрошачи</w:t>
            </w:r>
          </w:p>
        </w:tc>
        <w:tc>
          <w:tcPr>
            <w:tcW w:w="1565" w:type="dxa"/>
            <w:tcBorders>
              <w:top w:val="single" w:sz="4" w:space="0" w:color="000000"/>
              <w:left w:val="single" w:sz="4" w:space="0" w:color="000000"/>
              <w:bottom w:val="single" w:sz="4" w:space="0" w:color="000000"/>
              <w:right w:val="single" w:sz="4" w:space="0" w:color="000000"/>
            </w:tcBorders>
          </w:tcPr>
          <w:p w14:paraId="7D40E09B" w14:textId="77777777" w:rsidR="00A0251B" w:rsidRPr="00CC35F0" w:rsidRDefault="00A0251B">
            <w:pPr>
              <w:jc w:val="right"/>
              <w:rPr>
                <w:rFonts w:ascii="Times New Roman" w:eastAsia="Times New Roman" w:hAnsi="Times New Roman"/>
                <w:sz w:val="24"/>
                <w:szCs w:val="24"/>
                <w:lang w:val="sr-Cyrl-CS"/>
              </w:rPr>
            </w:pPr>
          </w:p>
        </w:tc>
        <w:tc>
          <w:tcPr>
            <w:tcW w:w="920" w:type="dxa"/>
            <w:tcBorders>
              <w:top w:val="single" w:sz="4" w:space="0" w:color="000000"/>
              <w:left w:val="single" w:sz="4" w:space="0" w:color="000000"/>
              <w:bottom w:val="single" w:sz="4" w:space="0" w:color="000000"/>
              <w:right w:val="single" w:sz="4" w:space="0" w:color="000000"/>
            </w:tcBorders>
          </w:tcPr>
          <w:p w14:paraId="3CF5890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3297A38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7E69F3F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41C06CB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0E16C42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bl>
    <w:p w14:paraId="50989AC1" w14:textId="77777777" w:rsidR="00A0251B" w:rsidRPr="00CC35F0" w:rsidRDefault="008D6506" w:rsidP="00DC4692">
      <w:pPr>
        <w:spacing w:after="160"/>
        <w:jc w:val="left"/>
        <w:rPr>
          <w:rFonts w:ascii="Times New Roman" w:eastAsia="Times New Roman" w:hAnsi="Times New Roman"/>
          <w:sz w:val="24"/>
          <w:szCs w:val="24"/>
          <w:lang w:val="sr-Cyrl-CS"/>
        </w:rPr>
      </w:pPr>
      <w:r w:rsidRPr="00CC35F0">
        <w:rPr>
          <w:lang w:val="sr-Cyrl-CS"/>
        </w:rPr>
        <w:br w:type="page"/>
      </w:r>
    </w:p>
    <w:tbl>
      <w:tblPr>
        <w:tblStyle w:val="aff7"/>
        <w:tblW w:w="14152"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8"/>
        <w:gridCol w:w="1077"/>
        <w:gridCol w:w="1492"/>
        <w:gridCol w:w="1129"/>
        <w:gridCol w:w="1211"/>
        <w:gridCol w:w="1648"/>
        <w:gridCol w:w="1536"/>
        <w:gridCol w:w="1572"/>
        <w:gridCol w:w="1269"/>
      </w:tblGrid>
      <w:tr w:rsidR="00A0251B" w:rsidRPr="00CC35F0" w14:paraId="039D8323" w14:textId="77777777">
        <w:trPr>
          <w:trHeight w:val="168"/>
        </w:trPr>
        <w:tc>
          <w:tcPr>
            <w:tcW w:w="14152" w:type="dxa"/>
            <w:gridSpan w:val="9"/>
            <w:tcBorders>
              <w:top w:val="single" w:sz="4" w:space="0" w:color="000000"/>
              <w:left w:val="single" w:sz="4" w:space="0" w:color="000000"/>
              <w:bottom w:val="single" w:sz="4" w:space="0" w:color="000000"/>
              <w:right w:val="single" w:sz="4" w:space="0" w:color="000000"/>
            </w:tcBorders>
            <w:shd w:val="clear" w:color="auto" w:fill="F7CBAC"/>
          </w:tcPr>
          <w:p w14:paraId="0975B49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Мера 1.1.5: </w:t>
            </w:r>
            <w:r w:rsidRPr="00CC35F0">
              <w:rPr>
                <w:rFonts w:ascii="Times New Roman" w:eastAsia="Times New Roman" w:hAnsi="Times New Roman"/>
                <w:b/>
                <w:sz w:val="24"/>
                <w:szCs w:val="24"/>
                <w:lang w:val="sr-Cyrl-CS"/>
              </w:rPr>
              <w:t xml:space="preserve">Додатна обнова возног парка од финансијских подстицаја за дерегистрацију/отпремање најстаријих Euro 1, 2 и 3 дизел путничких возила и теретних возила(изузев N3), и EURO I, II и III дизел аутобуса у рециклажне центре  </w:t>
            </w:r>
          </w:p>
        </w:tc>
      </w:tr>
      <w:tr w:rsidR="00A0251B" w:rsidRPr="00CC35F0" w14:paraId="76E25A3D" w14:textId="77777777">
        <w:trPr>
          <w:trHeight w:val="298"/>
        </w:trPr>
        <w:tc>
          <w:tcPr>
            <w:tcW w:w="14152" w:type="dxa"/>
            <w:gridSpan w:val="9"/>
            <w:tcBorders>
              <w:top w:val="single" w:sz="4" w:space="0" w:color="000000"/>
              <w:left w:val="single" w:sz="4" w:space="0" w:color="000000"/>
              <w:bottom w:val="single" w:sz="4" w:space="0" w:color="000000"/>
              <w:right w:val="single" w:sz="4" w:space="0" w:color="000000"/>
            </w:tcBorders>
            <w:shd w:val="clear" w:color="auto" w:fill="F7CBAC"/>
            <w:vAlign w:val="center"/>
          </w:tcPr>
          <w:p w14:paraId="4CBC825F"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Министарство финансија </w:t>
            </w:r>
          </w:p>
        </w:tc>
      </w:tr>
      <w:tr w:rsidR="00A0251B" w:rsidRPr="00CC35F0" w14:paraId="1CEC37DE" w14:textId="77777777">
        <w:trPr>
          <w:trHeight w:val="298"/>
        </w:trPr>
        <w:tc>
          <w:tcPr>
            <w:tcW w:w="5787" w:type="dxa"/>
            <w:gridSpan w:val="3"/>
            <w:tcBorders>
              <w:top w:val="single" w:sz="4" w:space="0" w:color="000000"/>
              <w:left w:val="single" w:sz="4" w:space="0" w:color="000000"/>
              <w:bottom w:val="single" w:sz="4" w:space="0" w:color="000000"/>
              <w:right w:val="single" w:sz="4" w:space="0" w:color="000000"/>
            </w:tcBorders>
            <w:shd w:val="clear" w:color="auto" w:fill="F7CBAC"/>
          </w:tcPr>
          <w:p w14:paraId="64ACCD4B"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Период спровођење: 2024-2026</w:t>
            </w:r>
            <w:r w:rsidR="00387DCC" w:rsidRPr="00CC35F0">
              <w:rPr>
                <w:rFonts w:ascii="Times New Roman" w:eastAsia="Times New Roman" w:hAnsi="Times New Roman"/>
                <w:sz w:val="24"/>
                <w:szCs w:val="24"/>
                <w:vertAlign w:val="superscript"/>
                <w:lang w:val="sr-Cyrl-CS"/>
              </w:rPr>
              <w:t>#</w:t>
            </w:r>
          </w:p>
        </w:tc>
        <w:tc>
          <w:tcPr>
            <w:tcW w:w="8365" w:type="dxa"/>
            <w:gridSpan w:val="6"/>
            <w:tcBorders>
              <w:top w:val="single" w:sz="4" w:space="0" w:color="000000"/>
              <w:left w:val="single" w:sz="4" w:space="0" w:color="000000"/>
              <w:bottom w:val="single" w:sz="4" w:space="0" w:color="000000"/>
              <w:right w:val="single" w:sz="4" w:space="0" w:color="000000"/>
            </w:tcBorders>
            <w:shd w:val="clear" w:color="auto" w:fill="F7CBAC"/>
          </w:tcPr>
          <w:p w14:paraId="544CAF4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Подстицајна мера</w:t>
            </w:r>
          </w:p>
        </w:tc>
      </w:tr>
      <w:tr w:rsidR="00A0251B" w:rsidRPr="00CC35F0" w14:paraId="23ECC42A" w14:textId="77777777">
        <w:trPr>
          <w:trHeight w:val="298"/>
        </w:trPr>
        <w:tc>
          <w:tcPr>
            <w:tcW w:w="5787" w:type="dxa"/>
            <w:gridSpan w:val="3"/>
            <w:tcBorders>
              <w:top w:val="single" w:sz="4" w:space="0" w:color="000000"/>
              <w:left w:val="single" w:sz="4" w:space="0" w:color="000000"/>
              <w:bottom w:val="single" w:sz="4" w:space="0" w:color="000000"/>
              <w:right w:val="single" w:sz="4" w:space="0" w:color="000000"/>
            </w:tcBorders>
            <w:shd w:val="clear" w:color="auto" w:fill="F7CBAC"/>
          </w:tcPr>
          <w:p w14:paraId="2D27FEA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8365" w:type="dxa"/>
            <w:gridSpan w:val="6"/>
            <w:tcBorders>
              <w:top w:val="single" w:sz="4" w:space="0" w:color="000000"/>
              <w:left w:val="single" w:sz="4" w:space="0" w:color="000000"/>
              <w:bottom w:val="single" w:sz="4" w:space="0" w:color="000000"/>
              <w:right w:val="single" w:sz="4" w:space="0" w:color="000000"/>
            </w:tcBorders>
            <w:shd w:val="clear" w:color="auto" w:fill="F7CBAC"/>
          </w:tcPr>
          <w:p w14:paraId="7261906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Уредба о финансијским подстицајима за рециклажу најстаријих дизел путничких возила и теретних возила(изузев N3)  Euro 1, 2 и 3 и за дизел аутобусе EURO I, II и III</w:t>
            </w:r>
          </w:p>
        </w:tc>
      </w:tr>
      <w:tr w:rsidR="00A0251B" w:rsidRPr="00CC35F0" w14:paraId="5EA18E37" w14:textId="77777777">
        <w:trPr>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4D2E3A8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01881A86" w14:textId="77777777" w:rsidR="00A0251B" w:rsidRPr="00CC35F0" w:rsidRDefault="00A0251B">
            <w:pPr>
              <w:jc w:val="center"/>
              <w:rPr>
                <w:rFonts w:ascii="Times New Roman" w:eastAsia="Times New Roman" w:hAnsi="Times New Roman"/>
                <w:sz w:val="24"/>
                <w:szCs w:val="24"/>
                <w:lang w:val="sr-Cyrl-CS"/>
              </w:rPr>
            </w:pPr>
          </w:p>
        </w:tc>
        <w:tc>
          <w:tcPr>
            <w:tcW w:w="1077" w:type="dxa"/>
            <w:tcBorders>
              <w:top w:val="single" w:sz="4" w:space="0" w:color="000000"/>
              <w:left w:val="single" w:sz="4" w:space="0" w:color="000000"/>
              <w:bottom w:val="single" w:sz="4" w:space="0" w:color="000000"/>
              <w:right w:val="single" w:sz="4" w:space="0" w:color="000000"/>
            </w:tcBorders>
            <w:shd w:val="clear" w:color="auto" w:fill="D9D9D9"/>
          </w:tcPr>
          <w:p w14:paraId="5D6E331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92" w:type="dxa"/>
            <w:tcBorders>
              <w:top w:val="single" w:sz="4" w:space="0" w:color="000000"/>
              <w:left w:val="single" w:sz="4" w:space="0" w:color="000000"/>
              <w:bottom w:val="single" w:sz="4" w:space="0" w:color="000000"/>
              <w:right w:val="single" w:sz="4" w:space="0" w:color="000000"/>
            </w:tcBorders>
            <w:shd w:val="clear" w:color="auto" w:fill="D9D9D9"/>
          </w:tcPr>
          <w:p w14:paraId="67ABAE5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129" w:type="dxa"/>
            <w:tcBorders>
              <w:top w:val="single" w:sz="4" w:space="0" w:color="000000"/>
              <w:left w:val="single" w:sz="4" w:space="0" w:color="000000"/>
              <w:bottom w:val="single" w:sz="4" w:space="0" w:color="000000"/>
              <w:right w:val="single" w:sz="4" w:space="0" w:color="000000"/>
            </w:tcBorders>
            <w:shd w:val="clear" w:color="auto" w:fill="D9D9D9"/>
          </w:tcPr>
          <w:p w14:paraId="404CE80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211" w:type="dxa"/>
            <w:tcBorders>
              <w:top w:val="single" w:sz="4" w:space="0" w:color="000000"/>
              <w:left w:val="single" w:sz="4" w:space="0" w:color="000000"/>
              <w:bottom w:val="single" w:sz="4" w:space="0" w:color="000000"/>
              <w:right w:val="single" w:sz="4" w:space="0" w:color="000000"/>
            </w:tcBorders>
            <w:shd w:val="clear" w:color="auto" w:fill="D9D9D9"/>
          </w:tcPr>
          <w:p w14:paraId="616DF78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648" w:type="dxa"/>
            <w:tcBorders>
              <w:top w:val="single" w:sz="4" w:space="0" w:color="000000"/>
              <w:left w:val="single" w:sz="4" w:space="0" w:color="000000"/>
              <w:bottom w:val="single" w:sz="4" w:space="0" w:color="000000"/>
              <w:right w:val="single" w:sz="4" w:space="0" w:color="000000"/>
            </w:tcBorders>
            <w:shd w:val="clear" w:color="auto" w:fill="D9D9D9"/>
          </w:tcPr>
          <w:p w14:paraId="52BE15F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6" w:type="dxa"/>
            <w:tcBorders>
              <w:top w:val="single" w:sz="4" w:space="0" w:color="000000"/>
              <w:left w:val="single" w:sz="4" w:space="0" w:color="000000"/>
              <w:bottom w:val="single" w:sz="4" w:space="0" w:color="000000"/>
              <w:right w:val="single" w:sz="4" w:space="0" w:color="000000"/>
            </w:tcBorders>
            <w:shd w:val="clear" w:color="auto" w:fill="D9D9D9"/>
          </w:tcPr>
          <w:p w14:paraId="615C89D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72" w:type="dxa"/>
            <w:tcBorders>
              <w:top w:val="single" w:sz="4" w:space="0" w:color="000000"/>
              <w:left w:val="single" w:sz="4" w:space="0" w:color="000000"/>
              <w:bottom w:val="single" w:sz="4" w:space="0" w:color="000000"/>
              <w:right w:val="single" w:sz="4" w:space="0" w:color="000000"/>
            </w:tcBorders>
            <w:shd w:val="clear" w:color="auto" w:fill="D9D9D9"/>
          </w:tcPr>
          <w:p w14:paraId="36215F1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26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949C89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45F9ED78"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76D9BEC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Регистрована возила послата на дерегистрацију/ у рециклажне центре кроз шему подстицаја</w:t>
            </w:r>
          </w:p>
        </w:tc>
        <w:tc>
          <w:tcPr>
            <w:tcW w:w="1077" w:type="dxa"/>
            <w:tcBorders>
              <w:top w:val="single" w:sz="4" w:space="0" w:color="000000"/>
              <w:left w:val="single" w:sz="4" w:space="0" w:color="000000"/>
              <w:bottom w:val="single" w:sz="4" w:space="0" w:color="000000"/>
              <w:right w:val="single" w:sz="4" w:space="0" w:color="000000"/>
            </w:tcBorders>
            <w:shd w:val="clear" w:color="auto" w:fill="FFFFFF"/>
          </w:tcPr>
          <w:p w14:paraId="1A77C5BC" w14:textId="77777777" w:rsidR="00A0251B" w:rsidRPr="00CC35F0" w:rsidRDefault="008D6506">
            <w:pPr>
              <w:shd w:val="clear" w:color="auto" w:fill="FFFFFF"/>
              <w:rPr>
                <w:rFonts w:ascii="Times New Roman" w:eastAsia="Times New Roman" w:hAnsi="Times New Roman"/>
                <w:sz w:val="24"/>
                <w:szCs w:val="24"/>
                <w:highlight w:val="red"/>
                <w:lang w:val="sr-Cyrl-CS"/>
              </w:rPr>
            </w:pPr>
            <w:r w:rsidRPr="00CC35F0">
              <w:rPr>
                <w:rFonts w:ascii="Times New Roman" w:eastAsia="Times New Roman" w:hAnsi="Times New Roman"/>
                <w:sz w:val="24"/>
                <w:szCs w:val="24"/>
                <w:lang w:val="sr-Cyrl-CS"/>
              </w:rPr>
              <w:t>Број регистрованих возила отпремљених у рециклажне центре</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Pr>
          <w:p w14:paraId="7FE98C0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Удружење рециклера Србије и Министарство финансија </w:t>
            </w:r>
          </w:p>
        </w:tc>
        <w:tc>
          <w:tcPr>
            <w:tcW w:w="1129" w:type="dxa"/>
            <w:tcBorders>
              <w:top w:val="single" w:sz="4" w:space="0" w:color="000000"/>
              <w:left w:val="single" w:sz="4" w:space="0" w:color="000000"/>
              <w:bottom w:val="single" w:sz="4" w:space="0" w:color="000000"/>
              <w:right w:val="single" w:sz="4" w:space="0" w:color="000000"/>
            </w:tcBorders>
            <w:shd w:val="clear" w:color="auto" w:fill="FFFFFF"/>
          </w:tcPr>
          <w:p w14:paraId="3DAE7E87" w14:textId="77777777" w:rsidR="00A0251B" w:rsidRPr="00CC35F0" w:rsidRDefault="008D6506">
            <w:pPr>
              <w:shd w:val="clear" w:color="auto" w:fill="FFFFFF"/>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211" w:type="dxa"/>
            <w:tcBorders>
              <w:top w:val="single" w:sz="4" w:space="0" w:color="000000"/>
              <w:left w:val="single" w:sz="4" w:space="0" w:color="000000"/>
              <w:bottom w:val="single" w:sz="4" w:space="0" w:color="000000"/>
              <w:right w:val="single" w:sz="4" w:space="0" w:color="000000"/>
            </w:tcBorders>
            <w:shd w:val="clear" w:color="auto" w:fill="FFFFFF"/>
          </w:tcPr>
          <w:p w14:paraId="6A38D6AF" w14:textId="77777777" w:rsidR="00A0251B" w:rsidRPr="00CC35F0" w:rsidRDefault="008D6506">
            <w:pPr>
              <w:shd w:val="clear" w:color="auto" w:fill="FFFFFF"/>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648" w:type="dxa"/>
            <w:tcBorders>
              <w:top w:val="single" w:sz="4" w:space="0" w:color="000000"/>
              <w:left w:val="single" w:sz="4" w:space="0" w:color="000000"/>
              <w:bottom w:val="single" w:sz="4" w:space="0" w:color="000000"/>
              <w:right w:val="single" w:sz="4" w:space="0" w:color="000000"/>
            </w:tcBorders>
            <w:shd w:val="clear" w:color="auto" w:fill="FFFFFF"/>
          </w:tcPr>
          <w:p w14:paraId="2190E905" w14:textId="77777777" w:rsidR="00A0251B" w:rsidRPr="00CC35F0" w:rsidRDefault="008D6506">
            <w:pPr>
              <w:shd w:val="clear" w:color="auto" w:fill="FFFFFF"/>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536" w:type="dxa"/>
            <w:tcBorders>
              <w:top w:val="single" w:sz="4" w:space="0" w:color="000000"/>
              <w:left w:val="single" w:sz="4" w:space="0" w:color="000000"/>
              <w:bottom w:val="single" w:sz="4" w:space="0" w:color="000000"/>
              <w:right w:val="single" w:sz="4" w:space="0" w:color="000000"/>
            </w:tcBorders>
            <w:shd w:val="clear" w:color="auto" w:fill="FFFFFF"/>
          </w:tcPr>
          <w:p w14:paraId="4F481871" w14:textId="77777777" w:rsidR="00A0251B" w:rsidRPr="00CC35F0" w:rsidRDefault="008D6506">
            <w:pPr>
              <w:shd w:val="clear" w:color="auto" w:fill="FFFFFF"/>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77.200</w:t>
            </w:r>
          </w:p>
        </w:tc>
        <w:tc>
          <w:tcPr>
            <w:tcW w:w="1572" w:type="dxa"/>
            <w:tcBorders>
              <w:top w:val="single" w:sz="4" w:space="0" w:color="000000"/>
              <w:left w:val="single" w:sz="4" w:space="0" w:color="000000"/>
              <w:bottom w:val="single" w:sz="4" w:space="0" w:color="000000"/>
              <w:right w:val="single" w:sz="4" w:space="0" w:color="000000"/>
            </w:tcBorders>
            <w:shd w:val="clear" w:color="auto" w:fill="FFFFFF"/>
          </w:tcPr>
          <w:p w14:paraId="1BDE86A9" w14:textId="77777777" w:rsidR="00A0251B" w:rsidRPr="00CC35F0" w:rsidRDefault="008D6506">
            <w:pPr>
              <w:shd w:val="clear" w:color="auto" w:fill="FFFFFF"/>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45.100</w:t>
            </w:r>
          </w:p>
        </w:tc>
        <w:tc>
          <w:tcPr>
            <w:tcW w:w="1269" w:type="dxa"/>
            <w:tcBorders>
              <w:top w:val="single" w:sz="4" w:space="0" w:color="000000"/>
              <w:left w:val="single" w:sz="4" w:space="0" w:color="000000"/>
              <w:bottom w:val="single" w:sz="4" w:space="0" w:color="000000"/>
              <w:right w:val="single" w:sz="4" w:space="0" w:color="000000"/>
            </w:tcBorders>
            <w:shd w:val="clear" w:color="auto" w:fill="FFFFFF"/>
          </w:tcPr>
          <w:p w14:paraId="42E0D28B" w14:textId="77777777" w:rsidR="00A0251B" w:rsidRPr="00CC35F0" w:rsidRDefault="008D6506">
            <w:pPr>
              <w:shd w:val="clear" w:color="auto" w:fill="FFFFFF"/>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17.900</w:t>
            </w:r>
          </w:p>
        </w:tc>
      </w:tr>
    </w:tbl>
    <w:p w14:paraId="2017FFAB" w14:textId="77777777" w:rsidR="00A0251B" w:rsidRPr="00CC35F0" w:rsidRDefault="00A0251B">
      <w:pPr>
        <w:rPr>
          <w:rFonts w:ascii="Times New Roman" w:eastAsia="Times New Roman" w:hAnsi="Times New Roman"/>
          <w:sz w:val="24"/>
          <w:szCs w:val="24"/>
          <w:lang w:val="sr-Cyrl-CS"/>
        </w:rPr>
      </w:pPr>
    </w:p>
    <w:tbl>
      <w:tblPr>
        <w:tblStyle w:val="aff8"/>
        <w:tblW w:w="1411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674"/>
        <w:gridCol w:w="1981"/>
        <w:gridCol w:w="1560"/>
        <w:gridCol w:w="1559"/>
        <w:gridCol w:w="1530"/>
        <w:gridCol w:w="1634"/>
        <w:gridCol w:w="2177"/>
      </w:tblGrid>
      <w:tr w:rsidR="00A0251B" w:rsidRPr="00CC35F0" w14:paraId="70EF523F" w14:textId="77777777">
        <w:trPr>
          <w:trHeight w:val="227"/>
        </w:trPr>
        <w:tc>
          <w:tcPr>
            <w:tcW w:w="3674" w:type="dxa"/>
            <w:vMerge w:val="restart"/>
            <w:shd w:val="clear" w:color="auto" w:fill="A8D08D"/>
          </w:tcPr>
          <w:p w14:paraId="53B80C4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56BAD7E1" w14:textId="77777777" w:rsidR="00A0251B" w:rsidRPr="00CC35F0" w:rsidRDefault="00A0251B">
            <w:pPr>
              <w:jc w:val="center"/>
              <w:rPr>
                <w:rFonts w:ascii="Times New Roman" w:eastAsia="Times New Roman" w:hAnsi="Times New Roman"/>
                <w:sz w:val="24"/>
                <w:szCs w:val="24"/>
                <w:lang w:val="sr-Cyrl-CS"/>
              </w:rPr>
            </w:pPr>
          </w:p>
        </w:tc>
        <w:tc>
          <w:tcPr>
            <w:tcW w:w="1981" w:type="dxa"/>
            <w:vMerge w:val="restart"/>
            <w:shd w:val="clear" w:color="auto" w:fill="A8D08D"/>
          </w:tcPr>
          <w:p w14:paraId="58F8AA6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8460" w:type="dxa"/>
            <w:gridSpan w:val="5"/>
            <w:shd w:val="clear" w:color="auto" w:fill="A8D08D"/>
            <w:vAlign w:val="center"/>
          </w:tcPr>
          <w:p w14:paraId="56AE1F3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34963A84" w14:textId="77777777">
        <w:trPr>
          <w:trHeight w:val="227"/>
        </w:trPr>
        <w:tc>
          <w:tcPr>
            <w:tcW w:w="3674" w:type="dxa"/>
            <w:vMerge/>
            <w:shd w:val="clear" w:color="auto" w:fill="A8D08D"/>
          </w:tcPr>
          <w:p w14:paraId="2833249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981" w:type="dxa"/>
            <w:vMerge/>
            <w:shd w:val="clear" w:color="auto" w:fill="A8D08D"/>
          </w:tcPr>
          <w:p w14:paraId="4D1059E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0" w:type="dxa"/>
            <w:shd w:val="clear" w:color="auto" w:fill="A8D08D"/>
            <w:vAlign w:val="center"/>
          </w:tcPr>
          <w:p w14:paraId="0755B59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559" w:type="dxa"/>
            <w:shd w:val="clear" w:color="auto" w:fill="A8D08D"/>
            <w:vAlign w:val="center"/>
          </w:tcPr>
          <w:p w14:paraId="7E24C81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530" w:type="dxa"/>
            <w:shd w:val="clear" w:color="auto" w:fill="A8D08D"/>
            <w:vAlign w:val="center"/>
          </w:tcPr>
          <w:p w14:paraId="641DBAF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634" w:type="dxa"/>
            <w:shd w:val="clear" w:color="auto" w:fill="A8D08D"/>
            <w:vAlign w:val="center"/>
          </w:tcPr>
          <w:p w14:paraId="639AFCB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2177" w:type="dxa"/>
            <w:shd w:val="clear" w:color="auto" w:fill="A8D08D"/>
            <w:vAlign w:val="center"/>
          </w:tcPr>
          <w:p w14:paraId="4BDE921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3827A7AB" w14:textId="77777777">
        <w:trPr>
          <w:trHeight w:val="398"/>
        </w:trPr>
        <w:tc>
          <w:tcPr>
            <w:tcW w:w="3674" w:type="dxa"/>
            <w:shd w:val="clear" w:color="auto" w:fill="FFFFFF"/>
          </w:tcPr>
          <w:p w14:paraId="024FB77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Буџетски приходи </w:t>
            </w:r>
          </w:p>
        </w:tc>
        <w:tc>
          <w:tcPr>
            <w:tcW w:w="1981" w:type="dxa"/>
            <w:shd w:val="clear" w:color="auto" w:fill="FFFFFF"/>
          </w:tcPr>
          <w:p w14:paraId="473E1E1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p w14:paraId="3514DAE8" w14:textId="77777777" w:rsidR="00A0251B" w:rsidRPr="00CC35F0" w:rsidRDefault="00A0251B">
            <w:pPr>
              <w:jc w:val="center"/>
              <w:rPr>
                <w:rFonts w:ascii="Times New Roman" w:eastAsia="Times New Roman" w:hAnsi="Times New Roman"/>
                <w:sz w:val="24"/>
                <w:szCs w:val="24"/>
                <w:lang w:val="sr-Cyrl-CS"/>
              </w:rPr>
            </w:pPr>
          </w:p>
        </w:tc>
        <w:tc>
          <w:tcPr>
            <w:tcW w:w="1560" w:type="dxa"/>
            <w:shd w:val="clear" w:color="auto" w:fill="FFFFFF"/>
          </w:tcPr>
          <w:p w14:paraId="7C1EC78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w:t>
            </w:r>
          </w:p>
        </w:tc>
        <w:tc>
          <w:tcPr>
            <w:tcW w:w="1559" w:type="dxa"/>
            <w:shd w:val="clear" w:color="auto" w:fill="FFFFFF"/>
          </w:tcPr>
          <w:p w14:paraId="43D875C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w:t>
            </w:r>
          </w:p>
        </w:tc>
        <w:tc>
          <w:tcPr>
            <w:tcW w:w="1530" w:type="dxa"/>
            <w:shd w:val="clear" w:color="auto" w:fill="FFFFFF"/>
          </w:tcPr>
          <w:p w14:paraId="622C46DC" w14:textId="77777777" w:rsidR="00A0251B" w:rsidRPr="00CC35F0" w:rsidRDefault="008D6506">
            <w:pPr>
              <w:jc w:val="right"/>
              <w:rPr>
                <w:rFonts w:ascii="Times New Roman" w:eastAsia="Times New Roman" w:hAnsi="Times New Roman"/>
                <w:strike/>
                <w:sz w:val="24"/>
                <w:szCs w:val="24"/>
                <w:lang w:val="sr-Cyrl-CS"/>
              </w:rPr>
            </w:pPr>
            <w:r w:rsidRPr="00CC35F0">
              <w:rPr>
                <w:rFonts w:ascii="Times New Roman" w:eastAsia="Times New Roman" w:hAnsi="Times New Roman"/>
                <w:strike/>
                <w:color w:val="000000"/>
                <w:sz w:val="24"/>
                <w:szCs w:val="24"/>
                <w:lang w:val="sr-Cyrl-CS"/>
              </w:rPr>
              <w:t>-</w:t>
            </w:r>
          </w:p>
        </w:tc>
        <w:tc>
          <w:tcPr>
            <w:tcW w:w="1634" w:type="dxa"/>
            <w:shd w:val="clear" w:color="auto" w:fill="FFFFFF"/>
          </w:tcPr>
          <w:p w14:paraId="57A75CC2" w14:textId="77777777" w:rsidR="00A0251B" w:rsidRPr="00CC35F0" w:rsidRDefault="008D6506">
            <w:pPr>
              <w:jc w:val="right"/>
              <w:rPr>
                <w:rFonts w:ascii="Times New Roman" w:eastAsia="Times New Roman" w:hAnsi="Times New Roman"/>
                <w:strike/>
                <w:sz w:val="24"/>
                <w:szCs w:val="24"/>
                <w:lang w:val="sr-Cyrl-CS"/>
              </w:rPr>
            </w:pPr>
            <w:r w:rsidRPr="00CC35F0">
              <w:rPr>
                <w:rFonts w:ascii="Times New Roman" w:eastAsia="Times New Roman" w:hAnsi="Times New Roman"/>
                <w:strike/>
                <w:color w:val="000000"/>
                <w:sz w:val="24"/>
                <w:szCs w:val="24"/>
                <w:lang w:val="sr-Cyrl-CS"/>
              </w:rPr>
              <w:t>-</w:t>
            </w:r>
          </w:p>
        </w:tc>
        <w:tc>
          <w:tcPr>
            <w:tcW w:w="2177" w:type="dxa"/>
            <w:shd w:val="clear" w:color="auto" w:fill="FFFFFF"/>
          </w:tcPr>
          <w:p w14:paraId="4A9E5B76" w14:textId="77777777" w:rsidR="00A0251B" w:rsidRPr="00CC35F0" w:rsidRDefault="008D6506">
            <w:pPr>
              <w:jc w:val="right"/>
              <w:rPr>
                <w:rFonts w:ascii="Times New Roman" w:eastAsia="Times New Roman" w:hAnsi="Times New Roman"/>
                <w:strike/>
                <w:sz w:val="24"/>
                <w:szCs w:val="24"/>
                <w:lang w:val="sr-Cyrl-CS"/>
              </w:rPr>
            </w:pPr>
            <w:r w:rsidRPr="00CC35F0">
              <w:rPr>
                <w:rFonts w:ascii="Times New Roman" w:eastAsia="Times New Roman" w:hAnsi="Times New Roman"/>
                <w:strike/>
                <w:color w:val="000000"/>
                <w:sz w:val="24"/>
                <w:szCs w:val="24"/>
                <w:lang w:val="sr-Cyrl-CS"/>
              </w:rPr>
              <w:t>-</w:t>
            </w:r>
          </w:p>
        </w:tc>
      </w:tr>
      <w:tr w:rsidR="00A0251B" w:rsidRPr="00CC35F0" w14:paraId="152A1832" w14:textId="77777777">
        <w:trPr>
          <w:trHeight w:val="398"/>
        </w:trPr>
        <w:tc>
          <w:tcPr>
            <w:tcW w:w="3674" w:type="dxa"/>
            <w:shd w:val="clear" w:color="auto" w:fill="FFFFFF"/>
          </w:tcPr>
          <w:p w14:paraId="645810E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tc>
        <w:tc>
          <w:tcPr>
            <w:tcW w:w="1981" w:type="dxa"/>
            <w:shd w:val="clear" w:color="auto" w:fill="FFFFFF"/>
          </w:tcPr>
          <w:p w14:paraId="218C65B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560" w:type="dxa"/>
            <w:shd w:val="clear" w:color="auto" w:fill="FFFFFF"/>
          </w:tcPr>
          <w:p w14:paraId="22265554" w14:textId="77777777" w:rsidR="00A0251B" w:rsidRPr="00CC35F0" w:rsidRDefault="008D6506">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w:t>
            </w:r>
          </w:p>
        </w:tc>
        <w:tc>
          <w:tcPr>
            <w:tcW w:w="1559" w:type="dxa"/>
            <w:shd w:val="clear" w:color="auto" w:fill="FFFFFF"/>
          </w:tcPr>
          <w:p w14:paraId="33A42E11" w14:textId="77777777" w:rsidR="00A0251B" w:rsidRPr="00CC35F0" w:rsidRDefault="008D6506">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w:t>
            </w:r>
          </w:p>
        </w:tc>
        <w:tc>
          <w:tcPr>
            <w:tcW w:w="1530" w:type="dxa"/>
            <w:shd w:val="clear" w:color="auto" w:fill="FFFFFF"/>
          </w:tcPr>
          <w:p w14:paraId="3C87FEA5" w14:textId="77777777" w:rsidR="00A0251B" w:rsidRPr="00CC35F0" w:rsidRDefault="0069462A">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w:t>
            </w:r>
          </w:p>
        </w:tc>
        <w:tc>
          <w:tcPr>
            <w:tcW w:w="1634" w:type="dxa"/>
            <w:shd w:val="clear" w:color="auto" w:fill="FFFFFF"/>
          </w:tcPr>
          <w:p w14:paraId="4840C9D2" w14:textId="77777777" w:rsidR="00A0251B" w:rsidRPr="00CC35F0" w:rsidRDefault="0069462A">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17.115.000</w:t>
            </w:r>
            <w:r w:rsidR="008D6506" w:rsidRPr="00CC35F0">
              <w:rPr>
                <w:rFonts w:ascii="Times New Roman" w:eastAsia="Times New Roman" w:hAnsi="Times New Roman"/>
                <w:sz w:val="24"/>
                <w:szCs w:val="24"/>
                <w:lang w:val="sr-Cyrl-CS"/>
              </w:rPr>
              <w:t>*</w:t>
            </w:r>
          </w:p>
        </w:tc>
        <w:tc>
          <w:tcPr>
            <w:tcW w:w="2177" w:type="dxa"/>
            <w:shd w:val="clear" w:color="auto" w:fill="FFFFFF"/>
          </w:tcPr>
          <w:p w14:paraId="788B5ADF" w14:textId="77777777" w:rsidR="00A0251B" w:rsidRPr="00CC35F0" w:rsidRDefault="008D6506">
            <w:pPr>
              <w:jc w:val="righ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1.480.500*</w:t>
            </w:r>
          </w:p>
        </w:tc>
      </w:tr>
      <w:tr w:rsidR="00A0251B" w:rsidRPr="00CC35F0" w14:paraId="0C1DBCAF" w14:textId="77777777">
        <w:trPr>
          <w:trHeight w:val="398"/>
        </w:trPr>
        <w:tc>
          <w:tcPr>
            <w:tcW w:w="3674" w:type="dxa"/>
            <w:shd w:val="clear" w:color="auto" w:fill="FFFFFF"/>
          </w:tcPr>
          <w:p w14:paraId="0AEF015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1981" w:type="dxa"/>
            <w:shd w:val="clear" w:color="auto" w:fill="FFFFFF"/>
          </w:tcPr>
          <w:p w14:paraId="0E12616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60" w:type="dxa"/>
            <w:shd w:val="clear" w:color="auto" w:fill="FFFFFF"/>
            <w:vAlign w:val="center"/>
          </w:tcPr>
          <w:p w14:paraId="722EC816" w14:textId="77777777" w:rsidR="00A0251B" w:rsidRPr="00CC35F0" w:rsidRDefault="00A0251B">
            <w:pPr>
              <w:jc w:val="right"/>
              <w:rPr>
                <w:rFonts w:ascii="Times New Roman" w:eastAsia="Times New Roman" w:hAnsi="Times New Roman"/>
                <w:sz w:val="24"/>
                <w:szCs w:val="24"/>
                <w:lang w:val="sr-Cyrl-CS"/>
              </w:rPr>
            </w:pPr>
          </w:p>
        </w:tc>
        <w:tc>
          <w:tcPr>
            <w:tcW w:w="1559" w:type="dxa"/>
            <w:shd w:val="clear" w:color="auto" w:fill="FFFFFF"/>
          </w:tcPr>
          <w:p w14:paraId="07BEEBE2" w14:textId="77777777" w:rsidR="00387DCC" w:rsidRPr="00CC35F0" w:rsidRDefault="00387DCC">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14.688*</w:t>
            </w:r>
          </w:p>
          <w:p w14:paraId="426BE23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r w:rsidR="00387DCC" w:rsidRPr="00CC35F0">
              <w:rPr>
                <w:rFonts w:ascii="Times New Roman" w:eastAsia="Times New Roman" w:hAnsi="Times New Roman"/>
                <w:sz w:val="24"/>
                <w:szCs w:val="24"/>
                <w:lang w:val="sr-Cyrl-CS"/>
              </w:rPr>
              <w:t>17.500</w:t>
            </w:r>
            <w:r w:rsidRPr="00CC35F0">
              <w:rPr>
                <w:rFonts w:ascii="Times New Roman" w:eastAsia="Times New Roman" w:hAnsi="Times New Roman"/>
                <w:sz w:val="24"/>
                <w:szCs w:val="24"/>
                <w:lang w:val="sr-Cyrl-CS"/>
              </w:rPr>
              <w:t>*</w:t>
            </w:r>
          </w:p>
        </w:tc>
        <w:tc>
          <w:tcPr>
            <w:tcW w:w="1530" w:type="dxa"/>
            <w:shd w:val="clear" w:color="auto" w:fill="FFFFFF"/>
          </w:tcPr>
          <w:p w14:paraId="3FD1484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14.688*</w:t>
            </w:r>
          </w:p>
        </w:tc>
        <w:tc>
          <w:tcPr>
            <w:tcW w:w="1634" w:type="dxa"/>
            <w:shd w:val="clear" w:color="auto" w:fill="FFFFFF"/>
          </w:tcPr>
          <w:p w14:paraId="5ACE4A1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14.688*</w:t>
            </w:r>
          </w:p>
        </w:tc>
        <w:tc>
          <w:tcPr>
            <w:tcW w:w="2177" w:type="dxa"/>
            <w:shd w:val="clear" w:color="auto" w:fill="FFFFFF"/>
          </w:tcPr>
          <w:p w14:paraId="36FC678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14.688*</w:t>
            </w:r>
          </w:p>
        </w:tc>
      </w:tr>
    </w:tbl>
    <w:p w14:paraId="6BDC2FFB" w14:textId="77777777" w:rsidR="00A0251B" w:rsidRPr="00CC35F0" w:rsidRDefault="00A0251B">
      <w:pPr>
        <w:rPr>
          <w:rFonts w:ascii="Times New Roman" w:eastAsia="Times New Roman" w:hAnsi="Times New Roman"/>
          <w:sz w:val="24"/>
          <w:szCs w:val="24"/>
          <w:lang w:val="sr-Cyrl-CS"/>
        </w:rPr>
      </w:pPr>
    </w:p>
    <w:tbl>
      <w:tblPr>
        <w:tblStyle w:val="aff9"/>
        <w:tblW w:w="1514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237"/>
        <w:gridCol w:w="2454"/>
        <w:gridCol w:w="680"/>
        <w:gridCol w:w="745"/>
        <w:gridCol w:w="564"/>
        <w:gridCol w:w="973"/>
        <w:gridCol w:w="420"/>
        <w:gridCol w:w="976"/>
        <w:gridCol w:w="6"/>
        <w:gridCol w:w="1348"/>
        <w:gridCol w:w="6"/>
        <w:gridCol w:w="1372"/>
        <w:gridCol w:w="254"/>
        <w:gridCol w:w="720"/>
        <w:gridCol w:w="1030"/>
        <w:gridCol w:w="304"/>
        <w:gridCol w:w="416"/>
        <w:gridCol w:w="922"/>
        <w:gridCol w:w="531"/>
        <w:gridCol w:w="932"/>
        <w:gridCol w:w="6"/>
        <w:gridCol w:w="223"/>
        <w:gridCol w:w="21"/>
      </w:tblGrid>
      <w:tr w:rsidR="00A0251B" w:rsidRPr="00CC35F0" w14:paraId="1367BF86" w14:textId="77777777" w:rsidTr="00C1332D">
        <w:trPr>
          <w:trHeight w:val="140"/>
        </w:trPr>
        <w:tc>
          <w:tcPr>
            <w:tcW w:w="2691" w:type="dxa"/>
            <w:gridSpan w:val="2"/>
            <w:vMerge w:val="restart"/>
            <w:tcBorders>
              <w:top w:val="single" w:sz="4" w:space="0" w:color="000000"/>
              <w:left w:val="single" w:sz="4" w:space="0" w:color="000000"/>
              <w:bottom w:val="single" w:sz="4" w:space="0" w:color="000000"/>
              <w:right w:val="single" w:sz="4" w:space="0" w:color="000000"/>
            </w:tcBorders>
            <w:shd w:val="clear" w:color="auto" w:fill="FFF2CC"/>
          </w:tcPr>
          <w:p w14:paraId="7929A90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Назив активности:</w:t>
            </w:r>
          </w:p>
        </w:tc>
        <w:tc>
          <w:tcPr>
            <w:tcW w:w="1425" w:type="dxa"/>
            <w:gridSpan w:val="2"/>
            <w:vMerge w:val="restart"/>
            <w:tcBorders>
              <w:top w:val="single" w:sz="4" w:space="0" w:color="000000"/>
              <w:left w:val="single" w:sz="4" w:space="0" w:color="000000"/>
              <w:bottom w:val="single" w:sz="4" w:space="0" w:color="000000"/>
              <w:right w:val="single" w:sz="4" w:space="0" w:color="000000"/>
            </w:tcBorders>
            <w:shd w:val="clear" w:color="auto" w:fill="FFF2CC"/>
          </w:tcPr>
          <w:p w14:paraId="4E46E46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537" w:type="dxa"/>
            <w:gridSpan w:val="2"/>
            <w:vMerge w:val="restart"/>
            <w:tcBorders>
              <w:top w:val="single" w:sz="4" w:space="0" w:color="000000"/>
              <w:left w:val="single" w:sz="4" w:space="0" w:color="000000"/>
              <w:bottom w:val="single" w:sz="4" w:space="0" w:color="000000"/>
              <w:right w:val="single" w:sz="4" w:space="0" w:color="000000"/>
            </w:tcBorders>
            <w:shd w:val="clear" w:color="auto" w:fill="FFF2CC"/>
          </w:tcPr>
          <w:p w14:paraId="10B4784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402" w:type="dxa"/>
            <w:gridSpan w:val="3"/>
            <w:vMerge w:val="restart"/>
            <w:tcBorders>
              <w:top w:val="single" w:sz="4" w:space="0" w:color="000000"/>
              <w:left w:val="single" w:sz="4" w:space="0" w:color="000000"/>
              <w:bottom w:val="single" w:sz="4" w:space="0" w:color="000000"/>
              <w:right w:val="single" w:sz="4" w:space="0" w:color="000000"/>
            </w:tcBorders>
            <w:shd w:val="clear" w:color="auto" w:fill="FFF2CC"/>
          </w:tcPr>
          <w:p w14:paraId="76769B6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354" w:type="dxa"/>
            <w:gridSpan w:val="2"/>
            <w:vMerge w:val="restart"/>
            <w:tcBorders>
              <w:top w:val="single" w:sz="4" w:space="0" w:color="000000"/>
              <w:left w:val="single" w:sz="4" w:space="0" w:color="000000"/>
              <w:bottom w:val="single" w:sz="4" w:space="0" w:color="000000"/>
              <w:right w:val="single" w:sz="4" w:space="0" w:color="000000"/>
            </w:tcBorders>
            <w:shd w:val="clear" w:color="auto" w:fill="FFF2CC"/>
          </w:tcPr>
          <w:p w14:paraId="3F356C7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372"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F8E7F7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18BD1CED" w14:textId="77777777" w:rsidR="00A0251B" w:rsidRPr="00CC35F0" w:rsidRDefault="00A0251B">
            <w:pPr>
              <w:jc w:val="center"/>
              <w:rPr>
                <w:rFonts w:ascii="Times New Roman" w:eastAsia="Times New Roman" w:hAnsi="Times New Roman"/>
                <w:sz w:val="24"/>
                <w:szCs w:val="24"/>
                <w:lang w:val="sr-Cyrl-CS"/>
              </w:rPr>
            </w:pPr>
          </w:p>
        </w:tc>
        <w:tc>
          <w:tcPr>
            <w:tcW w:w="5359" w:type="dxa"/>
            <w:gridSpan w:val="11"/>
            <w:tcBorders>
              <w:top w:val="single" w:sz="4" w:space="0" w:color="000000"/>
              <w:left w:val="single" w:sz="4" w:space="0" w:color="000000"/>
              <w:bottom w:val="single" w:sz="4" w:space="0" w:color="000000"/>
              <w:right w:val="single" w:sz="4" w:space="0" w:color="000000"/>
            </w:tcBorders>
            <w:shd w:val="clear" w:color="auto" w:fill="FFF2CC"/>
          </w:tcPr>
          <w:p w14:paraId="2A0B6D2A" w14:textId="77777777" w:rsidR="00A0251B" w:rsidRPr="00CC35F0" w:rsidRDefault="008D6506">
            <w:pPr>
              <w:jc w:val="cente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00B61F54" w:rsidRPr="00CC35F0">
              <w:rPr>
                <w:rFonts w:ascii="Times New Roman" w:eastAsia="Times New Roman" w:hAnsi="Times New Roman"/>
                <w:sz w:val="24"/>
                <w:szCs w:val="24"/>
                <w:vertAlign w:val="superscript"/>
                <w:lang w:val="sr-Cyrl-CS"/>
              </w:rPr>
              <w:t>82</w:t>
            </w:r>
          </w:p>
        </w:tc>
      </w:tr>
      <w:tr w:rsidR="00A0251B" w:rsidRPr="00CC35F0" w14:paraId="40A0C8EA" w14:textId="77777777" w:rsidTr="0091453E">
        <w:trPr>
          <w:gridAfter w:val="1"/>
          <w:wAfter w:w="21" w:type="dxa"/>
          <w:trHeight w:val="386"/>
        </w:trPr>
        <w:tc>
          <w:tcPr>
            <w:tcW w:w="2691" w:type="dxa"/>
            <w:gridSpan w:val="2"/>
            <w:vMerge/>
            <w:tcBorders>
              <w:top w:val="single" w:sz="4" w:space="0" w:color="000000"/>
              <w:left w:val="single" w:sz="4" w:space="0" w:color="000000"/>
              <w:bottom w:val="single" w:sz="4" w:space="0" w:color="000000"/>
              <w:right w:val="single" w:sz="4" w:space="0" w:color="000000"/>
            </w:tcBorders>
            <w:shd w:val="clear" w:color="auto" w:fill="FFF2CC"/>
          </w:tcPr>
          <w:p w14:paraId="0E2B344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5" w:type="dxa"/>
            <w:gridSpan w:val="2"/>
            <w:vMerge/>
            <w:tcBorders>
              <w:top w:val="single" w:sz="4" w:space="0" w:color="000000"/>
              <w:left w:val="single" w:sz="4" w:space="0" w:color="000000"/>
              <w:bottom w:val="single" w:sz="4" w:space="0" w:color="000000"/>
              <w:right w:val="single" w:sz="4" w:space="0" w:color="000000"/>
            </w:tcBorders>
            <w:shd w:val="clear" w:color="auto" w:fill="FFF2CC"/>
          </w:tcPr>
          <w:p w14:paraId="2A821F6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37" w:type="dxa"/>
            <w:gridSpan w:val="2"/>
            <w:vMerge/>
            <w:tcBorders>
              <w:top w:val="single" w:sz="4" w:space="0" w:color="000000"/>
              <w:left w:val="single" w:sz="4" w:space="0" w:color="000000"/>
              <w:bottom w:val="single" w:sz="4" w:space="0" w:color="000000"/>
              <w:right w:val="single" w:sz="4" w:space="0" w:color="000000"/>
            </w:tcBorders>
            <w:shd w:val="clear" w:color="auto" w:fill="FFF2CC"/>
          </w:tcPr>
          <w:p w14:paraId="5CFC6DF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02" w:type="dxa"/>
            <w:gridSpan w:val="3"/>
            <w:vMerge/>
            <w:tcBorders>
              <w:top w:val="single" w:sz="4" w:space="0" w:color="000000"/>
              <w:left w:val="single" w:sz="4" w:space="0" w:color="000000"/>
              <w:bottom w:val="single" w:sz="4" w:space="0" w:color="000000"/>
              <w:right w:val="single" w:sz="4" w:space="0" w:color="000000"/>
            </w:tcBorders>
            <w:shd w:val="clear" w:color="auto" w:fill="FFF2CC"/>
          </w:tcPr>
          <w:p w14:paraId="5B128C1E"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54" w:type="dxa"/>
            <w:gridSpan w:val="2"/>
            <w:vMerge/>
            <w:tcBorders>
              <w:top w:val="single" w:sz="4" w:space="0" w:color="000000"/>
              <w:left w:val="single" w:sz="4" w:space="0" w:color="000000"/>
              <w:bottom w:val="single" w:sz="4" w:space="0" w:color="000000"/>
              <w:right w:val="single" w:sz="4" w:space="0" w:color="000000"/>
            </w:tcBorders>
            <w:shd w:val="clear" w:color="auto" w:fill="FFF2CC"/>
          </w:tcPr>
          <w:p w14:paraId="7196455E"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72" w:type="dxa"/>
            <w:vMerge/>
            <w:tcBorders>
              <w:top w:val="single" w:sz="4" w:space="0" w:color="000000"/>
              <w:left w:val="single" w:sz="4" w:space="0" w:color="000000"/>
              <w:bottom w:val="single" w:sz="4" w:space="0" w:color="000000"/>
              <w:right w:val="single" w:sz="4" w:space="0" w:color="000000"/>
            </w:tcBorders>
            <w:shd w:val="clear" w:color="auto" w:fill="FFF2CC"/>
          </w:tcPr>
          <w:p w14:paraId="2CF02BA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74" w:type="dxa"/>
            <w:gridSpan w:val="2"/>
            <w:shd w:val="clear" w:color="auto" w:fill="FFF2CC"/>
          </w:tcPr>
          <w:p w14:paraId="14C6520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030" w:type="dxa"/>
            <w:shd w:val="clear" w:color="auto" w:fill="FFF2CC"/>
          </w:tcPr>
          <w:p w14:paraId="1744784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720" w:type="dxa"/>
            <w:gridSpan w:val="2"/>
            <w:shd w:val="clear" w:color="auto" w:fill="FFF2CC"/>
          </w:tcPr>
          <w:p w14:paraId="38C82BEB" w14:textId="77777777" w:rsidR="00A0251B" w:rsidRPr="00CC35F0" w:rsidRDefault="008D6506">
            <w:pPr>
              <w:jc w:val="center"/>
              <w:rPr>
                <w:rFonts w:ascii="Times New Roman" w:eastAsia="Times New Roman" w:hAnsi="Times New Roman"/>
                <w:sz w:val="24"/>
                <w:szCs w:val="24"/>
                <w:lang w:val="sr-Cyrl-CS"/>
              </w:rPr>
            </w:pPr>
            <w:r w:rsidRPr="00BC4EB0">
              <w:rPr>
                <w:rFonts w:ascii="Times New Roman" w:eastAsia="Times New Roman" w:hAnsi="Times New Roman"/>
                <w:lang w:val="sr-Cyrl-CS"/>
              </w:rPr>
              <w:t>2024.</w:t>
            </w:r>
            <w:r w:rsidRPr="00CC35F0">
              <w:rPr>
                <w:rFonts w:ascii="Times New Roman" w:eastAsia="Times New Roman" w:hAnsi="Times New Roman"/>
                <w:sz w:val="24"/>
                <w:szCs w:val="24"/>
                <w:lang w:val="sr-Cyrl-CS"/>
              </w:rPr>
              <w:t xml:space="preserve"> године</w:t>
            </w:r>
          </w:p>
        </w:tc>
        <w:tc>
          <w:tcPr>
            <w:tcW w:w="1453" w:type="dxa"/>
            <w:gridSpan w:val="2"/>
            <w:shd w:val="clear" w:color="auto" w:fill="FFF2CC"/>
          </w:tcPr>
          <w:p w14:paraId="7249993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161" w:type="dxa"/>
            <w:gridSpan w:val="3"/>
            <w:shd w:val="clear" w:color="auto" w:fill="FFF2CC"/>
          </w:tcPr>
          <w:p w14:paraId="0C8760F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7369437D" w14:textId="77777777" w:rsidTr="0091453E">
        <w:trPr>
          <w:gridAfter w:val="1"/>
          <w:wAfter w:w="21" w:type="dxa"/>
          <w:trHeight w:val="543"/>
        </w:trPr>
        <w:tc>
          <w:tcPr>
            <w:tcW w:w="2691" w:type="dxa"/>
            <w:gridSpan w:val="2"/>
            <w:tcBorders>
              <w:top w:val="single" w:sz="4" w:space="0" w:color="000000"/>
              <w:left w:val="single" w:sz="4" w:space="0" w:color="000000"/>
              <w:bottom w:val="single" w:sz="4" w:space="0" w:color="000000"/>
              <w:right w:val="single" w:sz="4" w:space="0" w:color="000000"/>
            </w:tcBorders>
          </w:tcPr>
          <w:p w14:paraId="73488E4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1.1.5.1 </w:t>
            </w:r>
            <w:r w:rsidRPr="00CC35F0">
              <w:rPr>
                <w:rFonts w:ascii="Times New Roman" w:eastAsia="Times New Roman" w:hAnsi="Times New Roman"/>
                <w:color w:val="000000"/>
                <w:sz w:val="24"/>
                <w:szCs w:val="24"/>
                <w:lang w:val="sr-Cyrl-CS"/>
              </w:rPr>
              <w:t>Припрема и усвајање плана управљања отпадним возилима и побољшање центара за рециклажу возила (у складу са Програмом о управљању отпадом)</w:t>
            </w:r>
          </w:p>
        </w:tc>
        <w:tc>
          <w:tcPr>
            <w:tcW w:w="1425" w:type="dxa"/>
            <w:gridSpan w:val="2"/>
            <w:tcBorders>
              <w:top w:val="single" w:sz="4" w:space="0" w:color="000000"/>
              <w:left w:val="single" w:sz="4" w:space="0" w:color="000000"/>
              <w:bottom w:val="single" w:sz="4" w:space="0" w:color="000000"/>
              <w:right w:val="single" w:sz="4" w:space="0" w:color="000000"/>
            </w:tcBorders>
          </w:tcPr>
          <w:p w14:paraId="4187086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537" w:type="dxa"/>
            <w:gridSpan w:val="2"/>
            <w:tcBorders>
              <w:top w:val="single" w:sz="4" w:space="0" w:color="000000"/>
              <w:left w:val="single" w:sz="4" w:space="0" w:color="000000"/>
              <w:bottom w:val="single" w:sz="4" w:space="0" w:color="000000"/>
              <w:right w:val="single" w:sz="4" w:space="0" w:color="000000"/>
            </w:tcBorders>
          </w:tcPr>
          <w:p w14:paraId="7459D2FF"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Удружење рециклера Србије</w:t>
            </w:r>
          </w:p>
          <w:p w14:paraId="35006557" w14:textId="77777777" w:rsidR="00A0251B" w:rsidRPr="00CC35F0" w:rsidRDefault="00A0251B">
            <w:pPr>
              <w:rPr>
                <w:rFonts w:ascii="Times New Roman" w:eastAsia="Times New Roman" w:hAnsi="Times New Roman"/>
                <w:sz w:val="24"/>
                <w:szCs w:val="24"/>
                <w:lang w:val="sr-Cyrl-CS"/>
              </w:rPr>
            </w:pPr>
          </w:p>
        </w:tc>
        <w:tc>
          <w:tcPr>
            <w:tcW w:w="1402" w:type="dxa"/>
            <w:gridSpan w:val="3"/>
            <w:tcBorders>
              <w:top w:val="single" w:sz="4" w:space="0" w:color="000000"/>
              <w:left w:val="single" w:sz="4" w:space="0" w:color="000000"/>
              <w:bottom w:val="single" w:sz="4" w:space="0" w:color="000000"/>
              <w:right w:val="single" w:sz="4" w:space="0" w:color="000000"/>
            </w:tcBorders>
          </w:tcPr>
          <w:p w14:paraId="6B3C993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2023</w:t>
            </w:r>
          </w:p>
        </w:tc>
        <w:tc>
          <w:tcPr>
            <w:tcW w:w="1354" w:type="dxa"/>
            <w:gridSpan w:val="2"/>
            <w:tcBorders>
              <w:top w:val="single" w:sz="4" w:space="0" w:color="000000"/>
              <w:left w:val="single" w:sz="4" w:space="0" w:color="000000"/>
              <w:bottom w:val="single" w:sz="4" w:space="0" w:color="000000"/>
              <w:right w:val="single" w:sz="4" w:space="0" w:color="000000"/>
            </w:tcBorders>
          </w:tcPr>
          <w:p w14:paraId="0ECFA2D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372" w:type="dxa"/>
            <w:tcBorders>
              <w:top w:val="single" w:sz="4" w:space="0" w:color="000000"/>
              <w:left w:val="single" w:sz="4" w:space="0" w:color="000000"/>
              <w:bottom w:val="single" w:sz="4" w:space="0" w:color="000000"/>
              <w:right w:val="single" w:sz="4" w:space="0" w:color="000000"/>
            </w:tcBorders>
          </w:tcPr>
          <w:p w14:paraId="4EA5BD89" w14:textId="77777777" w:rsidR="00A0251B" w:rsidRPr="00CC35F0" w:rsidRDefault="00A0251B">
            <w:pPr>
              <w:jc w:val="right"/>
              <w:rPr>
                <w:rFonts w:ascii="Times New Roman" w:eastAsia="Times New Roman" w:hAnsi="Times New Roman"/>
                <w:sz w:val="24"/>
                <w:szCs w:val="24"/>
                <w:lang w:val="sr-Cyrl-CS"/>
              </w:rPr>
            </w:pPr>
          </w:p>
        </w:tc>
        <w:tc>
          <w:tcPr>
            <w:tcW w:w="974" w:type="dxa"/>
            <w:gridSpan w:val="2"/>
            <w:tcBorders>
              <w:top w:val="single" w:sz="4" w:space="0" w:color="000000"/>
              <w:left w:val="single" w:sz="4" w:space="0" w:color="000000"/>
              <w:bottom w:val="single" w:sz="4" w:space="0" w:color="000000"/>
              <w:right w:val="single" w:sz="4" w:space="0" w:color="000000"/>
            </w:tcBorders>
          </w:tcPr>
          <w:p w14:paraId="4764FE8C" w14:textId="77777777" w:rsidR="00A0251B" w:rsidRPr="00CC35F0" w:rsidRDefault="00A0251B">
            <w:pPr>
              <w:jc w:val="right"/>
              <w:rPr>
                <w:rFonts w:ascii="Times New Roman" w:eastAsia="Times New Roman" w:hAnsi="Times New Roman"/>
                <w:sz w:val="24"/>
                <w:szCs w:val="24"/>
                <w:lang w:val="sr-Cyrl-CS"/>
              </w:rPr>
            </w:pPr>
          </w:p>
        </w:tc>
        <w:tc>
          <w:tcPr>
            <w:tcW w:w="1030" w:type="dxa"/>
            <w:tcBorders>
              <w:top w:val="single" w:sz="4" w:space="0" w:color="000000"/>
              <w:left w:val="single" w:sz="4" w:space="0" w:color="000000"/>
              <w:bottom w:val="single" w:sz="4" w:space="0" w:color="000000"/>
              <w:right w:val="single" w:sz="4" w:space="0" w:color="000000"/>
            </w:tcBorders>
          </w:tcPr>
          <w:p w14:paraId="0886092B" w14:textId="77777777" w:rsidR="00A0251B" w:rsidRPr="00CC35F0" w:rsidRDefault="008D6506" w:rsidP="00C1332D">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r w:rsidR="00C1332D" w:rsidRPr="00CC35F0">
              <w:rPr>
                <w:rFonts w:ascii="Times New Roman" w:eastAsia="Times New Roman" w:hAnsi="Times New Roman"/>
                <w:sz w:val="24"/>
                <w:szCs w:val="24"/>
                <w:lang w:val="sr-Cyrl-CS"/>
              </w:rPr>
              <w:t>0</w:t>
            </w:r>
          </w:p>
        </w:tc>
        <w:tc>
          <w:tcPr>
            <w:tcW w:w="720" w:type="dxa"/>
            <w:gridSpan w:val="2"/>
            <w:tcBorders>
              <w:top w:val="single" w:sz="4" w:space="0" w:color="000000"/>
              <w:left w:val="single" w:sz="4" w:space="0" w:color="000000"/>
              <w:bottom w:val="single" w:sz="4" w:space="0" w:color="000000"/>
              <w:right w:val="single" w:sz="4" w:space="0" w:color="000000"/>
            </w:tcBorders>
          </w:tcPr>
          <w:p w14:paraId="191A74F7" w14:textId="77777777" w:rsidR="00A0251B" w:rsidRPr="00CC35F0" w:rsidRDefault="00A0251B">
            <w:pPr>
              <w:jc w:val="right"/>
              <w:rPr>
                <w:rFonts w:ascii="Times New Roman" w:eastAsia="Times New Roman" w:hAnsi="Times New Roman"/>
                <w:sz w:val="24"/>
                <w:szCs w:val="24"/>
                <w:lang w:val="sr-Cyrl-CS"/>
              </w:rPr>
            </w:pPr>
          </w:p>
        </w:tc>
        <w:tc>
          <w:tcPr>
            <w:tcW w:w="1453" w:type="dxa"/>
            <w:gridSpan w:val="2"/>
            <w:tcBorders>
              <w:top w:val="single" w:sz="4" w:space="0" w:color="000000"/>
              <w:left w:val="single" w:sz="4" w:space="0" w:color="000000"/>
              <w:bottom w:val="single" w:sz="4" w:space="0" w:color="000000"/>
              <w:right w:val="single" w:sz="4" w:space="0" w:color="000000"/>
            </w:tcBorders>
          </w:tcPr>
          <w:p w14:paraId="2705E001" w14:textId="77777777" w:rsidR="00A0251B" w:rsidRPr="00CC35F0" w:rsidRDefault="00A0251B">
            <w:pPr>
              <w:jc w:val="right"/>
              <w:rPr>
                <w:rFonts w:ascii="Times New Roman" w:eastAsia="Times New Roman" w:hAnsi="Times New Roman"/>
                <w:sz w:val="24"/>
                <w:szCs w:val="24"/>
                <w:lang w:val="sr-Cyrl-CS"/>
              </w:rPr>
            </w:pPr>
          </w:p>
        </w:tc>
        <w:tc>
          <w:tcPr>
            <w:tcW w:w="1161" w:type="dxa"/>
            <w:gridSpan w:val="3"/>
            <w:tcBorders>
              <w:top w:val="single" w:sz="4" w:space="0" w:color="000000"/>
              <w:left w:val="single" w:sz="4" w:space="0" w:color="000000"/>
              <w:bottom w:val="single" w:sz="4" w:space="0" w:color="000000"/>
              <w:right w:val="single" w:sz="4" w:space="0" w:color="000000"/>
            </w:tcBorders>
          </w:tcPr>
          <w:p w14:paraId="276F49A7" w14:textId="77777777" w:rsidR="00A0251B" w:rsidRPr="00CC35F0" w:rsidRDefault="00A0251B">
            <w:pPr>
              <w:jc w:val="right"/>
              <w:rPr>
                <w:rFonts w:ascii="Times New Roman" w:eastAsia="Times New Roman" w:hAnsi="Times New Roman"/>
                <w:sz w:val="24"/>
                <w:szCs w:val="24"/>
                <w:lang w:val="sr-Cyrl-CS"/>
              </w:rPr>
            </w:pPr>
          </w:p>
        </w:tc>
      </w:tr>
      <w:tr w:rsidR="00A0251B" w:rsidRPr="00CC35F0" w14:paraId="43305588" w14:textId="77777777" w:rsidTr="0091453E">
        <w:trPr>
          <w:gridAfter w:val="1"/>
          <w:wAfter w:w="21" w:type="dxa"/>
          <w:trHeight w:val="140"/>
        </w:trPr>
        <w:tc>
          <w:tcPr>
            <w:tcW w:w="2691" w:type="dxa"/>
            <w:gridSpan w:val="2"/>
            <w:tcBorders>
              <w:top w:val="single" w:sz="4" w:space="0" w:color="000000"/>
              <w:left w:val="single" w:sz="4" w:space="0" w:color="000000"/>
              <w:right w:val="single" w:sz="4" w:space="0" w:color="000000"/>
            </w:tcBorders>
          </w:tcPr>
          <w:p w14:paraId="284EF89D" w14:textId="77777777" w:rsidR="00A0251B"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1.1.5.2</w:t>
            </w:r>
            <w:r w:rsidRPr="00CC35F0">
              <w:rPr>
                <w:rFonts w:ascii="Arial" w:eastAsia="Arial" w:hAnsi="Arial" w:cs="Arial"/>
                <w:sz w:val="26"/>
                <w:szCs w:val="26"/>
                <w:vertAlign w:val="superscript"/>
                <w:lang w:val="sr-Cyrl-CS"/>
              </w:rPr>
              <w:footnoteReference w:id="84"/>
            </w:r>
            <w:r w:rsidRPr="00CC35F0">
              <w:rPr>
                <w:rFonts w:ascii="Times New Roman" w:eastAsia="Times New Roman" w:hAnsi="Times New Roman"/>
                <w:sz w:val="24"/>
                <w:szCs w:val="24"/>
                <w:lang w:val="sr-Cyrl-CS"/>
              </w:rPr>
              <w:t xml:space="preserve"> Успостављање и спровођење механизама подршке из јавних средстава за дерегистрацију/отпремање старих дизел путничких аутомобила, теретних возила (изузев N3) и аутобуса (који одговарају Euro 1, Euro 2, Euro 3 и Euro I, Euro II и Euro III) у рециклажне центре. </w:t>
            </w:r>
          </w:p>
          <w:p w14:paraId="78A46F94" w14:textId="77777777" w:rsidR="00BC4EB0" w:rsidRPr="00CC35F0" w:rsidRDefault="00BC4EB0">
            <w:pPr>
              <w:rPr>
                <w:rFonts w:ascii="Times New Roman" w:eastAsia="Times New Roman" w:hAnsi="Times New Roman"/>
                <w:sz w:val="24"/>
                <w:szCs w:val="24"/>
                <w:lang w:val="sr-Cyrl-CS"/>
              </w:rPr>
            </w:pPr>
          </w:p>
        </w:tc>
        <w:tc>
          <w:tcPr>
            <w:tcW w:w="1425" w:type="dxa"/>
            <w:gridSpan w:val="2"/>
            <w:tcBorders>
              <w:top w:val="single" w:sz="4" w:space="0" w:color="000000"/>
              <w:left w:val="single" w:sz="4" w:space="0" w:color="000000"/>
              <w:bottom w:val="single" w:sz="4" w:space="0" w:color="000000"/>
              <w:right w:val="single" w:sz="4" w:space="0" w:color="000000"/>
            </w:tcBorders>
          </w:tcPr>
          <w:p w14:paraId="57598B15" w14:textId="77777777" w:rsidR="00A0251B" w:rsidRPr="00CC35F0" w:rsidRDefault="00DD476F">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Агенција за безбедност саобраћаја  </w:t>
            </w:r>
          </w:p>
        </w:tc>
        <w:tc>
          <w:tcPr>
            <w:tcW w:w="1537" w:type="dxa"/>
            <w:gridSpan w:val="2"/>
            <w:tcBorders>
              <w:top w:val="single" w:sz="4" w:space="0" w:color="000000"/>
              <w:left w:val="single" w:sz="4" w:space="0" w:color="000000"/>
              <w:bottom w:val="single" w:sz="4" w:space="0" w:color="000000"/>
              <w:right w:val="single" w:sz="4" w:space="0" w:color="000000"/>
            </w:tcBorders>
          </w:tcPr>
          <w:p w14:paraId="21398A7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p w14:paraId="37817E9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МГСИ</w:t>
            </w:r>
          </w:p>
        </w:tc>
        <w:tc>
          <w:tcPr>
            <w:tcW w:w="1402" w:type="dxa"/>
            <w:gridSpan w:val="3"/>
            <w:tcBorders>
              <w:top w:val="single" w:sz="4" w:space="0" w:color="000000"/>
              <w:left w:val="single" w:sz="4" w:space="0" w:color="000000"/>
              <w:bottom w:val="single" w:sz="4" w:space="0" w:color="000000"/>
              <w:right w:val="single" w:sz="4" w:space="0" w:color="000000"/>
            </w:tcBorders>
          </w:tcPr>
          <w:p w14:paraId="7DE19F9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354" w:type="dxa"/>
            <w:gridSpan w:val="2"/>
            <w:tcBorders>
              <w:top w:val="single" w:sz="4" w:space="0" w:color="000000"/>
              <w:left w:val="single" w:sz="4" w:space="0" w:color="000000"/>
              <w:bottom w:val="single" w:sz="4" w:space="0" w:color="000000"/>
              <w:right w:val="single" w:sz="4" w:space="0" w:color="000000"/>
            </w:tcBorders>
          </w:tcPr>
          <w:p w14:paraId="53B4946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372" w:type="dxa"/>
            <w:tcBorders>
              <w:top w:val="single" w:sz="4" w:space="0" w:color="000000"/>
              <w:left w:val="single" w:sz="4" w:space="0" w:color="000000"/>
              <w:bottom w:val="single" w:sz="4" w:space="0" w:color="000000"/>
              <w:right w:val="single" w:sz="4" w:space="0" w:color="000000"/>
            </w:tcBorders>
          </w:tcPr>
          <w:p w14:paraId="51AD71B5" w14:textId="77777777" w:rsidR="00A0251B" w:rsidRPr="00CC35F0" w:rsidRDefault="008D6506">
            <w:pPr>
              <w:jc w:val="center"/>
              <w:rPr>
                <w:rFonts w:ascii="Times New Roman" w:eastAsia="Times New Roman" w:hAnsi="Times New Roman"/>
                <w:strike/>
                <w:sz w:val="24"/>
                <w:szCs w:val="24"/>
                <w:lang w:val="sr-Cyrl-CS"/>
              </w:rPr>
            </w:pPr>
            <w:r w:rsidRPr="00CC35F0">
              <w:rPr>
                <w:rFonts w:ascii="Times New Roman" w:eastAsia="Times New Roman" w:hAnsi="Times New Roman"/>
                <w:strike/>
                <w:sz w:val="24"/>
                <w:szCs w:val="24"/>
                <w:lang w:val="sr-Cyrl-CS"/>
              </w:rPr>
              <w:t>-</w:t>
            </w:r>
          </w:p>
          <w:p w14:paraId="05EFFB22" w14:textId="77777777" w:rsidR="00A0251B" w:rsidRPr="00CC35F0" w:rsidRDefault="00A0251B">
            <w:pPr>
              <w:jc w:val="center"/>
              <w:rPr>
                <w:rFonts w:ascii="Times New Roman" w:eastAsia="Times New Roman" w:hAnsi="Times New Roman"/>
                <w:sz w:val="24"/>
                <w:szCs w:val="24"/>
                <w:lang w:val="sr-Cyrl-CS"/>
              </w:rPr>
            </w:pPr>
          </w:p>
        </w:tc>
        <w:tc>
          <w:tcPr>
            <w:tcW w:w="974" w:type="dxa"/>
            <w:gridSpan w:val="2"/>
            <w:tcBorders>
              <w:top w:val="single" w:sz="4" w:space="0" w:color="000000"/>
              <w:left w:val="single" w:sz="4" w:space="0" w:color="000000"/>
              <w:bottom w:val="single" w:sz="4" w:space="0" w:color="000000"/>
              <w:right w:val="single" w:sz="4" w:space="0" w:color="000000"/>
            </w:tcBorders>
          </w:tcPr>
          <w:p w14:paraId="6281FAAD" w14:textId="77777777" w:rsidR="00A0251B" w:rsidRPr="00CC35F0" w:rsidRDefault="00A0251B">
            <w:pPr>
              <w:jc w:val="right"/>
              <w:rPr>
                <w:rFonts w:ascii="Times New Roman" w:eastAsia="Times New Roman" w:hAnsi="Times New Roman"/>
                <w:sz w:val="24"/>
                <w:szCs w:val="24"/>
                <w:lang w:val="sr-Cyrl-CS"/>
              </w:rPr>
            </w:pPr>
          </w:p>
        </w:tc>
        <w:tc>
          <w:tcPr>
            <w:tcW w:w="1030" w:type="dxa"/>
            <w:tcBorders>
              <w:top w:val="single" w:sz="4" w:space="0" w:color="000000"/>
              <w:left w:val="single" w:sz="4" w:space="0" w:color="000000"/>
              <w:bottom w:val="single" w:sz="4" w:space="0" w:color="000000"/>
              <w:right w:val="single" w:sz="4" w:space="0" w:color="000000"/>
            </w:tcBorders>
          </w:tcPr>
          <w:p w14:paraId="2F7AA8F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14.688</w:t>
            </w:r>
          </w:p>
        </w:tc>
        <w:tc>
          <w:tcPr>
            <w:tcW w:w="720" w:type="dxa"/>
            <w:gridSpan w:val="2"/>
            <w:tcBorders>
              <w:top w:val="single" w:sz="4" w:space="0" w:color="000000"/>
              <w:left w:val="single" w:sz="4" w:space="0" w:color="000000"/>
              <w:bottom w:val="single" w:sz="4" w:space="0" w:color="000000"/>
              <w:right w:val="single" w:sz="4" w:space="0" w:color="000000"/>
            </w:tcBorders>
          </w:tcPr>
          <w:p w14:paraId="0FB02D8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14.688</w:t>
            </w:r>
          </w:p>
        </w:tc>
        <w:tc>
          <w:tcPr>
            <w:tcW w:w="1453" w:type="dxa"/>
            <w:gridSpan w:val="2"/>
            <w:tcBorders>
              <w:top w:val="single" w:sz="4" w:space="0" w:color="000000"/>
              <w:left w:val="single" w:sz="4" w:space="0" w:color="000000"/>
              <w:bottom w:val="single" w:sz="4" w:space="0" w:color="000000"/>
              <w:right w:val="single" w:sz="4" w:space="0" w:color="000000"/>
            </w:tcBorders>
          </w:tcPr>
          <w:p w14:paraId="74D0215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14.688</w:t>
            </w:r>
          </w:p>
        </w:tc>
        <w:tc>
          <w:tcPr>
            <w:tcW w:w="1161" w:type="dxa"/>
            <w:gridSpan w:val="3"/>
            <w:tcBorders>
              <w:top w:val="single" w:sz="4" w:space="0" w:color="000000"/>
              <w:left w:val="single" w:sz="4" w:space="0" w:color="000000"/>
              <w:bottom w:val="single" w:sz="4" w:space="0" w:color="000000"/>
              <w:right w:val="single" w:sz="4" w:space="0" w:color="000000"/>
            </w:tcBorders>
          </w:tcPr>
          <w:p w14:paraId="6F9BB309" w14:textId="77777777" w:rsidR="00A0251B" w:rsidRPr="00CC35F0" w:rsidRDefault="008D6506">
            <w:pPr>
              <w:jc w:val="right"/>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14.688</w:t>
            </w:r>
          </w:p>
        </w:tc>
      </w:tr>
      <w:tr w:rsidR="00A0251B" w:rsidRPr="00CC35F0" w14:paraId="77745B69" w14:textId="77777777" w:rsidTr="0091453E">
        <w:trPr>
          <w:gridAfter w:val="1"/>
          <w:wAfter w:w="21" w:type="dxa"/>
          <w:trHeight w:val="140"/>
        </w:trPr>
        <w:tc>
          <w:tcPr>
            <w:tcW w:w="2691" w:type="dxa"/>
            <w:gridSpan w:val="2"/>
            <w:tcBorders>
              <w:top w:val="single" w:sz="4" w:space="0" w:color="000000"/>
              <w:left w:val="single" w:sz="4" w:space="0" w:color="000000"/>
              <w:right w:val="single" w:sz="4" w:space="0" w:color="000000"/>
            </w:tcBorders>
          </w:tcPr>
          <w:p w14:paraId="304E2696" w14:textId="77777777" w:rsidR="00A0251B" w:rsidRPr="00CC35F0" w:rsidRDefault="008D6506">
            <w:pPr>
              <w:rPr>
                <w:rFonts w:ascii="Times New Roman" w:eastAsia="Times New Roman" w:hAnsi="Times New Roman"/>
                <w:sz w:val="24"/>
                <w:szCs w:val="24"/>
                <w:lang w:val="sr-Cyrl-CS"/>
              </w:rPr>
            </w:pPr>
            <w:bookmarkStart w:id="130" w:name="_heading=h.42ddq1a" w:colFirst="0" w:colLast="0"/>
            <w:bookmarkEnd w:id="130"/>
            <w:r w:rsidRPr="00CC35F0">
              <w:rPr>
                <w:rFonts w:ascii="Times New Roman" w:eastAsia="Times New Roman" w:hAnsi="Times New Roman"/>
                <w:sz w:val="24"/>
                <w:szCs w:val="24"/>
                <w:lang w:val="sr-Cyrl-CS"/>
              </w:rPr>
              <w:lastRenderedPageBreak/>
              <w:t>1.1.5.2</w:t>
            </w:r>
            <w:r w:rsidRPr="00CC35F0">
              <w:rPr>
                <w:rFonts w:ascii="Arial" w:eastAsia="Arial" w:hAnsi="Arial" w:cs="Arial"/>
                <w:sz w:val="26"/>
                <w:szCs w:val="26"/>
                <w:vertAlign w:val="superscript"/>
                <w:lang w:val="sr-Cyrl-CS"/>
              </w:rPr>
              <w:footnoteReference w:id="85"/>
            </w:r>
            <w:r w:rsidRPr="00CC35F0">
              <w:rPr>
                <w:rFonts w:ascii="Times New Roman" w:eastAsia="Times New Roman" w:hAnsi="Times New Roman"/>
                <w:sz w:val="24"/>
                <w:szCs w:val="24"/>
                <w:lang w:val="sr-Cyrl-CS"/>
              </w:rPr>
              <w:t xml:space="preserve"> Успостављање и спровођење механизама подршке из јавних средстава за дерегистрацију/отпремање старих дизел путничких аутомобила, теретних возила (изузев N3) и аутобуса (који одговарају Euro 1, Euro 2, Euro 3 и Euro I, Euro II и Euro III) у рециклажне центре. </w:t>
            </w:r>
          </w:p>
        </w:tc>
        <w:tc>
          <w:tcPr>
            <w:tcW w:w="1425" w:type="dxa"/>
            <w:gridSpan w:val="2"/>
            <w:tcBorders>
              <w:top w:val="single" w:sz="4" w:space="0" w:color="000000"/>
              <w:left w:val="single" w:sz="4" w:space="0" w:color="000000"/>
              <w:bottom w:val="single" w:sz="4" w:space="0" w:color="000000"/>
              <w:right w:val="single" w:sz="4" w:space="0" w:color="000000"/>
            </w:tcBorders>
          </w:tcPr>
          <w:p w14:paraId="412B1CB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МГСИ </w:t>
            </w:r>
          </w:p>
        </w:tc>
        <w:tc>
          <w:tcPr>
            <w:tcW w:w="1537" w:type="dxa"/>
            <w:gridSpan w:val="2"/>
            <w:tcBorders>
              <w:top w:val="single" w:sz="4" w:space="0" w:color="000000"/>
              <w:left w:val="single" w:sz="4" w:space="0" w:color="000000"/>
              <w:bottom w:val="single" w:sz="4" w:space="0" w:color="000000"/>
              <w:right w:val="single" w:sz="4" w:space="0" w:color="000000"/>
            </w:tcBorders>
          </w:tcPr>
          <w:p w14:paraId="2DF9524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p w14:paraId="50D53CD0" w14:textId="77777777" w:rsidR="00A0251B" w:rsidRPr="00CC35F0" w:rsidRDefault="00DD476F">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Агенција за безбедност саобраћаја  </w:t>
            </w:r>
          </w:p>
        </w:tc>
        <w:tc>
          <w:tcPr>
            <w:tcW w:w="1402" w:type="dxa"/>
            <w:gridSpan w:val="3"/>
            <w:tcBorders>
              <w:top w:val="single" w:sz="4" w:space="0" w:color="000000"/>
              <w:left w:val="single" w:sz="4" w:space="0" w:color="000000"/>
              <w:bottom w:val="single" w:sz="4" w:space="0" w:color="000000"/>
              <w:right w:val="single" w:sz="4" w:space="0" w:color="000000"/>
            </w:tcBorders>
          </w:tcPr>
          <w:p w14:paraId="1F8AD00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354" w:type="dxa"/>
            <w:gridSpan w:val="2"/>
            <w:tcBorders>
              <w:top w:val="single" w:sz="4" w:space="0" w:color="000000"/>
              <w:left w:val="single" w:sz="4" w:space="0" w:color="000000"/>
              <w:bottom w:val="single" w:sz="4" w:space="0" w:color="000000"/>
              <w:right w:val="single" w:sz="4" w:space="0" w:color="000000"/>
            </w:tcBorders>
          </w:tcPr>
          <w:p w14:paraId="2B5C706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372" w:type="dxa"/>
            <w:tcBorders>
              <w:top w:val="single" w:sz="4" w:space="0" w:color="000000"/>
              <w:left w:val="single" w:sz="4" w:space="0" w:color="000000"/>
              <w:bottom w:val="single" w:sz="4" w:space="0" w:color="000000"/>
              <w:right w:val="single" w:sz="4" w:space="0" w:color="000000"/>
            </w:tcBorders>
          </w:tcPr>
          <w:p w14:paraId="14518FB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p w14:paraId="180326F7" w14:textId="77777777" w:rsidR="00A0251B" w:rsidRPr="00CC35F0" w:rsidRDefault="00A0251B">
            <w:pPr>
              <w:jc w:val="center"/>
              <w:rPr>
                <w:rFonts w:ascii="Times New Roman" w:eastAsia="Times New Roman" w:hAnsi="Times New Roman"/>
                <w:sz w:val="24"/>
                <w:szCs w:val="24"/>
                <w:lang w:val="sr-Cyrl-CS"/>
              </w:rPr>
            </w:pPr>
          </w:p>
        </w:tc>
        <w:tc>
          <w:tcPr>
            <w:tcW w:w="974" w:type="dxa"/>
            <w:gridSpan w:val="2"/>
            <w:tcBorders>
              <w:top w:val="single" w:sz="4" w:space="0" w:color="000000"/>
              <w:left w:val="single" w:sz="4" w:space="0" w:color="000000"/>
              <w:bottom w:val="single" w:sz="4" w:space="0" w:color="000000"/>
              <w:right w:val="single" w:sz="4" w:space="0" w:color="000000"/>
            </w:tcBorders>
          </w:tcPr>
          <w:p w14:paraId="4BFA9025" w14:textId="77777777" w:rsidR="00A0251B" w:rsidRPr="00CC35F0" w:rsidRDefault="00A0251B">
            <w:pPr>
              <w:jc w:val="right"/>
              <w:rPr>
                <w:rFonts w:ascii="Times New Roman" w:eastAsia="Times New Roman" w:hAnsi="Times New Roman"/>
                <w:sz w:val="24"/>
                <w:szCs w:val="24"/>
                <w:lang w:val="sr-Cyrl-CS"/>
              </w:rPr>
            </w:pPr>
          </w:p>
        </w:tc>
        <w:tc>
          <w:tcPr>
            <w:tcW w:w="1030" w:type="dxa"/>
            <w:tcBorders>
              <w:top w:val="single" w:sz="4" w:space="0" w:color="000000"/>
              <w:left w:val="single" w:sz="4" w:space="0" w:color="000000"/>
              <w:bottom w:val="single" w:sz="4" w:space="0" w:color="000000"/>
              <w:right w:val="single" w:sz="4" w:space="0" w:color="000000"/>
            </w:tcBorders>
          </w:tcPr>
          <w:p w14:paraId="6678C10B" w14:textId="77777777" w:rsidR="00A0251B" w:rsidRPr="00CC35F0" w:rsidRDefault="00A0251B">
            <w:pPr>
              <w:jc w:val="right"/>
              <w:rPr>
                <w:rFonts w:ascii="Times New Roman" w:eastAsia="Times New Roman" w:hAnsi="Times New Roman"/>
                <w:sz w:val="24"/>
                <w:szCs w:val="24"/>
                <w:lang w:val="sr-Cyrl-CS"/>
              </w:rPr>
            </w:pPr>
          </w:p>
        </w:tc>
        <w:tc>
          <w:tcPr>
            <w:tcW w:w="720" w:type="dxa"/>
            <w:gridSpan w:val="2"/>
            <w:tcBorders>
              <w:top w:val="single" w:sz="4" w:space="0" w:color="000000"/>
              <w:left w:val="single" w:sz="4" w:space="0" w:color="000000"/>
              <w:bottom w:val="single" w:sz="4" w:space="0" w:color="000000"/>
              <w:right w:val="single" w:sz="4" w:space="0" w:color="000000"/>
            </w:tcBorders>
          </w:tcPr>
          <w:p w14:paraId="4192A886" w14:textId="77777777" w:rsidR="00A0251B" w:rsidRPr="00CC35F0" w:rsidRDefault="00A0251B">
            <w:pPr>
              <w:rPr>
                <w:rFonts w:ascii="Times New Roman" w:eastAsia="Times New Roman" w:hAnsi="Times New Roman"/>
                <w:sz w:val="24"/>
                <w:szCs w:val="24"/>
                <w:lang w:val="sr-Cyrl-CS"/>
              </w:rPr>
            </w:pPr>
          </w:p>
        </w:tc>
        <w:tc>
          <w:tcPr>
            <w:tcW w:w="1453" w:type="dxa"/>
            <w:gridSpan w:val="2"/>
            <w:tcBorders>
              <w:top w:val="single" w:sz="4" w:space="0" w:color="000000"/>
              <w:left w:val="single" w:sz="4" w:space="0" w:color="000000"/>
              <w:bottom w:val="single" w:sz="4" w:space="0" w:color="000000"/>
              <w:right w:val="single" w:sz="4" w:space="0" w:color="000000"/>
            </w:tcBorders>
          </w:tcPr>
          <w:p w14:paraId="3257FB3E" w14:textId="77777777" w:rsidR="0091453E" w:rsidRPr="00CC35F0" w:rsidRDefault="0091453E" w:rsidP="0091453E">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17.155.000</w:t>
            </w:r>
          </w:p>
        </w:tc>
        <w:tc>
          <w:tcPr>
            <w:tcW w:w="1161" w:type="dxa"/>
            <w:gridSpan w:val="3"/>
            <w:tcBorders>
              <w:top w:val="single" w:sz="4" w:space="0" w:color="000000"/>
              <w:left w:val="single" w:sz="4" w:space="0" w:color="000000"/>
              <w:bottom w:val="single" w:sz="4" w:space="0" w:color="000000"/>
              <w:right w:val="single" w:sz="4" w:space="0" w:color="000000"/>
            </w:tcBorders>
          </w:tcPr>
          <w:p w14:paraId="744E35D6"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1.480.500</w:t>
            </w:r>
          </w:p>
        </w:tc>
      </w:tr>
      <w:tr w:rsidR="00A0251B" w:rsidRPr="00CC35F0" w14:paraId="68AD809B" w14:textId="77777777" w:rsidTr="0091453E">
        <w:trPr>
          <w:gridAfter w:val="1"/>
          <w:wAfter w:w="21" w:type="dxa"/>
          <w:trHeight w:val="140"/>
        </w:trPr>
        <w:tc>
          <w:tcPr>
            <w:tcW w:w="2691" w:type="dxa"/>
            <w:gridSpan w:val="2"/>
            <w:tcBorders>
              <w:top w:val="single" w:sz="4" w:space="0" w:color="000000"/>
              <w:left w:val="single" w:sz="4" w:space="0" w:color="000000"/>
              <w:bottom w:val="single" w:sz="4" w:space="0" w:color="000000"/>
              <w:right w:val="single" w:sz="4" w:space="0" w:color="000000"/>
            </w:tcBorders>
          </w:tcPr>
          <w:p w14:paraId="45E3B0F9" w14:textId="77777777" w:rsidR="00A0251B" w:rsidRPr="00CC35F0" w:rsidRDefault="008D6506">
            <w:pPr>
              <w:rPr>
                <w:rFonts w:ascii="Times New Roman" w:eastAsia="Times New Roman" w:hAnsi="Times New Roman"/>
                <w:sz w:val="24"/>
                <w:szCs w:val="24"/>
                <w:lang w:val="sr-Cyrl-CS"/>
              </w:rPr>
            </w:pPr>
            <w:bookmarkStart w:id="131" w:name="_heading=h.2hio093" w:colFirst="0" w:colLast="0"/>
            <w:bookmarkEnd w:id="131"/>
            <w:r w:rsidRPr="00CC35F0">
              <w:rPr>
                <w:rFonts w:ascii="Times New Roman" w:eastAsia="Times New Roman" w:hAnsi="Times New Roman"/>
                <w:color w:val="000000"/>
                <w:sz w:val="24"/>
                <w:szCs w:val="24"/>
                <w:lang w:val="sr-Cyrl-CS"/>
              </w:rPr>
              <w:t xml:space="preserve">1.1.5.3 </w:t>
            </w:r>
            <w:r w:rsidRPr="00CC35F0">
              <w:rPr>
                <w:rFonts w:ascii="Times New Roman" w:eastAsia="Times New Roman" w:hAnsi="Times New Roman"/>
                <w:sz w:val="24"/>
                <w:szCs w:val="24"/>
                <w:lang w:val="sr-Cyrl-CS"/>
              </w:rPr>
              <w:t>Промена Закона о порезима на употребу, држање и ношење добара у делу пореза на употребу моторних возила .</w:t>
            </w:r>
            <w:r w:rsidRPr="00CC35F0">
              <w:rPr>
                <w:rFonts w:ascii="Times New Roman" w:eastAsia="Times New Roman" w:hAnsi="Times New Roman"/>
                <w:color w:val="000000"/>
                <w:sz w:val="24"/>
                <w:szCs w:val="24"/>
                <w:vertAlign w:val="superscript"/>
                <w:lang w:val="sr-Cyrl-CS"/>
              </w:rPr>
              <w:footnoteReference w:id="86"/>
            </w:r>
          </w:p>
          <w:p w14:paraId="4B09149A" w14:textId="77777777" w:rsidR="00A0251B" w:rsidRPr="00CC35F0" w:rsidRDefault="00A0251B">
            <w:pPr>
              <w:rPr>
                <w:rFonts w:ascii="Times New Roman" w:eastAsia="Times New Roman" w:hAnsi="Times New Roman"/>
                <w:strike/>
                <w:sz w:val="24"/>
                <w:szCs w:val="24"/>
                <w:highlight w:val="yellow"/>
                <w:lang w:val="sr-Cyrl-CS"/>
              </w:rPr>
            </w:pPr>
          </w:p>
        </w:tc>
        <w:tc>
          <w:tcPr>
            <w:tcW w:w="1425" w:type="dxa"/>
            <w:gridSpan w:val="2"/>
            <w:tcBorders>
              <w:top w:val="single" w:sz="4" w:space="0" w:color="000000"/>
              <w:left w:val="single" w:sz="4" w:space="0" w:color="000000"/>
              <w:bottom w:val="single" w:sz="4" w:space="0" w:color="000000"/>
              <w:right w:val="single" w:sz="4" w:space="0" w:color="000000"/>
            </w:tcBorders>
          </w:tcPr>
          <w:p w14:paraId="3668311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Министарство финансија </w:t>
            </w:r>
          </w:p>
        </w:tc>
        <w:tc>
          <w:tcPr>
            <w:tcW w:w="1537" w:type="dxa"/>
            <w:gridSpan w:val="2"/>
            <w:tcBorders>
              <w:top w:val="single" w:sz="4" w:space="0" w:color="000000"/>
              <w:left w:val="single" w:sz="4" w:space="0" w:color="000000"/>
              <w:bottom w:val="single" w:sz="4" w:space="0" w:color="000000"/>
              <w:right w:val="single" w:sz="4" w:space="0" w:color="000000"/>
            </w:tcBorders>
          </w:tcPr>
          <w:p w14:paraId="5630DEDB"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МГСИ,</w:t>
            </w:r>
          </w:p>
          <w:p w14:paraId="2BE24FA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Министарство унутрашњих послова</w:t>
            </w:r>
          </w:p>
        </w:tc>
        <w:tc>
          <w:tcPr>
            <w:tcW w:w="1402" w:type="dxa"/>
            <w:gridSpan w:val="3"/>
            <w:tcBorders>
              <w:top w:val="single" w:sz="4" w:space="0" w:color="000000"/>
              <w:left w:val="single" w:sz="4" w:space="0" w:color="000000"/>
              <w:bottom w:val="single" w:sz="4" w:space="0" w:color="000000"/>
              <w:right w:val="single" w:sz="4" w:space="0" w:color="000000"/>
            </w:tcBorders>
          </w:tcPr>
          <w:p w14:paraId="24176AB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IV квартал 2026</w:t>
            </w:r>
          </w:p>
        </w:tc>
        <w:tc>
          <w:tcPr>
            <w:tcW w:w="1354" w:type="dxa"/>
            <w:gridSpan w:val="2"/>
            <w:tcBorders>
              <w:top w:val="single" w:sz="4" w:space="0" w:color="000000"/>
              <w:left w:val="single" w:sz="4" w:space="0" w:color="000000"/>
              <w:bottom w:val="single" w:sz="4" w:space="0" w:color="000000"/>
              <w:right w:val="single" w:sz="4" w:space="0" w:color="000000"/>
            </w:tcBorders>
          </w:tcPr>
          <w:p w14:paraId="3165407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(приходи)</w:t>
            </w:r>
          </w:p>
        </w:tc>
        <w:tc>
          <w:tcPr>
            <w:tcW w:w="1372" w:type="dxa"/>
            <w:tcBorders>
              <w:top w:val="single" w:sz="4" w:space="0" w:color="000000"/>
              <w:left w:val="single" w:sz="4" w:space="0" w:color="000000"/>
              <w:bottom w:val="single" w:sz="4" w:space="0" w:color="000000"/>
              <w:right w:val="single" w:sz="4" w:space="0" w:color="000000"/>
            </w:tcBorders>
          </w:tcPr>
          <w:p w14:paraId="14674DEF" w14:textId="77777777" w:rsidR="00A0251B" w:rsidRPr="00CC35F0" w:rsidRDefault="008D6506">
            <w:pPr>
              <w:jc w:val="center"/>
              <w:rPr>
                <w:rFonts w:ascii="Times New Roman" w:eastAsia="Times New Roman" w:hAnsi="Times New Roman"/>
                <w:strike/>
                <w:sz w:val="24"/>
                <w:szCs w:val="24"/>
                <w:lang w:val="sr-Cyrl-CS"/>
              </w:rPr>
            </w:pPr>
            <w:r w:rsidRPr="00CC35F0">
              <w:rPr>
                <w:rFonts w:ascii="Times New Roman" w:eastAsia="Times New Roman" w:hAnsi="Times New Roman"/>
                <w:strike/>
                <w:sz w:val="24"/>
                <w:szCs w:val="24"/>
                <w:lang w:val="sr-Cyrl-CS"/>
              </w:rPr>
              <w:t>-</w:t>
            </w:r>
          </w:p>
          <w:p w14:paraId="5A25737C" w14:textId="77777777" w:rsidR="00A0251B" w:rsidRPr="00CC35F0" w:rsidRDefault="00A0251B">
            <w:pPr>
              <w:jc w:val="center"/>
              <w:rPr>
                <w:rFonts w:ascii="Times New Roman" w:eastAsia="Times New Roman" w:hAnsi="Times New Roman"/>
                <w:sz w:val="24"/>
                <w:szCs w:val="24"/>
                <w:highlight w:val="yellow"/>
                <w:lang w:val="sr-Cyrl-CS"/>
              </w:rPr>
            </w:pPr>
          </w:p>
        </w:tc>
        <w:tc>
          <w:tcPr>
            <w:tcW w:w="974" w:type="dxa"/>
            <w:gridSpan w:val="2"/>
            <w:tcBorders>
              <w:top w:val="single" w:sz="4" w:space="0" w:color="000000"/>
              <w:left w:val="single" w:sz="4" w:space="0" w:color="000000"/>
              <w:bottom w:val="single" w:sz="4" w:space="0" w:color="000000"/>
              <w:right w:val="single" w:sz="4" w:space="0" w:color="000000"/>
            </w:tcBorders>
          </w:tcPr>
          <w:p w14:paraId="69CC3595" w14:textId="77777777" w:rsidR="00A0251B" w:rsidRPr="00CC35F0" w:rsidRDefault="00A0251B">
            <w:pPr>
              <w:jc w:val="right"/>
              <w:rPr>
                <w:rFonts w:ascii="Times New Roman" w:eastAsia="Times New Roman" w:hAnsi="Times New Roman"/>
                <w:sz w:val="24"/>
                <w:szCs w:val="24"/>
                <w:lang w:val="sr-Cyrl-CS"/>
              </w:rPr>
            </w:pPr>
          </w:p>
        </w:tc>
        <w:tc>
          <w:tcPr>
            <w:tcW w:w="1030" w:type="dxa"/>
            <w:tcBorders>
              <w:top w:val="single" w:sz="4" w:space="0" w:color="000000"/>
              <w:left w:val="single" w:sz="4" w:space="0" w:color="000000"/>
              <w:bottom w:val="single" w:sz="4" w:space="0" w:color="000000"/>
              <w:right w:val="single" w:sz="4" w:space="0" w:color="000000"/>
            </w:tcBorders>
          </w:tcPr>
          <w:p w14:paraId="5A3097A7" w14:textId="77777777" w:rsidR="00A0251B" w:rsidRPr="00CC35F0" w:rsidRDefault="00A0251B">
            <w:pPr>
              <w:jc w:val="right"/>
              <w:rPr>
                <w:rFonts w:ascii="Times New Roman" w:eastAsia="Times New Roman" w:hAnsi="Times New Roman"/>
                <w:sz w:val="24"/>
                <w:szCs w:val="24"/>
                <w:lang w:val="sr-Cyrl-CS"/>
              </w:rPr>
            </w:pPr>
          </w:p>
        </w:tc>
        <w:tc>
          <w:tcPr>
            <w:tcW w:w="720" w:type="dxa"/>
            <w:gridSpan w:val="2"/>
            <w:tcBorders>
              <w:top w:val="single" w:sz="4" w:space="0" w:color="000000"/>
              <w:left w:val="single" w:sz="4" w:space="0" w:color="000000"/>
              <w:bottom w:val="single" w:sz="4" w:space="0" w:color="000000"/>
              <w:right w:val="single" w:sz="4" w:space="0" w:color="000000"/>
            </w:tcBorders>
          </w:tcPr>
          <w:p w14:paraId="1536CB8B" w14:textId="77777777" w:rsidR="00A0251B" w:rsidRPr="00CC35F0" w:rsidRDefault="00A0251B">
            <w:pPr>
              <w:jc w:val="right"/>
              <w:rPr>
                <w:rFonts w:ascii="Times New Roman" w:eastAsia="Times New Roman" w:hAnsi="Times New Roman"/>
                <w:sz w:val="24"/>
                <w:szCs w:val="24"/>
                <w:lang w:val="sr-Cyrl-CS"/>
              </w:rPr>
            </w:pPr>
          </w:p>
        </w:tc>
        <w:tc>
          <w:tcPr>
            <w:tcW w:w="1453" w:type="dxa"/>
            <w:gridSpan w:val="2"/>
            <w:tcBorders>
              <w:top w:val="single" w:sz="4" w:space="0" w:color="000000"/>
              <w:left w:val="single" w:sz="4" w:space="0" w:color="000000"/>
              <w:bottom w:val="single" w:sz="4" w:space="0" w:color="000000"/>
              <w:right w:val="single" w:sz="4" w:space="0" w:color="000000"/>
            </w:tcBorders>
          </w:tcPr>
          <w:p w14:paraId="722B6038" w14:textId="77777777" w:rsidR="00A0251B" w:rsidRPr="00CC35F0" w:rsidRDefault="00A0251B">
            <w:pPr>
              <w:jc w:val="right"/>
              <w:rPr>
                <w:rFonts w:ascii="Times New Roman" w:eastAsia="Times New Roman" w:hAnsi="Times New Roman"/>
                <w:sz w:val="24"/>
                <w:szCs w:val="24"/>
                <w:lang w:val="sr-Cyrl-CS"/>
              </w:rPr>
            </w:pPr>
          </w:p>
        </w:tc>
        <w:tc>
          <w:tcPr>
            <w:tcW w:w="1161" w:type="dxa"/>
            <w:gridSpan w:val="3"/>
            <w:tcBorders>
              <w:top w:val="single" w:sz="4" w:space="0" w:color="000000"/>
              <w:left w:val="single" w:sz="4" w:space="0" w:color="000000"/>
              <w:bottom w:val="single" w:sz="4" w:space="0" w:color="000000"/>
              <w:right w:val="single" w:sz="4" w:space="0" w:color="000000"/>
            </w:tcBorders>
          </w:tcPr>
          <w:p w14:paraId="0517448D" w14:textId="77777777" w:rsidR="00A0251B" w:rsidRPr="00CC35F0" w:rsidRDefault="00A0251B">
            <w:pPr>
              <w:ind w:right="39"/>
              <w:jc w:val="right"/>
              <w:rPr>
                <w:rFonts w:ascii="Times New Roman" w:eastAsia="Times New Roman" w:hAnsi="Times New Roman"/>
                <w:sz w:val="24"/>
                <w:szCs w:val="24"/>
                <w:lang w:val="sr-Cyrl-CS"/>
              </w:rPr>
            </w:pPr>
          </w:p>
        </w:tc>
      </w:tr>
      <w:tr w:rsidR="00A0251B" w:rsidRPr="00CC35F0" w14:paraId="1FB3E933" w14:textId="77777777" w:rsidTr="00C1332D">
        <w:trPr>
          <w:gridAfter w:val="2"/>
          <w:wAfter w:w="244" w:type="dxa"/>
          <w:trHeight w:val="168"/>
        </w:trPr>
        <w:tc>
          <w:tcPr>
            <w:tcW w:w="237" w:type="dxa"/>
          </w:tcPr>
          <w:p w14:paraId="632B9AA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659" w:type="dxa"/>
            <w:gridSpan w:val="20"/>
            <w:tcBorders>
              <w:top w:val="single" w:sz="4" w:space="0" w:color="000000"/>
              <w:left w:val="single" w:sz="4" w:space="0" w:color="000000"/>
              <w:bottom w:val="single" w:sz="4" w:space="0" w:color="000000"/>
              <w:right w:val="single" w:sz="4" w:space="0" w:color="000000"/>
            </w:tcBorders>
            <w:shd w:val="clear" w:color="auto" w:fill="F7CBAC"/>
          </w:tcPr>
          <w:p w14:paraId="1AD95C3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1.1.6: </w:t>
            </w:r>
            <w:r w:rsidRPr="00CC35F0">
              <w:rPr>
                <w:rFonts w:ascii="Times New Roman" w:eastAsia="Times New Roman" w:hAnsi="Times New Roman"/>
                <w:b/>
                <w:color w:val="000000"/>
                <w:sz w:val="24"/>
                <w:szCs w:val="24"/>
                <w:lang w:val="sr-Cyrl-CS"/>
              </w:rPr>
              <w:t>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ТМ</w:t>
            </w:r>
          </w:p>
        </w:tc>
      </w:tr>
      <w:tr w:rsidR="00A0251B" w:rsidRPr="00CC35F0" w14:paraId="2014C10C" w14:textId="77777777" w:rsidTr="00C1332D">
        <w:trPr>
          <w:gridAfter w:val="2"/>
          <w:wAfter w:w="244" w:type="dxa"/>
          <w:trHeight w:val="298"/>
        </w:trPr>
        <w:tc>
          <w:tcPr>
            <w:tcW w:w="237" w:type="dxa"/>
          </w:tcPr>
          <w:p w14:paraId="540611F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659" w:type="dxa"/>
            <w:gridSpan w:val="20"/>
            <w:tcBorders>
              <w:top w:val="single" w:sz="4" w:space="0" w:color="000000"/>
              <w:left w:val="single" w:sz="4" w:space="0" w:color="000000"/>
              <w:bottom w:val="single" w:sz="4" w:space="0" w:color="000000"/>
              <w:right w:val="single" w:sz="4" w:space="0" w:color="000000"/>
            </w:tcBorders>
            <w:shd w:val="clear" w:color="auto" w:fill="F7CBAC"/>
            <w:vAlign w:val="center"/>
          </w:tcPr>
          <w:p w14:paraId="07ECBCD4"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МГСИ</w:t>
            </w:r>
          </w:p>
        </w:tc>
      </w:tr>
      <w:tr w:rsidR="00A0251B" w:rsidRPr="00CC35F0" w14:paraId="1A30B898" w14:textId="77777777" w:rsidTr="00C1332D">
        <w:trPr>
          <w:gridAfter w:val="3"/>
          <w:wAfter w:w="250" w:type="dxa"/>
          <w:trHeight w:val="298"/>
        </w:trPr>
        <w:tc>
          <w:tcPr>
            <w:tcW w:w="237" w:type="dxa"/>
          </w:tcPr>
          <w:p w14:paraId="573EAD65"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i/>
                <w:sz w:val="24"/>
                <w:szCs w:val="24"/>
                <w:lang w:val="sr-Cyrl-CS"/>
              </w:rPr>
            </w:pPr>
          </w:p>
        </w:tc>
        <w:tc>
          <w:tcPr>
            <w:tcW w:w="5836" w:type="dxa"/>
            <w:gridSpan w:val="6"/>
            <w:tcBorders>
              <w:top w:val="single" w:sz="4" w:space="0" w:color="000000"/>
              <w:left w:val="single" w:sz="4" w:space="0" w:color="000000"/>
              <w:bottom w:val="single" w:sz="4" w:space="0" w:color="000000"/>
              <w:right w:val="single" w:sz="4" w:space="0" w:color="000000"/>
            </w:tcBorders>
            <w:shd w:val="clear" w:color="auto" w:fill="F7CBAC"/>
          </w:tcPr>
          <w:p w14:paraId="1A8ED2D6"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Период спровођења: 2022-20</w:t>
            </w:r>
            <w:r w:rsidR="00B61F54" w:rsidRPr="00CC35F0">
              <w:rPr>
                <w:rFonts w:ascii="Times New Roman" w:eastAsia="Times New Roman" w:hAnsi="Times New Roman"/>
                <w:sz w:val="24"/>
                <w:szCs w:val="24"/>
                <w:lang w:val="sr-Cyrl-CS"/>
              </w:rPr>
              <w:t>26</w:t>
            </w:r>
            <w:r w:rsidR="00B61F54" w:rsidRPr="00CC35F0">
              <w:rPr>
                <w:rFonts w:ascii="Times New Roman" w:eastAsia="Times New Roman" w:hAnsi="Times New Roman"/>
                <w:sz w:val="24"/>
                <w:szCs w:val="24"/>
                <w:vertAlign w:val="superscript"/>
                <w:lang w:val="sr-Cyrl-CS"/>
              </w:rPr>
              <w:t>#</w:t>
            </w:r>
          </w:p>
        </w:tc>
        <w:tc>
          <w:tcPr>
            <w:tcW w:w="8817" w:type="dxa"/>
            <w:gridSpan w:val="13"/>
            <w:tcBorders>
              <w:top w:val="single" w:sz="4" w:space="0" w:color="000000"/>
              <w:left w:val="single" w:sz="4" w:space="0" w:color="000000"/>
              <w:bottom w:val="single" w:sz="4" w:space="0" w:color="000000"/>
              <w:right w:val="single" w:sz="4" w:space="0" w:color="000000"/>
            </w:tcBorders>
            <w:shd w:val="clear" w:color="auto" w:fill="F7CBAC"/>
          </w:tcPr>
          <w:p w14:paraId="743B18B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w:t>
            </w:r>
          </w:p>
        </w:tc>
      </w:tr>
      <w:tr w:rsidR="00A0251B" w:rsidRPr="00CC35F0" w14:paraId="554DAD2B" w14:textId="77777777" w:rsidTr="00C1332D">
        <w:trPr>
          <w:gridAfter w:val="3"/>
          <w:wAfter w:w="250" w:type="dxa"/>
          <w:trHeight w:val="298"/>
        </w:trPr>
        <w:tc>
          <w:tcPr>
            <w:tcW w:w="237" w:type="dxa"/>
          </w:tcPr>
          <w:p w14:paraId="5A26600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5836" w:type="dxa"/>
            <w:gridSpan w:val="6"/>
            <w:tcBorders>
              <w:top w:val="single" w:sz="4" w:space="0" w:color="000000"/>
              <w:left w:val="single" w:sz="4" w:space="0" w:color="000000"/>
              <w:bottom w:val="single" w:sz="4" w:space="0" w:color="000000"/>
              <w:right w:val="single" w:sz="4" w:space="0" w:color="000000"/>
            </w:tcBorders>
            <w:shd w:val="clear" w:color="auto" w:fill="F7CBAC"/>
          </w:tcPr>
          <w:p w14:paraId="0D3EF15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8817" w:type="dxa"/>
            <w:gridSpan w:val="13"/>
            <w:tcBorders>
              <w:top w:val="single" w:sz="4" w:space="0" w:color="000000"/>
              <w:left w:val="single" w:sz="4" w:space="0" w:color="000000"/>
              <w:bottom w:val="single" w:sz="4" w:space="0" w:color="000000"/>
              <w:right w:val="single" w:sz="4" w:space="0" w:color="000000"/>
            </w:tcBorders>
            <w:shd w:val="clear" w:color="auto" w:fill="F7CBAC"/>
          </w:tcPr>
          <w:p w14:paraId="42BC852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Правилник о граничним вредностима емисије гасовитих и суспендованих честица и хомологацији мотора са унутрашњим сагоревањем за ТМ</w:t>
            </w:r>
          </w:p>
        </w:tc>
      </w:tr>
      <w:tr w:rsidR="00A0251B" w:rsidRPr="00CC35F0" w14:paraId="562F63E2" w14:textId="77777777" w:rsidTr="00C1332D">
        <w:trPr>
          <w:gridAfter w:val="3"/>
          <w:wAfter w:w="250" w:type="dxa"/>
          <w:trHeight w:val="950"/>
        </w:trPr>
        <w:tc>
          <w:tcPr>
            <w:tcW w:w="237" w:type="dxa"/>
          </w:tcPr>
          <w:p w14:paraId="1FF92FB4"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3134" w:type="dxa"/>
            <w:gridSpan w:val="2"/>
            <w:tcBorders>
              <w:top w:val="single" w:sz="4" w:space="0" w:color="000000"/>
              <w:left w:val="single" w:sz="4" w:space="0" w:color="000000"/>
              <w:bottom w:val="single" w:sz="4" w:space="0" w:color="000000"/>
              <w:right w:val="single" w:sz="4" w:space="0" w:color="000000"/>
            </w:tcBorders>
            <w:shd w:val="clear" w:color="auto" w:fill="D9D9D9"/>
          </w:tcPr>
          <w:p w14:paraId="35A7C12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7FA9571E" w14:textId="77777777" w:rsidR="00A0251B" w:rsidRPr="00CC35F0" w:rsidRDefault="00A0251B">
            <w:pPr>
              <w:jc w:val="center"/>
              <w:rPr>
                <w:rFonts w:ascii="Times New Roman" w:eastAsia="Times New Roman" w:hAnsi="Times New Roman"/>
                <w:sz w:val="24"/>
                <w:szCs w:val="24"/>
                <w:lang w:val="sr-Cyrl-CS"/>
              </w:rPr>
            </w:pPr>
          </w:p>
        </w:tc>
        <w:tc>
          <w:tcPr>
            <w:tcW w:w="1309" w:type="dxa"/>
            <w:gridSpan w:val="2"/>
            <w:tcBorders>
              <w:top w:val="single" w:sz="4" w:space="0" w:color="000000"/>
              <w:left w:val="single" w:sz="4" w:space="0" w:color="000000"/>
              <w:bottom w:val="single" w:sz="4" w:space="0" w:color="000000"/>
              <w:right w:val="single" w:sz="4" w:space="0" w:color="000000"/>
            </w:tcBorders>
            <w:shd w:val="clear" w:color="auto" w:fill="D9D9D9"/>
          </w:tcPr>
          <w:p w14:paraId="1E80205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393" w:type="dxa"/>
            <w:gridSpan w:val="2"/>
            <w:tcBorders>
              <w:top w:val="single" w:sz="4" w:space="0" w:color="000000"/>
              <w:left w:val="single" w:sz="4" w:space="0" w:color="000000"/>
              <w:bottom w:val="single" w:sz="4" w:space="0" w:color="000000"/>
              <w:right w:val="single" w:sz="4" w:space="0" w:color="000000"/>
            </w:tcBorders>
            <w:shd w:val="clear" w:color="auto" w:fill="D9D9D9"/>
          </w:tcPr>
          <w:p w14:paraId="3464BE8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976" w:type="dxa"/>
            <w:tcBorders>
              <w:top w:val="single" w:sz="4" w:space="0" w:color="000000"/>
              <w:left w:val="single" w:sz="4" w:space="0" w:color="000000"/>
              <w:bottom w:val="single" w:sz="4" w:space="0" w:color="000000"/>
              <w:right w:val="single" w:sz="4" w:space="0" w:color="000000"/>
            </w:tcBorders>
            <w:shd w:val="clear" w:color="auto" w:fill="D9D9D9"/>
          </w:tcPr>
          <w:p w14:paraId="17EE51F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w:t>
            </w:r>
            <w:r w:rsidRPr="00CC35F0">
              <w:rPr>
                <w:rFonts w:ascii="Times New Roman" w:eastAsia="Times New Roman" w:hAnsi="Times New Roman"/>
                <w:sz w:val="24"/>
                <w:szCs w:val="24"/>
                <w:lang w:val="sr-Cyrl-CS"/>
              </w:rPr>
              <w:lastRenderedPageBreak/>
              <w:t>ст 2015. године</w:t>
            </w:r>
          </w:p>
        </w:tc>
        <w:tc>
          <w:tcPr>
            <w:tcW w:w="1354" w:type="dxa"/>
            <w:gridSpan w:val="2"/>
            <w:tcBorders>
              <w:top w:val="single" w:sz="4" w:space="0" w:color="000000"/>
              <w:left w:val="single" w:sz="4" w:space="0" w:color="000000"/>
              <w:bottom w:val="single" w:sz="4" w:space="0" w:color="000000"/>
              <w:right w:val="single" w:sz="4" w:space="0" w:color="000000"/>
            </w:tcBorders>
            <w:shd w:val="clear" w:color="auto" w:fill="D9D9D9"/>
          </w:tcPr>
          <w:p w14:paraId="2CCAE2B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Циљана вредност </w:t>
            </w:r>
            <w:r w:rsidRPr="00CC35F0">
              <w:rPr>
                <w:rFonts w:ascii="Times New Roman" w:eastAsia="Times New Roman" w:hAnsi="Times New Roman"/>
                <w:sz w:val="24"/>
                <w:szCs w:val="24"/>
                <w:lang w:val="sr-Cyrl-CS"/>
              </w:rPr>
              <w:lastRenderedPageBreak/>
              <w:t>2022. година</w:t>
            </w:r>
          </w:p>
        </w:tc>
        <w:tc>
          <w:tcPr>
            <w:tcW w:w="1632" w:type="dxa"/>
            <w:gridSpan w:val="3"/>
            <w:tcBorders>
              <w:top w:val="single" w:sz="4" w:space="0" w:color="000000"/>
              <w:left w:val="single" w:sz="4" w:space="0" w:color="000000"/>
              <w:bottom w:val="single" w:sz="4" w:space="0" w:color="000000"/>
              <w:right w:val="single" w:sz="4" w:space="0" w:color="000000"/>
            </w:tcBorders>
            <w:shd w:val="clear" w:color="auto" w:fill="D9D9D9"/>
          </w:tcPr>
          <w:p w14:paraId="7E6887F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Циљана вредност 2023. године</w:t>
            </w:r>
          </w:p>
        </w:tc>
        <w:tc>
          <w:tcPr>
            <w:tcW w:w="2054" w:type="dxa"/>
            <w:gridSpan w:val="3"/>
            <w:tcBorders>
              <w:top w:val="single" w:sz="4" w:space="0" w:color="000000"/>
              <w:left w:val="single" w:sz="4" w:space="0" w:color="000000"/>
              <w:bottom w:val="single" w:sz="4" w:space="0" w:color="000000"/>
              <w:right w:val="single" w:sz="4" w:space="0" w:color="000000"/>
            </w:tcBorders>
            <w:shd w:val="clear" w:color="auto" w:fill="D9D9D9"/>
          </w:tcPr>
          <w:p w14:paraId="0B34970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338" w:type="dxa"/>
            <w:gridSpan w:val="2"/>
            <w:tcBorders>
              <w:top w:val="single" w:sz="4" w:space="0" w:color="000000"/>
              <w:left w:val="single" w:sz="4" w:space="0" w:color="000000"/>
              <w:bottom w:val="single" w:sz="4" w:space="0" w:color="000000"/>
              <w:right w:val="single" w:sz="4" w:space="0" w:color="000000"/>
            </w:tcBorders>
            <w:shd w:val="clear" w:color="auto" w:fill="D9D9D9"/>
          </w:tcPr>
          <w:p w14:paraId="7B93877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Циљана вредност </w:t>
            </w:r>
            <w:r w:rsidRPr="00CC35F0">
              <w:rPr>
                <w:rFonts w:ascii="Times New Roman" w:eastAsia="Times New Roman" w:hAnsi="Times New Roman"/>
                <w:sz w:val="24"/>
                <w:szCs w:val="24"/>
                <w:lang w:val="sr-Cyrl-CS"/>
              </w:rPr>
              <w:lastRenderedPageBreak/>
              <w:t>2025. године</w:t>
            </w:r>
          </w:p>
        </w:tc>
        <w:tc>
          <w:tcPr>
            <w:tcW w:w="146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5C1C85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Циљана вредност у последњој </w:t>
            </w:r>
            <w:r w:rsidRPr="00CC35F0">
              <w:rPr>
                <w:rFonts w:ascii="Times New Roman" w:eastAsia="Times New Roman" w:hAnsi="Times New Roman"/>
                <w:sz w:val="24"/>
                <w:szCs w:val="24"/>
                <w:lang w:val="sr-Cyrl-CS"/>
              </w:rPr>
              <w:lastRenderedPageBreak/>
              <w:t>години АП, 2026. године</w:t>
            </w:r>
          </w:p>
        </w:tc>
      </w:tr>
      <w:tr w:rsidR="00A0251B" w:rsidRPr="00CC35F0" w14:paraId="288E3CFE" w14:textId="77777777" w:rsidTr="00C1332D">
        <w:trPr>
          <w:gridAfter w:val="3"/>
          <w:wAfter w:w="250" w:type="dxa"/>
          <w:trHeight w:val="302"/>
        </w:trPr>
        <w:tc>
          <w:tcPr>
            <w:tcW w:w="237" w:type="dxa"/>
          </w:tcPr>
          <w:p w14:paraId="7317AA5E"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3134" w:type="dxa"/>
            <w:gridSpan w:val="2"/>
            <w:tcBorders>
              <w:top w:val="single" w:sz="4" w:space="0" w:color="000000"/>
              <w:left w:val="single" w:sz="4" w:space="0" w:color="000000"/>
              <w:bottom w:val="single" w:sz="4" w:space="0" w:color="000000"/>
              <w:right w:val="single" w:sz="4" w:space="0" w:color="000000"/>
            </w:tcBorders>
            <w:shd w:val="clear" w:color="auto" w:fill="FFFFFF"/>
          </w:tcPr>
          <w:p w14:paraId="6DEFCD1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возила у складу са прописима о ТМ</w:t>
            </w:r>
            <w:r w:rsidRPr="00CC35F0">
              <w:rPr>
                <w:rFonts w:ascii="Times New Roman" w:eastAsia="Times New Roman" w:hAnsi="Times New Roman"/>
                <w:color w:val="000000"/>
                <w:sz w:val="24"/>
                <w:szCs w:val="24"/>
                <w:lang w:val="sr-Cyrl-CS"/>
              </w:rPr>
              <w:t xml:space="preserve"> - спровођење Уредбе (ЕУ) 2016/1628 о захтевима који се односе на граничне вредности емисија за гасовите и суспендоване честице загађујућих материја и за одобрење типа мотора са унутрашњим сагоревањем за ТМ, којом се мењају Уредбе (ЕУ) бр. 1024/2012 и (ЕУ) бр. 167/2013, и која замењује Директиву 97/68/ЕЗ</w:t>
            </w:r>
          </w:p>
        </w:tc>
        <w:tc>
          <w:tcPr>
            <w:tcW w:w="1309" w:type="dxa"/>
            <w:gridSpan w:val="2"/>
            <w:tcBorders>
              <w:top w:val="single" w:sz="4" w:space="0" w:color="000000"/>
              <w:left w:val="single" w:sz="4" w:space="0" w:color="000000"/>
              <w:bottom w:val="single" w:sz="4" w:space="0" w:color="000000"/>
              <w:right w:val="single" w:sz="4" w:space="0" w:color="000000"/>
            </w:tcBorders>
            <w:shd w:val="clear" w:color="auto" w:fill="FFFFFF"/>
          </w:tcPr>
          <w:p w14:paraId="239C99D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393" w:type="dxa"/>
            <w:gridSpan w:val="2"/>
            <w:tcBorders>
              <w:top w:val="single" w:sz="4" w:space="0" w:color="000000"/>
              <w:left w:val="single" w:sz="4" w:space="0" w:color="000000"/>
              <w:bottom w:val="single" w:sz="4" w:space="0" w:color="000000"/>
              <w:right w:val="single" w:sz="4" w:space="0" w:color="000000"/>
            </w:tcBorders>
            <w:shd w:val="clear" w:color="auto" w:fill="FFFFFF"/>
          </w:tcPr>
          <w:p w14:paraId="49C6B1E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АЗЖС база података COPERT (за регистроване тракторе) </w:t>
            </w:r>
          </w:p>
          <w:p w14:paraId="66A310B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План мониторинга у оквиру </w:t>
            </w:r>
            <w:r w:rsidRPr="00CC35F0">
              <w:rPr>
                <w:rFonts w:ascii="Times New Roman" w:eastAsia="Times New Roman" w:hAnsi="Times New Roman"/>
                <w:i/>
                <w:sz w:val="24"/>
                <w:szCs w:val="24"/>
                <w:lang w:val="sr-Cyrl-CS"/>
              </w:rPr>
              <w:t>IPARD</w:t>
            </w:r>
            <w:r w:rsidRPr="00CC35F0">
              <w:rPr>
                <w:rFonts w:ascii="Times New Roman" w:eastAsia="Times New Roman" w:hAnsi="Times New Roman"/>
                <w:sz w:val="24"/>
                <w:szCs w:val="24"/>
                <w:lang w:val="sr-Cyrl-CS"/>
              </w:rPr>
              <w:t xml:space="preserve"> </w:t>
            </w:r>
          </w:p>
        </w:tc>
        <w:tc>
          <w:tcPr>
            <w:tcW w:w="976" w:type="dxa"/>
            <w:tcBorders>
              <w:top w:val="single" w:sz="4" w:space="0" w:color="000000"/>
              <w:left w:val="single" w:sz="4" w:space="0" w:color="000000"/>
              <w:bottom w:val="single" w:sz="4" w:space="0" w:color="000000"/>
              <w:right w:val="single" w:sz="4" w:space="0" w:color="000000"/>
            </w:tcBorders>
            <w:shd w:val="clear" w:color="auto" w:fill="FFFFFF"/>
          </w:tcPr>
          <w:p w14:paraId="18C4AEEC" w14:textId="77777777" w:rsidR="00A0251B" w:rsidRPr="00CC35F0" w:rsidRDefault="008D6506" w:rsidP="00D356A4">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0 </w:t>
            </w:r>
          </w:p>
        </w:tc>
        <w:tc>
          <w:tcPr>
            <w:tcW w:w="1354" w:type="dxa"/>
            <w:gridSpan w:val="2"/>
            <w:tcBorders>
              <w:top w:val="single" w:sz="4" w:space="0" w:color="000000"/>
              <w:left w:val="single" w:sz="4" w:space="0" w:color="000000"/>
              <w:bottom w:val="single" w:sz="4" w:space="0" w:color="000000"/>
              <w:right w:val="single" w:sz="4" w:space="0" w:color="000000"/>
            </w:tcBorders>
            <w:shd w:val="clear" w:color="auto" w:fill="FFFFFF"/>
          </w:tcPr>
          <w:p w14:paraId="4C774BEE" w14:textId="77777777" w:rsidR="00A0251B" w:rsidRPr="00CC35F0" w:rsidRDefault="008D6506" w:rsidP="00D356A4">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0 </w:t>
            </w:r>
          </w:p>
          <w:p w14:paraId="17A8CC25" w14:textId="77777777" w:rsidR="00A0251B" w:rsidRPr="00CC35F0" w:rsidRDefault="00A0251B">
            <w:pPr>
              <w:shd w:val="clear" w:color="auto" w:fill="FFFFFF"/>
              <w:rPr>
                <w:rFonts w:ascii="Times New Roman" w:eastAsia="Times New Roman" w:hAnsi="Times New Roman"/>
                <w:sz w:val="24"/>
                <w:szCs w:val="24"/>
                <w:lang w:val="sr-Cyrl-CS"/>
              </w:rPr>
            </w:pPr>
          </w:p>
        </w:tc>
        <w:tc>
          <w:tcPr>
            <w:tcW w:w="1632" w:type="dxa"/>
            <w:gridSpan w:val="3"/>
            <w:tcBorders>
              <w:top w:val="single" w:sz="4" w:space="0" w:color="000000"/>
              <w:left w:val="single" w:sz="4" w:space="0" w:color="000000"/>
              <w:bottom w:val="single" w:sz="4" w:space="0" w:color="000000"/>
              <w:right w:val="single" w:sz="4" w:space="0" w:color="000000"/>
            </w:tcBorders>
            <w:shd w:val="clear" w:color="auto" w:fill="FFFFFF"/>
          </w:tcPr>
          <w:p w14:paraId="41AC636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2054" w:type="dxa"/>
            <w:gridSpan w:val="3"/>
            <w:tcBorders>
              <w:top w:val="single" w:sz="4" w:space="0" w:color="000000"/>
              <w:left w:val="single" w:sz="4" w:space="0" w:color="000000"/>
              <w:bottom w:val="single" w:sz="4" w:space="0" w:color="000000"/>
              <w:right w:val="single" w:sz="4" w:space="0" w:color="000000"/>
            </w:tcBorders>
            <w:shd w:val="clear" w:color="auto" w:fill="FFFFFF"/>
          </w:tcPr>
          <w:p w14:paraId="0D6D8C6F" w14:textId="77777777" w:rsidR="00A0251B" w:rsidRPr="00CC35F0" w:rsidRDefault="008D6506" w:rsidP="00D356A4">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p w14:paraId="3EB12C08" w14:textId="77777777" w:rsidR="00A0251B" w:rsidRPr="00CC35F0" w:rsidRDefault="00A0251B">
            <w:pPr>
              <w:shd w:val="clear" w:color="auto" w:fill="FFFFFF"/>
              <w:rPr>
                <w:rFonts w:ascii="Times New Roman" w:eastAsia="Times New Roman" w:hAnsi="Times New Roman"/>
                <w:sz w:val="24"/>
                <w:szCs w:val="24"/>
                <w:lang w:val="sr-Cyrl-CS"/>
              </w:rPr>
            </w:pPr>
          </w:p>
        </w:tc>
        <w:tc>
          <w:tcPr>
            <w:tcW w:w="1338" w:type="dxa"/>
            <w:gridSpan w:val="2"/>
            <w:tcBorders>
              <w:top w:val="single" w:sz="4" w:space="0" w:color="000000"/>
              <w:left w:val="single" w:sz="4" w:space="0" w:color="000000"/>
              <w:bottom w:val="single" w:sz="4" w:space="0" w:color="000000"/>
              <w:right w:val="single" w:sz="4" w:space="0" w:color="000000"/>
            </w:tcBorders>
            <w:shd w:val="clear" w:color="auto" w:fill="FFFFFF"/>
          </w:tcPr>
          <w:p w14:paraId="2DF3011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w:t>
            </w:r>
          </w:p>
        </w:tc>
        <w:tc>
          <w:tcPr>
            <w:tcW w:w="1463" w:type="dxa"/>
            <w:gridSpan w:val="2"/>
            <w:tcBorders>
              <w:top w:val="single" w:sz="4" w:space="0" w:color="000000"/>
              <w:left w:val="single" w:sz="4" w:space="0" w:color="000000"/>
              <w:bottom w:val="single" w:sz="4" w:space="0" w:color="000000"/>
              <w:right w:val="single" w:sz="4" w:space="0" w:color="000000"/>
            </w:tcBorders>
            <w:shd w:val="clear" w:color="auto" w:fill="FFFFFF"/>
          </w:tcPr>
          <w:p w14:paraId="5E7E264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13 </w:t>
            </w:r>
          </w:p>
        </w:tc>
      </w:tr>
    </w:tbl>
    <w:p w14:paraId="73C6AAA5" w14:textId="77777777" w:rsidR="00A0251B" w:rsidRPr="00CC35F0" w:rsidRDefault="00A0251B">
      <w:pPr>
        <w:rPr>
          <w:rFonts w:ascii="Times New Roman" w:eastAsia="Times New Roman" w:hAnsi="Times New Roman"/>
          <w:sz w:val="24"/>
          <w:szCs w:val="24"/>
          <w:lang w:val="sr-Cyrl-CS"/>
        </w:rPr>
      </w:pPr>
    </w:p>
    <w:tbl>
      <w:tblPr>
        <w:tblStyle w:val="affa"/>
        <w:tblW w:w="1373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674"/>
        <w:gridCol w:w="2784"/>
        <w:gridCol w:w="1537"/>
        <w:gridCol w:w="1313"/>
        <w:gridCol w:w="1450"/>
        <w:gridCol w:w="1418"/>
        <w:gridCol w:w="1559"/>
      </w:tblGrid>
      <w:tr w:rsidR="00A0251B" w:rsidRPr="00CC35F0" w14:paraId="1E7D60D1" w14:textId="77777777">
        <w:trPr>
          <w:trHeight w:val="227"/>
        </w:trPr>
        <w:tc>
          <w:tcPr>
            <w:tcW w:w="3674" w:type="dxa"/>
            <w:vMerge w:val="restart"/>
            <w:shd w:val="clear" w:color="auto" w:fill="A8D08D"/>
          </w:tcPr>
          <w:p w14:paraId="278D7BF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79DAA972" w14:textId="77777777" w:rsidR="00A0251B" w:rsidRPr="00CC35F0" w:rsidRDefault="00A0251B">
            <w:pPr>
              <w:jc w:val="center"/>
              <w:rPr>
                <w:rFonts w:ascii="Times New Roman" w:eastAsia="Times New Roman" w:hAnsi="Times New Roman"/>
                <w:sz w:val="24"/>
                <w:szCs w:val="24"/>
                <w:lang w:val="sr-Cyrl-CS"/>
              </w:rPr>
            </w:pPr>
          </w:p>
        </w:tc>
        <w:tc>
          <w:tcPr>
            <w:tcW w:w="2784" w:type="dxa"/>
            <w:vMerge w:val="restart"/>
            <w:shd w:val="clear" w:color="auto" w:fill="A8D08D"/>
          </w:tcPr>
          <w:p w14:paraId="54A3630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1B1A59CF" w14:textId="77777777" w:rsidR="00A0251B" w:rsidRPr="00CC35F0" w:rsidRDefault="00A0251B">
            <w:pPr>
              <w:jc w:val="center"/>
              <w:rPr>
                <w:rFonts w:ascii="Times New Roman" w:eastAsia="Times New Roman" w:hAnsi="Times New Roman"/>
                <w:sz w:val="24"/>
                <w:szCs w:val="24"/>
                <w:lang w:val="sr-Cyrl-CS"/>
              </w:rPr>
            </w:pPr>
          </w:p>
        </w:tc>
        <w:tc>
          <w:tcPr>
            <w:tcW w:w="7277" w:type="dxa"/>
            <w:gridSpan w:val="5"/>
            <w:shd w:val="clear" w:color="auto" w:fill="A8D08D"/>
            <w:vAlign w:val="center"/>
          </w:tcPr>
          <w:p w14:paraId="5CF42D5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08585158" w14:textId="77777777">
        <w:trPr>
          <w:trHeight w:val="227"/>
        </w:trPr>
        <w:tc>
          <w:tcPr>
            <w:tcW w:w="3674" w:type="dxa"/>
            <w:vMerge/>
            <w:shd w:val="clear" w:color="auto" w:fill="A8D08D"/>
          </w:tcPr>
          <w:p w14:paraId="4AF7FA75"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784" w:type="dxa"/>
            <w:vMerge/>
            <w:shd w:val="clear" w:color="auto" w:fill="A8D08D"/>
          </w:tcPr>
          <w:p w14:paraId="26502DC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37" w:type="dxa"/>
            <w:shd w:val="clear" w:color="auto" w:fill="A8D08D"/>
            <w:vAlign w:val="center"/>
          </w:tcPr>
          <w:p w14:paraId="6CF7F10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313" w:type="dxa"/>
            <w:shd w:val="clear" w:color="auto" w:fill="A8D08D"/>
            <w:vAlign w:val="center"/>
          </w:tcPr>
          <w:p w14:paraId="7EE6379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450" w:type="dxa"/>
            <w:shd w:val="clear" w:color="auto" w:fill="A8D08D"/>
            <w:vAlign w:val="center"/>
          </w:tcPr>
          <w:p w14:paraId="60EF6F8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418" w:type="dxa"/>
            <w:shd w:val="clear" w:color="auto" w:fill="A8D08D"/>
            <w:vAlign w:val="center"/>
          </w:tcPr>
          <w:p w14:paraId="5C974A0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559" w:type="dxa"/>
            <w:shd w:val="clear" w:color="auto" w:fill="A8D08D"/>
            <w:vAlign w:val="center"/>
          </w:tcPr>
          <w:p w14:paraId="32FF547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57038CD9" w14:textId="77777777">
        <w:trPr>
          <w:trHeight w:val="398"/>
        </w:trPr>
        <w:tc>
          <w:tcPr>
            <w:tcW w:w="3674" w:type="dxa"/>
            <w:shd w:val="clear" w:color="auto" w:fill="FFFFFF"/>
          </w:tcPr>
          <w:p w14:paraId="3F3556F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tc>
        <w:tc>
          <w:tcPr>
            <w:tcW w:w="2784" w:type="dxa"/>
            <w:shd w:val="clear" w:color="auto" w:fill="FFFFFF"/>
          </w:tcPr>
          <w:p w14:paraId="7C560BD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0701-450-0001-411</w:t>
            </w:r>
          </w:p>
        </w:tc>
        <w:tc>
          <w:tcPr>
            <w:tcW w:w="1537" w:type="dxa"/>
            <w:shd w:val="clear" w:color="auto" w:fill="FFFFFF"/>
          </w:tcPr>
          <w:p w14:paraId="0C10DCDF" w14:textId="77777777" w:rsidR="00A0251B" w:rsidRPr="00CC35F0" w:rsidRDefault="00A0251B">
            <w:pPr>
              <w:jc w:val="right"/>
              <w:rPr>
                <w:rFonts w:ascii="Times New Roman" w:eastAsia="Times New Roman" w:hAnsi="Times New Roman"/>
                <w:sz w:val="24"/>
                <w:szCs w:val="24"/>
                <w:lang w:val="sr-Cyrl-CS"/>
              </w:rPr>
            </w:pPr>
          </w:p>
        </w:tc>
        <w:tc>
          <w:tcPr>
            <w:tcW w:w="1313" w:type="dxa"/>
            <w:shd w:val="clear" w:color="auto" w:fill="FFFFFF"/>
          </w:tcPr>
          <w:p w14:paraId="7DF61F77" w14:textId="77777777" w:rsidR="00A0251B" w:rsidRPr="00CC35F0" w:rsidRDefault="00A0251B">
            <w:pPr>
              <w:jc w:val="right"/>
              <w:rPr>
                <w:rFonts w:ascii="Times New Roman" w:eastAsia="Times New Roman" w:hAnsi="Times New Roman"/>
                <w:sz w:val="24"/>
                <w:szCs w:val="24"/>
                <w:lang w:val="sr-Cyrl-CS"/>
              </w:rPr>
            </w:pPr>
          </w:p>
        </w:tc>
        <w:tc>
          <w:tcPr>
            <w:tcW w:w="1450" w:type="dxa"/>
            <w:shd w:val="clear" w:color="auto" w:fill="FFFFFF"/>
          </w:tcPr>
          <w:p w14:paraId="66220ADE" w14:textId="77777777" w:rsidR="00A0251B" w:rsidRPr="00CC35F0" w:rsidRDefault="00A0251B">
            <w:pPr>
              <w:jc w:val="right"/>
              <w:rPr>
                <w:rFonts w:ascii="Times New Roman" w:eastAsia="Times New Roman" w:hAnsi="Times New Roman"/>
                <w:sz w:val="24"/>
                <w:szCs w:val="24"/>
                <w:lang w:val="sr-Cyrl-CS"/>
              </w:rPr>
            </w:pPr>
          </w:p>
        </w:tc>
        <w:tc>
          <w:tcPr>
            <w:tcW w:w="1418" w:type="dxa"/>
            <w:shd w:val="clear" w:color="auto" w:fill="FFFFFF"/>
          </w:tcPr>
          <w:p w14:paraId="4307E38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7.050*</w:t>
            </w:r>
          </w:p>
        </w:tc>
        <w:tc>
          <w:tcPr>
            <w:tcW w:w="1559" w:type="dxa"/>
            <w:shd w:val="clear" w:color="auto" w:fill="FFFFFF"/>
          </w:tcPr>
          <w:p w14:paraId="20B1908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7.050*</w:t>
            </w:r>
          </w:p>
        </w:tc>
      </w:tr>
      <w:tr w:rsidR="00A0251B" w:rsidRPr="00CC35F0" w14:paraId="059E9BFC" w14:textId="77777777">
        <w:trPr>
          <w:trHeight w:val="398"/>
        </w:trPr>
        <w:tc>
          <w:tcPr>
            <w:tcW w:w="3674" w:type="dxa"/>
            <w:shd w:val="clear" w:color="auto" w:fill="FFFFFF"/>
          </w:tcPr>
          <w:p w14:paraId="3E3F44F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2784" w:type="dxa"/>
            <w:shd w:val="clear" w:color="auto" w:fill="FFFFFF"/>
          </w:tcPr>
          <w:p w14:paraId="1C44787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37" w:type="dxa"/>
            <w:shd w:val="clear" w:color="auto" w:fill="FFFFFF"/>
            <w:vAlign w:val="center"/>
          </w:tcPr>
          <w:p w14:paraId="09CD44F2" w14:textId="77777777" w:rsidR="00A0251B" w:rsidRPr="00CC35F0" w:rsidRDefault="00A0251B">
            <w:pPr>
              <w:jc w:val="right"/>
              <w:rPr>
                <w:rFonts w:ascii="Times New Roman" w:eastAsia="Times New Roman" w:hAnsi="Times New Roman"/>
                <w:sz w:val="24"/>
                <w:szCs w:val="24"/>
                <w:lang w:val="sr-Cyrl-CS"/>
              </w:rPr>
            </w:pPr>
          </w:p>
        </w:tc>
        <w:tc>
          <w:tcPr>
            <w:tcW w:w="1313" w:type="dxa"/>
            <w:shd w:val="clear" w:color="auto" w:fill="FFFFFF"/>
          </w:tcPr>
          <w:p w14:paraId="22DAACBE" w14:textId="77777777" w:rsidR="00A0251B" w:rsidRPr="00CC35F0" w:rsidRDefault="00497B18">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35.300*</w:t>
            </w:r>
          </w:p>
        </w:tc>
        <w:tc>
          <w:tcPr>
            <w:tcW w:w="1450" w:type="dxa"/>
            <w:shd w:val="clear" w:color="auto" w:fill="FFFFFF"/>
          </w:tcPr>
          <w:p w14:paraId="3A21AAAC" w14:textId="77777777" w:rsidR="00A0251B" w:rsidRPr="00CC35F0" w:rsidRDefault="00A0251B">
            <w:pPr>
              <w:jc w:val="right"/>
              <w:rPr>
                <w:rFonts w:ascii="Times New Roman" w:eastAsia="Times New Roman" w:hAnsi="Times New Roman"/>
                <w:sz w:val="24"/>
                <w:szCs w:val="24"/>
                <w:lang w:val="sr-Cyrl-CS"/>
              </w:rPr>
            </w:pPr>
          </w:p>
        </w:tc>
        <w:tc>
          <w:tcPr>
            <w:tcW w:w="1418" w:type="dxa"/>
            <w:shd w:val="clear" w:color="auto" w:fill="FFFFFF"/>
          </w:tcPr>
          <w:p w14:paraId="389D646C" w14:textId="77777777" w:rsidR="00A0251B" w:rsidRPr="00CC35F0" w:rsidRDefault="00A0251B">
            <w:pPr>
              <w:jc w:val="right"/>
              <w:rPr>
                <w:rFonts w:ascii="Times New Roman" w:eastAsia="Times New Roman" w:hAnsi="Times New Roman"/>
                <w:sz w:val="24"/>
                <w:szCs w:val="24"/>
                <w:lang w:val="sr-Cyrl-CS"/>
              </w:rPr>
            </w:pPr>
          </w:p>
        </w:tc>
        <w:tc>
          <w:tcPr>
            <w:tcW w:w="1559" w:type="dxa"/>
            <w:shd w:val="clear" w:color="auto" w:fill="FFFFFF"/>
          </w:tcPr>
          <w:p w14:paraId="09225835" w14:textId="77777777" w:rsidR="00A0251B" w:rsidRPr="00CC35F0" w:rsidRDefault="00A0251B">
            <w:pPr>
              <w:jc w:val="right"/>
              <w:rPr>
                <w:rFonts w:ascii="Times New Roman" w:eastAsia="Times New Roman" w:hAnsi="Times New Roman"/>
                <w:sz w:val="24"/>
                <w:szCs w:val="24"/>
                <w:lang w:val="sr-Cyrl-CS"/>
              </w:rPr>
            </w:pPr>
          </w:p>
        </w:tc>
      </w:tr>
    </w:tbl>
    <w:p w14:paraId="30D2C4E6" w14:textId="77777777" w:rsidR="00A0251B" w:rsidRPr="00CC35F0" w:rsidRDefault="00A0251B">
      <w:pPr>
        <w:rPr>
          <w:rFonts w:ascii="Times New Roman" w:eastAsia="Times New Roman" w:hAnsi="Times New Roman"/>
          <w:sz w:val="24"/>
          <w:szCs w:val="24"/>
          <w:lang w:val="sr-Cyrl-CS"/>
        </w:rPr>
      </w:pPr>
    </w:p>
    <w:tbl>
      <w:tblPr>
        <w:tblStyle w:val="affb"/>
        <w:tblW w:w="14508"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2302"/>
        <w:gridCol w:w="1740"/>
        <w:gridCol w:w="1097"/>
        <w:gridCol w:w="1225"/>
        <w:gridCol w:w="1425"/>
        <w:gridCol w:w="1341"/>
        <w:gridCol w:w="981"/>
        <w:gridCol w:w="1106"/>
        <w:gridCol w:w="1106"/>
        <w:gridCol w:w="1106"/>
        <w:gridCol w:w="1079"/>
      </w:tblGrid>
      <w:tr w:rsidR="00A0251B" w:rsidRPr="00CC35F0" w14:paraId="6D7D9A79" w14:textId="77777777">
        <w:trPr>
          <w:trHeight w:val="140"/>
          <w:tblHeader/>
        </w:trPr>
        <w:tc>
          <w:tcPr>
            <w:tcW w:w="2303"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0D887C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Назив активности:</w:t>
            </w:r>
          </w:p>
        </w:tc>
        <w:tc>
          <w:tcPr>
            <w:tcW w:w="1740"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DDE413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09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27916A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22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3A67C51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39FFC4F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34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433FC8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796B240C" w14:textId="77777777" w:rsidR="00A0251B" w:rsidRPr="00CC35F0" w:rsidRDefault="00A0251B">
            <w:pPr>
              <w:jc w:val="center"/>
              <w:rPr>
                <w:rFonts w:ascii="Times New Roman" w:eastAsia="Times New Roman" w:hAnsi="Times New Roman"/>
                <w:sz w:val="24"/>
                <w:szCs w:val="24"/>
                <w:lang w:val="sr-Cyrl-CS"/>
              </w:rPr>
            </w:pPr>
          </w:p>
        </w:tc>
        <w:tc>
          <w:tcPr>
            <w:tcW w:w="5378" w:type="dxa"/>
            <w:gridSpan w:val="5"/>
            <w:tcBorders>
              <w:top w:val="single" w:sz="4" w:space="0" w:color="000000"/>
              <w:left w:val="single" w:sz="4" w:space="0" w:color="000000"/>
              <w:bottom w:val="single" w:sz="4" w:space="0" w:color="000000"/>
              <w:right w:val="single" w:sz="4" w:space="0" w:color="000000"/>
            </w:tcBorders>
            <w:shd w:val="clear" w:color="auto" w:fill="FFF2CC"/>
          </w:tcPr>
          <w:p w14:paraId="1E52E73C" w14:textId="77777777" w:rsidR="00A0251B" w:rsidRPr="00CC35F0" w:rsidRDefault="008D6506">
            <w:pPr>
              <w:jc w:val="cente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00D356A4" w:rsidRPr="00CC35F0">
              <w:rPr>
                <w:rFonts w:ascii="Times New Roman" w:eastAsia="Times New Roman" w:hAnsi="Times New Roman"/>
                <w:sz w:val="24"/>
                <w:szCs w:val="24"/>
                <w:vertAlign w:val="superscript"/>
                <w:lang w:val="sr-Cyrl-CS"/>
              </w:rPr>
              <w:t>82</w:t>
            </w:r>
          </w:p>
        </w:tc>
      </w:tr>
      <w:tr w:rsidR="00A0251B" w:rsidRPr="00CC35F0" w14:paraId="2AE3E889" w14:textId="77777777">
        <w:trPr>
          <w:trHeight w:val="386"/>
          <w:tblHeader/>
        </w:trPr>
        <w:tc>
          <w:tcPr>
            <w:tcW w:w="2303" w:type="dxa"/>
            <w:vMerge/>
            <w:tcBorders>
              <w:top w:val="single" w:sz="4" w:space="0" w:color="000000"/>
              <w:left w:val="single" w:sz="4" w:space="0" w:color="000000"/>
              <w:bottom w:val="single" w:sz="4" w:space="0" w:color="000000"/>
              <w:right w:val="single" w:sz="4" w:space="0" w:color="000000"/>
            </w:tcBorders>
            <w:shd w:val="clear" w:color="auto" w:fill="FFF2CC"/>
          </w:tcPr>
          <w:p w14:paraId="069BFE3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40" w:type="dxa"/>
            <w:vMerge/>
            <w:tcBorders>
              <w:top w:val="single" w:sz="4" w:space="0" w:color="000000"/>
              <w:left w:val="single" w:sz="4" w:space="0" w:color="000000"/>
              <w:bottom w:val="single" w:sz="4" w:space="0" w:color="000000"/>
              <w:right w:val="single" w:sz="4" w:space="0" w:color="000000"/>
            </w:tcBorders>
            <w:shd w:val="clear" w:color="auto" w:fill="FFF2CC"/>
          </w:tcPr>
          <w:p w14:paraId="2974009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097" w:type="dxa"/>
            <w:vMerge/>
            <w:tcBorders>
              <w:top w:val="single" w:sz="4" w:space="0" w:color="000000"/>
              <w:left w:val="single" w:sz="4" w:space="0" w:color="000000"/>
              <w:bottom w:val="single" w:sz="4" w:space="0" w:color="000000"/>
              <w:right w:val="single" w:sz="4" w:space="0" w:color="000000"/>
            </w:tcBorders>
            <w:shd w:val="clear" w:color="auto" w:fill="FFF2CC"/>
          </w:tcPr>
          <w:p w14:paraId="624833D7"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225" w:type="dxa"/>
            <w:vMerge/>
            <w:tcBorders>
              <w:top w:val="single" w:sz="4" w:space="0" w:color="000000"/>
              <w:left w:val="single" w:sz="4" w:space="0" w:color="000000"/>
              <w:bottom w:val="single" w:sz="4" w:space="0" w:color="000000"/>
              <w:right w:val="single" w:sz="4" w:space="0" w:color="000000"/>
            </w:tcBorders>
            <w:shd w:val="clear" w:color="auto" w:fill="FFF2CC"/>
          </w:tcPr>
          <w:p w14:paraId="06F9B0C7"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5" w:type="dxa"/>
            <w:vMerge/>
            <w:tcBorders>
              <w:top w:val="single" w:sz="4" w:space="0" w:color="000000"/>
              <w:left w:val="single" w:sz="4" w:space="0" w:color="000000"/>
              <w:bottom w:val="single" w:sz="4" w:space="0" w:color="000000"/>
              <w:right w:val="single" w:sz="4" w:space="0" w:color="000000"/>
            </w:tcBorders>
            <w:shd w:val="clear" w:color="auto" w:fill="FFF2CC"/>
          </w:tcPr>
          <w:p w14:paraId="33FF647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41" w:type="dxa"/>
            <w:vMerge/>
            <w:tcBorders>
              <w:top w:val="single" w:sz="4" w:space="0" w:color="000000"/>
              <w:left w:val="single" w:sz="4" w:space="0" w:color="000000"/>
              <w:bottom w:val="single" w:sz="4" w:space="0" w:color="000000"/>
              <w:right w:val="single" w:sz="4" w:space="0" w:color="000000"/>
            </w:tcBorders>
            <w:shd w:val="clear" w:color="auto" w:fill="FFF2CC"/>
          </w:tcPr>
          <w:p w14:paraId="67BDD61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81" w:type="dxa"/>
            <w:shd w:val="clear" w:color="auto" w:fill="FFF2CC"/>
          </w:tcPr>
          <w:p w14:paraId="78CBE8C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106" w:type="dxa"/>
            <w:shd w:val="clear" w:color="auto" w:fill="FFF2CC"/>
          </w:tcPr>
          <w:p w14:paraId="41AF119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106" w:type="dxa"/>
            <w:shd w:val="clear" w:color="auto" w:fill="FFF2CC"/>
          </w:tcPr>
          <w:p w14:paraId="7443615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106" w:type="dxa"/>
            <w:shd w:val="clear" w:color="auto" w:fill="FFF2CC"/>
          </w:tcPr>
          <w:p w14:paraId="57FB28D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079" w:type="dxa"/>
            <w:shd w:val="clear" w:color="auto" w:fill="FFF2CC"/>
          </w:tcPr>
          <w:p w14:paraId="595B9EB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770893B1" w14:textId="77777777">
        <w:trPr>
          <w:trHeight w:val="543"/>
        </w:trPr>
        <w:tc>
          <w:tcPr>
            <w:tcW w:w="2303" w:type="dxa"/>
          </w:tcPr>
          <w:p w14:paraId="045C896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1.1.6.1 За</w:t>
            </w:r>
            <w:r w:rsidRPr="00CC35F0">
              <w:rPr>
                <w:rFonts w:ascii="Times New Roman" w:eastAsia="Times New Roman" w:hAnsi="Times New Roman"/>
                <w:color w:val="000000"/>
                <w:sz w:val="24"/>
                <w:szCs w:val="24"/>
                <w:lang w:val="sr-Cyrl-CS"/>
              </w:rPr>
              <w:t>вршити програм рада за потпуно усклађивање националног законодавства са Уредбом 2016/1628 кроз Правилник о граничним вредностима емисије гасовитих и суспендованих честица и хомологацији мотора са унутрашњим сагоревањем за ТМ).</w:t>
            </w:r>
          </w:p>
        </w:tc>
        <w:tc>
          <w:tcPr>
            <w:tcW w:w="1740" w:type="dxa"/>
          </w:tcPr>
          <w:p w14:paraId="6D0F8EF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МГСИ</w:t>
            </w:r>
            <w:r w:rsidRPr="00CC35F0">
              <w:rPr>
                <w:rFonts w:ascii="Times New Roman" w:eastAsia="Times New Roman" w:hAnsi="Times New Roman"/>
                <w:strike/>
                <w:color w:val="000000"/>
                <w:sz w:val="24"/>
                <w:szCs w:val="24"/>
                <w:lang w:val="sr-Cyrl-CS"/>
              </w:rPr>
              <w:t xml:space="preserve"> </w:t>
            </w:r>
          </w:p>
        </w:tc>
        <w:tc>
          <w:tcPr>
            <w:tcW w:w="1097" w:type="dxa"/>
          </w:tcPr>
          <w:p w14:paraId="08EC076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Агенција за безбедност саобраћаја </w:t>
            </w:r>
          </w:p>
          <w:p w14:paraId="61E3B488" w14:textId="77777777" w:rsidR="00A0251B" w:rsidRPr="00CC35F0" w:rsidRDefault="00A0251B">
            <w:pPr>
              <w:rPr>
                <w:rFonts w:ascii="Times New Roman" w:eastAsia="Times New Roman" w:hAnsi="Times New Roman"/>
                <w:sz w:val="24"/>
                <w:szCs w:val="24"/>
                <w:lang w:val="sr-Cyrl-CS"/>
              </w:rPr>
            </w:pPr>
          </w:p>
        </w:tc>
        <w:tc>
          <w:tcPr>
            <w:tcW w:w="1225" w:type="dxa"/>
          </w:tcPr>
          <w:p w14:paraId="7791AA4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2024</w:t>
            </w:r>
          </w:p>
        </w:tc>
        <w:tc>
          <w:tcPr>
            <w:tcW w:w="1425" w:type="dxa"/>
          </w:tcPr>
          <w:p w14:paraId="2A3D928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341" w:type="dxa"/>
          </w:tcPr>
          <w:p w14:paraId="172BE658" w14:textId="77777777" w:rsidR="00A0251B" w:rsidRPr="00CC35F0" w:rsidRDefault="00A0251B">
            <w:pPr>
              <w:jc w:val="right"/>
              <w:rPr>
                <w:rFonts w:ascii="Times New Roman" w:eastAsia="Times New Roman" w:hAnsi="Times New Roman"/>
                <w:sz w:val="24"/>
                <w:szCs w:val="24"/>
                <w:lang w:val="sr-Cyrl-CS"/>
              </w:rPr>
            </w:pPr>
          </w:p>
        </w:tc>
        <w:tc>
          <w:tcPr>
            <w:tcW w:w="981" w:type="dxa"/>
          </w:tcPr>
          <w:p w14:paraId="0A307D83" w14:textId="77777777" w:rsidR="00A0251B" w:rsidRPr="00CC35F0" w:rsidRDefault="00A0251B">
            <w:pPr>
              <w:jc w:val="right"/>
              <w:rPr>
                <w:rFonts w:ascii="Times New Roman" w:eastAsia="Times New Roman" w:hAnsi="Times New Roman"/>
                <w:sz w:val="24"/>
                <w:szCs w:val="24"/>
                <w:lang w:val="sr-Cyrl-CS"/>
              </w:rPr>
            </w:pPr>
          </w:p>
        </w:tc>
        <w:tc>
          <w:tcPr>
            <w:tcW w:w="1106" w:type="dxa"/>
          </w:tcPr>
          <w:p w14:paraId="014BBF45" w14:textId="77777777" w:rsidR="00A0251B" w:rsidRPr="00CC35F0" w:rsidRDefault="00497B18">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35.300</w:t>
            </w:r>
          </w:p>
        </w:tc>
        <w:tc>
          <w:tcPr>
            <w:tcW w:w="1106" w:type="dxa"/>
          </w:tcPr>
          <w:p w14:paraId="51F561C7" w14:textId="77777777" w:rsidR="00A0251B" w:rsidRPr="00CC35F0" w:rsidRDefault="00A0251B">
            <w:pPr>
              <w:jc w:val="right"/>
              <w:rPr>
                <w:rFonts w:ascii="Times New Roman" w:eastAsia="Times New Roman" w:hAnsi="Times New Roman"/>
                <w:sz w:val="24"/>
                <w:szCs w:val="24"/>
                <w:lang w:val="sr-Cyrl-CS"/>
              </w:rPr>
            </w:pPr>
          </w:p>
        </w:tc>
        <w:tc>
          <w:tcPr>
            <w:tcW w:w="1106" w:type="dxa"/>
          </w:tcPr>
          <w:p w14:paraId="4DB4F379" w14:textId="77777777" w:rsidR="00A0251B" w:rsidRPr="00CC35F0" w:rsidRDefault="00A0251B">
            <w:pPr>
              <w:jc w:val="right"/>
              <w:rPr>
                <w:rFonts w:ascii="Times New Roman" w:eastAsia="Times New Roman" w:hAnsi="Times New Roman"/>
                <w:sz w:val="24"/>
                <w:szCs w:val="24"/>
                <w:lang w:val="sr-Cyrl-CS"/>
              </w:rPr>
            </w:pPr>
          </w:p>
        </w:tc>
        <w:tc>
          <w:tcPr>
            <w:tcW w:w="1079" w:type="dxa"/>
          </w:tcPr>
          <w:p w14:paraId="31ED48A4" w14:textId="77777777" w:rsidR="00A0251B" w:rsidRPr="00CC35F0" w:rsidRDefault="00A0251B">
            <w:pPr>
              <w:jc w:val="right"/>
              <w:rPr>
                <w:rFonts w:ascii="Times New Roman" w:eastAsia="Times New Roman" w:hAnsi="Times New Roman"/>
                <w:sz w:val="24"/>
                <w:szCs w:val="24"/>
                <w:lang w:val="sr-Cyrl-CS"/>
              </w:rPr>
            </w:pPr>
          </w:p>
        </w:tc>
      </w:tr>
      <w:tr w:rsidR="00A0251B" w:rsidRPr="00CC35F0" w14:paraId="39381DDF" w14:textId="77777777">
        <w:trPr>
          <w:trHeight w:val="140"/>
        </w:trPr>
        <w:tc>
          <w:tcPr>
            <w:tcW w:w="2303" w:type="dxa"/>
          </w:tcPr>
          <w:p w14:paraId="1F16DE85"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1.1.6.2. Осигурати повећање броја запослених у институцијама Републике Србије у циљу бављења ТМ (али и друмским </w:t>
            </w:r>
            <w:r w:rsidRPr="00CC35F0">
              <w:rPr>
                <w:rFonts w:ascii="Times New Roman" w:eastAsia="Times New Roman" w:hAnsi="Times New Roman"/>
                <w:color w:val="000000"/>
                <w:sz w:val="24"/>
                <w:szCs w:val="24"/>
                <w:lang w:val="sr-Cyrl-CS"/>
              </w:rPr>
              <w:lastRenderedPageBreak/>
              <w:t>саобраћајем и другим видовима саобраћаја):</w:t>
            </w:r>
          </w:p>
          <w:p w14:paraId="4B63597A"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МГСИ: 1 радно место за стручњака за ТМ (али и друмски саобраћај и друге врсте саобраћаја)</w:t>
            </w:r>
          </w:p>
          <w:p w14:paraId="3D6C69E6" w14:textId="77777777" w:rsidR="00A0251B" w:rsidRPr="00CC35F0" w:rsidRDefault="00DD476F">
            <w:pPr>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Агенција за безбедност саобраћаја  </w:t>
            </w:r>
            <w:r w:rsidR="008D6506" w:rsidRPr="00CC35F0">
              <w:rPr>
                <w:rFonts w:ascii="Times New Roman" w:eastAsia="Times New Roman" w:hAnsi="Times New Roman"/>
                <w:color w:val="000000"/>
                <w:sz w:val="24"/>
                <w:szCs w:val="24"/>
                <w:lang w:val="sr-Cyrl-CS"/>
              </w:rPr>
              <w:t>: 1 службеник који ће се бавити питањима ТМ (али и друмским саобраћајем и другим видовима саобраћаја).</w:t>
            </w:r>
          </w:p>
          <w:p w14:paraId="0327687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1 службеник који ће се бавити друмским саобраћајем и другим видовима саобраћаја</w:t>
            </w:r>
          </w:p>
        </w:tc>
        <w:tc>
          <w:tcPr>
            <w:tcW w:w="1740" w:type="dxa"/>
          </w:tcPr>
          <w:p w14:paraId="19DF2A6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lastRenderedPageBreak/>
              <w:t xml:space="preserve">МГСИ </w:t>
            </w:r>
          </w:p>
        </w:tc>
        <w:tc>
          <w:tcPr>
            <w:tcW w:w="1097" w:type="dxa"/>
          </w:tcPr>
          <w:p w14:paraId="216B238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Агенција за безбедност саобраћаја  </w:t>
            </w:r>
          </w:p>
        </w:tc>
        <w:tc>
          <w:tcPr>
            <w:tcW w:w="1225" w:type="dxa"/>
          </w:tcPr>
          <w:p w14:paraId="263E44D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2025</w:t>
            </w:r>
          </w:p>
        </w:tc>
        <w:tc>
          <w:tcPr>
            <w:tcW w:w="1425" w:type="dxa"/>
          </w:tcPr>
          <w:p w14:paraId="3DE497D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341" w:type="dxa"/>
          </w:tcPr>
          <w:p w14:paraId="05A11C5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0701-450-0001-411</w:t>
            </w:r>
          </w:p>
        </w:tc>
        <w:tc>
          <w:tcPr>
            <w:tcW w:w="981" w:type="dxa"/>
          </w:tcPr>
          <w:p w14:paraId="10C939A2" w14:textId="77777777" w:rsidR="00A0251B" w:rsidRPr="00CC35F0" w:rsidRDefault="00A0251B">
            <w:pPr>
              <w:jc w:val="right"/>
              <w:rPr>
                <w:rFonts w:ascii="Times New Roman" w:eastAsia="Times New Roman" w:hAnsi="Times New Roman"/>
                <w:sz w:val="24"/>
                <w:szCs w:val="24"/>
                <w:lang w:val="sr-Cyrl-CS"/>
              </w:rPr>
            </w:pPr>
          </w:p>
        </w:tc>
        <w:tc>
          <w:tcPr>
            <w:tcW w:w="1106" w:type="dxa"/>
          </w:tcPr>
          <w:p w14:paraId="12B4B147" w14:textId="77777777" w:rsidR="00A0251B" w:rsidRPr="00CC35F0" w:rsidRDefault="00A0251B">
            <w:pPr>
              <w:jc w:val="right"/>
              <w:rPr>
                <w:rFonts w:ascii="Times New Roman" w:eastAsia="Times New Roman" w:hAnsi="Times New Roman"/>
                <w:sz w:val="24"/>
                <w:szCs w:val="24"/>
                <w:lang w:val="sr-Cyrl-CS"/>
              </w:rPr>
            </w:pPr>
          </w:p>
        </w:tc>
        <w:tc>
          <w:tcPr>
            <w:tcW w:w="1106" w:type="dxa"/>
          </w:tcPr>
          <w:p w14:paraId="3901B7D3" w14:textId="77777777" w:rsidR="00A0251B" w:rsidRPr="00CC35F0" w:rsidRDefault="00A0251B">
            <w:pPr>
              <w:jc w:val="right"/>
              <w:rPr>
                <w:rFonts w:ascii="Times New Roman" w:eastAsia="Times New Roman" w:hAnsi="Times New Roman"/>
                <w:sz w:val="24"/>
                <w:szCs w:val="24"/>
                <w:lang w:val="sr-Cyrl-CS"/>
              </w:rPr>
            </w:pPr>
          </w:p>
        </w:tc>
        <w:tc>
          <w:tcPr>
            <w:tcW w:w="1106" w:type="dxa"/>
          </w:tcPr>
          <w:p w14:paraId="11F5FAF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7.050</w:t>
            </w:r>
          </w:p>
        </w:tc>
        <w:tc>
          <w:tcPr>
            <w:tcW w:w="1079" w:type="dxa"/>
          </w:tcPr>
          <w:p w14:paraId="24AA6D8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7.050</w:t>
            </w:r>
          </w:p>
        </w:tc>
      </w:tr>
      <w:tr w:rsidR="00A0251B" w:rsidRPr="00CC35F0" w14:paraId="058898C9" w14:textId="77777777">
        <w:trPr>
          <w:trHeight w:val="140"/>
        </w:trPr>
        <w:tc>
          <w:tcPr>
            <w:tcW w:w="2303" w:type="dxa"/>
          </w:tcPr>
          <w:p w14:paraId="38DEC157"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1.1.6.3 Спровођење граничних вредности емисије гасовитих и суспендованих честица и хомологација мотора са унутрашњим сагоревањем за ТМ.</w:t>
            </w:r>
          </w:p>
        </w:tc>
        <w:tc>
          <w:tcPr>
            <w:tcW w:w="1740" w:type="dxa"/>
          </w:tcPr>
          <w:p w14:paraId="54ABEB77"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МГСИ</w:t>
            </w:r>
          </w:p>
        </w:tc>
        <w:tc>
          <w:tcPr>
            <w:tcW w:w="1097" w:type="dxa"/>
          </w:tcPr>
          <w:p w14:paraId="62750B4C" w14:textId="77777777" w:rsidR="00A0251B" w:rsidRPr="00CC35F0" w:rsidRDefault="00DD476F">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Агенција за безбедност саобраћаја  </w:t>
            </w:r>
          </w:p>
        </w:tc>
        <w:tc>
          <w:tcPr>
            <w:tcW w:w="1225" w:type="dxa"/>
          </w:tcPr>
          <w:p w14:paraId="3F3F3EF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2025</w:t>
            </w:r>
          </w:p>
        </w:tc>
        <w:tc>
          <w:tcPr>
            <w:tcW w:w="1425" w:type="dxa"/>
          </w:tcPr>
          <w:p w14:paraId="7860950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p>
        </w:tc>
        <w:tc>
          <w:tcPr>
            <w:tcW w:w="1341" w:type="dxa"/>
          </w:tcPr>
          <w:p w14:paraId="2C42FA73" w14:textId="77777777" w:rsidR="00A0251B" w:rsidRPr="00CC35F0" w:rsidRDefault="00A0251B">
            <w:pPr>
              <w:jc w:val="right"/>
              <w:rPr>
                <w:rFonts w:ascii="Times New Roman" w:eastAsia="Times New Roman" w:hAnsi="Times New Roman"/>
                <w:sz w:val="24"/>
                <w:szCs w:val="24"/>
                <w:lang w:val="sr-Cyrl-CS"/>
              </w:rPr>
            </w:pPr>
          </w:p>
        </w:tc>
        <w:tc>
          <w:tcPr>
            <w:tcW w:w="981" w:type="dxa"/>
          </w:tcPr>
          <w:p w14:paraId="208EE8D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106" w:type="dxa"/>
          </w:tcPr>
          <w:p w14:paraId="2586680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106" w:type="dxa"/>
          </w:tcPr>
          <w:p w14:paraId="3050AC2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106" w:type="dxa"/>
          </w:tcPr>
          <w:p w14:paraId="21EA34E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79" w:type="dxa"/>
          </w:tcPr>
          <w:p w14:paraId="30FD6E9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bl>
    <w:p w14:paraId="645A0925" w14:textId="77777777" w:rsidR="00A0251B" w:rsidRPr="00CC35F0" w:rsidRDefault="00A0251B">
      <w:pPr>
        <w:rPr>
          <w:rFonts w:ascii="Times New Roman" w:eastAsia="Times New Roman" w:hAnsi="Times New Roman"/>
          <w:sz w:val="24"/>
          <w:szCs w:val="24"/>
          <w:lang w:val="sr-Cyrl-CS"/>
        </w:rPr>
      </w:pPr>
    </w:p>
    <w:tbl>
      <w:tblPr>
        <w:tblStyle w:val="affc"/>
        <w:tblW w:w="14771"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8"/>
        <w:gridCol w:w="1474"/>
        <w:gridCol w:w="1520"/>
        <w:gridCol w:w="1170"/>
        <w:gridCol w:w="1170"/>
        <w:gridCol w:w="1198"/>
        <w:gridCol w:w="1502"/>
        <w:gridCol w:w="1570"/>
        <w:gridCol w:w="1926"/>
        <w:gridCol w:w="23"/>
      </w:tblGrid>
      <w:tr w:rsidR="00A0251B" w:rsidRPr="00CC35F0" w14:paraId="29141B8F" w14:textId="77777777">
        <w:trPr>
          <w:trHeight w:val="168"/>
        </w:trPr>
        <w:tc>
          <w:tcPr>
            <w:tcW w:w="14771" w:type="dxa"/>
            <w:gridSpan w:val="10"/>
            <w:tcBorders>
              <w:top w:val="single" w:sz="4" w:space="0" w:color="000000"/>
              <w:left w:val="single" w:sz="4" w:space="0" w:color="000000"/>
              <w:bottom w:val="single" w:sz="4" w:space="0" w:color="000000"/>
              <w:right w:val="single" w:sz="4" w:space="0" w:color="000000"/>
            </w:tcBorders>
            <w:shd w:val="clear" w:color="auto" w:fill="F7CBAC"/>
          </w:tcPr>
          <w:p w14:paraId="6D1DBE22" w14:textId="77777777" w:rsidR="00A0251B" w:rsidRPr="00CC35F0" w:rsidRDefault="008D6506">
            <w:pPr>
              <w:rPr>
                <w:rFonts w:ascii="Times New Roman" w:eastAsia="Times New Roman" w:hAnsi="Times New Roman"/>
                <w:sz w:val="24"/>
                <w:szCs w:val="24"/>
                <w:lang w:val="sr-Cyrl-CS"/>
              </w:rPr>
            </w:pPr>
            <w:bookmarkStart w:id="132" w:name="_heading=h.wnyagw" w:colFirst="0" w:colLast="0"/>
            <w:bookmarkEnd w:id="132"/>
            <w:r w:rsidRPr="00CC35F0">
              <w:rPr>
                <w:rFonts w:ascii="Times New Roman" w:eastAsia="Times New Roman" w:hAnsi="Times New Roman"/>
                <w:sz w:val="24"/>
                <w:szCs w:val="24"/>
                <w:lang w:val="sr-Cyrl-CS"/>
              </w:rPr>
              <w:t xml:space="preserve">Мера 1.1.7: </w:t>
            </w:r>
            <w:r w:rsidRPr="00CC35F0">
              <w:rPr>
                <w:rFonts w:ascii="Times New Roman" w:eastAsia="Times New Roman" w:hAnsi="Times New Roman"/>
                <w:b/>
                <w:sz w:val="24"/>
                <w:szCs w:val="24"/>
                <w:u w:val="single"/>
                <w:lang w:val="sr-Cyrl-CS"/>
              </w:rPr>
              <w:t>Бржа замена постојећих уређаја за грејање у домаћинствима новим уређајима који испуњавају захтеве Директиве о еко-дизајну уз финансијске подстицаје и уз већи проценат замене у градовима Крагујевац, Београд, Ниш, Ваљево и Ужице</w:t>
            </w:r>
          </w:p>
        </w:tc>
      </w:tr>
      <w:tr w:rsidR="00A0251B" w:rsidRPr="00CC35F0" w14:paraId="4823B49C" w14:textId="77777777">
        <w:trPr>
          <w:trHeight w:val="298"/>
        </w:trPr>
        <w:tc>
          <w:tcPr>
            <w:tcW w:w="14771" w:type="dxa"/>
            <w:gridSpan w:val="10"/>
            <w:tcBorders>
              <w:top w:val="single" w:sz="4" w:space="0" w:color="000000"/>
              <w:left w:val="single" w:sz="4" w:space="0" w:color="000000"/>
              <w:bottom w:val="single" w:sz="4" w:space="0" w:color="000000"/>
              <w:right w:val="single" w:sz="4" w:space="0" w:color="000000"/>
            </w:tcBorders>
            <w:shd w:val="clear" w:color="auto" w:fill="F7CBAC"/>
            <w:vAlign w:val="center"/>
          </w:tcPr>
          <w:p w14:paraId="03720482"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Министарство рударства и енергетике</w:t>
            </w:r>
          </w:p>
        </w:tc>
      </w:tr>
      <w:tr w:rsidR="00A0251B" w:rsidRPr="00CC35F0" w14:paraId="3496E994" w14:textId="77777777">
        <w:trPr>
          <w:trHeight w:val="298"/>
        </w:trPr>
        <w:tc>
          <w:tcPr>
            <w:tcW w:w="6212" w:type="dxa"/>
            <w:gridSpan w:val="3"/>
            <w:tcBorders>
              <w:top w:val="single" w:sz="4" w:space="0" w:color="000000"/>
              <w:left w:val="single" w:sz="4" w:space="0" w:color="000000"/>
              <w:bottom w:val="single" w:sz="4" w:space="0" w:color="000000"/>
              <w:right w:val="single" w:sz="4" w:space="0" w:color="000000"/>
            </w:tcBorders>
            <w:shd w:val="clear" w:color="auto" w:fill="F7CBAC"/>
          </w:tcPr>
          <w:p w14:paraId="1CD4A628"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Период спровођења:2022-2026</w:t>
            </w:r>
            <w:r w:rsidR="00000172" w:rsidRPr="00CC35F0">
              <w:rPr>
                <w:rFonts w:ascii="Times New Roman" w:eastAsia="Times New Roman" w:hAnsi="Times New Roman"/>
                <w:sz w:val="24"/>
                <w:szCs w:val="24"/>
                <w:vertAlign w:val="superscript"/>
                <w:lang w:val="sr-Cyrl-CS"/>
              </w:rPr>
              <w:t>#</w:t>
            </w:r>
          </w:p>
        </w:tc>
        <w:tc>
          <w:tcPr>
            <w:tcW w:w="8559" w:type="dxa"/>
            <w:gridSpan w:val="7"/>
            <w:tcBorders>
              <w:top w:val="single" w:sz="4" w:space="0" w:color="000000"/>
              <w:left w:val="single" w:sz="4" w:space="0" w:color="000000"/>
              <w:bottom w:val="single" w:sz="4" w:space="0" w:color="000000"/>
              <w:right w:val="single" w:sz="4" w:space="0" w:color="000000"/>
            </w:tcBorders>
            <w:shd w:val="clear" w:color="auto" w:fill="F7CBAC"/>
          </w:tcPr>
          <w:p w14:paraId="24F70C1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 подстицајна</w:t>
            </w:r>
          </w:p>
        </w:tc>
      </w:tr>
      <w:tr w:rsidR="00A0251B" w:rsidRPr="00CC35F0" w14:paraId="05B482CC" w14:textId="77777777">
        <w:trPr>
          <w:trHeight w:val="298"/>
        </w:trPr>
        <w:tc>
          <w:tcPr>
            <w:tcW w:w="6212" w:type="dxa"/>
            <w:gridSpan w:val="3"/>
            <w:tcBorders>
              <w:top w:val="single" w:sz="4" w:space="0" w:color="000000"/>
              <w:left w:val="single" w:sz="4" w:space="0" w:color="000000"/>
              <w:bottom w:val="single" w:sz="4" w:space="0" w:color="000000"/>
              <w:right w:val="single" w:sz="4" w:space="0" w:color="000000"/>
            </w:tcBorders>
            <w:shd w:val="clear" w:color="auto" w:fill="F7CBAC"/>
          </w:tcPr>
          <w:p w14:paraId="1C8BA0D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8559" w:type="dxa"/>
            <w:gridSpan w:val="7"/>
            <w:tcBorders>
              <w:top w:val="single" w:sz="4" w:space="0" w:color="000000"/>
              <w:left w:val="single" w:sz="4" w:space="0" w:color="000000"/>
              <w:bottom w:val="single" w:sz="4" w:space="0" w:color="000000"/>
              <w:right w:val="single" w:sz="4" w:space="0" w:color="000000"/>
            </w:tcBorders>
            <w:shd w:val="clear" w:color="auto" w:fill="F7CBAC"/>
          </w:tcPr>
          <w:p w14:paraId="33A63C4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Уредба о захтевима еко-дизајна за котлове на чврсто гориво</w:t>
            </w:r>
          </w:p>
          <w:p w14:paraId="0B6390B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Уредба о захтевима еко-дизајна за локална грејна тела на чврсто гориво</w:t>
            </w:r>
          </w:p>
        </w:tc>
      </w:tr>
      <w:tr w:rsidR="00A0251B" w:rsidRPr="00CC35F0" w14:paraId="10EB4F49" w14:textId="77777777">
        <w:trPr>
          <w:gridAfter w:val="1"/>
          <w:wAfter w:w="23" w:type="dxa"/>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790A814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230F8C31" w14:textId="77777777" w:rsidR="00A0251B" w:rsidRPr="00CC35F0" w:rsidRDefault="00A0251B">
            <w:pPr>
              <w:jc w:val="center"/>
              <w:rPr>
                <w:rFonts w:ascii="Times New Roman" w:eastAsia="Times New Roman" w:hAnsi="Times New Roman"/>
                <w:sz w:val="24"/>
                <w:szCs w:val="24"/>
                <w:lang w:val="sr-Cyrl-CS"/>
              </w:rPr>
            </w:pPr>
          </w:p>
        </w:tc>
        <w:tc>
          <w:tcPr>
            <w:tcW w:w="1474" w:type="dxa"/>
            <w:tcBorders>
              <w:top w:val="single" w:sz="4" w:space="0" w:color="000000"/>
              <w:left w:val="single" w:sz="4" w:space="0" w:color="000000"/>
              <w:bottom w:val="single" w:sz="4" w:space="0" w:color="000000"/>
              <w:right w:val="single" w:sz="4" w:space="0" w:color="000000"/>
            </w:tcBorders>
            <w:shd w:val="clear" w:color="auto" w:fill="D9D9D9"/>
          </w:tcPr>
          <w:p w14:paraId="2681FB3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520" w:type="dxa"/>
            <w:tcBorders>
              <w:top w:val="single" w:sz="4" w:space="0" w:color="000000"/>
              <w:left w:val="single" w:sz="4" w:space="0" w:color="000000"/>
              <w:bottom w:val="single" w:sz="4" w:space="0" w:color="000000"/>
              <w:right w:val="single" w:sz="4" w:space="0" w:color="000000"/>
            </w:tcBorders>
            <w:shd w:val="clear" w:color="auto" w:fill="D9D9D9"/>
          </w:tcPr>
          <w:p w14:paraId="638EFE1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CC35F0">
              <w:rPr>
                <w:rFonts w:ascii="Times New Roman" w:eastAsia="Times New Roman" w:hAnsi="Times New Roman"/>
                <w:lang w:val="sr-Cyrl-CS"/>
              </w:rPr>
              <w:t>верификације</w:t>
            </w:r>
          </w:p>
        </w:tc>
        <w:tc>
          <w:tcPr>
            <w:tcW w:w="1170" w:type="dxa"/>
            <w:tcBorders>
              <w:top w:val="single" w:sz="4" w:space="0" w:color="000000"/>
              <w:left w:val="single" w:sz="4" w:space="0" w:color="000000"/>
              <w:bottom w:val="single" w:sz="4" w:space="0" w:color="000000"/>
              <w:right w:val="single" w:sz="4" w:space="0" w:color="000000"/>
            </w:tcBorders>
            <w:shd w:val="clear" w:color="auto" w:fill="D9D9D9"/>
          </w:tcPr>
          <w:p w14:paraId="7FB5958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170" w:type="dxa"/>
            <w:tcBorders>
              <w:top w:val="single" w:sz="4" w:space="0" w:color="000000"/>
              <w:left w:val="single" w:sz="4" w:space="0" w:color="000000"/>
              <w:bottom w:val="single" w:sz="4" w:space="0" w:color="000000"/>
              <w:right w:val="single" w:sz="4" w:space="0" w:color="000000"/>
            </w:tcBorders>
            <w:shd w:val="clear" w:color="auto" w:fill="D9D9D9"/>
          </w:tcPr>
          <w:p w14:paraId="74368DE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198" w:type="dxa"/>
            <w:tcBorders>
              <w:top w:val="single" w:sz="4" w:space="0" w:color="000000"/>
              <w:left w:val="single" w:sz="4" w:space="0" w:color="000000"/>
              <w:bottom w:val="single" w:sz="4" w:space="0" w:color="000000"/>
              <w:right w:val="single" w:sz="4" w:space="0" w:color="000000"/>
            </w:tcBorders>
            <w:shd w:val="clear" w:color="auto" w:fill="D9D9D9"/>
          </w:tcPr>
          <w:p w14:paraId="6BEF78F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02" w:type="dxa"/>
            <w:tcBorders>
              <w:top w:val="single" w:sz="4" w:space="0" w:color="000000"/>
              <w:left w:val="single" w:sz="4" w:space="0" w:color="000000"/>
              <w:bottom w:val="single" w:sz="4" w:space="0" w:color="000000"/>
              <w:right w:val="single" w:sz="4" w:space="0" w:color="000000"/>
            </w:tcBorders>
            <w:shd w:val="clear" w:color="auto" w:fill="D9D9D9"/>
          </w:tcPr>
          <w:p w14:paraId="5D007AA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70" w:type="dxa"/>
            <w:tcBorders>
              <w:top w:val="single" w:sz="4" w:space="0" w:color="000000"/>
              <w:left w:val="single" w:sz="4" w:space="0" w:color="000000"/>
              <w:bottom w:val="single" w:sz="4" w:space="0" w:color="000000"/>
              <w:right w:val="single" w:sz="4" w:space="0" w:color="000000"/>
            </w:tcBorders>
            <w:shd w:val="clear" w:color="auto" w:fill="D9D9D9"/>
          </w:tcPr>
          <w:p w14:paraId="766EAAF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926" w:type="dxa"/>
            <w:tcBorders>
              <w:top w:val="single" w:sz="4" w:space="0" w:color="000000"/>
              <w:left w:val="single" w:sz="4" w:space="0" w:color="000000"/>
              <w:bottom w:val="single" w:sz="4" w:space="0" w:color="000000"/>
              <w:right w:val="single" w:sz="4" w:space="0" w:color="000000"/>
            </w:tcBorders>
            <w:shd w:val="clear" w:color="auto" w:fill="D9D9D9"/>
          </w:tcPr>
          <w:p w14:paraId="0EA2A6F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05DA91AB" w14:textId="77777777">
        <w:trPr>
          <w:gridAfter w:val="1"/>
          <w:wAfter w:w="23" w:type="dxa"/>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2E4D4DE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Износ финансијских подстицаја за бржу замену </w:t>
            </w:r>
            <w:r w:rsidRPr="00CC35F0">
              <w:rPr>
                <w:rFonts w:ascii="Times New Roman" w:eastAsia="Times New Roman" w:hAnsi="Times New Roman"/>
                <w:color w:val="000000"/>
                <w:sz w:val="24"/>
                <w:szCs w:val="24"/>
                <w:lang w:val="sr-Cyrl-CS"/>
              </w:rPr>
              <w:lastRenderedPageBreak/>
              <w:t xml:space="preserve">кућних грејних тела новим еко-дизајнираним уређајима и топлотним пумпама, уз већи проценат замене у Крагујевцу, Београду, Нишу, Ваљеву и Ужицу </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cPr>
          <w:p w14:paraId="66B375F4" w14:textId="77777777" w:rsidR="00A0251B" w:rsidRPr="00CC35F0" w:rsidRDefault="00D91BE2">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Евро</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Pr>
          <w:p w14:paraId="0DC1115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Министарство рударства </w:t>
            </w:r>
            <w:r w:rsidRPr="00CC35F0">
              <w:rPr>
                <w:rFonts w:ascii="Times New Roman" w:eastAsia="Times New Roman" w:hAnsi="Times New Roman"/>
                <w:sz w:val="24"/>
                <w:szCs w:val="24"/>
                <w:lang w:val="sr-Cyrl-CS"/>
              </w:rPr>
              <w:lastRenderedPageBreak/>
              <w:t xml:space="preserve">и енергетике кроз статистику о </w:t>
            </w:r>
            <w:r w:rsidRPr="00CC35F0">
              <w:rPr>
                <w:rFonts w:ascii="Times New Roman" w:eastAsia="Times New Roman" w:hAnsi="Times New Roman"/>
                <w:lang w:val="sr-Cyrl-CS"/>
              </w:rPr>
              <w:t>подстицајима</w:t>
            </w:r>
          </w:p>
        </w:tc>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42C23E0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0</w:t>
            </w:r>
          </w:p>
        </w:tc>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30D3223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198" w:type="dxa"/>
            <w:tcBorders>
              <w:top w:val="single" w:sz="4" w:space="0" w:color="000000"/>
              <w:left w:val="single" w:sz="4" w:space="0" w:color="000000"/>
              <w:bottom w:val="single" w:sz="4" w:space="0" w:color="000000"/>
              <w:right w:val="single" w:sz="4" w:space="0" w:color="000000"/>
            </w:tcBorders>
            <w:shd w:val="clear" w:color="auto" w:fill="FFFFFF"/>
          </w:tcPr>
          <w:p w14:paraId="2ED52367"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502"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1BBE475"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Додељено 9,20 </w:t>
            </w:r>
            <w:r w:rsidRPr="00CC35F0">
              <w:rPr>
                <w:rFonts w:ascii="Times New Roman" w:eastAsia="Times New Roman" w:hAnsi="Times New Roman"/>
                <w:sz w:val="24"/>
                <w:szCs w:val="24"/>
                <w:lang w:val="sr-Cyrl-CS"/>
              </w:rPr>
              <w:lastRenderedPageBreak/>
              <w:t xml:space="preserve">милиона евра финансијских подстицаја, од чега Крагујевцу 0,2 милиона евра, Београду 1,46 милиона евра, Нишу 0,74 милиона евра, Ваљеву 0,25 милиона, Ужицу 0,33 милиона евра, и </w:t>
            </w:r>
            <w:r w:rsidR="009B605C" w:rsidRPr="00CC35F0">
              <w:rPr>
                <w:rFonts w:ascii="Times New Roman" w:eastAsia="Times New Roman" w:hAnsi="Times New Roman"/>
                <w:sz w:val="24"/>
                <w:szCs w:val="24"/>
                <w:lang w:val="sr-Cyrl-CS"/>
              </w:rPr>
              <w:t>Република</w:t>
            </w:r>
            <w:r w:rsidRPr="00CC35F0">
              <w:rPr>
                <w:rFonts w:ascii="Times New Roman" w:eastAsia="Times New Roman" w:hAnsi="Times New Roman"/>
                <w:sz w:val="24"/>
                <w:szCs w:val="24"/>
                <w:lang w:val="sr-Cyrl-CS"/>
              </w:rPr>
              <w:t xml:space="preserve"> Србија 6,2 милиона евра </w:t>
            </w:r>
          </w:p>
        </w:tc>
        <w:tc>
          <w:tcPr>
            <w:tcW w:w="1570" w:type="dxa"/>
            <w:tcBorders>
              <w:top w:val="single" w:sz="4" w:space="0" w:color="000000"/>
              <w:left w:val="single" w:sz="4" w:space="0" w:color="000000"/>
              <w:bottom w:val="single" w:sz="4" w:space="0" w:color="000000"/>
              <w:right w:val="single" w:sz="4" w:space="0" w:color="000000"/>
            </w:tcBorders>
            <w:shd w:val="clear" w:color="auto" w:fill="FFFFFF"/>
          </w:tcPr>
          <w:p w14:paraId="603845A0"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Додељено 20,5 </w:t>
            </w:r>
            <w:r w:rsidRPr="00CC35F0">
              <w:rPr>
                <w:rFonts w:ascii="Times New Roman" w:eastAsia="Times New Roman" w:hAnsi="Times New Roman"/>
                <w:sz w:val="24"/>
                <w:szCs w:val="24"/>
                <w:lang w:val="sr-Cyrl-CS"/>
              </w:rPr>
              <w:lastRenderedPageBreak/>
              <w:t>милиона евра финансијских подстицаја, од чега Крагујевцу 0,6 милиона евра, Београду 4,35 милиона евра, Нишу 2,95 милиона евра, Ваљеву 1,61 милиона, Ужицу 1,81 милиона евра, и</w:t>
            </w:r>
            <w:r w:rsidR="009B605C" w:rsidRPr="00CC35F0">
              <w:rPr>
                <w:rFonts w:ascii="Times New Roman" w:eastAsia="Times New Roman" w:hAnsi="Times New Roman"/>
                <w:sz w:val="24"/>
                <w:szCs w:val="24"/>
                <w:lang w:val="sr-Cyrl-CS"/>
              </w:rPr>
              <w:t xml:space="preserve"> Република</w:t>
            </w:r>
            <w:r w:rsidRPr="00CC35F0">
              <w:rPr>
                <w:rFonts w:ascii="Times New Roman" w:eastAsia="Times New Roman" w:hAnsi="Times New Roman"/>
                <w:sz w:val="24"/>
                <w:szCs w:val="24"/>
                <w:lang w:val="sr-Cyrl-CS"/>
              </w:rPr>
              <w:t xml:space="preserve"> Србиј</w:t>
            </w:r>
            <w:r w:rsidR="009B605C" w:rsidRPr="00CC35F0">
              <w:rPr>
                <w:rFonts w:ascii="Times New Roman" w:eastAsia="Times New Roman" w:hAnsi="Times New Roman"/>
                <w:sz w:val="24"/>
                <w:szCs w:val="24"/>
                <w:lang w:val="sr-Cyrl-CS"/>
              </w:rPr>
              <w:t xml:space="preserve">а </w:t>
            </w:r>
            <w:r w:rsidRPr="00CC35F0">
              <w:rPr>
                <w:rFonts w:ascii="Times New Roman" w:eastAsia="Times New Roman" w:hAnsi="Times New Roman"/>
                <w:sz w:val="24"/>
                <w:szCs w:val="24"/>
                <w:lang w:val="sr-Cyrl-CS"/>
              </w:rPr>
              <w:t xml:space="preserve">9,2 милиона евра </w:t>
            </w:r>
          </w:p>
        </w:tc>
        <w:tc>
          <w:tcPr>
            <w:tcW w:w="1926" w:type="dxa"/>
            <w:tcBorders>
              <w:top w:val="single" w:sz="4" w:space="0" w:color="000000"/>
              <w:left w:val="single" w:sz="4" w:space="0" w:color="000000"/>
              <w:bottom w:val="single" w:sz="4" w:space="0" w:color="000000"/>
              <w:right w:val="single" w:sz="4" w:space="0" w:color="000000"/>
            </w:tcBorders>
            <w:shd w:val="clear" w:color="auto" w:fill="FFFFFF"/>
          </w:tcPr>
          <w:p w14:paraId="69D40542"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Додељено 48,90 милиона евра </w:t>
            </w:r>
            <w:r w:rsidRPr="00CC35F0">
              <w:rPr>
                <w:rFonts w:ascii="Times New Roman" w:eastAsia="Times New Roman" w:hAnsi="Times New Roman"/>
                <w:sz w:val="24"/>
                <w:szCs w:val="24"/>
                <w:lang w:val="sr-Cyrl-CS"/>
              </w:rPr>
              <w:lastRenderedPageBreak/>
              <w:t xml:space="preserve">финансијских подстицаја, од чега Крагујевцу 0,99 милиона евра, Београду 7,1 милион евра, Нишу 4,64 милиона евра, Ваљеву 2,53 милиона, Ужицу 2,44 милиона евра, и </w:t>
            </w:r>
            <w:r w:rsidR="009B605C" w:rsidRPr="00CC35F0">
              <w:rPr>
                <w:rFonts w:ascii="Times New Roman" w:eastAsia="Times New Roman" w:hAnsi="Times New Roman"/>
                <w:sz w:val="24"/>
                <w:szCs w:val="24"/>
                <w:lang w:val="sr-Cyrl-CS"/>
              </w:rPr>
              <w:t xml:space="preserve">Република </w:t>
            </w:r>
            <w:r w:rsidRPr="00CC35F0">
              <w:rPr>
                <w:rFonts w:ascii="Times New Roman" w:eastAsia="Times New Roman" w:hAnsi="Times New Roman"/>
                <w:sz w:val="24"/>
                <w:szCs w:val="24"/>
                <w:lang w:val="sr-Cyrl-CS"/>
              </w:rPr>
              <w:t xml:space="preserve"> Србија 30,3 милиона евра</w:t>
            </w:r>
          </w:p>
        </w:tc>
      </w:tr>
    </w:tbl>
    <w:p w14:paraId="2D12F4AF" w14:textId="77777777" w:rsidR="00A0251B" w:rsidRPr="00CC35F0" w:rsidRDefault="00A0251B">
      <w:pPr>
        <w:rPr>
          <w:rFonts w:ascii="Times New Roman" w:eastAsia="Times New Roman" w:hAnsi="Times New Roman"/>
          <w:sz w:val="24"/>
          <w:szCs w:val="24"/>
          <w:lang w:val="sr-Cyrl-CS"/>
        </w:rPr>
      </w:pPr>
    </w:p>
    <w:tbl>
      <w:tblPr>
        <w:tblStyle w:val="affd"/>
        <w:tblW w:w="1393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674"/>
        <w:gridCol w:w="2784"/>
        <w:gridCol w:w="1627"/>
        <w:gridCol w:w="1620"/>
        <w:gridCol w:w="1440"/>
        <w:gridCol w:w="1350"/>
        <w:gridCol w:w="1440"/>
      </w:tblGrid>
      <w:tr w:rsidR="00A0251B" w:rsidRPr="00CC35F0" w14:paraId="4CC40EA1" w14:textId="77777777">
        <w:trPr>
          <w:trHeight w:val="227"/>
        </w:trPr>
        <w:tc>
          <w:tcPr>
            <w:tcW w:w="3674" w:type="dxa"/>
            <w:vMerge w:val="restart"/>
            <w:shd w:val="clear" w:color="auto" w:fill="A8D08D"/>
          </w:tcPr>
          <w:p w14:paraId="4B41B3D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329C3563" w14:textId="77777777" w:rsidR="00A0251B" w:rsidRPr="00CC35F0" w:rsidRDefault="00A0251B">
            <w:pPr>
              <w:jc w:val="center"/>
              <w:rPr>
                <w:rFonts w:ascii="Times New Roman" w:eastAsia="Times New Roman" w:hAnsi="Times New Roman"/>
                <w:sz w:val="24"/>
                <w:szCs w:val="24"/>
                <w:lang w:val="sr-Cyrl-CS"/>
              </w:rPr>
            </w:pPr>
          </w:p>
        </w:tc>
        <w:tc>
          <w:tcPr>
            <w:tcW w:w="2784" w:type="dxa"/>
            <w:vMerge w:val="restart"/>
            <w:shd w:val="clear" w:color="auto" w:fill="A8D08D"/>
          </w:tcPr>
          <w:p w14:paraId="2DB8F65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2BCF96F0" w14:textId="77777777" w:rsidR="00A0251B" w:rsidRPr="00CC35F0" w:rsidRDefault="00A0251B">
            <w:pPr>
              <w:jc w:val="center"/>
              <w:rPr>
                <w:rFonts w:ascii="Times New Roman" w:eastAsia="Times New Roman" w:hAnsi="Times New Roman"/>
                <w:sz w:val="24"/>
                <w:szCs w:val="24"/>
                <w:lang w:val="sr-Cyrl-CS"/>
              </w:rPr>
            </w:pPr>
          </w:p>
        </w:tc>
        <w:tc>
          <w:tcPr>
            <w:tcW w:w="7477" w:type="dxa"/>
            <w:gridSpan w:val="5"/>
            <w:shd w:val="clear" w:color="auto" w:fill="A8D08D"/>
            <w:vAlign w:val="center"/>
          </w:tcPr>
          <w:p w14:paraId="55DE508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21500CAE" w14:textId="77777777">
        <w:trPr>
          <w:trHeight w:val="227"/>
        </w:trPr>
        <w:tc>
          <w:tcPr>
            <w:tcW w:w="3674" w:type="dxa"/>
            <w:vMerge/>
            <w:shd w:val="clear" w:color="auto" w:fill="A8D08D"/>
          </w:tcPr>
          <w:p w14:paraId="18720A3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784" w:type="dxa"/>
            <w:vMerge/>
            <w:shd w:val="clear" w:color="auto" w:fill="A8D08D"/>
          </w:tcPr>
          <w:p w14:paraId="69FD82C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27" w:type="dxa"/>
            <w:shd w:val="clear" w:color="auto" w:fill="A8D08D"/>
            <w:vAlign w:val="center"/>
          </w:tcPr>
          <w:p w14:paraId="3D8F77C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620" w:type="dxa"/>
            <w:shd w:val="clear" w:color="auto" w:fill="A8D08D"/>
            <w:vAlign w:val="center"/>
          </w:tcPr>
          <w:p w14:paraId="43F37C9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440" w:type="dxa"/>
            <w:shd w:val="clear" w:color="auto" w:fill="A8D08D"/>
            <w:vAlign w:val="center"/>
          </w:tcPr>
          <w:p w14:paraId="6F00730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350" w:type="dxa"/>
            <w:shd w:val="clear" w:color="auto" w:fill="A8D08D"/>
            <w:vAlign w:val="center"/>
          </w:tcPr>
          <w:p w14:paraId="7F49547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440" w:type="dxa"/>
            <w:shd w:val="clear" w:color="auto" w:fill="A8D08D"/>
            <w:vAlign w:val="center"/>
          </w:tcPr>
          <w:p w14:paraId="3B3953C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33737552" w14:textId="77777777">
        <w:trPr>
          <w:trHeight w:val="398"/>
        </w:trPr>
        <w:tc>
          <w:tcPr>
            <w:tcW w:w="3674" w:type="dxa"/>
            <w:shd w:val="clear" w:color="auto" w:fill="FFFFFF"/>
          </w:tcPr>
          <w:p w14:paraId="17032DB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tc>
        <w:tc>
          <w:tcPr>
            <w:tcW w:w="2784" w:type="dxa"/>
            <w:shd w:val="clear" w:color="auto" w:fill="FFFFFF"/>
          </w:tcPr>
          <w:p w14:paraId="6FFD189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0501-430-0001-411</w:t>
            </w:r>
          </w:p>
        </w:tc>
        <w:tc>
          <w:tcPr>
            <w:tcW w:w="1627" w:type="dxa"/>
            <w:shd w:val="clear" w:color="auto" w:fill="FFFFFF"/>
            <w:vAlign w:val="center"/>
          </w:tcPr>
          <w:p w14:paraId="5BA586FD" w14:textId="77777777" w:rsidR="00A0251B" w:rsidRPr="00CC35F0" w:rsidRDefault="00A0251B">
            <w:pPr>
              <w:jc w:val="right"/>
              <w:rPr>
                <w:rFonts w:ascii="Times New Roman" w:eastAsia="Times New Roman" w:hAnsi="Times New Roman"/>
                <w:sz w:val="24"/>
                <w:szCs w:val="24"/>
                <w:lang w:val="sr-Cyrl-CS"/>
              </w:rPr>
            </w:pPr>
          </w:p>
        </w:tc>
        <w:tc>
          <w:tcPr>
            <w:tcW w:w="1620" w:type="dxa"/>
            <w:shd w:val="clear" w:color="auto" w:fill="FFFFFF"/>
            <w:vAlign w:val="center"/>
          </w:tcPr>
          <w:p w14:paraId="783876D7" w14:textId="77777777" w:rsidR="00A0251B" w:rsidRPr="00CC35F0" w:rsidRDefault="00A0251B">
            <w:pPr>
              <w:jc w:val="right"/>
              <w:rPr>
                <w:rFonts w:ascii="Times New Roman" w:eastAsia="Times New Roman" w:hAnsi="Times New Roman"/>
                <w:sz w:val="24"/>
                <w:szCs w:val="24"/>
                <w:lang w:val="sr-Cyrl-CS"/>
              </w:rPr>
            </w:pPr>
          </w:p>
        </w:tc>
        <w:tc>
          <w:tcPr>
            <w:tcW w:w="1440" w:type="dxa"/>
            <w:shd w:val="clear" w:color="auto" w:fill="FFFFFF"/>
            <w:vAlign w:val="center"/>
          </w:tcPr>
          <w:p w14:paraId="29341BA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14.100*</w:t>
            </w:r>
          </w:p>
        </w:tc>
        <w:tc>
          <w:tcPr>
            <w:tcW w:w="1350" w:type="dxa"/>
            <w:shd w:val="clear" w:color="auto" w:fill="FFFFFF"/>
            <w:vAlign w:val="center"/>
          </w:tcPr>
          <w:p w14:paraId="4F14BD5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14.100*</w:t>
            </w:r>
          </w:p>
        </w:tc>
        <w:tc>
          <w:tcPr>
            <w:tcW w:w="1440" w:type="dxa"/>
            <w:shd w:val="clear" w:color="auto" w:fill="FFFFFF"/>
            <w:vAlign w:val="center"/>
          </w:tcPr>
          <w:p w14:paraId="69B081E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14.100*</w:t>
            </w:r>
          </w:p>
        </w:tc>
      </w:tr>
      <w:tr w:rsidR="00A0251B" w:rsidRPr="00CC35F0" w14:paraId="65733C36" w14:textId="77777777">
        <w:trPr>
          <w:trHeight w:val="398"/>
        </w:trPr>
        <w:tc>
          <w:tcPr>
            <w:tcW w:w="3674" w:type="dxa"/>
            <w:shd w:val="clear" w:color="auto" w:fill="FFFFFF"/>
          </w:tcPr>
          <w:p w14:paraId="6F68A9C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Остали извори финансирања</w:t>
            </w:r>
          </w:p>
        </w:tc>
        <w:tc>
          <w:tcPr>
            <w:tcW w:w="2784" w:type="dxa"/>
            <w:shd w:val="clear" w:color="auto" w:fill="FFFFFF"/>
          </w:tcPr>
          <w:p w14:paraId="1D46DD3D" w14:textId="77777777" w:rsidR="00A0251B" w:rsidRPr="00CC35F0" w:rsidRDefault="00A0251B">
            <w:pPr>
              <w:rPr>
                <w:rFonts w:ascii="Times New Roman" w:eastAsia="Times New Roman" w:hAnsi="Times New Roman"/>
                <w:sz w:val="24"/>
                <w:szCs w:val="24"/>
                <w:highlight w:val="yellow"/>
                <w:lang w:val="sr-Cyrl-CS"/>
              </w:rPr>
            </w:pPr>
          </w:p>
        </w:tc>
        <w:tc>
          <w:tcPr>
            <w:tcW w:w="1627" w:type="dxa"/>
            <w:shd w:val="clear" w:color="auto" w:fill="FFFFFF"/>
            <w:vAlign w:val="center"/>
          </w:tcPr>
          <w:p w14:paraId="42A236D1" w14:textId="77777777" w:rsidR="00A0251B" w:rsidRPr="00CC35F0" w:rsidRDefault="00A0251B">
            <w:pPr>
              <w:jc w:val="right"/>
              <w:rPr>
                <w:rFonts w:ascii="Times New Roman" w:eastAsia="Times New Roman" w:hAnsi="Times New Roman"/>
                <w:sz w:val="24"/>
                <w:szCs w:val="24"/>
                <w:lang w:val="sr-Cyrl-CS"/>
              </w:rPr>
            </w:pPr>
          </w:p>
        </w:tc>
        <w:tc>
          <w:tcPr>
            <w:tcW w:w="1620" w:type="dxa"/>
            <w:shd w:val="clear" w:color="auto" w:fill="FFFFFF"/>
            <w:vAlign w:val="center"/>
          </w:tcPr>
          <w:p w14:paraId="641DB89B" w14:textId="77777777" w:rsidR="00A0251B" w:rsidRPr="00CC35F0" w:rsidRDefault="00A0251B">
            <w:pPr>
              <w:jc w:val="right"/>
              <w:rPr>
                <w:rFonts w:ascii="Times New Roman" w:eastAsia="Times New Roman" w:hAnsi="Times New Roman"/>
                <w:sz w:val="24"/>
                <w:szCs w:val="24"/>
                <w:lang w:val="sr-Cyrl-CS"/>
              </w:rPr>
            </w:pPr>
          </w:p>
        </w:tc>
        <w:tc>
          <w:tcPr>
            <w:tcW w:w="1440" w:type="dxa"/>
            <w:shd w:val="clear" w:color="auto" w:fill="FFFFFF"/>
            <w:vAlign w:val="center"/>
          </w:tcPr>
          <w:p w14:paraId="633FF37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1.080.729*</w:t>
            </w:r>
          </w:p>
        </w:tc>
        <w:tc>
          <w:tcPr>
            <w:tcW w:w="1350" w:type="dxa"/>
            <w:shd w:val="clear" w:color="auto" w:fill="FFFFFF"/>
            <w:vAlign w:val="center"/>
          </w:tcPr>
          <w:p w14:paraId="276CF2C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2.412.941*</w:t>
            </w:r>
          </w:p>
        </w:tc>
        <w:tc>
          <w:tcPr>
            <w:tcW w:w="1440" w:type="dxa"/>
            <w:shd w:val="clear" w:color="auto" w:fill="FFFFFF"/>
            <w:vAlign w:val="center"/>
          </w:tcPr>
          <w:p w14:paraId="19AB8DF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5.641.307*</w:t>
            </w:r>
          </w:p>
        </w:tc>
      </w:tr>
    </w:tbl>
    <w:p w14:paraId="10D9D5E3" w14:textId="77777777" w:rsidR="00A0251B" w:rsidRPr="00CC35F0" w:rsidRDefault="00A0251B">
      <w:pPr>
        <w:rPr>
          <w:rFonts w:ascii="Times New Roman" w:eastAsia="Times New Roman" w:hAnsi="Times New Roman"/>
          <w:sz w:val="24"/>
          <w:szCs w:val="24"/>
          <w:lang w:val="sr-Cyrl-CS"/>
        </w:rPr>
      </w:pPr>
    </w:p>
    <w:p w14:paraId="0FEF1905" w14:textId="77777777" w:rsidR="00A0251B" w:rsidRPr="00CC35F0" w:rsidRDefault="00A0251B">
      <w:pPr>
        <w:rPr>
          <w:rFonts w:ascii="Times New Roman" w:eastAsia="Times New Roman" w:hAnsi="Times New Roman"/>
          <w:sz w:val="24"/>
          <w:szCs w:val="24"/>
          <w:lang w:val="sr-Cyrl-CS"/>
        </w:rPr>
      </w:pPr>
    </w:p>
    <w:tbl>
      <w:tblPr>
        <w:tblStyle w:val="affe"/>
        <w:tblW w:w="14541"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1769"/>
        <w:gridCol w:w="1611"/>
        <w:gridCol w:w="1664"/>
        <w:gridCol w:w="1356"/>
        <w:gridCol w:w="1524"/>
        <w:gridCol w:w="1486"/>
        <w:gridCol w:w="933"/>
        <w:gridCol w:w="18"/>
        <w:gridCol w:w="974"/>
        <w:gridCol w:w="966"/>
        <w:gridCol w:w="1120"/>
        <w:gridCol w:w="1120"/>
      </w:tblGrid>
      <w:tr w:rsidR="00A0251B" w:rsidRPr="00CC35F0" w14:paraId="00A646B4" w14:textId="77777777">
        <w:trPr>
          <w:trHeight w:val="140"/>
          <w:tblHeader/>
        </w:trPr>
        <w:tc>
          <w:tcPr>
            <w:tcW w:w="1769"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629F871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Назив активности:</w:t>
            </w:r>
          </w:p>
        </w:tc>
        <w:tc>
          <w:tcPr>
            <w:tcW w:w="161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1D0E78F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664"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F44508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356"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AD179D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524"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13B4B0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486"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ABA07E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4DCF4519" w14:textId="77777777" w:rsidR="00A0251B" w:rsidRPr="00CC35F0" w:rsidRDefault="00A0251B">
            <w:pPr>
              <w:jc w:val="center"/>
              <w:rPr>
                <w:rFonts w:ascii="Times New Roman" w:eastAsia="Times New Roman" w:hAnsi="Times New Roman"/>
                <w:sz w:val="24"/>
                <w:szCs w:val="24"/>
                <w:lang w:val="sr-Cyrl-CS"/>
              </w:rPr>
            </w:pPr>
          </w:p>
        </w:tc>
        <w:tc>
          <w:tcPr>
            <w:tcW w:w="5131" w:type="dxa"/>
            <w:gridSpan w:val="6"/>
            <w:tcBorders>
              <w:top w:val="single" w:sz="4" w:space="0" w:color="000000"/>
              <w:left w:val="single" w:sz="4" w:space="0" w:color="000000"/>
              <w:bottom w:val="single" w:sz="4" w:space="0" w:color="000000"/>
              <w:right w:val="single" w:sz="4" w:space="0" w:color="000000"/>
            </w:tcBorders>
            <w:shd w:val="clear" w:color="auto" w:fill="FFF2CC"/>
          </w:tcPr>
          <w:p w14:paraId="239AB1DE" w14:textId="77777777" w:rsidR="00A0251B" w:rsidRPr="00CC35F0" w:rsidRDefault="008D6506">
            <w:pPr>
              <w:jc w:val="cente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006733E6" w:rsidRPr="00CC35F0">
              <w:rPr>
                <w:rFonts w:ascii="Times New Roman" w:eastAsia="Times New Roman" w:hAnsi="Times New Roman"/>
                <w:sz w:val="24"/>
                <w:szCs w:val="24"/>
                <w:vertAlign w:val="superscript"/>
                <w:lang w:val="sr-Cyrl-CS"/>
              </w:rPr>
              <w:t>82</w:t>
            </w:r>
          </w:p>
        </w:tc>
      </w:tr>
      <w:tr w:rsidR="00A0251B" w:rsidRPr="00CC35F0" w14:paraId="4A8A0262" w14:textId="77777777" w:rsidTr="00DC4692">
        <w:trPr>
          <w:trHeight w:val="386"/>
          <w:tblHeader/>
        </w:trPr>
        <w:tc>
          <w:tcPr>
            <w:tcW w:w="1769" w:type="dxa"/>
            <w:vMerge/>
            <w:tcBorders>
              <w:top w:val="single" w:sz="4" w:space="0" w:color="000000"/>
              <w:left w:val="single" w:sz="4" w:space="0" w:color="000000"/>
              <w:bottom w:val="single" w:sz="4" w:space="0" w:color="000000"/>
              <w:right w:val="single" w:sz="4" w:space="0" w:color="000000"/>
            </w:tcBorders>
            <w:shd w:val="clear" w:color="auto" w:fill="FFF2CC"/>
          </w:tcPr>
          <w:p w14:paraId="05F30B9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11" w:type="dxa"/>
            <w:vMerge/>
            <w:tcBorders>
              <w:top w:val="single" w:sz="4" w:space="0" w:color="000000"/>
              <w:left w:val="single" w:sz="4" w:space="0" w:color="000000"/>
              <w:bottom w:val="single" w:sz="4" w:space="0" w:color="000000"/>
              <w:right w:val="single" w:sz="4" w:space="0" w:color="000000"/>
            </w:tcBorders>
            <w:shd w:val="clear" w:color="auto" w:fill="FFF2CC"/>
          </w:tcPr>
          <w:p w14:paraId="581022B4"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64" w:type="dxa"/>
            <w:vMerge/>
            <w:tcBorders>
              <w:top w:val="single" w:sz="4" w:space="0" w:color="000000"/>
              <w:left w:val="single" w:sz="4" w:space="0" w:color="000000"/>
              <w:bottom w:val="single" w:sz="4" w:space="0" w:color="000000"/>
              <w:right w:val="single" w:sz="4" w:space="0" w:color="000000"/>
            </w:tcBorders>
            <w:shd w:val="clear" w:color="auto" w:fill="FFF2CC"/>
          </w:tcPr>
          <w:p w14:paraId="7E1034F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56" w:type="dxa"/>
            <w:vMerge/>
            <w:tcBorders>
              <w:top w:val="single" w:sz="4" w:space="0" w:color="000000"/>
              <w:left w:val="single" w:sz="4" w:space="0" w:color="000000"/>
              <w:bottom w:val="single" w:sz="4" w:space="0" w:color="000000"/>
              <w:right w:val="single" w:sz="4" w:space="0" w:color="000000"/>
            </w:tcBorders>
            <w:shd w:val="clear" w:color="auto" w:fill="FFF2CC"/>
          </w:tcPr>
          <w:p w14:paraId="4ECD56C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24" w:type="dxa"/>
            <w:vMerge/>
            <w:tcBorders>
              <w:top w:val="single" w:sz="4" w:space="0" w:color="000000"/>
              <w:left w:val="single" w:sz="4" w:space="0" w:color="000000"/>
              <w:bottom w:val="single" w:sz="4" w:space="0" w:color="000000"/>
              <w:right w:val="single" w:sz="4" w:space="0" w:color="000000"/>
            </w:tcBorders>
            <w:shd w:val="clear" w:color="auto" w:fill="FFF2CC"/>
          </w:tcPr>
          <w:p w14:paraId="3685EE6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86" w:type="dxa"/>
            <w:vMerge/>
            <w:tcBorders>
              <w:top w:val="single" w:sz="4" w:space="0" w:color="000000"/>
              <w:left w:val="single" w:sz="4" w:space="0" w:color="000000"/>
              <w:bottom w:val="single" w:sz="4" w:space="0" w:color="000000"/>
              <w:right w:val="single" w:sz="4" w:space="0" w:color="000000"/>
            </w:tcBorders>
            <w:shd w:val="clear" w:color="auto" w:fill="FFF2CC"/>
          </w:tcPr>
          <w:p w14:paraId="4B169E8F"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33" w:type="dxa"/>
            <w:tcBorders>
              <w:top w:val="single" w:sz="4" w:space="0" w:color="000000"/>
              <w:left w:val="single" w:sz="4" w:space="0" w:color="000000"/>
              <w:bottom w:val="single" w:sz="4" w:space="0" w:color="000000"/>
              <w:right w:val="single" w:sz="4" w:space="0" w:color="000000"/>
            </w:tcBorders>
            <w:shd w:val="clear" w:color="auto" w:fill="FFF2CC"/>
          </w:tcPr>
          <w:p w14:paraId="3DCDAAF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FFF2CC"/>
          </w:tcPr>
          <w:p w14:paraId="1623B4F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66" w:type="dxa"/>
            <w:tcBorders>
              <w:top w:val="single" w:sz="4" w:space="0" w:color="000000"/>
              <w:left w:val="single" w:sz="4" w:space="0" w:color="000000"/>
              <w:bottom w:val="single" w:sz="4" w:space="0" w:color="000000"/>
              <w:right w:val="single" w:sz="4" w:space="0" w:color="000000"/>
            </w:tcBorders>
            <w:shd w:val="clear" w:color="auto" w:fill="FFF2CC"/>
          </w:tcPr>
          <w:p w14:paraId="72E26AA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120" w:type="dxa"/>
            <w:tcBorders>
              <w:top w:val="single" w:sz="4" w:space="0" w:color="000000"/>
              <w:left w:val="single" w:sz="4" w:space="0" w:color="000000"/>
              <w:bottom w:val="single" w:sz="4" w:space="0" w:color="000000"/>
              <w:right w:val="single" w:sz="4" w:space="0" w:color="000000"/>
            </w:tcBorders>
            <w:shd w:val="clear" w:color="auto" w:fill="FFF2CC"/>
          </w:tcPr>
          <w:p w14:paraId="732188D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120" w:type="dxa"/>
            <w:tcBorders>
              <w:top w:val="single" w:sz="4" w:space="0" w:color="000000"/>
              <w:left w:val="single" w:sz="4" w:space="0" w:color="000000"/>
              <w:bottom w:val="single" w:sz="4" w:space="0" w:color="000000"/>
              <w:right w:val="single" w:sz="4" w:space="0" w:color="000000"/>
            </w:tcBorders>
            <w:shd w:val="clear" w:color="auto" w:fill="FFF2CC"/>
          </w:tcPr>
          <w:p w14:paraId="688B7EB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29C595CD" w14:textId="77777777" w:rsidTr="00DC4692">
        <w:trPr>
          <w:trHeight w:val="543"/>
        </w:trPr>
        <w:tc>
          <w:tcPr>
            <w:tcW w:w="1769" w:type="dxa"/>
            <w:tcBorders>
              <w:top w:val="single" w:sz="4" w:space="0" w:color="000000"/>
              <w:left w:val="single" w:sz="4" w:space="0" w:color="000000"/>
              <w:bottom w:val="single" w:sz="4" w:space="0" w:color="000000"/>
              <w:right w:val="single" w:sz="4" w:space="0" w:color="000000"/>
            </w:tcBorders>
          </w:tcPr>
          <w:p w14:paraId="2B8A4EC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1.1.7.1 Завршити рад на потпуном усклађивању националног законодавства са Директивом о еко-дизајну и радити на транспозицији два следећа прописа: Уредбе 2015/1189 од 28. априла 2015. године којом се имплементира Директива 2009/125/ЕЗ и Уредбе 2015/1185 од 24. априла 2015. године којом се имплементира </w:t>
            </w:r>
            <w:r w:rsidRPr="00CC35F0">
              <w:rPr>
                <w:rFonts w:ascii="Times New Roman" w:eastAsia="Times New Roman" w:hAnsi="Times New Roman"/>
                <w:sz w:val="24"/>
                <w:szCs w:val="24"/>
                <w:lang w:val="sr-Cyrl-CS"/>
              </w:rPr>
              <w:lastRenderedPageBreak/>
              <w:t xml:space="preserve">Директива 2009/125/ЕЗ </w:t>
            </w:r>
          </w:p>
        </w:tc>
        <w:tc>
          <w:tcPr>
            <w:tcW w:w="1611" w:type="dxa"/>
            <w:tcBorders>
              <w:top w:val="single" w:sz="4" w:space="0" w:color="000000"/>
              <w:left w:val="single" w:sz="4" w:space="0" w:color="000000"/>
              <w:bottom w:val="single" w:sz="4" w:space="0" w:color="000000"/>
              <w:right w:val="single" w:sz="4" w:space="0" w:color="000000"/>
            </w:tcBorders>
          </w:tcPr>
          <w:p w14:paraId="73FC243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Министарство рударства и енергетике</w:t>
            </w:r>
          </w:p>
        </w:tc>
        <w:tc>
          <w:tcPr>
            <w:tcW w:w="1664" w:type="dxa"/>
            <w:tcBorders>
              <w:top w:val="single" w:sz="4" w:space="0" w:color="000000"/>
              <w:left w:val="single" w:sz="4" w:space="0" w:color="000000"/>
              <w:bottom w:val="single" w:sz="4" w:space="0" w:color="000000"/>
              <w:right w:val="single" w:sz="4" w:space="0" w:color="000000"/>
            </w:tcBorders>
          </w:tcPr>
          <w:p w14:paraId="2B056317"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w:t>
            </w:r>
          </w:p>
          <w:p w14:paraId="08B7236E" w14:textId="77777777" w:rsidR="00A0251B" w:rsidRPr="00CC35F0" w:rsidRDefault="000E33E1">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w:t>
            </w:r>
            <w:r w:rsidR="008D6506" w:rsidRPr="00CC35F0">
              <w:rPr>
                <w:rFonts w:ascii="Times New Roman" w:eastAsia="Times New Roman" w:hAnsi="Times New Roman"/>
                <w:color w:val="000000"/>
                <w:sz w:val="24"/>
                <w:szCs w:val="24"/>
                <w:lang w:val="sr-Cyrl-CS"/>
              </w:rPr>
              <w:t>радови Крагујевац, Београд, Ниш, Ваљево и Ужице</w:t>
            </w:r>
          </w:p>
          <w:p w14:paraId="74D6DDA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Тела за процену </w:t>
            </w:r>
            <w:r w:rsidRPr="00CC35F0">
              <w:rPr>
                <w:rFonts w:ascii="Times New Roman" w:eastAsia="Times New Roman" w:hAnsi="Times New Roman"/>
                <w:lang w:val="sr-Cyrl-CS"/>
              </w:rPr>
              <w:t xml:space="preserve">усаглашености </w:t>
            </w:r>
          </w:p>
        </w:tc>
        <w:tc>
          <w:tcPr>
            <w:tcW w:w="1356" w:type="dxa"/>
            <w:tcBorders>
              <w:top w:val="single" w:sz="4" w:space="0" w:color="000000"/>
              <w:left w:val="single" w:sz="4" w:space="0" w:color="000000"/>
              <w:bottom w:val="single" w:sz="4" w:space="0" w:color="000000"/>
              <w:right w:val="single" w:sz="4" w:space="0" w:color="000000"/>
            </w:tcBorders>
          </w:tcPr>
          <w:p w14:paraId="7202D77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2023</w:t>
            </w:r>
          </w:p>
        </w:tc>
        <w:tc>
          <w:tcPr>
            <w:tcW w:w="1524" w:type="dxa"/>
            <w:tcBorders>
              <w:top w:val="single" w:sz="4" w:space="0" w:color="000000"/>
              <w:left w:val="single" w:sz="4" w:space="0" w:color="000000"/>
              <w:bottom w:val="single" w:sz="4" w:space="0" w:color="000000"/>
              <w:right w:val="single" w:sz="4" w:space="0" w:color="000000"/>
            </w:tcBorders>
          </w:tcPr>
          <w:p w14:paraId="7211C5AD" w14:textId="77777777" w:rsidR="00A0251B" w:rsidRPr="00CC35F0" w:rsidRDefault="00A0251B">
            <w:pPr>
              <w:jc w:val="center"/>
              <w:rPr>
                <w:rFonts w:ascii="Times New Roman" w:eastAsia="Times New Roman" w:hAnsi="Times New Roman"/>
                <w:sz w:val="24"/>
                <w:szCs w:val="24"/>
                <w:lang w:val="sr-Cyrl-CS"/>
              </w:rPr>
            </w:pPr>
          </w:p>
        </w:tc>
        <w:tc>
          <w:tcPr>
            <w:tcW w:w="1486" w:type="dxa"/>
            <w:tcBorders>
              <w:top w:val="single" w:sz="4" w:space="0" w:color="000000"/>
              <w:left w:val="single" w:sz="4" w:space="0" w:color="000000"/>
              <w:bottom w:val="single" w:sz="4" w:space="0" w:color="000000"/>
              <w:right w:val="single" w:sz="4" w:space="0" w:color="000000"/>
            </w:tcBorders>
          </w:tcPr>
          <w:p w14:paraId="2ED97403" w14:textId="77777777" w:rsidR="00A0251B" w:rsidRPr="00CC35F0" w:rsidRDefault="00A0251B">
            <w:pPr>
              <w:rPr>
                <w:rFonts w:ascii="Times New Roman" w:eastAsia="Times New Roman" w:hAnsi="Times New Roman"/>
                <w:sz w:val="24"/>
                <w:szCs w:val="24"/>
                <w:lang w:val="sr-Cyrl-CS"/>
              </w:rPr>
            </w:pPr>
          </w:p>
        </w:tc>
        <w:tc>
          <w:tcPr>
            <w:tcW w:w="933" w:type="dxa"/>
            <w:tcBorders>
              <w:top w:val="single" w:sz="4" w:space="0" w:color="000000"/>
              <w:left w:val="single" w:sz="4" w:space="0" w:color="000000"/>
              <w:bottom w:val="single" w:sz="4" w:space="0" w:color="000000"/>
              <w:right w:val="single" w:sz="4" w:space="0" w:color="000000"/>
            </w:tcBorders>
          </w:tcPr>
          <w:p w14:paraId="67445BCC" w14:textId="77777777" w:rsidR="00A0251B" w:rsidRPr="00CC35F0" w:rsidRDefault="00A0251B">
            <w:pPr>
              <w:jc w:val="right"/>
              <w:rPr>
                <w:rFonts w:ascii="Times New Roman" w:eastAsia="Times New Roman" w:hAnsi="Times New Roman"/>
                <w:sz w:val="24"/>
                <w:szCs w:val="24"/>
                <w:lang w:val="sr-Cyrl-CS"/>
              </w:rPr>
            </w:pPr>
          </w:p>
        </w:tc>
        <w:tc>
          <w:tcPr>
            <w:tcW w:w="992" w:type="dxa"/>
            <w:gridSpan w:val="2"/>
            <w:tcBorders>
              <w:top w:val="single" w:sz="4" w:space="0" w:color="000000"/>
              <w:left w:val="single" w:sz="4" w:space="0" w:color="000000"/>
              <w:bottom w:val="single" w:sz="4" w:space="0" w:color="000000"/>
              <w:right w:val="single" w:sz="4" w:space="0" w:color="000000"/>
            </w:tcBorders>
          </w:tcPr>
          <w:p w14:paraId="4482909A" w14:textId="77777777" w:rsidR="00A0251B" w:rsidRPr="00CC35F0" w:rsidRDefault="00A0251B">
            <w:pPr>
              <w:jc w:val="center"/>
              <w:rPr>
                <w:rFonts w:ascii="Times New Roman" w:eastAsia="Times New Roman" w:hAnsi="Times New Roman"/>
                <w:sz w:val="24"/>
                <w:szCs w:val="24"/>
                <w:lang w:val="sr-Cyrl-CS"/>
              </w:rPr>
            </w:pPr>
          </w:p>
        </w:tc>
        <w:tc>
          <w:tcPr>
            <w:tcW w:w="966" w:type="dxa"/>
            <w:tcBorders>
              <w:top w:val="single" w:sz="4" w:space="0" w:color="000000"/>
              <w:left w:val="single" w:sz="4" w:space="0" w:color="000000"/>
              <w:bottom w:val="single" w:sz="4" w:space="0" w:color="000000"/>
              <w:right w:val="single" w:sz="4" w:space="0" w:color="000000"/>
            </w:tcBorders>
          </w:tcPr>
          <w:p w14:paraId="5FF24893" w14:textId="77777777" w:rsidR="00A0251B" w:rsidRPr="00CC35F0" w:rsidRDefault="00A0251B">
            <w:pPr>
              <w:jc w:val="center"/>
              <w:rPr>
                <w:rFonts w:ascii="Times New Roman" w:eastAsia="Times New Roman" w:hAnsi="Times New Roman"/>
                <w:sz w:val="24"/>
                <w:szCs w:val="24"/>
                <w:lang w:val="sr-Cyrl-CS"/>
              </w:rPr>
            </w:pPr>
          </w:p>
        </w:tc>
        <w:tc>
          <w:tcPr>
            <w:tcW w:w="1120" w:type="dxa"/>
            <w:tcBorders>
              <w:top w:val="single" w:sz="4" w:space="0" w:color="000000"/>
              <w:left w:val="single" w:sz="4" w:space="0" w:color="000000"/>
              <w:bottom w:val="single" w:sz="4" w:space="0" w:color="000000"/>
              <w:right w:val="single" w:sz="4" w:space="0" w:color="000000"/>
            </w:tcBorders>
          </w:tcPr>
          <w:p w14:paraId="6CD70711" w14:textId="77777777" w:rsidR="00A0251B" w:rsidRPr="00CC35F0" w:rsidRDefault="00A0251B">
            <w:pPr>
              <w:jc w:val="right"/>
              <w:rPr>
                <w:rFonts w:ascii="Times New Roman" w:eastAsia="Times New Roman" w:hAnsi="Times New Roman"/>
                <w:sz w:val="24"/>
                <w:szCs w:val="24"/>
                <w:lang w:val="sr-Cyrl-CS"/>
              </w:rPr>
            </w:pPr>
          </w:p>
        </w:tc>
        <w:tc>
          <w:tcPr>
            <w:tcW w:w="1120" w:type="dxa"/>
            <w:tcBorders>
              <w:top w:val="single" w:sz="4" w:space="0" w:color="000000"/>
              <w:left w:val="single" w:sz="4" w:space="0" w:color="000000"/>
              <w:bottom w:val="single" w:sz="4" w:space="0" w:color="000000"/>
              <w:right w:val="single" w:sz="4" w:space="0" w:color="000000"/>
            </w:tcBorders>
          </w:tcPr>
          <w:p w14:paraId="103704F3" w14:textId="77777777" w:rsidR="00A0251B" w:rsidRPr="00CC35F0" w:rsidRDefault="00A0251B">
            <w:pPr>
              <w:jc w:val="right"/>
              <w:rPr>
                <w:rFonts w:ascii="Times New Roman" w:eastAsia="Times New Roman" w:hAnsi="Times New Roman"/>
                <w:sz w:val="24"/>
                <w:szCs w:val="24"/>
                <w:lang w:val="sr-Cyrl-CS"/>
              </w:rPr>
            </w:pPr>
          </w:p>
        </w:tc>
      </w:tr>
      <w:tr w:rsidR="00A0251B" w:rsidRPr="00CC35F0" w14:paraId="69C71A86" w14:textId="77777777" w:rsidTr="00DC4692">
        <w:trPr>
          <w:trHeight w:val="140"/>
        </w:trPr>
        <w:tc>
          <w:tcPr>
            <w:tcW w:w="1769" w:type="dxa"/>
            <w:tcBorders>
              <w:top w:val="single" w:sz="4" w:space="0" w:color="000000"/>
              <w:left w:val="single" w:sz="4" w:space="0" w:color="000000"/>
              <w:bottom w:val="single" w:sz="4" w:space="0" w:color="000000"/>
              <w:right w:val="single" w:sz="4" w:space="0" w:color="000000"/>
            </w:tcBorders>
          </w:tcPr>
          <w:p w14:paraId="1C10A3CE"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1.1.7.2 Успостављање и примена механизма за финансијске подстицаје за замену постојећих грејних тела у домаћинствима, имајући у виду захтеве еко-дизајна и енергетског означавања уређаја и топлотних пумпи.</w:t>
            </w:r>
            <w:r w:rsidR="000B351B" w:rsidRPr="00CC35F0">
              <w:rPr>
                <w:rFonts w:ascii="Times New Roman" w:eastAsia="Times New Roman" w:hAnsi="Times New Roman"/>
                <w:sz w:val="24"/>
                <w:szCs w:val="24"/>
                <w:vertAlign w:val="superscript"/>
                <w:lang w:val="sr-Cyrl-CS"/>
              </w:rPr>
              <w:t>#</w:t>
            </w:r>
          </w:p>
        </w:tc>
        <w:tc>
          <w:tcPr>
            <w:tcW w:w="1611" w:type="dxa"/>
            <w:tcBorders>
              <w:top w:val="single" w:sz="4" w:space="0" w:color="000000"/>
              <w:left w:val="single" w:sz="4" w:space="0" w:color="000000"/>
              <w:bottom w:val="single" w:sz="4" w:space="0" w:color="000000"/>
              <w:right w:val="single" w:sz="4" w:space="0" w:color="000000"/>
            </w:tcBorders>
          </w:tcPr>
          <w:p w14:paraId="4568D08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lang w:val="sr-Cyrl-CS"/>
              </w:rPr>
              <w:t xml:space="preserve">Министарство </w:t>
            </w:r>
            <w:r w:rsidRPr="00CC35F0">
              <w:rPr>
                <w:rFonts w:ascii="Times New Roman" w:eastAsia="Times New Roman" w:hAnsi="Times New Roman"/>
                <w:sz w:val="24"/>
                <w:szCs w:val="24"/>
                <w:lang w:val="sr-Cyrl-CS"/>
              </w:rPr>
              <w:t>рударства и енергетике</w:t>
            </w:r>
          </w:p>
        </w:tc>
        <w:tc>
          <w:tcPr>
            <w:tcW w:w="1664" w:type="dxa"/>
            <w:tcBorders>
              <w:top w:val="single" w:sz="4" w:space="0" w:color="000000"/>
              <w:left w:val="single" w:sz="4" w:space="0" w:color="000000"/>
              <w:bottom w:val="single" w:sz="4" w:space="0" w:color="000000"/>
              <w:right w:val="single" w:sz="4" w:space="0" w:color="000000"/>
            </w:tcBorders>
          </w:tcPr>
          <w:p w14:paraId="6113C751" w14:textId="77777777" w:rsidR="00A0251B" w:rsidRPr="00CC35F0" w:rsidRDefault="008D6506">
            <w:pPr>
              <w:rPr>
                <w:rFonts w:ascii="Times New Roman" w:eastAsia="Times New Roman" w:hAnsi="Times New Roman"/>
                <w:color w:val="000000"/>
                <w:sz w:val="24"/>
                <w:szCs w:val="24"/>
                <w:lang w:val="sr-Cyrl-CS"/>
              </w:rPr>
            </w:pPr>
            <w:bookmarkStart w:id="133" w:name="_heading=h.3gnlt4p" w:colFirst="0" w:colLast="0"/>
            <w:bookmarkEnd w:id="133"/>
            <w:r w:rsidRPr="00CC35F0">
              <w:rPr>
                <w:rFonts w:ascii="Times New Roman" w:eastAsia="Times New Roman" w:hAnsi="Times New Roman"/>
                <w:color w:val="000000"/>
                <w:sz w:val="24"/>
                <w:szCs w:val="24"/>
                <w:lang w:val="sr-Cyrl-CS"/>
              </w:rPr>
              <w:t>Јединице локалне самоуправе</w:t>
            </w:r>
          </w:p>
          <w:p w14:paraId="4ED26230" w14:textId="77777777" w:rsidR="00A0251B" w:rsidRPr="00CC35F0" w:rsidRDefault="00A0251B">
            <w:pPr>
              <w:rPr>
                <w:rFonts w:ascii="Times New Roman" w:eastAsia="Times New Roman" w:hAnsi="Times New Roman"/>
                <w:sz w:val="24"/>
                <w:szCs w:val="24"/>
                <w:lang w:val="sr-Cyrl-CS"/>
              </w:rPr>
            </w:pPr>
          </w:p>
        </w:tc>
        <w:tc>
          <w:tcPr>
            <w:tcW w:w="1356" w:type="dxa"/>
            <w:tcBorders>
              <w:top w:val="single" w:sz="4" w:space="0" w:color="000000"/>
              <w:left w:val="single" w:sz="4" w:space="0" w:color="000000"/>
              <w:bottom w:val="single" w:sz="4" w:space="0" w:color="000000"/>
              <w:right w:val="single" w:sz="4" w:space="0" w:color="000000"/>
            </w:tcBorders>
          </w:tcPr>
          <w:p w14:paraId="780DBDA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524" w:type="dxa"/>
            <w:tcBorders>
              <w:top w:val="single" w:sz="4" w:space="0" w:color="000000"/>
              <w:left w:val="single" w:sz="4" w:space="0" w:color="000000"/>
              <w:bottom w:val="single" w:sz="4" w:space="0" w:color="000000"/>
              <w:right w:val="single" w:sz="4" w:space="0" w:color="000000"/>
            </w:tcBorders>
          </w:tcPr>
          <w:p w14:paraId="42309C6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Остали извори </w:t>
            </w:r>
            <w:r w:rsidRPr="00CC35F0">
              <w:rPr>
                <w:rFonts w:ascii="Times New Roman" w:eastAsia="Times New Roman" w:hAnsi="Times New Roman"/>
                <w:lang w:val="sr-Cyrl-CS"/>
              </w:rPr>
              <w:t>финансирања</w:t>
            </w:r>
          </w:p>
        </w:tc>
        <w:tc>
          <w:tcPr>
            <w:tcW w:w="1486" w:type="dxa"/>
            <w:tcBorders>
              <w:top w:val="single" w:sz="4" w:space="0" w:color="000000"/>
              <w:left w:val="single" w:sz="4" w:space="0" w:color="000000"/>
              <w:bottom w:val="single" w:sz="4" w:space="0" w:color="000000"/>
              <w:right w:val="single" w:sz="4" w:space="0" w:color="000000"/>
            </w:tcBorders>
          </w:tcPr>
          <w:p w14:paraId="5DEE2B29" w14:textId="77777777" w:rsidR="00A0251B" w:rsidRPr="00CC35F0" w:rsidRDefault="00A0251B">
            <w:pPr>
              <w:jc w:val="center"/>
              <w:rPr>
                <w:rFonts w:ascii="Times New Roman" w:eastAsia="Times New Roman" w:hAnsi="Times New Roman"/>
                <w:sz w:val="24"/>
                <w:szCs w:val="24"/>
                <w:lang w:val="sr-Cyrl-CS"/>
              </w:rPr>
            </w:pPr>
          </w:p>
        </w:tc>
        <w:tc>
          <w:tcPr>
            <w:tcW w:w="933" w:type="dxa"/>
            <w:tcBorders>
              <w:top w:val="single" w:sz="4" w:space="0" w:color="000000"/>
              <w:left w:val="single" w:sz="4" w:space="0" w:color="000000"/>
              <w:bottom w:val="single" w:sz="4" w:space="0" w:color="000000"/>
              <w:right w:val="single" w:sz="4" w:space="0" w:color="000000"/>
            </w:tcBorders>
          </w:tcPr>
          <w:p w14:paraId="14FA9FC2" w14:textId="77777777" w:rsidR="00A0251B" w:rsidRPr="00CC35F0" w:rsidRDefault="00A0251B">
            <w:pPr>
              <w:jc w:val="right"/>
              <w:rPr>
                <w:rFonts w:ascii="Times New Roman" w:eastAsia="Times New Roman" w:hAnsi="Times New Roman"/>
                <w:sz w:val="24"/>
                <w:szCs w:val="24"/>
                <w:lang w:val="sr-Cyrl-CS"/>
              </w:rPr>
            </w:pPr>
          </w:p>
        </w:tc>
        <w:tc>
          <w:tcPr>
            <w:tcW w:w="992" w:type="dxa"/>
            <w:gridSpan w:val="2"/>
            <w:tcBorders>
              <w:top w:val="single" w:sz="4" w:space="0" w:color="000000"/>
              <w:left w:val="single" w:sz="4" w:space="0" w:color="000000"/>
              <w:bottom w:val="single" w:sz="4" w:space="0" w:color="000000"/>
              <w:right w:val="single" w:sz="4" w:space="0" w:color="000000"/>
            </w:tcBorders>
          </w:tcPr>
          <w:p w14:paraId="6DCFA379" w14:textId="77777777" w:rsidR="00A0251B" w:rsidRPr="00CC35F0" w:rsidRDefault="00A0251B">
            <w:pPr>
              <w:jc w:val="center"/>
              <w:rPr>
                <w:rFonts w:ascii="Times New Roman" w:eastAsia="Times New Roman" w:hAnsi="Times New Roman"/>
                <w:sz w:val="24"/>
                <w:szCs w:val="24"/>
                <w:lang w:val="sr-Cyrl-CS"/>
              </w:rPr>
            </w:pPr>
          </w:p>
        </w:tc>
        <w:tc>
          <w:tcPr>
            <w:tcW w:w="966" w:type="dxa"/>
            <w:tcBorders>
              <w:top w:val="single" w:sz="4" w:space="0" w:color="000000"/>
              <w:left w:val="single" w:sz="4" w:space="0" w:color="000000"/>
              <w:bottom w:val="single" w:sz="4" w:space="0" w:color="000000"/>
              <w:right w:val="single" w:sz="4" w:space="0" w:color="000000"/>
            </w:tcBorders>
          </w:tcPr>
          <w:p w14:paraId="51BF5C8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1.080.729</w:t>
            </w:r>
          </w:p>
        </w:tc>
        <w:tc>
          <w:tcPr>
            <w:tcW w:w="1120" w:type="dxa"/>
            <w:tcBorders>
              <w:top w:val="single" w:sz="4" w:space="0" w:color="000000"/>
              <w:left w:val="single" w:sz="4" w:space="0" w:color="000000"/>
              <w:bottom w:val="single" w:sz="4" w:space="0" w:color="000000"/>
              <w:right w:val="single" w:sz="4" w:space="0" w:color="000000"/>
            </w:tcBorders>
          </w:tcPr>
          <w:p w14:paraId="354DA5B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2.412.941</w:t>
            </w:r>
          </w:p>
        </w:tc>
        <w:tc>
          <w:tcPr>
            <w:tcW w:w="1120" w:type="dxa"/>
            <w:tcBorders>
              <w:top w:val="single" w:sz="4" w:space="0" w:color="000000"/>
              <w:left w:val="single" w:sz="4" w:space="0" w:color="000000"/>
              <w:bottom w:val="single" w:sz="4" w:space="0" w:color="000000"/>
              <w:right w:val="single" w:sz="4" w:space="0" w:color="000000"/>
            </w:tcBorders>
          </w:tcPr>
          <w:p w14:paraId="7EDC702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5.641.307</w:t>
            </w:r>
          </w:p>
        </w:tc>
      </w:tr>
      <w:tr w:rsidR="00A0251B" w:rsidRPr="00CC35F0" w14:paraId="19559D44" w14:textId="77777777" w:rsidTr="00DC4692">
        <w:trPr>
          <w:trHeight w:val="140"/>
        </w:trPr>
        <w:tc>
          <w:tcPr>
            <w:tcW w:w="1769" w:type="dxa"/>
            <w:tcBorders>
              <w:top w:val="single" w:sz="4" w:space="0" w:color="000000"/>
              <w:left w:val="single" w:sz="4" w:space="0" w:color="000000"/>
              <w:bottom w:val="single" w:sz="4" w:space="0" w:color="000000"/>
              <w:right w:val="single" w:sz="4" w:space="0" w:color="000000"/>
            </w:tcBorders>
            <w:vAlign w:val="center"/>
          </w:tcPr>
          <w:p w14:paraId="165173D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1.1.7.3 Омогућавање механизма финансијских подстицаја запошљавањем додатних 6 </w:t>
            </w:r>
            <w:r w:rsidRPr="00CC35F0">
              <w:rPr>
                <w:rFonts w:ascii="Times New Roman" w:eastAsia="Times New Roman" w:hAnsi="Times New Roman"/>
                <w:sz w:val="24"/>
                <w:szCs w:val="24"/>
                <w:lang w:val="sr-Cyrl-CS"/>
              </w:rPr>
              <w:lastRenderedPageBreak/>
              <w:t xml:space="preserve">лица са пуним радним временом у циљу информисања јавности о томе како смањити емисије из кућних грејних тела, и омогућити приступ финансијској подршци. </w:t>
            </w:r>
          </w:p>
        </w:tc>
        <w:tc>
          <w:tcPr>
            <w:tcW w:w="1611" w:type="dxa"/>
            <w:tcBorders>
              <w:top w:val="single" w:sz="4" w:space="0" w:color="000000"/>
              <w:left w:val="single" w:sz="4" w:space="0" w:color="000000"/>
              <w:bottom w:val="single" w:sz="4" w:space="0" w:color="000000"/>
              <w:right w:val="single" w:sz="4" w:space="0" w:color="000000"/>
            </w:tcBorders>
          </w:tcPr>
          <w:p w14:paraId="4DD63E9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lang w:val="sr-Cyrl-CS"/>
              </w:rPr>
              <w:lastRenderedPageBreak/>
              <w:t>Министарство</w:t>
            </w:r>
            <w:r w:rsidRPr="00CC35F0">
              <w:rPr>
                <w:rFonts w:ascii="Times New Roman" w:eastAsia="Times New Roman" w:hAnsi="Times New Roman"/>
                <w:sz w:val="24"/>
                <w:szCs w:val="24"/>
                <w:lang w:val="sr-Cyrl-CS"/>
              </w:rPr>
              <w:t xml:space="preserve"> рударства и енергетике- Управа за финансирање и подстицање  </w:t>
            </w:r>
            <w:r w:rsidRPr="00CC35F0">
              <w:rPr>
                <w:rFonts w:ascii="Times New Roman" w:eastAsia="Times New Roman" w:hAnsi="Times New Roman"/>
                <w:sz w:val="24"/>
                <w:szCs w:val="24"/>
                <w:lang w:val="sr-Cyrl-CS"/>
              </w:rPr>
              <w:lastRenderedPageBreak/>
              <w:t>енергетске ефикасности</w:t>
            </w:r>
          </w:p>
        </w:tc>
        <w:tc>
          <w:tcPr>
            <w:tcW w:w="1664" w:type="dxa"/>
            <w:tcBorders>
              <w:top w:val="single" w:sz="4" w:space="0" w:color="000000"/>
              <w:left w:val="single" w:sz="4" w:space="0" w:color="000000"/>
              <w:bottom w:val="single" w:sz="4" w:space="0" w:color="000000"/>
              <w:right w:val="single" w:sz="4" w:space="0" w:color="000000"/>
            </w:tcBorders>
          </w:tcPr>
          <w:p w14:paraId="2F2D3E18" w14:textId="77777777" w:rsidR="00A0251B" w:rsidRPr="00CC35F0" w:rsidRDefault="00A0251B">
            <w:pPr>
              <w:rPr>
                <w:rFonts w:ascii="Times New Roman" w:eastAsia="Times New Roman" w:hAnsi="Times New Roman"/>
                <w:sz w:val="24"/>
                <w:szCs w:val="24"/>
                <w:lang w:val="sr-Cyrl-CS"/>
              </w:rPr>
            </w:pPr>
          </w:p>
        </w:tc>
        <w:tc>
          <w:tcPr>
            <w:tcW w:w="1356" w:type="dxa"/>
            <w:tcBorders>
              <w:top w:val="single" w:sz="4" w:space="0" w:color="000000"/>
              <w:left w:val="single" w:sz="4" w:space="0" w:color="000000"/>
              <w:bottom w:val="single" w:sz="4" w:space="0" w:color="000000"/>
              <w:right w:val="single" w:sz="4" w:space="0" w:color="000000"/>
            </w:tcBorders>
          </w:tcPr>
          <w:p w14:paraId="75B3DA8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2024</w:t>
            </w:r>
          </w:p>
        </w:tc>
        <w:tc>
          <w:tcPr>
            <w:tcW w:w="1524" w:type="dxa"/>
            <w:tcBorders>
              <w:top w:val="single" w:sz="4" w:space="0" w:color="000000"/>
              <w:left w:val="single" w:sz="4" w:space="0" w:color="000000"/>
              <w:bottom w:val="single" w:sz="4" w:space="0" w:color="000000"/>
              <w:right w:val="single" w:sz="4" w:space="0" w:color="000000"/>
            </w:tcBorders>
          </w:tcPr>
          <w:p w14:paraId="0FD2AB7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486" w:type="dxa"/>
            <w:tcBorders>
              <w:top w:val="single" w:sz="4" w:space="0" w:color="000000"/>
              <w:left w:val="single" w:sz="4" w:space="0" w:color="000000"/>
              <w:bottom w:val="single" w:sz="4" w:space="0" w:color="000000"/>
              <w:right w:val="single" w:sz="4" w:space="0" w:color="000000"/>
            </w:tcBorders>
          </w:tcPr>
          <w:p w14:paraId="20096A1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050</w:t>
            </w:r>
            <w:r w:rsidR="00FE4A39" w:rsidRPr="00CC35F0">
              <w:rPr>
                <w:rFonts w:ascii="Times New Roman" w:eastAsia="Times New Roman" w:hAnsi="Times New Roman"/>
                <w:sz w:val="24"/>
                <w:szCs w:val="24"/>
                <w:lang w:val="sr-Cyrl-CS"/>
              </w:rPr>
              <w:t>2</w:t>
            </w:r>
            <w:r w:rsidRPr="00CC35F0">
              <w:rPr>
                <w:rFonts w:ascii="Times New Roman" w:eastAsia="Times New Roman" w:hAnsi="Times New Roman"/>
                <w:sz w:val="24"/>
                <w:szCs w:val="24"/>
                <w:lang w:val="sr-Cyrl-CS"/>
              </w:rPr>
              <w:t>-430-000</w:t>
            </w:r>
            <w:r w:rsidR="00FE4A39" w:rsidRPr="00CC35F0">
              <w:rPr>
                <w:rFonts w:ascii="Times New Roman" w:eastAsia="Times New Roman" w:hAnsi="Times New Roman"/>
                <w:sz w:val="24"/>
                <w:szCs w:val="24"/>
                <w:lang w:val="sr-Cyrl-CS"/>
              </w:rPr>
              <w:t>2</w:t>
            </w:r>
            <w:r w:rsidRPr="00CC35F0">
              <w:rPr>
                <w:rFonts w:ascii="Times New Roman" w:eastAsia="Times New Roman" w:hAnsi="Times New Roman"/>
                <w:sz w:val="24"/>
                <w:szCs w:val="24"/>
                <w:lang w:val="sr-Cyrl-CS"/>
              </w:rPr>
              <w:t>-411</w:t>
            </w:r>
            <w:r w:rsidR="0083437D" w:rsidRPr="00CC35F0">
              <w:rPr>
                <w:rFonts w:ascii="Times New Roman" w:eastAsia="Times New Roman" w:hAnsi="Times New Roman"/>
                <w:sz w:val="24"/>
                <w:szCs w:val="24"/>
                <w:lang w:val="sr-Cyrl-CS"/>
              </w:rPr>
              <w:t>+</w:t>
            </w:r>
            <w:r w:rsidR="00FE4A39" w:rsidRPr="00CC35F0">
              <w:rPr>
                <w:rFonts w:ascii="Times New Roman" w:eastAsia="Times New Roman" w:hAnsi="Times New Roman"/>
                <w:sz w:val="24"/>
                <w:szCs w:val="24"/>
                <w:lang w:val="sr-Cyrl-CS"/>
              </w:rPr>
              <w:t>412</w:t>
            </w:r>
          </w:p>
          <w:p w14:paraId="24370CF5" w14:textId="77777777" w:rsidR="00A0251B" w:rsidRPr="00CC35F0" w:rsidRDefault="00A0251B">
            <w:pPr>
              <w:jc w:val="center"/>
              <w:rPr>
                <w:rFonts w:ascii="Times New Roman" w:eastAsia="Times New Roman" w:hAnsi="Times New Roman"/>
                <w:sz w:val="24"/>
                <w:szCs w:val="24"/>
                <w:lang w:val="sr-Cyrl-CS"/>
              </w:rPr>
            </w:pPr>
          </w:p>
        </w:tc>
        <w:tc>
          <w:tcPr>
            <w:tcW w:w="951" w:type="dxa"/>
            <w:gridSpan w:val="2"/>
            <w:tcBorders>
              <w:top w:val="single" w:sz="4" w:space="0" w:color="000000"/>
              <w:left w:val="single" w:sz="4" w:space="0" w:color="000000"/>
              <w:bottom w:val="single" w:sz="4" w:space="0" w:color="000000"/>
              <w:right w:val="single" w:sz="4" w:space="0" w:color="000000"/>
            </w:tcBorders>
          </w:tcPr>
          <w:p w14:paraId="6EF8D35D" w14:textId="77777777" w:rsidR="00A0251B" w:rsidRPr="00CC35F0" w:rsidRDefault="00A0251B">
            <w:pPr>
              <w:rPr>
                <w:rFonts w:ascii="Times New Roman" w:eastAsia="Times New Roman" w:hAnsi="Times New Roman"/>
                <w:sz w:val="24"/>
                <w:szCs w:val="24"/>
                <w:lang w:val="sr-Cyrl-CS"/>
              </w:rPr>
            </w:pPr>
          </w:p>
        </w:tc>
        <w:tc>
          <w:tcPr>
            <w:tcW w:w="974" w:type="dxa"/>
            <w:tcBorders>
              <w:top w:val="single" w:sz="4" w:space="0" w:color="000000"/>
              <w:left w:val="single" w:sz="4" w:space="0" w:color="000000"/>
              <w:bottom w:val="single" w:sz="4" w:space="0" w:color="000000"/>
              <w:right w:val="single" w:sz="4" w:space="0" w:color="000000"/>
            </w:tcBorders>
          </w:tcPr>
          <w:p w14:paraId="5AD1981C" w14:textId="77777777" w:rsidR="00A0251B" w:rsidRPr="00CC35F0" w:rsidRDefault="00A0251B">
            <w:pPr>
              <w:jc w:val="right"/>
              <w:rPr>
                <w:rFonts w:ascii="Times New Roman" w:eastAsia="Times New Roman" w:hAnsi="Times New Roman"/>
                <w:sz w:val="24"/>
                <w:szCs w:val="24"/>
                <w:lang w:val="sr-Cyrl-CS"/>
              </w:rPr>
            </w:pPr>
          </w:p>
        </w:tc>
        <w:tc>
          <w:tcPr>
            <w:tcW w:w="966" w:type="dxa"/>
            <w:tcBorders>
              <w:top w:val="single" w:sz="4" w:space="0" w:color="000000"/>
              <w:left w:val="single" w:sz="4" w:space="0" w:color="000000"/>
              <w:bottom w:val="single" w:sz="4" w:space="0" w:color="000000"/>
              <w:right w:val="single" w:sz="4" w:space="0" w:color="000000"/>
            </w:tcBorders>
          </w:tcPr>
          <w:p w14:paraId="35C557C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14.100</w:t>
            </w:r>
          </w:p>
        </w:tc>
        <w:tc>
          <w:tcPr>
            <w:tcW w:w="1120" w:type="dxa"/>
            <w:tcBorders>
              <w:top w:val="single" w:sz="4" w:space="0" w:color="000000"/>
              <w:left w:val="single" w:sz="4" w:space="0" w:color="000000"/>
              <w:bottom w:val="single" w:sz="4" w:space="0" w:color="000000"/>
              <w:right w:val="single" w:sz="4" w:space="0" w:color="000000"/>
            </w:tcBorders>
          </w:tcPr>
          <w:p w14:paraId="6EC5D69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14.100</w:t>
            </w:r>
          </w:p>
        </w:tc>
        <w:tc>
          <w:tcPr>
            <w:tcW w:w="1120" w:type="dxa"/>
            <w:tcBorders>
              <w:top w:val="single" w:sz="4" w:space="0" w:color="000000"/>
              <w:left w:val="single" w:sz="4" w:space="0" w:color="000000"/>
              <w:bottom w:val="single" w:sz="4" w:space="0" w:color="000000"/>
              <w:right w:val="single" w:sz="4" w:space="0" w:color="000000"/>
            </w:tcBorders>
          </w:tcPr>
          <w:p w14:paraId="36C75D5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14.100</w:t>
            </w:r>
          </w:p>
        </w:tc>
      </w:tr>
    </w:tbl>
    <w:p w14:paraId="047F0370" w14:textId="77777777" w:rsidR="00A0251B" w:rsidRPr="00CC35F0" w:rsidRDefault="00A0251B">
      <w:pPr>
        <w:rPr>
          <w:rFonts w:ascii="Times New Roman" w:eastAsia="Times New Roman" w:hAnsi="Times New Roman"/>
          <w:sz w:val="24"/>
          <w:szCs w:val="24"/>
          <w:lang w:val="sr-Cyrl-CS"/>
        </w:rPr>
      </w:pPr>
    </w:p>
    <w:tbl>
      <w:tblPr>
        <w:tblStyle w:val="afff"/>
        <w:tblW w:w="14064"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7"/>
        <w:gridCol w:w="1474"/>
        <w:gridCol w:w="1520"/>
        <w:gridCol w:w="1107"/>
        <w:gridCol w:w="1140"/>
        <w:gridCol w:w="1228"/>
        <w:gridCol w:w="1536"/>
        <w:gridCol w:w="1406"/>
        <w:gridCol w:w="1408"/>
        <w:gridCol w:w="28"/>
      </w:tblGrid>
      <w:tr w:rsidR="00A0251B" w:rsidRPr="00CC35F0" w14:paraId="5D9A9584" w14:textId="77777777">
        <w:trPr>
          <w:trHeight w:val="168"/>
        </w:trPr>
        <w:tc>
          <w:tcPr>
            <w:tcW w:w="14065" w:type="dxa"/>
            <w:gridSpan w:val="10"/>
            <w:tcBorders>
              <w:top w:val="single" w:sz="4" w:space="0" w:color="000000"/>
              <w:left w:val="single" w:sz="4" w:space="0" w:color="000000"/>
              <w:bottom w:val="single" w:sz="4" w:space="0" w:color="000000"/>
              <w:right w:val="single" w:sz="4" w:space="0" w:color="000000"/>
            </w:tcBorders>
            <w:shd w:val="clear" w:color="auto" w:fill="F7CBAC"/>
          </w:tcPr>
          <w:p w14:paraId="17B388F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1.1.8: </w:t>
            </w:r>
            <w:r w:rsidRPr="00CC35F0">
              <w:rPr>
                <w:rFonts w:ascii="Times New Roman" w:eastAsia="Times New Roman" w:hAnsi="Times New Roman"/>
                <w:b/>
                <w:color w:val="000000"/>
                <w:sz w:val="24"/>
                <w:szCs w:val="24"/>
                <w:lang w:val="sr-Cyrl-CS"/>
              </w:rPr>
              <w:t xml:space="preserve">Спровођење измењене Директиве 2009/30/EЗ о квалитету горива и Директиве 2016/802/EЗ о смањењу садржаја сумпора у одређеним течним горивима </w:t>
            </w:r>
          </w:p>
        </w:tc>
      </w:tr>
      <w:tr w:rsidR="00A0251B" w:rsidRPr="00CC35F0" w14:paraId="1ABB4FD9" w14:textId="77777777">
        <w:trPr>
          <w:trHeight w:val="298"/>
        </w:trPr>
        <w:tc>
          <w:tcPr>
            <w:tcW w:w="14065" w:type="dxa"/>
            <w:gridSpan w:val="10"/>
            <w:tcBorders>
              <w:top w:val="single" w:sz="4" w:space="0" w:color="000000"/>
              <w:left w:val="single" w:sz="4" w:space="0" w:color="000000"/>
              <w:bottom w:val="single" w:sz="4" w:space="0" w:color="000000"/>
              <w:right w:val="single" w:sz="4" w:space="0" w:color="000000"/>
            </w:tcBorders>
            <w:shd w:val="clear" w:color="auto" w:fill="F7CBAC"/>
            <w:vAlign w:val="center"/>
          </w:tcPr>
          <w:p w14:paraId="0E66D9B9"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 xml:space="preserve">Институција надлежна за спровођење: </w:t>
            </w:r>
            <w:r w:rsidRPr="00CC35F0">
              <w:rPr>
                <w:rFonts w:ascii="Times New Roman" w:eastAsia="Times New Roman" w:hAnsi="Times New Roman"/>
                <w:color w:val="222222"/>
                <w:sz w:val="24"/>
                <w:szCs w:val="24"/>
                <w:lang w:val="sr-Cyrl-CS"/>
              </w:rPr>
              <w:t>Министарство рударства и енергетике</w:t>
            </w:r>
          </w:p>
        </w:tc>
      </w:tr>
      <w:tr w:rsidR="00A0251B" w:rsidRPr="00CC35F0" w14:paraId="6DBA7257" w14:textId="77777777">
        <w:trPr>
          <w:gridAfter w:val="1"/>
          <w:wAfter w:w="28" w:type="dxa"/>
          <w:trHeight w:val="298"/>
        </w:trPr>
        <w:tc>
          <w:tcPr>
            <w:tcW w:w="6212" w:type="dxa"/>
            <w:gridSpan w:val="3"/>
            <w:tcBorders>
              <w:top w:val="single" w:sz="4" w:space="0" w:color="000000"/>
              <w:left w:val="single" w:sz="4" w:space="0" w:color="000000"/>
              <w:bottom w:val="single" w:sz="4" w:space="0" w:color="000000"/>
              <w:right w:val="single" w:sz="4" w:space="0" w:color="000000"/>
            </w:tcBorders>
            <w:shd w:val="clear" w:color="auto" w:fill="F7CBAC"/>
          </w:tcPr>
          <w:p w14:paraId="1EF2EFC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Период спровођења: 2022-2025</w:t>
            </w:r>
          </w:p>
        </w:tc>
        <w:tc>
          <w:tcPr>
            <w:tcW w:w="7825" w:type="dxa"/>
            <w:gridSpan w:val="6"/>
            <w:tcBorders>
              <w:top w:val="single" w:sz="4" w:space="0" w:color="000000"/>
              <w:left w:val="single" w:sz="4" w:space="0" w:color="000000"/>
              <w:bottom w:val="single" w:sz="4" w:space="0" w:color="000000"/>
              <w:right w:val="single" w:sz="4" w:space="0" w:color="000000"/>
            </w:tcBorders>
            <w:shd w:val="clear" w:color="auto" w:fill="F7CBAC"/>
          </w:tcPr>
          <w:p w14:paraId="68E67F9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w:t>
            </w:r>
          </w:p>
        </w:tc>
      </w:tr>
      <w:tr w:rsidR="00A0251B" w:rsidRPr="00CC35F0" w14:paraId="40A76346" w14:textId="77777777">
        <w:trPr>
          <w:gridAfter w:val="1"/>
          <w:wAfter w:w="28" w:type="dxa"/>
          <w:trHeight w:val="298"/>
        </w:trPr>
        <w:tc>
          <w:tcPr>
            <w:tcW w:w="6212" w:type="dxa"/>
            <w:gridSpan w:val="3"/>
            <w:tcBorders>
              <w:top w:val="single" w:sz="4" w:space="0" w:color="000000"/>
              <w:left w:val="single" w:sz="4" w:space="0" w:color="000000"/>
              <w:bottom w:val="single" w:sz="4" w:space="0" w:color="000000"/>
              <w:right w:val="single" w:sz="4" w:space="0" w:color="000000"/>
            </w:tcBorders>
            <w:shd w:val="clear" w:color="auto" w:fill="F7CBAC"/>
          </w:tcPr>
          <w:p w14:paraId="24C15850" w14:textId="77777777" w:rsidR="00A0251B" w:rsidRPr="00CC35F0" w:rsidRDefault="008D6506">
            <w:pP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7825" w:type="dxa"/>
            <w:gridSpan w:val="6"/>
            <w:tcBorders>
              <w:top w:val="single" w:sz="4" w:space="0" w:color="000000"/>
              <w:left w:val="single" w:sz="4" w:space="0" w:color="000000"/>
              <w:bottom w:val="single" w:sz="4" w:space="0" w:color="000000"/>
              <w:right w:val="single" w:sz="4" w:space="0" w:color="000000"/>
            </w:tcBorders>
            <w:shd w:val="clear" w:color="auto" w:fill="F7CBAC"/>
          </w:tcPr>
          <w:p w14:paraId="2865AD5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Измене и допуне Правилника о техничким и другим захтевима за горива нафтног порекла</w:t>
            </w:r>
          </w:p>
          <w:p w14:paraId="5FB77F8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Израда Правилника о техничким и другим захтевима за бродска горива</w:t>
            </w:r>
          </w:p>
          <w:p w14:paraId="1DA43C3B" w14:textId="77777777" w:rsidR="00A0251B" w:rsidRPr="00CC35F0" w:rsidRDefault="008D6506">
            <w:pP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Измена и допуна регулативе из области водног саобраћаја</w:t>
            </w:r>
          </w:p>
        </w:tc>
      </w:tr>
      <w:tr w:rsidR="00A0251B" w:rsidRPr="00CC35F0" w14:paraId="79C946B2" w14:textId="77777777">
        <w:trPr>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709844F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1C9B0EC7" w14:textId="77777777" w:rsidR="00A0251B" w:rsidRPr="00CC35F0" w:rsidRDefault="00A0251B">
            <w:pPr>
              <w:jc w:val="center"/>
              <w:rPr>
                <w:rFonts w:ascii="Times New Roman" w:eastAsia="Times New Roman" w:hAnsi="Times New Roman"/>
                <w:sz w:val="24"/>
                <w:szCs w:val="24"/>
                <w:lang w:val="sr-Cyrl-CS"/>
              </w:rPr>
            </w:pPr>
          </w:p>
        </w:tc>
        <w:tc>
          <w:tcPr>
            <w:tcW w:w="1474" w:type="dxa"/>
            <w:tcBorders>
              <w:top w:val="single" w:sz="4" w:space="0" w:color="000000"/>
              <w:left w:val="single" w:sz="4" w:space="0" w:color="000000"/>
              <w:bottom w:val="single" w:sz="4" w:space="0" w:color="000000"/>
              <w:right w:val="single" w:sz="4" w:space="0" w:color="000000"/>
            </w:tcBorders>
            <w:shd w:val="clear" w:color="auto" w:fill="D9D9D9"/>
          </w:tcPr>
          <w:p w14:paraId="0392A7C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520" w:type="dxa"/>
            <w:tcBorders>
              <w:top w:val="single" w:sz="4" w:space="0" w:color="000000"/>
              <w:left w:val="single" w:sz="4" w:space="0" w:color="000000"/>
              <w:bottom w:val="single" w:sz="4" w:space="0" w:color="000000"/>
              <w:right w:val="single" w:sz="4" w:space="0" w:color="000000"/>
            </w:tcBorders>
            <w:shd w:val="clear" w:color="auto" w:fill="D9D9D9"/>
          </w:tcPr>
          <w:p w14:paraId="2C3A918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107" w:type="dxa"/>
            <w:tcBorders>
              <w:top w:val="single" w:sz="4" w:space="0" w:color="000000"/>
              <w:left w:val="single" w:sz="4" w:space="0" w:color="000000"/>
              <w:bottom w:val="single" w:sz="4" w:space="0" w:color="000000"/>
              <w:right w:val="single" w:sz="4" w:space="0" w:color="000000"/>
            </w:tcBorders>
            <w:shd w:val="clear" w:color="auto" w:fill="D9D9D9"/>
          </w:tcPr>
          <w:p w14:paraId="5DEE7A0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140" w:type="dxa"/>
            <w:tcBorders>
              <w:top w:val="single" w:sz="4" w:space="0" w:color="000000"/>
              <w:left w:val="single" w:sz="4" w:space="0" w:color="000000"/>
              <w:bottom w:val="single" w:sz="4" w:space="0" w:color="000000"/>
              <w:right w:val="single" w:sz="4" w:space="0" w:color="000000"/>
            </w:tcBorders>
            <w:shd w:val="clear" w:color="auto" w:fill="D9D9D9"/>
          </w:tcPr>
          <w:p w14:paraId="20CD4EE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7F58589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6" w:type="dxa"/>
            <w:tcBorders>
              <w:top w:val="single" w:sz="4" w:space="0" w:color="000000"/>
              <w:left w:val="single" w:sz="4" w:space="0" w:color="000000"/>
              <w:bottom w:val="single" w:sz="4" w:space="0" w:color="000000"/>
              <w:right w:val="single" w:sz="4" w:space="0" w:color="000000"/>
            </w:tcBorders>
            <w:shd w:val="clear" w:color="auto" w:fill="D9D9D9"/>
          </w:tcPr>
          <w:p w14:paraId="7B4AA76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406" w:type="dxa"/>
            <w:tcBorders>
              <w:top w:val="single" w:sz="4" w:space="0" w:color="000000"/>
              <w:left w:val="single" w:sz="4" w:space="0" w:color="000000"/>
              <w:bottom w:val="single" w:sz="4" w:space="0" w:color="000000"/>
              <w:right w:val="single" w:sz="4" w:space="0" w:color="000000"/>
            </w:tcBorders>
            <w:shd w:val="clear" w:color="auto" w:fill="D9D9D9"/>
          </w:tcPr>
          <w:p w14:paraId="7A05675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43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C5A931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0D1A4F1B"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39AA121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течних горива са ултра-ниским садржајем сумпора стављених на тржиште Републике Србије у складу са захтевима Директиве.</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cPr>
          <w:p w14:paraId="4C85379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Pr>
          <w:p w14:paraId="2DB2E5B7"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завршни годишњи извештај о </w:t>
            </w:r>
            <w:r w:rsidRPr="00CC35F0">
              <w:rPr>
                <w:rFonts w:ascii="Times New Roman" w:eastAsia="Times New Roman" w:hAnsi="Times New Roman"/>
                <w:color w:val="000000"/>
                <w:lang w:val="sr-Cyrl-CS"/>
              </w:rPr>
              <w:t xml:space="preserve">спроведеном </w:t>
            </w:r>
            <w:r w:rsidRPr="00CC35F0">
              <w:rPr>
                <w:rFonts w:ascii="Times New Roman" w:eastAsia="Times New Roman" w:hAnsi="Times New Roman"/>
                <w:color w:val="000000"/>
                <w:sz w:val="24"/>
                <w:szCs w:val="24"/>
                <w:lang w:val="sr-Cyrl-CS"/>
              </w:rPr>
              <w:t>мониторингу квалитета деривата нафте</w:t>
            </w:r>
          </w:p>
        </w:tc>
        <w:tc>
          <w:tcPr>
            <w:tcW w:w="1107" w:type="dxa"/>
            <w:tcBorders>
              <w:top w:val="single" w:sz="4" w:space="0" w:color="000000"/>
              <w:left w:val="single" w:sz="4" w:space="0" w:color="000000"/>
              <w:bottom w:val="single" w:sz="4" w:space="0" w:color="000000"/>
              <w:right w:val="single" w:sz="4" w:space="0" w:color="000000"/>
            </w:tcBorders>
            <w:shd w:val="clear" w:color="auto" w:fill="FFFFFF"/>
          </w:tcPr>
          <w:p w14:paraId="43235DFE" w14:textId="77777777" w:rsidR="00A0251B" w:rsidRPr="00CC35F0" w:rsidRDefault="008D6506">
            <w:pPr>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0 </w:t>
            </w:r>
          </w:p>
          <w:p w14:paraId="3ED9C22C" w14:textId="77777777" w:rsidR="00A0251B" w:rsidRPr="00CC35F0" w:rsidRDefault="00A0251B">
            <w:pPr>
              <w:shd w:val="clear" w:color="auto" w:fill="FFFFFF"/>
              <w:rPr>
                <w:rFonts w:ascii="Times New Roman" w:eastAsia="Times New Roman" w:hAnsi="Times New Roman"/>
                <w:color w:val="000000"/>
                <w:sz w:val="24"/>
                <w:szCs w:val="24"/>
                <w:lang w:val="sr-Cyrl-CS"/>
              </w:rPr>
            </w:pPr>
          </w:p>
        </w:tc>
        <w:tc>
          <w:tcPr>
            <w:tcW w:w="1140" w:type="dxa"/>
            <w:tcBorders>
              <w:top w:val="single" w:sz="4" w:space="0" w:color="000000"/>
              <w:left w:val="single" w:sz="4" w:space="0" w:color="000000"/>
              <w:bottom w:val="single" w:sz="4" w:space="0" w:color="000000"/>
              <w:right w:val="single" w:sz="4" w:space="0" w:color="000000"/>
            </w:tcBorders>
            <w:shd w:val="clear" w:color="auto" w:fill="FFFFFF"/>
          </w:tcPr>
          <w:p w14:paraId="42FAF736"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0 </w:t>
            </w:r>
          </w:p>
        </w:tc>
        <w:tc>
          <w:tcPr>
            <w:tcW w:w="1228" w:type="dxa"/>
            <w:tcBorders>
              <w:top w:val="single" w:sz="4" w:space="0" w:color="000000"/>
              <w:left w:val="single" w:sz="4" w:space="0" w:color="000000"/>
              <w:bottom w:val="single" w:sz="4" w:space="0" w:color="000000"/>
              <w:right w:val="single" w:sz="4" w:space="0" w:color="000000"/>
            </w:tcBorders>
            <w:shd w:val="clear" w:color="auto" w:fill="FFFFFF"/>
          </w:tcPr>
          <w:p w14:paraId="30EABBAB"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0</w:t>
            </w:r>
          </w:p>
        </w:tc>
        <w:tc>
          <w:tcPr>
            <w:tcW w:w="1536" w:type="dxa"/>
            <w:tcBorders>
              <w:top w:val="single" w:sz="4" w:space="0" w:color="000000"/>
              <w:left w:val="single" w:sz="4" w:space="0" w:color="000000"/>
              <w:bottom w:val="single" w:sz="4" w:space="0" w:color="000000"/>
              <w:right w:val="single" w:sz="4" w:space="0" w:color="000000"/>
            </w:tcBorders>
            <w:shd w:val="clear" w:color="auto" w:fill="FFFFFF"/>
          </w:tcPr>
          <w:p w14:paraId="382E5BE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406" w:type="dxa"/>
            <w:tcBorders>
              <w:top w:val="single" w:sz="4" w:space="0" w:color="000000"/>
              <w:left w:val="single" w:sz="4" w:space="0" w:color="000000"/>
              <w:bottom w:val="single" w:sz="4" w:space="0" w:color="000000"/>
              <w:right w:val="single" w:sz="4" w:space="0" w:color="000000"/>
            </w:tcBorders>
            <w:shd w:val="clear" w:color="auto" w:fill="FFFFFF"/>
          </w:tcPr>
          <w:p w14:paraId="65894D8A" w14:textId="77777777" w:rsidR="00A0251B" w:rsidRPr="00CC35F0" w:rsidRDefault="008D6506">
            <w:pPr>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100 </w:t>
            </w:r>
          </w:p>
          <w:p w14:paraId="5F709B0C" w14:textId="77777777" w:rsidR="00A0251B" w:rsidRPr="00CC35F0" w:rsidRDefault="00A0251B">
            <w:pPr>
              <w:shd w:val="clear" w:color="auto" w:fill="FFFFFF"/>
              <w:rPr>
                <w:rFonts w:ascii="Times New Roman" w:eastAsia="Times New Roman" w:hAnsi="Times New Roman"/>
                <w:sz w:val="24"/>
                <w:szCs w:val="24"/>
                <w:lang w:val="sr-Cyrl-CS"/>
              </w:rPr>
            </w:pPr>
          </w:p>
        </w:tc>
        <w:tc>
          <w:tcPr>
            <w:tcW w:w="1436" w:type="dxa"/>
            <w:gridSpan w:val="2"/>
            <w:tcBorders>
              <w:top w:val="single" w:sz="4" w:space="0" w:color="000000"/>
              <w:left w:val="single" w:sz="4" w:space="0" w:color="000000"/>
              <w:bottom w:val="single" w:sz="4" w:space="0" w:color="000000"/>
              <w:right w:val="single" w:sz="4" w:space="0" w:color="000000"/>
            </w:tcBorders>
            <w:shd w:val="clear" w:color="auto" w:fill="FFFFFF"/>
          </w:tcPr>
          <w:p w14:paraId="7DF8F51F" w14:textId="77777777" w:rsidR="00A0251B" w:rsidRPr="00CC35F0" w:rsidRDefault="008D6506">
            <w:pPr>
              <w:ind w:left="-142" w:right="-74"/>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100 </w:t>
            </w:r>
          </w:p>
          <w:p w14:paraId="52E09754" w14:textId="77777777" w:rsidR="00A0251B" w:rsidRPr="00CC35F0" w:rsidRDefault="00A0251B">
            <w:pPr>
              <w:shd w:val="clear" w:color="auto" w:fill="FFFFFF"/>
              <w:rPr>
                <w:rFonts w:ascii="Times New Roman" w:eastAsia="Times New Roman" w:hAnsi="Times New Roman"/>
                <w:sz w:val="24"/>
                <w:szCs w:val="24"/>
                <w:lang w:val="sr-Cyrl-CS"/>
              </w:rPr>
            </w:pPr>
          </w:p>
        </w:tc>
      </w:tr>
    </w:tbl>
    <w:p w14:paraId="45596D44" w14:textId="77777777" w:rsidR="00A0251B" w:rsidRPr="00CC35F0" w:rsidRDefault="00A0251B">
      <w:pPr>
        <w:rPr>
          <w:rFonts w:ascii="Times New Roman" w:eastAsia="Times New Roman" w:hAnsi="Times New Roman"/>
          <w:sz w:val="24"/>
          <w:szCs w:val="24"/>
          <w:lang w:val="sr-Cyrl-CS"/>
        </w:rPr>
      </w:pPr>
    </w:p>
    <w:tbl>
      <w:tblPr>
        <w:tblStyle w:val="afff0"/>
        <w:tblW w:w="13725" w:type="dxa"/>
        <w:tblInd w:w="2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674"/>
        <w:gridCol w:w="2784"/>
        <w:gridCol w:w="1437"/>
        <w:gridCol w:w="1405"/>
        <w:gridCol w:w="1394"/>
        <w:gridCol w:w="1431"/>
        <w:gridCol w:w="1600"/>
      </w:tblGrid>
      <w:tr w:rsidR="00A0251B" w:rsidRPr="00CC35F0" w14:paraId="04F2DBDC" w14:textId="77777777">
        <w:trPr>
          <w:trHeight w:val="227"/>
        </w:trPr>
        <w:tc>
          <w:tcPr>
            <w:tcW w:w="3674" w:type="dxa"/>
            <w:vMerge w:val="restart"/>
            <w:shd w:val="clear" w:color="auto" w:fill="A8D08D"/>
          </w:tcPr>
          <w:p w14:paraId="12C194D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27787685" w14:textId="77777777" w:rsidR="00A0251B" w:rsidRPr="00CC35F0" w:rsidRDefault="00A0251B">
            <w:pPr>
              <w:jc w:val="center"/>
              <w:rPr>
                <w:rFonts w:ascii="Times New Roman" w:eastAsia="Times New Roman" w:hAnsi="Times New Roman"/>
                <w:sz w:val="24"/>
                <w:szCs w:val="24"/>
                <w:lang w:val="sr-Cyrl-CS"/>
              </w:rPr>
            </w:pPr>
          </w:p>
        </w:tc>
        <w:tc>
          <w:tcPr>
            <w:tcW w:w="2784" w:type="dxa"/>
            <w:vMerge w:val="restart"/>
            <w:shd w:val="clear" w:color="auto" w:fill="A8D08D"/>
          </w:tcPr>
          <w:p w14:paraId="5367817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7267" w:type="dxa"/>
            <w:gridSpan w:val="5"/>
            <w:shd w:val="clear" w:color="auto" w:fill="A8D08D"/>
            <w:vAlign w:val="center"/>
          </w:tcPr>
          <w:p w14:paraId="44DD9D9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74C20EE1" w14:textId="77777777">
        <w:trPr>
          <w:trHeight w:val="227"/>
        </w:trPr>
        <w:tc>
          <w:tcPr>
            <w:tcW w:w="3674" w:type="dxa"/>
            <w:vMerge/>
            <w:shd w:val="clear" w:color="auto" w:fill="A8D08D"/>
          </w:tcPr>
          <w:p w14:paraId="73E9370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784" w:type="dxa"/>
            <w:vMerge/>
            <w:shd w:val="clear" w:color="auto" w:fill="A8D08D"/>
          </w:tcPr>
          <w:p w14:paraId="54F0D28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37" w:type="dxa"/>
            <w:shd w:val="clear" w:color="auto" w:fill="A8D08D"/>
            <w:vAlign w:val="center"/>
          </w:tcPr>
          <w:p w14:paraId="35CA17F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405" w:type="dxa"/>
            <w:shd w:val="clear" w:color="auto" w:fill="A8D08D"/>
            <w:vAlign w:val="center"/>
          </w:tcPr>
          <w:p w14:paraId="2505D65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394" w:type="dxa"/>
            <w:shd w:val="clear" w:color="auto" w:fill="A8D08D"/>
            <w:vAlign w:val="center"/>
          </w:tcPr>
          <w:p w14:paraId="6BFC944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431" w:type="dxa"/>
            <w:shd w:val="clear" w:color="auto" w:fill="A8D08D"/>
            <w:vAlign w:val="center"/>
          </w:tcPr>
          <w:p w14:paraId="53D07AD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600" w:type="dxa"/>
            <w:shd w:val="clear" w:color="auto" w:fill="A8D08D"/>
            <w:vAlign w:val="center"/>
          </w:tcPr>
          <w:p w14:paraId="0005ACC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56E6FD27" w14:textId="77777777">
        <w:trPr>
          <w:trHeight w:val="398"/>
        </w:trPr>
        <w:tc>
          <w:tcPr>
            <w:tcW w:w="3674" w:type="dxa"/>
            <w:tcBorders>
              <w:top w:val="single" w:sz="4" w:space="0" w:color="000000"/>
              <w:left w:val="single" w:sz="4" w:space="0" w:color="000000"/>
              <w:bottom w:val="single" w:sz="4" w:space="0" w:color="000000"/>
              <w:right w:val="single" w:sz="4" w:space="0" w:color="000000"/>
            </w:tcBorders>
            <w:shd w:val="clear" w:color="auto" w:fill="FFFFFF"/>
          </w:tcPr>
          <w:p w14:paraId="53C1BD9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p w14:paraId="4A93D24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2784" w:type="dxa"/>
            <w:tcBorders>
              <w:top w:val="single" w:sz="4" w:space="0" w:color="000000"/>
              <w:left w:val="single" w:sz="4" w:space="0" w:color="000000"/>
              <w:bottom w:val="single" w:sz="4" w:space="0" w:color="000000"/>
              <w:right w:val="single" w:sz="4" w:space="0" w:color="000000"/>
            </w:tcBorders>
            <w:shd w:val="clear" w:color="auto" w:fill="FFFFFF"/>
          </w:tcPr>
          <w:p w14:paraId="23F6C80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0701-450-0001-411</w:t>
            </w:r>
          </w:p>
        </w:tc>
        <w:tc>
          <w:tcPr>
            <w:tcW w:w="1437" w:type="dxa"/>
            <w:tcBorders>
              <w:top w:val="single" w:sz="4" w:space="0" w:color="000000"/>
              <w:left w:val="single" w:sz="4" w:space="0" w:color="000000"/>
              <w:bottom w:val="single" w:sz="4" w:space="0" w:color="000000"/>
              <w:right w:val="single" w:sz="4" w:space="0" w:color="000000"/>
            </w:tcBorders>
            <w:shd w:val="clear" w:color="auto" w:fill="FFFFFF"/>
          </w:tcPr>
          <w:p w14:paraId="4D63C2E0" w14:textId="77777777" w:rsidR="00A0251B" w:rsidRPr="00CC35F0" w:rsidRDefault="00A0251B">
            <w:pPr>
              <w:jc w:val="right"/>
              <w:rPr>
                <w:rFonts w:ascii="Times New Roman" w:eastAsia="Times New Roman" w:hAnsi="Times New Roman"/>
                <w:sz w:val="24"/>
                <w:szCs w:val="24"/>
                <w:lang w:val="sr-Cyrl-CS"/>
              </w:rPr>
            </w:pPr>
          </w:p>
        </w:tc>
        <w:tc>
          <w:tcPr>
            <w:tcW w:w="1405" w:type="dxa"/>
            <w:tcBorders>
              <w:top w:val="single" w:sz="4" w:space="0" w:color="000000"/>
              <w:left w:val="single" w:sz="4" w:space="0" w:color="000000"/>
              <w:bottom w:val="single" w:sz="4" w:space="0" w:color="000000"/>
              <w:right w:val="single" w:sz="4" w:space="0" w:color="000000"/>
            </w:tcBorders>
            <w:shd w:val="clear" w:color="auto" w:fill="FFFFFF"/>
          </w:tcPr>
          <w:p w14:paraId="0737F68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p w14:paraId="08F942C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7.833</w:t>
            </w:r>
          </w:p>
        </w:tc>
        <w:tc>
          <w:tcPr>
            <w:tcW w:w="1394" w:type="dxa"/>
            <w:tcBorders>
              <w:top w:val="single" w:sz="4" w:space="0" w:color="000000"/>
              <w:left w:val="single" w:sz="4" w:space="0" w:color="000000"/>
              <w:bottom w:val="single" w:sz="4" w:space="0" w:color="000000"/>
              <w:right w:val="single" w:sz="4" w:space="0" w:color="000000"/>
            </w:tcBorders>
            <w:shd w:val="clear" w:color="auto" w:fill="FFFFFF"/>
          </w:tcPr>
          <w:p w14:paraId="5D83ACC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p w14:paraId="1F890C8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7.833</w:t>
            </w:r>
          </w:p>
        </w:tc>
        <w:tc>
          <w:tcPr>
            <w:tcW w:w="1431" w:type="dxa"/>
            <w:tcBorders>
              <w:top w:val="single" w:sz="4" w:space="0" w:color="000000"/>
              <w:left w:val="single" w:sz="4" w:space="0" w:color="000000"/>
              <w:bottom w:val="single" w:sz="4" w:space="0" w:color="000000"/>
              <w:right w:val="single" w:sz="4" w:space="0" w:color="000000"/>
            </w:tcBorders>
            <w:shd w:val="clear" w:color="auto" w:fill="FFFFFF"/>
          </w:tcPr>
          <w:p w14:paraId="67B1E7D6"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p w14:paraId="2F17EC5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7.833</w:t>
            </w:r>
          </w:p>
        </w:tc>
        <w:tc>
          <w:tcPr>
            <w:tcW w:w="1600" w:type="dxa"/>
            <w:tcBorders>
              <w:top w:val="single" w:sz="4" w:space="0" w:color="000000"/>
              <w:left w:val="single" w:sz="4" w:space="0" w:color="000000"/>
              <w:bottom w:val="single" w:sz="4" w:space="0" w:color="000000"/>
              <w:right w:val="single" w:sz="4" w:space="0" w:color="000000"/>
            </w:tcBorders>
            <w:shd w:val="clear" w:color="auto" w:fill="FFFFFF"/>
          </w:tcPr>
          <w:p w14:paraId="43D17E4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r>
    </w:tbl>
    <w:p w14:paraId="768AAF4F" w14:textId="77777777" w:rsidR="00A0251B" w:rsidRPr="00CC35F0" w:rsidRDefault="00A0251B">
      <w:pPr>
        <w:rPr>
          <w:rFonts w:ascii="Times New Roman" w:eastAsia="Times New Roman" w:hAnsi="Times New Roman"/>
          <w:sz w:val="24"/>
          <w:szCs w:val="24"/>
          <w:lang w:val="sr-Cyrl-CS"/>
        </w:rPr>
      </w:pPr>
    </w:p>
    <w:tbl>
      <w:tblPr>
        <w:tblStyle w:val="afff1"/>
        <w:tblW w:w="14541"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1914"/>
        <w:gridCol w:w="1698"/>
        <w:gridCol w:w="1698"/>
        <w:gridCol w:w="1427"/>
        <w:gridCol w:w="1605"/>
        <w:gridCol w:w="1565"/>
        <w:gridCol w:w="909"/>
        <w:gridCol w:w="11"/>
        <w:gridCol w:w="920"/>
        <w:gridCol w:w="954"/>
        <w:gridCol w:w="920"/>
        <w:gridCol w:w="920"/>
      </w:tblGrid>
      <w:tr w:rsidR="00A0251B" w:rsidRPr="00CC35F0" w14:paraId="79285669" w14:textId="77777777">
        <w:trPr>
          <w:trHeight w:val="140"/>
        </w:trPr>
        <w:tc>
          <w:tcPr>
            <w:tcW w:w="1914"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1746A5A" w14:textId="77777777" w:rsidR="00A0251B" w:rsidRPr="00CC35F0" w:rsidRDefault="00DF5F2E">
            <w:pPr>
              <w:jc w:val="center"/>
              <w:rPr>
                <w:rFonts w:ascii="Times New Roman" w:eastAsia="Times New Roman" w:hAnsi="Times New Roman"/>
                <w:sz w:val="24"/>
                <w:szCs w:val="24"/>
                <w:lang w:val="sr-Cyrl-CS"/>
              </w:rPr>
            </w:pPr>
            <w:r>
              <w:rPr>
                <w:rFonts w:ascii="Times New Roman" w:eastAsia="Times New Roman" w:hAnsi="Times New Roman"/>
                <w:sz w:val="24"/>
                <w:szCs w:val="24"/>
                <w:lang w:val="sr-Cyrl-CS"/>
              </w:rPr>
              <w:t>Назив активности</w:t>
            </w:r>
          </w:p>
        </w:tc>
        <w:tc>
          <w:tcPr>
            <w:tcW w:w="169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A20D3E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69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86D997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42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FA5103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60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6A6C11B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EF00CA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6A22D3A3" w14:textId="77777777" w:rsidR="00A0251B" w:rsidRPr="00CC35F0" w:rsidRDefault="00A0251B">
            <w:pPr>
              <w:jc w:val="center"/>
              <w:rPr>
                <w:rFonts w:ascii="Times New Roman" w:eastAsia="Times New Roman" w:hAnsi="Times New Roman"/>
                <w:sz w:val="24"/>
                <w:szCs w:val="24"/>
                <w:lang w:val="sr-Cyrl-CS"/>
              </w:rPr>
            </w:pPr>
          </w:p>
        </w:tc>
        <w:tc>
          <w:tcPr>
            <w:tcW w:w="4634" w:type="dxa"/>
            <w:gridSpan w:val="6"/>
            <w:tcBorders>
              <w:top w:val="single" w:sz="4" w:space="0" w:color="000000"/>
              <w:left w:val="single" w:sz="4" w:space="0" w:color="000000"/>
              <w:bottom w:val="single" w:sz="4" w:space="0" w:color="000000"/>
              <w:right w:val="single" w:sz="4" w:space="0" w:color="000000"/>
            </w:tcBorders>
            <w:shd w:val="clear" w:color="auto" w:fill="FFF2CC"/>
          </w:tcPr>
          <w:p w14:paraId="551DF40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p>
        </w:tc>
      </w:tr>
      <w:tr w:rsidR="00A0251B" w:rsidRPr="00CC35F0" w14:paraId="4CD86DDE" w14:textId="77777777">
        <w:trPr>
          <w:trHeight w:val="386"/>
        </w:trPr>
        <w:tc>
          <w:tcPr>
            <w:tcW w:w="1914" w:type="dxa"/>
            <w:vMerge/>
            <w:tcBorders>
              <w:top w:val="single" w:sz="4" w:space="0" w:color="000000"/>
              <w:left w:val="single" w:sz="4" w:space="0" w:color="000000"/>
              <w:bottom w:val="single" w:sz="4" w:space="0" w:color="000000"/>
              <w:right w:val="single" w:sz="4" w:space="0" w:color="000000"/>
            </w:tcBorders>
            <w:shd w:val="clear" w:color="auto" w:fill="FFF2CC"/>
          </w:tcPr>
          <w:p w14:paraId="1B87E31F"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98" w:type="dxa"/>
            <w:vMerge/>
            <w:tcBorders>
              <w:top w:val="single" w:sz="4" w:space="0" w:color="000000"/>
              <w:left w:val="single" w:sz="4" w:space="0" w:color="000000"/>
              <w:bottom w:val="single" w:sz="4" w:space="0" w:color="000000"/>
              <w:right w:val="single" w:sz="4" w:space="0" w:color="000000"/>
            </w:tcBorders>
            <w:shd w:val="clear" w:color="auto" w:fill="FFF2CC"/>
          </w:tcPr>
          <w:p w14:paraId="4720E22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98" w:type="dxa"/>
            <w:vMerge/>
            <w:tcBorders>
              <w:top w:val="single" w:sz="4" w:space="0" w:color="000000"/>
              <w:left w:val="single" w:sz="4" w:space="0" w:color="000000"/>
              <w:bottom w:val="single" w:sz="4" w:space="0" w:color="000000"/>
              <w:right w:val="single" w:sz="4" w:space="0" w:color="000000"/>
            </w:tcBorders>
            <w:shd w:val="clear" w:color="auto" w:fill="FFF2CC"/>
          </w:tcPr>
          <w:p w14:paraId="53917784"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7" w:type="dxa"/>
            <w:vMerge/>
            <w:tcBorders>
              <w:top w:val="single" w:sz="4" w:space="0" w:color="000000"/>
              <w:left w:val="single" w:sz="4" w:space="0" w:color="000000"/>
              <w:bottom w:val="single" w:sz="4" w:space="0" w:color="000000"/>
              <w:right w:val="single" w:sz="4" w:space="0" w:color="000000"/>
            </w:tcBorders>
            <w:shd w:val="clear" w:color="auto" w:fill="FFF2CC"/>
          </w:tcPr>
          <w:p w14:paraId="0EA2F26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05" w:type="dxa"/>
            <w:vMerge/>
            <w:tcBorders>
              <w:top w:val="single" w:sz="4" w:space="0" w:color="000000"/>
              <w:left w:val="single" w:sz="4" w:space="0" w:color="000000"/>
              <w:bottom w:val="single" w:sz="4" w:space="0" w:color="000000"/>
              <w:right w:val="single" w:sz="4" w:space="0" w:color="000000"/>
            </w:tcBorders>
            <w:shd w:val="clear" w:color="auto" w:fill="FFF2CC"/>
          </w:tcPr>
          <w:p w14:paraId="1C39042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5" w:type="dxa"/>
            <w:vMerge/>
            <w:tcBorders>
              <w:top w:val="single" w:sz="4" w:space="0" w:color="000000"/>
              <w:left w:val="single" w:sz="4" w:space="0" w:color="000000"/>
              <w:bottom w:val="single" w:sz="4" w:space="0" w:color="000000"/>
              <w:right w:val="single" w:sz="4" w:space="0" w:color="000000"/>
            </w:tcBorders>
            <w:shd w:val="clear" w:color="auto" w:fill="FFF2CC"/>
          </w:tcPr>
          <w:p w14:paraId="5261E7C5"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20" w:type="dxa"/>
            <w:gridSpan w:val="2"/>
            <w:tcBorders>
              <w:top w:val="single" w:sz="4" w:space="0" w:color="000000"/>
              <w:left w:val="single" w:sz="4" w:space="0" w:color="000000"/>
              <w:bottom w:val="single" w:sz="4" w:space="0" w:color="000000"/>
              <w:right w:val="single" w:sz="4" w:space="0" w:color="000000"/>
            </w:tcBorders>
            <w:shd w:val="clear" w:color="auto" w:fill="FFF2CC"/>
          </w:tcPr>
          <w:p w14:paraId="11055DF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15F287B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54" w:type="dxa"/>
            <w:tcBorders>
              <w:top w:val="single" w:sz="4" w:space="0" w:color="000000"/>
              <w:left w:val="single" w:sz="4" w:space="0" w:color="000000"/>
              <w:bottom w:val="single" w:sz="4" w:space="0" w:color="000000"/>
              <w:right w:val="single" w:sz="4" w:space="0" w:color="000000"/>
            </w:tcBorders>
            <w:shd w:val="clear" w:color="auto" w:fill="FFF2CC"/>
          </w:tcPr>
          <w:p w14:paraId="144CB5F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5DEEB48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299178E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0DB59F5C" w14:textId="77777777">
        <w:trPr>
          <w:trHeight w:val="543"/>
        </w:trPr>
        <w:tc>
          <w:tcPr>
            <w:tcW w:w="1914" w:type="dxa"/>
            <w:tcBorders>
              <w:top w:val="single" w:sz="4" w:space="0" w:color="000000"/>
              <w:left w:val="single" w:sz="4" w:space="0" w:color="000000"/>
              <w:bottom w:val="single" w:sz="4" w:space="0" w:color="000000"/>
              <w:right w:val="single" w:sz="4" w:space="0" w:color="000000"/>
            </w:tcBorders>
          </w:tcPr>
          <w:p w14:paraId="25FBB4B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1.1.8.1 Завршити програм рада за потпуно усклађивање националног законодавства </w:t>
            </w:r>
            <w:r w:rsidRPr="00CC35F0">
              <w:rPr>
                <w:rFonts w:ascii="Times New Roman" w:eastAsia="Times New Roman" w:hAnsi="Times New Roman"/>
                <w:sz w:val="24"/>
                <w:szCs w:val="24"/>
                <w:lang w:val="sr-Cyrl-CS"/>
              </w:rPr>
              <w:lastRenderedPageBreak/>
              <w:t xml:space="preserve">са Директивом о квалитету горива 2009/30/ЕЗ и Директивом 2016/802/ЕУ о смањењу садржаја сумпора у одређеним течним горивима </w:t>
            </w:r>
            <w:r w:rsidRPr="00CC35F0">
              <w:rPr>
                <w:rFonts w:ascii="Times New Roman" w:eastAsia="Times New Roman" w:hAnsi="Times New Roman"/>
                <w:sz w:val="24"/>
                <w:szCs w:val="24"/>
                <w:vertAlign w:val="superscript"/>
                <w:lang w:val="sr-Cyrl-CS"/>
              </w:rPr>
              <w:footnoteReference w:id="87"/>
            </w:r>
            <w:r w:rsidRPr="00CC35F0">
              <w:rPr>
                <w:rFonts w:ascii="Times New Roman" w:eastAsia="Times New Roman" w:hAnsi="Times New Roman"/>
                <w:sz w:val="24"/>
                <w:szCs w:val="24"/>
                <w:lang w:val="sr-Cyrl-CS"/>
              </w:rPr>
              <w:t>.</w:t>
            </w:r>
          </w:p>
        </w:tc>
        <w:tc>
          <w:tcPr>
            <w:tcW w:w="1698" w:type="dxa"/>
            <w:tcBorders>
              <w:top w:val="single" w:sz="4" w:space="0" w:color="000000"/>
              <w:left w:val="single" w:sz="4" w:space="0" w:color="000000"/>
              <w:bottom w:val="single" w:sz="4" w:space="0" w:color="000000"/>
              <w:right w:val="single" w:sz="4" w:space="0" w:color="000000"/>
            </w:tcBorders>
          </w:tcPr>
          <w:p w14:paraId="4450ACD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Министарство рударства и енергетике</w:t>
            </w:r>
          </w:p>
        </w:tc>
        <w:tc>
          <w:tcPr>
            <w:tcW w:w="1698" w:type="dxa"/>
            <w:tcBorders>
              <w:top w:val="single" w:sz="4" w:space="0" w:color="000000"/>
              <w:left w:val="single" w:sz="4" w:space="0" w:color="000000"/>
              <w:bottom w:val="single" w:sz="4" w:space="0" w:color="000000"/>
              <w:right w:val="single" w:sz="4" w:space="0" w:color="000000"/>
            </w:tcBorders>
          </w:tcPr>
          <w:p w14:paraId="66049910" w14:textId="77777777" w:rsidR="00A0251B" w:rsidRPr="00CC35F0" w:rsidRDefault="008D6506">
            <w:pPr>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МГСИ  (Сектор за водни саобраћај и безбедност пловидбе)</w:t>
            </w:r>
          </w:p>
          <w:p w14:paraId="5970E18A"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xml:space="preserve">Министарство финансија </w:t>
            </w:r>
          </w:p>
          <w:p w14:paraId="5A89461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p w14:paraId="5F52F43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Министарство </w:t>
            </w:r>
            <w:r w:rsidRPr="00CC35F0">
              <w:rPr>
                <w:rFonts w:ascii="Times New Roman" w:eastAsia="Times New Roman" w:hAnsi="Times New Roman"/>
                <w:color w:val="000000"/>
                <w:sz w:val="24"/>
                <w:szCs w:val="24"/>
                <w:lang w:val="sr-Cyrl-CS"/>
              </w:rPr>
              <w:t>унутрашње и спољне трговине</w:t>
            </w:r>
          </w:p>
        </w:tc>
        <w:tc>
          <w:tcPr>
            <w:tcW w:w="1427" w:type="dxa"/>
            <w:tcBorders>
              <w:top w:val="single" w:sz="4" w:space="0" w:color="000000"/>
              <w:left w:val="single" w:sz="4" w:space="0" w:color="000000"/>
              <w:bottom w:val="single" w:sz="4" w:space="0" w:color="000000"/>
              <w:right w:val="single" w:sz="4" w:space="0" w:color="000000"/>
            </w:tcBorders>
          </w:tcPr>
          <w:p w14:paraId="0C6EBDB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IV квартал 2025</w:t>
            </w:r>
          </w:p>
        </w:tc>
        <w:tc>
          <w:tcPr>
            <w:tcW w:w="1605" w:type="dxa"/>
            <w:tcBorders>
              <w:top w:val="single" w:sz="4" w:space="0" w:color="000000"/>
              <w:left w:val="single" w:sz="4" w:space="0" w:color="000000"/>
              <w:bottom w:val="single" w:sz="4" w:space="0" w:color="000000"/>
              <w:right w:val="single" w:sz="4" w:space="0" w:color="000000"/>
            </w:tcBorders>
          </w:tcPr>
          <w:p w14:paraId="0F71CF8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65" w:type="dxa"/>
            <w:tcBorders>
              <w:top w:val="single" w:sz="4" w:space="0" w:color="000000"/>
              <w:left w:val="single" w:sz="4" w:space="0" w:color="000000"/>
              <w:bottom w:val="single" w:sz="4" w:space="0" w:color="000000"/>
              <w:right w:val="single" w:sz="4" w:space="0" w:color="000000"/>
            </w:tcBorders>
          </w:tcPr>
          <w:p w14:paraId="1C326B85" w14:textId="77777777" w:rsidR="00A0251B" w:rsidRPr="00CC35F0" w:rsidRDefault="00A0251B">
            <w:pPr>
              <w:jc w:val="right"/>
              <w:rPr>
                <w:rFonts w:ascii="Times New Roman" w:eastAsia="Times New Roman" w:hAnsi="Times New Roman"/>
                <w:sz w:val="24"/>
                <w:szCs w:val="24"/>
                <w:lang w:val="sr-Cyrl-CS"/>
              </w:rPr>
            </w:pPr>
          </w:p>
        </w:tc>
        <w:tc>
          <w:tcPr>
            <w:tcW w:w="920" w:type="dxa"/>
            <w:gridSpan w:val="2"/>
            <w:tcBorders>
              <w:top w:val="single" w:sz="4" w:space="0" w:color="000000"/>
              <w:left w:val="single" w:sz="4" w:space="0" w:color="000000"/>
              <w:bottom w:val="single" w:sz="4" w:space="0" w:color="000000"/>
              <w:right w:val="single" w:sz="4" w:space="0" w:color="000000"/>
            </w:tcBorders>
          </w:tcPr>
          <w:p w14:paraId="5553971F" w14:textId="77777777" w:rsidR="00A0251B" w:rsidRPr="00CC35F0" w:rsidRDefault="00A0251B">
            <w:pPr>
              <w:jc w:val="right"/>
              <w:rPr>
                <w:rFonts w:ascii="Times New Roman" w:eastAsia="Times New Roman" w:hAnsi="Times New Roman"/>
                <w:sz w:val="24"/>
                <w:szCs w:val="24"/>
                <w:lang w:val="sr-Cyrl-CS"/>
              </w:rPr>
            </w:pPr>
          </w:p>
        </w:tc>
        <w:tc>
          <w:tcPr>
            <w:tcW w:w="920" w:type="dxa"/>
            <w:tcBorders>
              <w:top w:val="single" w:sz="4" w:space="0" w:color="000000"/>
              <w:left w:val="single" w:sz="4" w:space="0" w:color="000000"/>
              <w:bottom w:val="single" w:sz="4" w:space="0" w:color="000000"/>
              <w:right w:val="single" w:sz="4" w:space="0" w:color="000000"/>
            </w:tcBorders>
          </w:tcPr>
          <w:p w14:paraId="02D956E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7.833</w:t>
            </w:r>
          </w:p>
        </w:tc>
        <w:tc>
          <w:tcPr>
            <w:tcW w:w="954" w:type="dxa"/>
            <w:tcBorders>
              <w:top w:val="single" w:sz="4" w:space="0" w:color="000000"/>
              <w:left w:val="single" w:sz="4" w:space="0" w:color="000000"/>
              <w:bottom w:val="single" w:sz="4" w:space="0" w:color="000000"/>
              <w:right w:val="single" w:sz="4" w:space="0" w:color="000000"/>
            </w:tcBorders>
          </w:tcPr>
          <w:p w14:paraId="66E6CEA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7.833</w:t>
            </w:r>
          </w:p>
        </w:tc>
        <w:tc>
          <w:tcPr>
            <w:tcW w:w="920" w:type="dxa"/>
            <w:tcBorders>
              <w:top w:val="single" w:sz="4" w:space="0" w:color="000000"/>
              <w:left w:val="single" w:sz="4" w:space="0" w:color="000000"/>
              <w:bottom w:val="single" w:sz="4" w:space="0" w:color="000000"/>
              <w:right w:val="single" w:sz="4" w:space="0" w:color="000000"/>
            </w:tcBorders>
          </w:tcPr>
          <w:p w14:paraId="3F93B3F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7.833</w:t>
            </w:r>
          </w:p>
        </w:tc>
        <w:tc>
          <w:tcPr>
            <w:tcW w:w="920" w:type="dxa"/>
            <w:tcBorders>
              <w:top w:val="single" w:sz="4" w:space="0" w:color="000000"/>
              <w:left w:val="single" w:sz="4" w:space="0" w:color="000000"/>
              <w:bottom w:val="single" w:sz="4" w:space="0" w:color="000000"/>
              <w:right w:val="single" w:sz="4" w:space="0" w:color="000000"/>
            </w:tcBorders>
          </w:tcPr>
          <w:p w14:paraId="206CEC65" w14:textId="77777777" w:rsidR="00A0251B" w:rsidRPr="00CC35F0" w:rsidRDefault="00A0251B">
            <w:pPr>
              <w:jc w:val="right"/>
              <w:rPr>
                <w:rFonts w:ascii="Times New Roman" w:eastAsia="Times New Roman" w:hAnsi="Times New Roman"/>
                <w:sz w:val="24"/>
                <w:szCs w:val="24"/>
                <w:lang w:val="sr-Cyrl-CS"/>
              </w:rPr>
            </w:pPr>
          </w:p>
        </w:tc>
      </w:tr>
      <w:tr w:rsidR="00A0251B" w:rsidRPr="00CC35F0" w14:paraId="3FB10FD7" w14:textId="77777777">
        <w:trPr>
          <w:trHeight w:val="543"/>
        </w:trPr>
        <w:tc>
          <w:tcPr>
            <w:tcW w:w="1914" w:type="dxa"/>
            <w:tcBorders>
              <w:top w:val="single" w:sz="4" w:space="0" w:color="000000"/>
              <w:left w:val="single" w:sz="4" w:space="0" w:color="000000"/>
              <w:bottom w:val="single" w:sz="4" w:space="0" w:color="000000"/>
              <w:right w:val="single" w:sz="4" w:space="0" w:color="000000"/>
            </w:tcBorders>
          </w:tcPr>
          <w:p w14:paraId="0BAF368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1.1.8.2 Улагања потребна за обезбеђивање усклађености са Директивом о квалитету горива и Директивом о смањењу садржаја сумпора у неким течним горивима.</w:t>
            </w:r>
          </w:p>
        </w:tc>
        <w:tc>
          <w:tcPr>
            <w:tcW w:w="1698" w:type="dxa"/>
            <w:tcBorders>
              <w:top w:val="single" w:sz="4" w:space="0" w:color="000000"/>
              <w:left w:val="single" w:sz="4" w:space="0" w:color="000000"/>
              <w:bottom w:val="single" w:sz="4" w:space="0" w:color="000000"/>
              <w:right w:val="single" w:sz="4" w:space="0" w:color="000000"/>
            </w:tcBorders>
          </w:tcPr>
          <w:p w14:paraId="5BCBDC64" w14:textId="77777777" w:rsidR="00A0251B" w:rsidRPr="00CC35F0" w:rsidRDefault="008D6506">
            <w:pPr>
              <w:rPr>
                <w:rFonts w:ascii="Times New Roman" w:eastAsia="Times New Roman" w:hAnsi="Times New Roman"/>
                <w:sz w:val="24"/>
                <w:szCs w:val="24"/>
                <w:lang w:val="sr-Cyrl-CS"/>
              </w:rPr>
            </w:pPr>
            <w:r w:rsidRPr="00BE3E65">
              <w:rPr>
                <w:rFonts w:ascii="Times New Roman" w:eastAsia="Times New Roman" w:hAnsi="Times New Roman"/>
                <w:lang w:val="sr-Cyrl-CS"/>
              </w:rPr>
              <w:t>Минист</w:t>
            </w:r>
            <w:r w:rsidR="00BE3E65" w:rsidRPr="00BE3E65">
              <w:rPr>
                <w:rFonts w:ascii="Times New Roman" w:eastAsia="Times New Roman" w:hAnsi="Times New Roman"/>
                <w:lang w:val="sr-Cyrl-CS"/>
              </w:rPr>
              <w:t>а</w:t>
            </w:r>
            <w:r w:rsidR="007F356A">
              <w:rPr>
                <w:rFonts w:ascii="Times New Roman" w:eastAsia="Times New Roman" w:hAnsi="Times New Roman"/>
                <w:lang w:val="sr-Cyrl-CS"/>
              </w:rPr>
              <w:t>р</w:t>
            </w:r>
            <w:r w:rsidRPr="00BE3E65">
              <w:rPr>
                <w:rFonts w:ascii="Times New Roman" w:eastAsia="Times New Roman" w:hAnsi="Times New Roman"/>
                <w:lang w:val="sr-Cyrl-CS"/>
              </w:rPr>
              <w:t>ство</w:t>
            </w:r>
            <w:r w:rsidRPr="00CC35F0">
              <w:rPr>
                <w:rFonts w:ascii="Times New Roman" w:eastAsia="Times New Roman" w:hAnsi="Times New Roman"/>
                <w:sz w:val="24"/>
                <w:szCs w:val="24"/>
                <w:lang w:val="sr-Cyrl-CS"/>
              </w:rPr>
              <w:t xml:space="preserve"> рударства и енергетике</w:t>
            </w:r>
          </w:p>
        </w:tc>
        <w:tc>
          <w:tcPr>
            <w:tcW w:w="1698" w:type="dxa"/>
            <w:tcBorders>
              <w:top w:val="single" w:sz="4" w:space="0" w:color="000000"/>
              <w:left w:val="single" w:sz="4" w:space="0" w:color="000000"/>
              <w:bottom w:val="single" w:sz="4" w:space="0" w:color="000000"/>
              <w:right w:val="single" w:sz="4" w:space="0" w:color="000000"/>
            </w:tcBorders>
          </w:tcPr>
          <w:p w14:paraId="36D2D221" w14:textId="77777777" w:rsidR="00A0251B" w:rsidRPr="00CC35F0" w:rsidRDefault="00A0251B">
            <w:pPr>
              <w:jc w:val="left"/>
              <w:rPr>
                <w:rFonts w:ascii="Times New Roman" w:eastAsia="Times New Roman" w:hAnsi="Times New Roman"/>
                <w:color w:val="000000"/>
                <w:sz w:val="24"/>
                <w:szCs w:val="24"/>
                <w:lang w:val="sr-Cyrl-CS"/>
              </w:rPr>
            </w:pPr>
          </w:p>
        </w:tc>
        <w:tc>
          <w:tcPr>
            <w:tcW w:w="1427" w:type="dxa"/>
            <w:tcBorders>
              <w:top w:val="single" w:sz="4" w:space="0" w:color="000000"/>
              <w:left w:val="single" w:sz="4" w:space="0" w:color="000000"/>
              <w:bottom w:val="single" w:sz="4" w:space="0" w:color="000000"/>
              <w:right w:val="single" w:sz="4" w:space="0" w:color="000000"/>
            </w:tcBorders>
          </w:tcPr>
          <w:p w14:paraId="50D401B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2025</w:t>
            </w:r>
          </w:p>
        </w:tc>
        <w:tc>
          <w:tcPr>
            <w:tcW w:w="1605" w:type="dxa"/>
            <w:tcBorders>
              <w:top w:val="single" w:sz="4" w:space="0" w:color="000000"/>
              <w:left w:val="single" w:sz="4" w:space="0" w:color="000000"/>
              <w:bottom w:val="single" w:sz="4" w:space="0" w:color="000000"/>
              <w:right w:val="single" w:sz="4" w:space="0" w:color="000000"/>
            </w:tcBorders>
          </w:tcPr>
          <w:p w14:paraId="7053DA5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p>
        </w:tc>
        <w:tc>
          <w:tcPr>
            <w:tcW w:w="1565" w:type="dxa"/>
            <w:tcBorders>
              <w:top w:val="single" w:sz="4" w:space="0" w:color="000000"/>
              <w:left w:val="single" w:sz="4" w:space="0" w:color="000000"/>
              <w:bottom w:val="single" w:sz="4" w:space="0" w:color="000000"/>
              <w:right w:val="single" w:sz="4" w:space="0" w:color="000000"/>
            </w:tcBorders>
          </w:tcPr>
          <w:p w14:paraId="5BEC59A1" w14:textId="77777777" w:rsidR="00A0251B" w:rsidRPr="00CC35F0" w:rsidRDefault="00A0251B">
            <w:pPr>
              <w:jc w:val="right"/>
              <w:rPr>
                <w:rFonts w:ascii="Times New Roman" w:eastAsia="Times New Roman" w:hAnsi="Times New Roman"/>
                <w:sz w:val="24"/>
                <w:szCs w:val="24"/>
                <w:lang w:val="sr-Cyrl-CS"/>
              </w:rPr>
            </w:pPr>
          </w:p>
        </w:tc>
        <w:tc>
          <w:tcPr>
            <w:tcW w:w="920" w:type="dxa"/>
            <w:gridSpan w:val="2"/>
            <w:tcBorders>
              <w:top w:val="single" w:sz="4" w:space="0" w:color="000000"/>
              <w:left w:val="single" w:sz="4" w:space="0" w:color="000000"/>
              <w:bottom w:val="single" w:sz="4" w:space="0" w:color="000000"/>
              <w:right w:val="single" w:sz="4" w:space="0" w:color="000000"/>
            </w:tcBorders>
          </w:tcPr>
          <w:p w14:paraId="1537527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0663D5C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54" w:type="dxa"/>
            <w:tcBorders>
              <w:top w:val="single" w:sz="4" w:space="0" w:color="000000"/>
              <w:left w:val="single" w:sz="4" w:space="0" w:color="000000"/>
              <w:bottom w:val="single" w:sz="4" w:space="0" w:color="000000"/>
              <w:right w:val="single" w:sz="4" w:space="0" w:color="000000"/>
            </w:tcBorders>
          </w:tcPr>
          <w:p w14:paraId="3F0C393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52FC90C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3E4A33C6"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79A172C8" w14:textId="77777777">
        <w:trPr>
          <w:trHeight w:val="140"/>
        </w:trPr>
        <w:tc>
          <w:tcPr>
            <w:tcW w:w="1914" w:type="dxa"/>
            <w:tcBorders>
              <w:top w:val="single" w:sz="4" w:space="0" w:color="000000"/>
              <w:left w:val="single" w:sz="4" w:space="0" w:color="000000"/>
              <w:bottom w:val="single" w:sz="4" w:space="0" w:color="000000"/>
              <w:right w:val="single" w:sz="4" w:space="0" w:color="000000"/>
            </w:tcBorders>
          </w:tcPr>
          <w:p w14:paraId="06B98DF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1.1.8.3 Повећање броја запослених у </w:t>
            </w:r>
            <w:r w:rsidRPr="00CC35F0">
              <w:rPr>
                <w:rFonts w:ascii="Times New Roman" w:eastAsia="Times New Roman" w:hAnsi="Times New Roman"/>
                <w:sz w:val="24"/>
                <w:szCs w:val="24"/>
                <w:lang w:val="sr-Cyrl-CS"/>
              </w:rPr>
              <w:lastRenderedPageBreak/>
              <w:t>институцијама:</w:t>
            </w:r>
            <w:r w:rsidRPr="00CC35F0">
              <w:rPr>
                <w:rFonts w:ascii="Times New Roman" w:eastAsia="Times New Roman" w:hAnsi="Times New Roman"/>
                <w:sz w:val="24"/>
                <w:szCs w:val="24"/>
                <w:lang w:val="sr-Cyrl-CS"/>
              </w:rPr>
              <w:br/>
              <w:t xml:space="preserve">шест лица за праћење спровођења ових директива </w:t>
            </w:r>
          </w:p>
        </w:tc>
        <w:tc>
          <w:tcPr>
            <w:tcW w:w="1698" w:type="dxa"/>
            <w:tcBorders>
              <w:top w:val="single" w:sz="4" w:space="0" w:color="000000"/>
              <w:left w:val="single" w:sz="4" w:space="0" w:color="000000"/>
              <w:bottom w:val="single" w:sz="4" w:space="0" w:color="000000"/>
              <w:right w:val="single" w:sz="4" w:space="0" w:color="000000"/>
            </w:tcBorders>
          </w:tcPr>
          <w:p w14:paraId="1786FA1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Министарство рударства и енергетике</w:t>
            </w:r>
          </w:p>
        </w:tc>
        <w:tc>
          <w:tcPr>
            <w:tcW w:w="1698" w:type="dxa"/>
            <w:tcBorders>
              <w:top w:val="single" w:sz="4" w:space="0" w:color="000000"/>
              <w:left w:val="single" w:sz="4" w:space="0" w:color="000000"/>
              <w:bottom w:val="single" w:sz="4" w:space="0" w:color="000000"/>
              <w:right w:val="single" w:sz="4" w:space="0" w:color="000000"/>
            </w:tcBorders>
          </w:tcPr>
          <w:p w14:paraId="30343BC3" w14:textId="77777777" w:rsidR="00A0251B" w:rsidRPr="00CC35F0" w:rsidRDefault="008D6506">
            <w:pPr>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МГСИ  (Сектор за водни </w:t>
            </w:r>
            <w:r w:rsidRPr="00CC35F0">
              <w:rPr>
                <w:rFonts w:ascii="Times New Roman" w:eastAsia="Times New Roman" w:hAnsi="Times New Roman"/>
                <w:color w:val="000000"/>
                <w:sz w:val="24"/>
                <w:szCs w:val="24"/>
                <w:lang w:val="sr-Cyrl-CS"/>
              </w:rPr>
              <w:lastRenderedPageBreak/>
              <w:t>саобраћај и безбедност пловидбе)</w:t>
            </w:r>
          </w:p>
          <w:p w14:paraId="5EE57CA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Министарство финансија </w:t>
            </w:r>
          </w:p>
        </w:tc>
        <w:tc>
          <w:tcPr>
            <w:tcW w:w="1427" w:type="dxa"/>
            <w:tcBorders>
              <w:top w:val="single" w:sz="4" w:space="0" w:color="000000"/>
              <w:left w:val="single" w:sz="4" w:space="0" w:color="000000"/>
              <w:bottom w:val="single" w:sz="4" w:space="0" w:color="000000"/>
              <w:right w:val="single" w:sz="4" w:space="0" w:color="000000"/>
            </w:tcBorders>
          </w:tcPr>
          <w:p w14:paraId="24EC2A8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IV квартал 202</w:t>
            </w:r>
            <w:r w:rsidR="00582C3E" w:rsidRPr="00CC35F0">
              <w:rPr>
                <w:rFonts w:ascii="Times New Roman" w:eastAsia="Times New Roman" w:hAnsi="Times New Roman"/>
                <w:sz w:val="24"/>
                <w:szCs w:val="24"/>
                <w:lang w:val="sr-Cyrl-CS"/>
              </w:rPr>
              <w:t>5</w:t>
            </w:r>
          </w:p>
        </w:tc>
        <w:tc>
          <w:tcPr>
            <w:tcW w:w="1605" w:type="dxa"/>
            <w:tcBorders>
              <w:top w:val="single" w:sz="4" w:space="0" w:color="000000"/>
              <w:left w:val="single" w:sz="4" w:space="0" w:color="000000"/>
              <w:bottom w:val="single" w:sz="4" w:space="0" w:color="000000"/>
              <w:right w:val="single" w:sz="4" w:space="0" w:color="000000"/>
            </w:tcBorders>
          </w:tcPr>
          <w:p w14:paraId="13291DD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565" w:type="dxa"/>
            <w:tcBorders>
              <w:top w:val="single" w:sz="4" w:space="0" w:color="000000"/>
              <w:left w:val="single" w:sz="4" w:space="0" w:color="000000"/>
              <w:bottom w:val="single" w:sz="4" w:space="0" w:color="000000"/>
              <w:right w:val="single" w:sz="4" w:space="0" w:color="000000"/>
            </w:tcBorders>
          </w:tcPr>
          <w:p w14:paraId="2B69B66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0701-450-0003-411</w:t>
            </w:r>
          </w:p>
        </w:tc>
        <w:tc>
          <w:tcPr>
            <w:tcW w:w="909" w:type="dxa"/>
            <w:tcBorders>
              <w:top w:val="single" w:sz="4" w:space="0" w:color="000000"/>
              <w:left w:val="single" w:sz="4" w:space="0" w:color="000000"/>
              <w:bottom w:val="single" w:sz="4" w:space="0" w:color="000000"/>
              <w:right w:val="single" w:sz="4" w:space="0" w:color="000000"/>
            </w:tcBorders>
          </w:tcPr>
          <w:p w14:paraId="1187D208" w14:textId="77777777" w:rsidR="00A0251B" w:rsidRPr="00CC35F0" w:rsidRDefault="00A0251B">
            <w:pPr>
              <w:jc w:val="right"/>
              <w:rPr>
                <w:rFonts w:ascii="Times New Roman" w:eastAsia="Times New Roman" w:hAnsi="Times New Roman"/>
                <w:sz w:val="24"/>
                <w:szCs w:val="24"/>
                <w:lang w:val="sr-Cyrl-CS"/>
              </w:rPr>
            </w:pPr>
          </w:p>
        </w:tc>
        <w:tc>
          <w:tcPr>
            <w:tcW w:w="931" w:type="dxa"/>
            <w:gridSpan w:val="2"/>
            <w:tcBorders>
              <w:top w:val="single" w:sz="4" w:space="0" w:color="000000"/>
              <w:left w:val="single" w:sz="4" w:space="0" w:color="000000"/>
              <w:bottom w:val="single" w:sz="4" w:space="0" w:color="000000"/>
              <w:right w:val="single" w:sz="4" w:space="0" w:color="000000"/>
            </w:tcBorders>
          </w:tcPr>
          <w:p w14:paraId="2291485C" w14:textId="77777777" w:rsidR="00A0251B" w:rsidRPr="00CC35F0" w:rsidRDefault="00A0251B">
            <w:pPr>
              <w:jc w:val="right"/>
              <w:rPr>
                <w:rFonts w:ascii="Times New Roman" w:eastAsia="Times New Roman" w:hAnsi="Times New Roman"/>
                <w:sz w:val="24"/>
                <w:szCs w:val="24"/>
                <w:lang w:val="sr-Cyrl-CS"/>
              </w:rPr>
            </w:pPr>
          </w:p>
        </w:tc>
        <w:tc>
          <w:tcPr>
            <w:tcW w:w="954" w:type="dxa"/>
            <w:tcBorders>
              <w:top w:val="single" w:sz="4" w:space="0" w:color="000000"/>
              <w:left w:val="single" w:sz="4" w:space="0" w:color="000000"/>
              <w:bottom w:val="single" w:sz="4" w:space="0" w:color="000000"/>
              <w:right w:val="single" w:sz="4" w:space="0" w:color="000000"/>
            </w:tcBorders>
          </w:tcPr>
          <w:p w14:paraId="3A91C7E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footnoteReference w:id="88"/>
            </w:r>
          </w:p>
        </w:tc>
        <w:tc>
          <w:tcPr>
            <w:tcW w:w="920" w:type="dxa"/>
            <w:tcBorders>
              <w:top w:val="single" w:sz="4" w:space="0" w:color="000000"/>
              <w:left w:val="single" w:sz="4" w:space="0" w:color="000000"/>
              <w:bottom w:val="single" w:sz="4" w:space="0" w:color="000000"/>
              <w:right w:val="single" w:sz="4" w:space="0" w:color="000000"/>
            </w:tcBorders>
          </w:tcPr>
          <w:p w14:paraId="05AE40D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920" w:type="dxa"/>
            <w:tcBorders>
              <w:top w:val="single" w:sz="4" w:space="0" w:color="000000"/>
              <w:left w:val="single" w:sz="4" w:space="0" w:color="000000"/>
              <w:bottom w:val="single" w:sz="4" w:space="0" w:color="000000"/>
              <w:right w:val="single" w:sz="4" w:space="0" w:color="000000"/>
            </w:tcBorders>
          </w:tcPr>
          <w:p w14:paraId="08F9FE6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r>
    </w:tbl>
    <w:p w14:paraId="41BD59CB" w14:textId="77777777" w:rsidR="00A0251B" w:rsidRPr="00CC35F0" w:rsidRDefault="00A0251B">
      <w:pPr>
        <w:rPr>
          <w:rFonts w:ascii="Times New Roman" w:eastAsia="Times New Roman" w:hAnsi="Times New Roman"/>
          <w:sz w:val="24"/>
          <w:szCs w:val="24"/>
          <w:lang w:val="sr-Cyrl-CS"/>
        </w:rPr>
      </w:pPr>
    </w:p>
    <w:tbl>
      <w:tblPr>
        <w:tblStyle w:val="afff2"/>
        <w:tblW w:w="14341"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31"/>
        <w:gridCol w:w="1272"/>
        <w:gridCol w:w="1462"/>
        <w:gridCol w:w="1357"/>
        <w:gridCol w:w="1269"/>
        <w:gridCol w:w="1263"/>
        <w:gridCol w:w="1381"/>
        <w:gridCol w:w="1580"/>
        <w:gridCol w:w="1508"/>
        <w:gridCol w:w="18"/>
      </w:tblGrid>
      <w:tr w:rsidR="00A0251B" w:rsidRPr="00CC35F0" w14:paraId="34654A95" w14:textId="77777777">
        <w:trPr>
          <w:trHeight w:val="150"/>
        </w:trPr>
        <w:tc>
          <w:tcPr>
            <w:tcW w:w="14342" w:type="dxa"/>
            <w:gridSpan w:val="10"/>
            <w:shd w:val="clear" w:color="auto" w:fill="F7CBAC"/>
          </w:tcPr>
          <w:p w14:paraId="182A936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1.1.9: </w:t>
            </w:r>
            <w:r w:rsidRPr="00CC35F0">
              <w:rPr>
                <w:rFonts w:ascii="Times New Roman" w:eastAsia="Times New Roman" w:hAnsi="Times New Roman"/>
                <w:b/>
                <w:color w:val="000000"/>
                <w:sz w:val="24"/>
                <w:szCs w:val="24"/>
                <w:lang w:val="sr-Cyrl-CS"/>
              </w:rPr>
              <w:t xml:space="preserve">Ограничавање емисија VOC спровођењем 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Директива 2009/126/ЕЗ сакупљања бензинске паре током допуњавања моторних возила горивом на бензинским станицама (Друга фаза) </w:t>
            </w:r>
          </w:p>
        </w:tc>
      </w:tr>
      <w:tr w:rsidR="00A0251B" w:rsidRPr="00CC35F0" w14:paraId="4CCB5D10" w14:textId="77777777">
        <w:trPr>
          <w:trHeight w:val="266"/>
        </w:trPr>
        <w:tc>
          <w:tcPr>
            <w:tcW w:w="14342" w:type="dxa"/>
            <w:gridSpan w:val="10"/>
            <w:shd w:val="clear" w:color="auto" w:fill="F7CBAC"/>
            <w:vAlign w:val="center"/>
          </w:tcPr>
          <w:p w14:paraId="2CEAF525"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 МЗЖС</w:t>
            </w:r>
          </w:p>
        </w:tc>
      </w:tr>
      <w:tr w:rsidR="00A0251B" w:rsidRPr="00CC35F0" w14:paraId="55BBF211" w14:textId="77777777">
        <w:trPr>
          <w:gridAfter w:val="1"/>
          <w:wAfter w:w="18" w:type="dxa"/>
          <w:trHeight w:val="266"/>
        </w:trPr>
        <w:tc>
          <w:tcPr>
            <w:tcW w:w="5966" w:type="dxa"/>
            <w:gridSpan w:val="3"/>
            <w:shd w:val="clear" w:color="auto" w:fill="F7CBAC"/>
          </w:tcPr>
          <w:p w14:paraId="30BE19BD"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Период спровођења: 2022-2026</w:t>
            </w:r>
            <w:r w:rsidR="006733E6" w:rsidRPr="00CC35F0">
              <w:rPr>
                <w:rFonts w:ascii="Times New Roman" w:eastAsia="Times New Roman" w:hAnsi="Times New Roman"/>
                <w:sz w:val="24"/>
                <w:szCs w:val="24"/>
                <w:vertAlign w:val="superscript"/>
                <w:lang w:val="sr-Cyrl-CS"/>
              </w:rPr>
              <w:t>#</w:t>
            </w:r>
          </w:p>
        </w:tc>
        <w:tc>
          <w:tcPr>
            <w:tcW w:w="8358" w:type="dxa"/>
            <w:gridSpan w:val="6"/>
            <w:shd w:val="clear" w:color="auto" w:fill="F7CBAC"/>
          </w:tcPr>
          <w:p w14:paraId="07EE22D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w:t>
            </w:r>
          </w:p>
        </w:tc>
      </w:tr>
      <w:tr w:rsidR="00A0251B" w:rsidRPr="00CC35F0" w14:paraId="06A7B3C6" w14:textId="77777777">
        <w:trPr>
          <w:gridAfter w:val="1"/>
          <w:wAfter w:w="18" w:type="dxa"/>
          <w:trHeight w:val="266"/>
        </w:trPr>
        <w:tc>
          <w:tcPr>
            <w:tcW w:w="5966" w:type="dxa"/>
            <w:gridSpan w:val="3"/>
            <w:shd w:val="clear" w:color="auto" w:fill="F7CBAC"/>
          </w:tcPr>
          <w:p w14:paraId="26424D1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8358" w:type="dxa"/>
            <w:gridSpan w:val="6"/>
            <w:shd w:val="clear" w:color="auto" w:fill="F7CBAC"/>
          </w:tcPr>
          <w:p w14:paraId="5894602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Изменити и допунити Правилник о техничким мерама и захтевима који се односе на дозвољене емисионе факторе за VOC која потичу из процеса складиштења и транспорта бензина </w:t>
            </w:r>
            <w:r w:rsidR="00662378" w:rsidRPr="00CC35F0">
              <w:rPr>
                <w:rFonts w:ascii="Times New Roman" w:eastAsia="Times New Roman" w:hAnsi="Times New Roman"/>
                <w:sz w:val="24"/>
                <w:szCs w:val="24"/>
                <w:lang w:val="sr-Cyrl-CS"/>
              </w:rPr>
              <w:t>(„Службени гласник РС”, бр. 1/12, 25/12, 48/12 и 96/19);</w:t>
            </w:r>
          </w:p>
          <w:p w14:paraId="4F3A324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Изменити и допунити постојећи Правилник о методологији за израду националног и локалног регистра извора загађивања, као и методологији за врсте, начине и рокове прикупљања података (Национални регистар извора загађивања)</w:t>
            </w:r>
          </w:p>
        </w:tc>
      </w:tr>
      <w:tr w:rsidR="00A0251B" w:rsidRPr="00CC35F0" w14:paraId="4B86E929" w14:textId="77777777">
        <w:trPr>
          <w:gridAfter w:val="1"/>
          <w:wAfter w:w="18" w:type="dxa"/>
          <w:trHeight w:val="851"/>
        </w:trPr>
        <w:tc>
          <w:tcPr>
            <w:tcW w:w="3232" w:type="dxa"/>
            <w:tcBorders>
              <w:top w:val="single" w:sz="4" w:space="0" w:color="000000"/>
              <w:left w:val="single" w:sz="4" w:space="0" w:color="000000"/>
              <w:bottom w:val="single" w:sz="4" w:space="0" w:color="000000"/>
              <w:right w:val="single" w:sz="4" w:space="0" w:color="000000"/>
            </w:tcBorders>
            <w:shd w:val="clear" w:color="auto" w:fill="D9D9D9"/>
          </w:tcPr>
          <w:p w14:paraId="6AA86E9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5AA6C75B" w14:textId="77777777" w:rsidR="00A0251B" w:rsidRPr="00CC35F0" w:rsidRDefault="00A0251B">
            <w:pPr>
              <w:jc w:val="center"/>
              <w:rPr>
                <w:rFonts w:ascii="Times New Roman" w:eastAsia="Times New Roman" w:hAnsi="Times New Roman"/>
                <w:sz w:val="24"/>
                <w:szCs w:val="24"/>
                <w:lang w:val="sr-Cyrl-CS"/>
              </w:rPr>
            </w:pPr>
          </w:p>
        </w:tc>
        <w:tc>
          <w:tcPr>
            <w:tcW w:w="1272" w:type="dxa"/>
            <w:tcBorders>
              <w:top w:val="single" w:sz="4" w:space="0" w:color="000000"/>
              <w:left w:val="single" w:sz="4" w:space="0" w:color="000000"/>
              <w:bottom w:val="single" w:sz="4" w:space="0" w:color="000000"/>
              <w:right w:val="single" w:sz="4" w:space="0" w:color="000000"/>
            </w:tcBorders>
            <w:shd w:val="clear" w:color="auto" w:fill="D9D9D9"/>
          </w:tcPr>
          <w:p w14:paraId="4B3AD29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62" w:type="dxa"/>
            <w:tcBorders>
              <w:top w:val="single" w:sz="4" w:space="0" w:color="000000"/>
              <w:left w:val="single" w:sz="4" w:space="0" w:color="000000"/>
              <w:bottom w:val="single" w:sz="4" w:space="0" w:color="000000"/>
              <w:right w:val="single" w:sz="4" w:space="0" w:color="000000"/>
            </w:tcBorders>
            <w:shd w:val="clear" w:color="auto" w:fill="D9D9D9"/>
          </w:tcPr>
          <w:p w14:paraId="2AAEA1B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357" w:type="dxa"/>
            <w:tcBorders>
              <w:top w:val="single" w:sz="4" w:space="0" w:color="000000"/>
              <w:left w:val="single" w:sz="4" w:space="0" w:color="000000"/>
              <w:bottom w:val="single" w:sz="4" w:space="0" w:color="000000"/>
              <w:right w:val="single" w:sz="4" w:space="0" w:color="000000"/>
            </w:tcBorders>
            <w:shd w:val="clear" w:color="auto" w:fill="D9D9D9"/>
          </w:tcPr>
          <w:p w14:paraId="087F74D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269" w:type="dxa"/>
            <w:tcBorders>
              <w:top w:val="single" w:sz="4" w:space="0" w:color="000000"/>
              <w:left w:val="single" w:sz="4" w:space="0" w:color="000000"/>
              <w:bottom w:val="single" w:sz="4" w:space="0" w:color="000000"/>
              <w:right w:val="single" w:sz="4" w:space="0" w:color="000000"/>
            </w:tcBorders>
            <w:shd w:val="clear" w:color="auto" w:fill="D9D9D9"/>
          </w:tcPr>
          <w:p w14:paraId="1CB1A01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263" w:type="dxa"/>
            <w:tcBorders>
              <w:top w:val="single" w:sz="4" w:space="0" w:color="000000"/>
              <w:left w:val="single" w:sz="4" w:space="0" w:color="000000"/>
              <w:bottom w:val="single" w:sz="4" w:space="0" w:color="000000"/>
              <w:right w:val="single" w:sz="4" w:space="0" w:color="000000"/>
            </w:tcBorders>
            <w:shd w:val="clear" w:color="auto" w:fill="D9D9D9"/>
          </w:tcPr>
          <w:p w14:paraId="6557593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381" w:type="dxa"/>
            <w:tcBorders>
              <w:top w:val="single" w:sz="4" w:space="0" w:color="000000"/>
              <w:left w:val="single" w:sz="4" w:space="0" w:color="000000"/>
              <w:bottom w:val="single" w:sz="4" w:space="0" w:color="000000"/>
              <w:right w:val="single" w:sz="4" w:space="0" w:color="000000"/>
            </w:tcBorders>
            <w:shd w:val="clear" w:color="auto" w:fill="D9D9D9"/>
          </w:tcPr>
          <w:p w14:paraId="63074C8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80" w:type="dxa"/>
            <w:tcBorders>
              <w:top w:val="single" w:sz="4" w:space="0" w:color="000000"/>
              <w:left w:val="single" w:sz="4" w:space="0" w:color="000000"/>
              <w:bottom w:val="single" w:sz="4" w:space="0" w:color="000000"/>
              <w:right w:val="single" w:sz="4" w:space="0" w:color="000000"/>
            </w:tcBorders>
            <w:shd w:val="clear" w:color="auto" w:fill="D9D9D9"/>
          </w:tcPr>
          <w:p w14:paraId="2A10C3C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508" w:type="dxa"/>
            <w:tcBorders>
              <w:top w:val="single" w:sz="4" w:space="0" w:color="000000"/>
              <w:left w:val="single" w:sz="4" w:space="0" w:color="000000"/>
              <w:bottom w:val="single" w:sz="4" w:space="0" w:color="000000"/>
              <w:right w:val="single" w:sz="4" w:space="0" w:color="000000"/>
            </w:tcBorders>
            <w:shd w:val="clear" w:color="auto" w:fill="D9D9D9"/>
          </w:tcPr>
          <w:p w14:paraId="6034254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4A31822A" w14:textId="77777777">
        <w:trPr>
          <w:gridAfter w:val="1"/>
          <w:wAfter w:w="18" w:type="dxa"/>
          <w:trHeight w:val="1123"/>
        </w:trPr>
        <w:tc>
          <w:tcPr>
            <w:tcW w:w="3232" w:type="dxa"/>
            <w:shd w:val="clear" w:color="auto" w:fill="FFFFFF"/>
          </w:tcPr>
          <w:p w14:paraId="11ABB7F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Удео инфраструктуре у складу са  Директивом 94/63/ЕЗ о контроли емисија испарљивих органских једињења (VOCs) као резултат складиштења бензина и његове дистрибуције са терминала </w:t>
            </w:r>
            <w:r w:rsidRPr="00CC35F0">
              <w:rPr>
                <w:rFonts w:ascii="Times New Roman" w:eastAsia="Times New Roman" w:hAnsi="Times New Roman"/>
                <w:sz w:val="24"/>
                <w:szCs w:val="24"/>
                <w:lang w:val="sr-Cyrl-CS"/>
              </w:rPr>
              <w:lastRenderedPageBreak/>
              <w:t xml:space="preserve">до бензинских станица (Прва фаза) </w:t>
            </w:r>
          </w:p>
        </w:tc>
        <w:tc>
          <w:tcPr>
            <w:tcW w:w="1272" w:type="dxa"/>
            <w:shd w:val="clear" w:color="auto" w:fill="FFFFFF"/>
          </w:tcPr>
          <w:p w14:paraId="03BD520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 </w:t>
            </w:r>
          </w:p>
          <w:p w14:paraId="110195F7" w14:textId="77777777" w:rsidR="00A0251B" w:rsidRPr="00CC35F0" w:rsidRDefault="00A0251B">
            <w:pPr>
              <w:shd w:val="clear" w:color="auto" w:fill="FFFFFF"/>
              <w:rPr>
                <w:rFonts w:ascii="Times New Roman" w:eastAsia="Times New Roman" w:hAnsi="Times New Roman"/>
                <w:sz w:val="24"/>
                <w:szCs w:val="24"/>
                <w:lang w:val="sr-Cyrl-CS"/>
              </w:rPr>
            </w:pPr>
          </w:p>
          <w:p w14:paraId="04E2E506" w14:textId="77777777" w:rsidR="00A0251B" w:rsidRPr="00CC35F0" w:rsidRDefault="00A0251B">
            <w:pPr>
              <w:shd w:val="clear" w:color="auto" w:fill="FFFFFF"/>
              <w:rPr>
                <w:rFonts w:ascii="Times New Roman" w:eastAsia="Times New Roman" w:hAnsi="Times New Roman"/>
                <w:sz w:val="24"/>
                <w:szCs w:val="24"/>
                <w:lang w:val="sr-Cyrl-CS"/>
              </w:rPr>
            </w:pPr>
          </w:p>
          <w:p w14:paraId="0F78C4D0" w14:textId="77777777" w:rsidR="00A0251B" w:rsidRPr="00CC35F0" w:rsidRDefault="00A0251B">
            <w:pPr>
              <w:shd w:val="clear" w:color="auto" w:fill="FFFFFF"/>
              <w:rPr>
                <w:rFonts w:ascii="Times New Roman" w:eastAsia="Times New Roman" w:hAnsi="Times New Roman"/>
                <w:sz w:val="24"/>
                <w:szCs w:val="24"/>
                <w:lang w:val="sr-Cyrl-CS"/>
              </w:rPr>
            </w:pPr>
          </w:p>
        </w:tc>
        <w:tc>
          <w:tcPr>
            <w:tcW w:w="1462" w:type="dxa"/>
            <w:shd w:val="clear" w:color="auto" w:fill="FFFFFF"/>
          </w:tcPr>
          <w:p w14:paraId="27232AC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План </w:t>
            </w:r>
            <w:r w:rsidRPr="00CC35F0">
              <w:rPr>
                <w:rFonts w:ascii="Times New Roman" w:eastAsia="Times New Roman" w:hAnsi="Times New Roman"/>
                <w:lang w:val="sr-Cyrl-CS"/>
              </w:rPr>
              <w:t>мониторинга</w:t>
            </w:r>
            <w:r w:rsidRPr="00CC35F0">
              <w:rPr>
                <w:rFonts w:ascii="Times New Roman" w:eastAsia="Times New Roman" w:hAnsi="Times New Roman"/>
                <w:sz w:val="24"/>
                <w:szCs w:val="24"/>
                <w:lang w:val="sr-Cyrl-CS"/>
              </w:rPr>
              <w:t xml:space="preserve">  за спровођење VOC петрол </w:t>
            </w:r>
            <w:r w:rsidRPr="00CC35F0">
              <w:rPr>
                <w:rFonts w:ascii="Times New Roman" w:eastAsia="Times New Roman" w:hAnsi="Times New Roman"/>
                <w:sz w:val="24"/>
                <w:szCs w:val="24"/>
                <w:lang w:val="sr-Cyrl-CS"/>
              </w:rPr>
              <w:lastRenderedPageBreak/>
              <w:t xml:space="preserve">Директива </w:t>
            </w:r>
            <w:r w:rsidRPr="00CC35F0">
              <w:rPr>
                <w:rFonts w:ascii="Times New Roman" w:eastAsia="Times New Roman" w:hAnsi="Times New Roman"/>
                <w:sz w:val="24"/>
                <w:szCs w:val="24"/>
                <w:vertAlign w:val="superscript"/>
                <w:lang w:val="sr-Cyrl-CS"/>
              </w:rPr>
              <w:footnoteReference w:id="89"/>
            </w:r>
            <w:r w:rsidRPr="00CC35F0">
              <w:rPr>
                <w:rFonts w:ascii="Times New Roman" w:eastAsia="Times New Roman" w:hAnsi="Times New Roman"/>
                <w:sz w:val="24"/>
                <w:szCs w:val="24"/>
                <w:lang w:val="sr-Cyrl-CS"/>
              </w:rPr>
              <w:t xml:space="preserve"> </w:t>
            </w:r>
          </w:p>
        </w:tc>
        <w:tc>
          <w:tcPr>
            <w:tcW w:w="1357" w:type="dxa"/>
            <w:shd w:val="clear" w:color="auto" w:fill="FFFFFF"/>
          </w:tcPr>
          <w:p w14:paraId="0B2D6F50"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0</w:t>
            </w:r>
          </w:p>
          <w:p w14:paraId="69140110" w14:textId="77777777" w:rsidR="00A0251B" w:rsidRPr="00CC35F0" w:rsidRDefault="00A0251B">
            <w:pPr>
              <w:jc w:val="left"/>
              <w:rPr>
                <w:rFonts w:ascii="Times New Roman" w:eastAsia="Times New Roman" w:hAnsi="Times New Roman"/>
                <w:sz w:val="24"/>
                <w:szCs w:val="24"/>
                <w:lang w:val="sr-Cyrl-CS"/>
              </w:rPr>
            </w:pPr>
          </w:p>
          <w:p w14:paraId="3F79BB13" w14:textId="77777777" w:rsidR="00A0251B" w:rsidRPr="00CC35F0" w:rsidRDefault="00A0251B">
            <w:pPr>
              <w:shd w:val="clear" w:color="auto" w:fill="FFFFFF"/>
              <w:rPr>
                <w:rFonts w:ascii="Times New Roman" w:eastAsia="Times New Roman" w:hAnsi="Times New Roman"/>
                <w:sz w:val="24"/>
                <w:szCs w:val="24"/>
                <w:lang w:val="sr-Cyrl-CS"/>
              </w:rPr>
            </w:pPr>
          </w:p>
          <w:p w14:paraId="3C0A8FD6" w14:textId="77777777" w:rsidR="00A0251B" w:rsidRPr="00CC35F0" w:rsidRDefault="00A0251B">
            <w:pPr>
              <w:shd w:val="clear" w:color="auto" w:fill="FFFFFF"/>
              <w:rPr>
                <w:rFonts w:ascii="Times New Roman" w:eastAsia="Times New Roman" w:hAnsi="Times New Roman"/>
                <w:sz w:val="24"/>
                <w:szCs w:val="24"/>
                <w:lang w:val="sr-Cyrl-CS"/>
              </w:rPr>
            </w:pPr>
          </w:p>
          <w:p w14:paraId="7C3CC69A" w14:textId="77777777" w:rsidR="00A0251B" w:rsidRPr="00CC35F0" w:rsidRDefault="00A0251B">
            <w:pPr>
              <w:shd w:val="clear" w:color="auto" w:fill="FFFFFF"/>
              <w:rPr>
                <w:rFonts w:ascii="Times New Roman" w:eastAsia="Times New Roman" w:hAnsi="Times New Roman"/>
                <w:sz w:val="24"/>
                <w:szCs w:val="24"/>
                <w:lang w:val="sr-Cyrl-CS"/>
              </w:rPr>
            </w:pPr>
          </w:p>
          <w:p w14:paraId="429BF52F" w14:textId="77777777" w:rsidR="00A0251B" w:rsidRPr="00CC35F0" w:rsidRDefault="00A0251B">
            <w:pPr>
              <w:shd w:val="clear" w:color="auto" w:fill="FFFFFF"/>
              <w:rPr>
                <w:rFonts w:ascii="Times New Roman" w:eastAsia="Times New Roman" w:hAnsi="Times New Roman"/>
                <w:sz w:val="24"/>
                <w:szCs w:val="24"/>
                <w:lang w:val="sr-Cyrl-CS"/>
              </w:rPr>
            </w:pPr>
          </w:p>
          <w:p w14:paraId="7419F3FF" w14:textId="77777777" w:rsidR="00A0251B" w:rsidRPr="00CC35F0" w:rsidRDefault="00A0251B">
            <w:pPr>
              <w:shd w:val="clear" w:color="auto" w:fill="FFFFFF"/>
              <w:rPr>
                <w:rFonts w:ascii="Times New Roman" w:eastAsia="Times New Roman" w:hAnsi="Times New Roman"/>
                <w:sz w:val="24"/>
                <w:szCs w:val="24"/>
                <w:lang w:val="sr-Cyrl-CS"/>
              </w:rPr>
            </w:pPr>
          </w:p>
        </w:tc>
        <w:tc>
          <w:tcPr>
            <w:tcW w:w="1269" w:type="dxa"/>
            <w:shd w:val="clear" w:color="auto" w:fill="FFFFFF"/>
          </w:tcPr>
          <w:p w14:paraId="22B27B5E"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40  </w:t>
            </w:r>
          </w:p>
          <w:p w14:paraId="34339732" w14:textId="77777777" w:rsidR="00A0251B" w:rsidRPr="00CC35F0" w:rsidRDefault="00A0251B">
            <w:pPr>
              <w:shd w:val="clear" w:color="auto" w:fill="FFFFFF"/>
              <w:rPr>
                <w:rFonts w:ascii="Times New Roman" w:eastAsia="Times New Roman" w:hAnsi="Times New Roman"/>
                <w:sz w:val="24"/>
                <w:szCs w:val="24"/>
                <w:lang w:val="sr-Cyrl-CS"/>
              </w:rPr>
            </w:pPr>
          </w:p>
          <w:p w14:paraId="3A3C2F08" w14:textId="77777777" w:rsidR="00A0251B" w:rsidRPr="00CC35F0" w:rsidRDefault="00A0251B">
            <w:pPr>
              <w:shd w:val="clear" w:color="auto" w:fill="FFFFFF"/>
              <w:rPr>
                <w:rFonts w:ascii="Times New Roman" w:eastAsia="Times New Roman" w:hAnsi="Times New Roman"/>
                <w:sz w:val="24"/>
                <w:szCs w:val="24"/>
                <w:lang w:val="sr-Cyrl-CS"/>
              </w:rPr>
            </w:pPr>
          </w:p>
          <w:p w14:paraId="31E525E4" w14:textId="77777777" w:rsidR="00A0251B" w:rsidRPr="00CC35F0" w:rsidRDefault="00A0251B">
            <w:pPr>
              <w:shd w:val="clear" w:color="auto" w:fill="FFFFFF"/>
              <w:rPr>
                <w:rFonts w:ascii="Times New Roman" w:eastAsia="Times New Roman" w:hAnsi="Times New Roman"/>
                <w:sz w:val="24"/>
                <w:szCs w:val="24"/>
                <w:lang w:val="sr-Cyrl-CS"/>
              </w:rPr>
            </w:pPr>
          </w:p>
          <w:p w14:paraId="3EEB6974" w14:textId="77777777" w:rsidR="00A0251B" w:rsidRPr="00CC35F0" w:rsidRDefault="00A0251B">
            <w:pPr>
              <w:shd w:val="clear" w:color="auto" w:fill="FFFFFF"/>
              <w:rPr>
                <w:rFonts w:ascii="Times New Roman" w:eastAsia="Times New Roman" w:hAnsi="Times New Roman"/>
                <w:sz w:val="24"/>
                <w:szCs w:val="24"/>
                <w:lang w:val="sr-Cyrl-CS"/>
              </w:rPr>
            </w:pPr>
          </w:p>
          <w:p w14:paraId="683967DF" w14:textId="77777777" w:rsidR="00A0251B" w:rsidRPr="00CC35F0" w:rsidRDefault="00A0251B">
            <w:pPr>
              <w:shd w:val="clear" w:color="auto" w:fill="FFFFFF"/>
              <w:rPr>
                <w:rFonts w:ascii="Times New Roman" w:eastAsia="Times New Roman" w:hAnsi="Times New Roman"/>
                <w:sz w:val="24"/>
                <w:szCs w:val="24"/>
                <w:lang w:val="sr-Cyrl-CS"/>
              </w:rPr>
            </w:pPr>
          </w:p>
        </w:tc>
        <w:tc>
          <w:tcPr>
            <w:tcW w:w="1263" w:type="dxa"/>
            <w:shd w:val="clear" w:color="auto" w:fill="FFFFFF"/>
          </w:tcPr>
          <w:p w14:paraId="7D52C2F4"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w:t>
            </w:r>
          </w:p>
          <w:p w14:paraId="6B0E0EE3" w14:textId="77777777" w:rsidR="00A0251B" w:rsidRPr="00CC35F0" w:rsidRDefault="00A0251B">
            <w:pPr>
              <w:shd w:val="clear" w:color="auto" w:fill="FFFFFF"/>
              <w:rPr>
                <w:rFonts w:ascii="Times New Roman" w:eastAsia="Times New Roman" w:hAnsi="Times New Roman"/>
                <w:sz w:val="24"/>
                <w:szCs w:val="24"/>
                <w:lang w:val="sr-Cyrl-CS"/>
              </w:rPr>
            </w:pPr>
          </w:p>
          <w:p w14:paraId="155E0B3C" w14:textId="77777777" w:rsidR="00A0251B" w:rsidRPr="00CC35F0" w:rsidRDefault="00A0251B">
            <w:pPr>
              <w:shd w:val="clear" w:color="auto" w:fill="FFFFFF"/>
              <w:rPr>
                <w:rFonts w:ascii="Times New Roman" w:eastAsia="Times New Roman" w:hAnsi="Times New Roman"/>
                <w:sz w:val="24"/>
                <w:szCs w:val="24"/>
                <w:lang w:val="sr-Cyrl-CS"/>
              </w:rPr>
            </w:pPr>
          </w:p>
          <w:p w14:paraId="53E1BE82" w14:textId="77777777" w:rsidR="00A0251B" w:rsidRPr="00CC35F0" w:rsidRDefault="00A0251B">
            <w:pPr>
              <w:shd w:val="clear" w:color="auto" w:fill="FFFFFF"/>
              <w:rPr>
                <w:rFonts w:ascii="Times New Roman" w:eastAsia="Times New Roman" w:hAnsi="Times New Roman"/>
                <w:sz w:val="24"/>
                <w:szCs w:val="24"/>
                <w:lang w:val="sr-Cyrl-CS"/>
              </w:rPr>
            </w:pPr>
          </w:p>
          <w:p w14:paraId="16566688" w14:textId="77777777" w:rsidR="00A0251B" w:rsidRPr="00CC35F0" w:rsidRDefault="00A0251B">
            <w:pPr>
              <w:shd w:val="clear" w:color="auto" w:fill="FFFFFF"/>
              <w:rPr>
                <w:rFonts w:ascii="Times New Roman" w:eastAsia="Times New Roman" w:hAnsi="Times New Roman"/>
                <w:sz w:val="24"/>
                <w:szCs w:val="24"/>
                <w:lang w:val="sr-Cyrl-CS"/>
              </w:rPr>
            </w:pPr>
          </w:p>
          <w:p w14:paraId="0BA83910" w14:textId="77777777" w:rsidR="00A0251B" w:rsidRPr="00CC35F0" w:rsidRDefault="00A0251B">
            <w:pPr>
              <w:shd w:val="clear" w:color="auto" w:fill="FFFFFF"/>
              <w:rPr>
                <w:rFonts w:ascii="Times New Roman" w:eastAsia="Times New Roman" w:hAnsi="Times New Roman"/>
                <w:sz w:val="24"/>
                <w:szCs w:val="24"/>
                <w:lang w:val="sr-Cyrl-CS"/>
              </w:rPr>
            </w:pPr>
          </w:p>
        </w:tc>
        <w:tc>
          <w:tcPr>
            <w:tcW w:w="1381" w:type="dxa"/>
            <w:shd w:val="clear" w:color="auto" w:fill="FFFFFF"/>
          </w:tcPr>
          <w:p w14:paraId="4FA1E37E"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w:t>
            </w:r>
          </w:p>
          <w:p w14:paraId="10A139F5" w14:textId="77777777" w:rsidR="00A0251B" w:rsidRPr="00CC35F0" w:rsidRDefault="00A0251B">
            <w:pPr>
              <w:shd w:val="clear" w:color="auto" w:fill="FFFFFF"/>
              <w:rPr>
                <w:rFonts w:ascii="Times New Roman" w:eastAsia="Times New Roman" w:hAnsi="Times New Roman"/>
                <w:sz w:val="24"/>
                <w:szCs w:val="24"/>
                <w:lang w:val="sr-Cyrl-CS"/>
              </w:rPr>
            </w:pPr>
          </w:p>
          <w:p w14:paraId="14393609" w14:textId="77777777" w:rsidR="00A0251B" w:rsidRPr="00CC35F0" w:rsidRDefault="00A0251B">
            <w:pPr>
              <w:shd w:val="clear" w:color="auto" w:fill="FFFFFF"/>
              <w:rPr>
                <w:rFonts w:ascii="Times New Roman" w:eastAsia="Times New Roman" w:hAnsi="Times New Roman"/>
                <w:sz w:val="24"/>
                <w:szCs w:val="24"/>
                <w:lang w:val="sr-Cyrl-CS"/>
              </w:rPr>
            </w:pPr>
          </w:p>
          <w:p w14:paraId="71DABC6D" w14:textId="77777777" w:rsidR="00A0251B" w:rsidRPr="00CC35F0" w:rsidRDefault="00A0251B">
            <w:pPr>
              <w:shd w:val="clear" w:color="auto" w:fill="FFFFFF"/>
              <w:rPr>
                <w:rFonts w:ascii="Times New Roman" w:eastAsia="Times New Roman" w:hAnsi="Times New Roman"/>
                <w:sz w:val="24"/>
                <w:szCs w:val="24"/>
                <w:lang w:val="sr-Cyrl-CS"/>
              </w:rPr>
            </w:pPr>
          </w:p>
          <w:p w14:paraId="6F7B9489" w14:textId="77777777" w:rsidR="00A0251B" w:rsidRPr="00CC35F0" w:rsidRDefault="00A0251B">
            <w:pPr>
              <w:shd w:val="clear" w:color="auto" w:fill="FFFFFF"/>
              <w:rPr>
                <w:rFonts w:ascii="Times New Roman" w:eastAsia="Times New Roman" w:hAnsi="Times New Roman"/>
                <w:sz w:val="24"/>
                <w:szCs w:val="24"/>
                <w:lang w:val="sr-Cyrl-CS"/>
              </w:rPr>
            </w:pPr>
          </w:p>
          <w:p w14:paraId="72FE3E2F" w14:textId="77777777" w:rsidR="00A0251B" w:rsidRPr="00CC35F0" w:rsidRDefault="00A0251B">
            <w:pPr>
              <w:shd w:val="clear" w:color="auto" w:fill="FFFFFF"/>
              <w:rPr>
                <w:rFonts w:ascii="Times New Roman" w:eastAsia="Times New Roman" w:hAnsi="Times New Roman"/>
                <w:sz w:val="24"/>
                <w:szCs w:val="24"/>
                <w:lang w:val="sr-Cyrl-CS"/>
              </w:rPr>
            </w:pPr>
          </w:p>
        </w:tc>
        <w:tc>
          <w:tcPr>
            <w:tcW w:w="1580" w:type="dxa"/>
            <w:shd w:val="clear" w:color="auto" w:fill="FFFFFF"/>
          </w:tcPr>
          <w:p w14:paraId="1EA47901"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w:t>
            </w:r>
          </w:p>
          <w:p w14:paraId="26C2CC71" w14:textId="77777777" w:rsidR="00A0251B" w:rsidRPr="00CC35F0" w:rsidRDefault="00A0251B">
            <w:pPr>
              <w:shd w:val="clear" w:color="auto" w:fill="FFFFFF"/>
              <w:rPr>
                <w:rFonts w:ascii="Times New Roman" w:eastAsia="Times New Roman" w:hAnsi="Times New Roman"/>
                <w:sz w:val="24"/>
                <w:szCs w:val="24"/>
                <w:lang w:val="sr-Cyrl-CS"/>
              </w:rPr>
            </w:pPr>
          </w:p>
          <w:p w14:paraId="1A29E3EB" w14:textId="77777777" w:rsidR="00A0251B" w:rsidRPr="00CC35F0" w:rsidRDefault="00A0251B">
            <w:pPr>
              <w:shd w:val="clear" w:color="auto" w:fill="FFFFFF"/>
              <w:rPr>
                <w:rFonts w:ascii="Times New Roman" w:eastAsia="Times New Roman" w:hAnsi="Times New Roman"/>
                <w:sz w:val="24"/>
                <w:szCs w:val="24"/>
                <w:lang w:val="sr-Cyrl-CS"/>
              </w:rPr>
            </w:pPr>
          </w:p>
          <w:p w14:paraId="5419722E" w14:textId="77777777" w:rsidR="00A0251B" w:rsidRPr="00CC35F0" w:rsidRDefault="00A0251B">
            <w:pPr>
              <w:shd w:val="clear" w:color="auto" w:fill="FFFFFF"/>
              <w:rPr>
                <w:rFonts w:ascii="Times New Roman" w:eastAsia="Times New Roman" w:hAnsi="Times New Roman"/>
                <w:sz w:val="24"/>
                <w:szCs w:val="24"/>
                <w:lang w:val="sr-Cyrl-CS"/>
              </w:rPr>
            </w:pPr>
          </w:p>
          <w:p w14:paraId="6F3E374F" w14:textId="77777777" w:rsidR="00A0251B" w:rsidRPr="00CC35F0" w:rsidRDefault="00A0251B">
            <w:pPr>
              <w:shd w:val="clear" w:color="auto" w:fill="FFFFFF"/>
              <w:rPr>
                <w:rFonts w:ascii="Times New Roman" w:eastAsia="Times New Roman" w:hAnsi="Times New Roman"/>
                <w:sz w:val="24"/>
                <w:szCs w:val="24"/>
                <w:lang w:val="sr-Cyrl-CS"/>
              </w:rPr>
            </w:pPr>
          </w:p>
          <w:p w14:paraId="40DCC16B" w14:textId="77777777" w:rsidR="00A0251B" w:rsidRPr="00CC35F0" w:rsidRDefault="00A0251B">
            <w:pPr>
              <w:shd w:val="clear" w:color="auto" w:fill="FFFFFF"/>
              <w:rPr>
                <w:rFonts w:ascii="Times New Roman" w:eastAsia="Times New Roman" w:hAnsi="Times New Roman"/>
                <w:sz w:val="24"/>
                <w:szCs w:val="24"/>
                <w:lang w:val="sr-Cyrl-CS"/>
              </w:rPr>
            </w:pPr>
          </w:p>
        </w:tc>
        <w:tc>
          <w:tcPr>
            <w:tcW w:w="1508" w:type="dxa"/>
            <w:shd w:val="clear" w:color="auto" w:fill="FFFFFF"/>
          </w:tcPr>
          <w:p w14:paraId="6FF4F91D"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w:t>
            </w:r>
          </w:p>
          <w:p w14:paraId="2405C62C" w14:textId="77777777" w:rsidR="00A0251B" w:rsidRPr="00CC35F0" w:rsidRDefault="00A0251B">
            <w:pPr>
              <w:shd w:val="clear" w:color="auto" w:fill="FFFFFF"/>
              <w:rPr>
                <w:rFonts w:ascii="Times New Roman" w:eastAsia="Times New Roman" w:hAnsi="Times New Roman"/>
                <w:sz w:val="24"/>
                <w:szCs w:val="24"/>
                <w:lang w:val="sr-Cyrl-CS"/>
              </w:rPr>
            </w:pPr>
          </w:p>
          <w:p w14:paraId="0C904A8C" w14:textId="77777777" w:rsidR="00A0251B" w:rsidRPr="00CC35F0" w:rsidRDefault="00A0251B">
            <w:pPr>
              <w:shd w:val="clear" w:color="auto" w:fill="FFFFFF"/>
              <w:rPr>
                <w:rFonts w:ascii="Times New Roman" w:eastAsia="Times New Roman" w:hAnsi="Times New Roman"/>
                <w:sz w:val="24"/>
                <w:szCs w:val="24"/>
                <w:lang w:val="sr-Cyrl-CS"/>
              </w:rPr>
            </w:pPr>
          </w:p>
          <w:p w14:paraId="1688980E" w14:textId="77777777" w:rsidR="00A0251B" w:rsidRPr="00CC35F0" w:rsidRDefault="00A0251B">
            <w:pPr>
              <w:shd w:val="clear" w:color="auto" w:fill="FFFFFF"/>
              <w:rPr>
                <w:rFonts w:ascii="Times New Roman" w:eastAsia="Times New Roman" w:hAnsi="Times New Roman"/>
                <w:sz w:val="24"/>
                <w:szCs w:val="24"/>
                <w:lang w:val="sr-Cyrl-CS"/>
              </w:rPr>
            </w:pPr>
          </w:p>
          <w:p w14:paraId="113E1799" w14:textId="77777777" w:rsidR="00A0251B" w:rsidRPr="00CC35F0" w:rsidRDefault="00A0251B">
            <w:pPr>
              <w:shd w:val="clear" w:color="auto" w:fill="FFFFFF"/>
              <w:rPr>
                <w:rFonts w:ascii="Times New Roman" w:eastAsia="Times New Roman" w:hAnsi="Times New Roman"/>
                <w:sz w:val="24"/>
                <w:szCs w:val="24"/>
                <w:lang w:val="sr-Cyrl-CS"/>
              </w:rPr>
            </w:pPr>
          </w:p>
          <w:p w14:paraId="161BF923" w14:textId="77777777" w:rsidR="00A0251B" w:rsidRPr="00CC35F0" w:rsidRDefault="00A0251B">
            <w:pPr>
              <w:shd w:val="clear" w:color="auto" w:fill="FFFFFF"/>
              <w:rPr>
                <w:rFonts w:ascii="Times New Roman" w:eastAsia="Times New Roman" w:hAnsi="Times New Roman"/>
                <w:sz w:val="24"/>
                <w:szCs w:val="24"/>
                <w:lang w:val="sr-Cyrl-CS"/>
              </w:rPr>
            </w:pPr>
          </w:p>
        </w:tc>
      </w:tr>
      <w:tr w:rsidR="00A0251B" w:rsidRPr="00CC35F0" w14:paraId="43634332" w14:textId="77777777">
        <w:trPr>
          <w:gridAfter w:val="1"/>
          <w:wAfter w:w="18" w:type="dxa"/>
          <w:trHeight w:val="1635"/>
        </w:trPr>
        <w:tc>
          <w:tcPr>
            <w:tcW w:w="3232" w:type="dxa"/>
            <w:shd w:val="clear" w:color="auto" w:fill="FFFFFF"/>
          </w:tcPr>
          <w:p w14:paraId="685B65EA" w14:textId="77777777" w:rsidR="00A0251B" w:rsidRPr="00CC35F0" w:rsidRDefault="00A0251B">
            <w:pPr>
              <w:shd w:val="clear" w:color="auto" w:fill="FFFFFF"/>
              <w:rPr>
                <w:rFonts w:ascii="Times New Roman" w:eastAsia="Times New Roman" w:hAnsi="Times New Roman"/>
                <w:sz w:val="24"/>
                <w:szCs w:val="24"/>
                <w:lang w:val="sr-Cyrl-CS"/>
              </w:rPr>
            </w:pPr>
          </w:p>
          <w:p w14:paraId="1561A7FD"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Директивом 2009/126/ЕЗ сакупљања бензинске паре током допуњавања моторних возила горивом на бензинским станицама (Друга фаза)</w:t>
            </w:r>
          </w:p>
        </w:tc>
        <w:tc>
          <w:tcPr>
            <w:tcW w:w="1272" w:type="dxa"/>
            <w:shd w:val="clear" w:color="auto" w:fill="FFFFFF"/>
          </w:tcPr>
          <w:p w14:paraId="5E76508D" w14:textId="77777777" w:rsidR="00A0251B" w:rsidRPr="00CC35F0" w:rsidRDefault="00A0251B">
            <w:pPr>
              <w:shd w:val="clear" w:color="auto" w:fill="FFFFFF"/>
              <w:rPr>
                <w:rFonts w:ascii="Times New Roman" w:eastAsia="Times New Roman" w:hAnsi="Times New Roman"/>
                <w:sz w:val="24"/>
                <w:szCs w:val="24"/>
                <w:lang w:val="sr-Cyrl-CS"/>
              </w:rPr>
            </w:pPr>
          </w:p>
        </w:tc>
        <w:tc>
          <w:tcPr>
            <w:tcW w:w="1462" w:type="dxa"/>
            <w:shd w:val="clear" w:color="auto" w:fill="FFFFFF"/>
          </w:tcPr>
          <w:p w14:paraId="7BFD218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План </w:t>
            </w:r>
            <w:r w:rsidRPr="00CC35F0">
              <w:rPr>
                <w:rFonts w:ascii="Times New Roman" w:eastAsia="Times New Roman" w:hAnsi="Times New Roman"/>
                <w:lang w:val="sr-Cyrl-CS"/>
              </w:rPr>
              <w:t>мониторинга</w:t>
            </w:r>
            <w:r w:rsidRPr="00CC35F0">
              <w:rPr>
                <w:rFonts w:ascii="Times New Roman" w:eastAsia="Times New Roman" w:hAnsi="Times New Roman"/>
                <w:sz w:val="24"/>
                <w:szCs w:val="24"/>
                <w:lang w:val="sr-Cyrl-CS"/>
              </w:rPr>
              <w:t xml:space="preserve">  за спровођење VOC петрол Директива </w:t>
            </w:r>
            <w:r w:rsidRPr="00CC35F0">
              <w:rPr>
                <w:rFonts w:ascii="Times New Roman" w:eastAsia="Times New Roman" w:hAnsi="Times New Roman"/>
                <w:sz w:val="24"/>
                <w:szCs w:val="24"/>
                <w:vertAlign w:val="superscript"/>
                <w:lang w:val="sr-Cyrl-CS"/>
              </w:rPr>
              <w:footnoteReference w:id="90"/>
            </w:r>
          </w:p>
        </w:tc>
        <w:tc>
          <w:tcPr>
            <w:tcW w:w="1357" w:type="dxa"/>
            <w:shd w:val="clear" w:color="auto" w:fill="FFFFFF"/>
          </w:tcPr>
          <w:p w14:paraId="38FC8FB0" w14:textId="77777777" w:rsidR="00A0251B" w:rsidRPr="00CC35F0" w:rsidRDefault="00A0251B">
            <w:pPr>
              <w:shd w:val="clear" w:color="auto" w:fill="FFFFFF"/>
              <w:rPr>
                <w:rFonts w:ascii="Times New Roman" w:eastAsia="Times New Roman" w:hAnsi="Times New Roman"/>
                <w:sz w:val="24"/>
                <w:szCs w:val="24"/>
                <w:lang w:val="sr-Cyrl-CS"/>
              </w:rPr>
            </w:pPr>
          </w:p>
          <w:p w14:paraId="4C2123C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269" w:type="dxa"/>
            <w:shd w:val="clear" w:color="auto" w:fill="FFFFFF"/>
          </w:tcPr>
          <w:p w14:paraId="2E66AF7C" w14:textId="77777777" w:rsidR="00A0251B" w:rsidRPr="00CC35F0" w:rsidRDefault="00A0251B">
            <w:pPr>
              <w:shd w:val="clear" w:color="auto" w:fill="FFFFFF"/>
              <w:rPr>
                <w:rFonts w:ascii="Times New Roman" w:eastAsia="Times New Roman" w:hAnsi="Times New Roman"/>
                <w:sz w:val="24"/>
                <w:szCs w:val="24"/>
                <w:lang w:val="sr-Cyrl-CS"/>
              </w:rPr>
            </w:pPr>
          </w:p>
          <w:p w14:paraId="3466FD3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w:t>
            </w:r>
          </w:p>
        </w:tc>
        <w:tc>
          <w:tcPr>
            <w:tcW w:w="1263" w:type="dxa"/>
            <w:shd w:val="clear" w:color="auto" w:fill="FFFFFF"/>
          </w:tcPr>
          <w:p w14:paraId="6E0DFB27" w14:textId="77777777" w:rsidR="00A0251B" w:rsidRPr="00CC35F0" w:rsidRDefault="00A0251B">
            <w:pPr>
              <w:shd w:val="clear" w:color="auto" w:fill="FFFFFF"/>
              <w:rPr>
                <w:rFonts w:ascii="Times New Roman" w:eastAsia="Times New Roman" w:hAnsi="Times New Roman"/>
                <w:sz w:val="24"/>
                <w:szCs w:val="24"/>
                <w:lang w:val="sr-Cyrl-CS"/>
              </w:rPr>
            </w:pPr>
          </w:p>
          <w:p w14:paraId="2968F9E3"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30 </w:t>
            </w:r>
          </w:p>
        </w:tc>
        <w:tc>
          <w:tcPr>
            <w:tcW w:w="1381" w:type="dxa"/>
            <w:shd w:val="clear" w:color="auto" w:fill="FFFFFF"/>
          </w:tcPr>
          <w:p w14:paraId="3B47308A" w14:textId="77777777" w:rsidR="00A0251B" w:rsidRPr="00CC35F0" w:rsidRDefault="00A0251B">
            <w:pPr>
              <w:shd w:val="clear" w:color="auto" w:fill="FFFFFF"/>
              <w:rPr>
                <w:rFonts w:ascii="Times New Roman" w:eastAsia="Times New Roman" w:hAnsi="Times New Roman"/>
                <w:sz w:val="24"/>
                <w:szCs w:val="24"/>
                <w:lang w:val="sr-Cyrl-CS"/>
              </w:rPr>
            </w:pPr>
          </w:p>
          <w:p w14:paraId="351DE50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45</w:t>
            </w:r>
          </w:p>
        </w:tc>
        <w:tc>
          <w:tcPr>
            <w:tcW w:w="1580" w:type="dxa"/>
            <w:shd w:val="clear" w:color="auto" w:fill="FFFFFF"/>
          </w:tcPr>
          <w:p w14:paraId="56E79DD9" w14:textId="77777777" w:rsidR="00A0251B" w:rsidRPr="00CC35F0" w:rsidRDefault="00A0251B">
            <w:pPr>
              <w:shd w:val="clear" w:color="auto" w:fill="FFFFFF"/>
              <w:rPr>
                <w:rFonts w:ascii="Times New Roman" w:eastAsia="Times New Roman" w:hAnsi="Times New Roman"/>
                <w:sz w:val="24"/>
                <w:szCs w:val="24"/>
                <w:lang w:val="sr-Cyrl-CS"/>
              </w:rPr>
            </w:pPr>
          </w:p>
          <w:p w14:paraId="0E9F6E0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60 </w:t>
            </w:r>
          </w:p>
        </w:tc>
        <w:tc>
          <w:tcPr>
            <w:tcW w:w="1508" w:type="dxa"/>
            <w:shd w:val="clear" w:color="auto" w:fill="FFFFFF"/>
          </w:tcPr>
          <w:p w14:paraId="154D582B" w14:textId="77777777" w:rsidR="00A0251B" w:rsidRPr="00CC35F0" w:rsidRDefault="00A0251B">
            <w:pPr>
              <w:shd w:val="clear" w:color="auto" w:fill="FFFFFF"/>
              <w:rPr>
                <w:rFonts w:ascii="Times New Roman" w:eastAsia="Times New Roman" w:hAnsi="Times New Roman"/>
                <w:sz w:val="24"/>
                <w:szCs w:val="24"/>
                <w:lang w:val="sr-Cyrl-CS"/>
              </w:rPr>
            </w:pPr>
          </w:p>
          <w:p w14:paraId="533C17A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85</w:t>
            </w:r>
          </w:p>
        </w:tc>
      </w:tr>
    </w:tbl>
    <w:p w14:paraId="5215A87C" w14:textId="77777777" w:rsidR="00A0251B" w:rsidRPr="00CC35F0" w:rsidRDefault="00A0251B">
      <w:pPr>
        <w:rPr>
          <w:rFonts w:ascii="Times New Roman" w:eastAsia="Times New Roman" w:hAnsi="Times New Roman"/>
          <w:sz w:val="24"/>
          <w:szCs w:val="24"/>
          <w:lang w:val="sr-Cyrl-CS"/>
        </w:rPr>
      </w:pPr>
    </w:p>
    <w:tbl>
      <w:tblPr>
        <w:tblStyle w:val="afff3"/>
        <w:tblW w:w="13876"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673"/>
        <w:gridCol w:w="2784"/>
        <w:gridCol w:w="1465"/>
        <w:gridCol w:w="1560"/>
        <w:gridCol w:w="1325"/>
        <w:gridCol w:w="1513"/>
        <w:gridCol w:w="1556"/>
      </w:tblGrid>
      <w:tr w:rsidR="00A0251B" w:rsidRPr="00CC35F0" w14:paraId="60E0F812" w14:textId="77777777">
        <w:trPr>
          <w:trHeight w:val="227"/>
        </w:trPr>
        <w:tc>
          <w:tcPr>
            <w:tcW w:w="3674" w:type="dxa"/>
            <w:vMerge w:val="restart"/>
            <w:shd w:val="clear" w:color="auto" w:fill="A8D08D"/>
          </w:tcPr>
          <w:p w14:paraId="23ED764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67DFB52B" w14:textId="77777777" w:rsidR="00A0251B" w:rsidRPr="00CC35F0" w:rsidRDefault="00A0251B">
            <w:pPr>
              <w:jc w:val="center"/>
              <w:rPr>
                <w:rFonts w:ascii="Times New Roman" w:eastAsia="Times New Roman" w:hAnsi="Times New Roman"/>
                <w:sz w:val="24"/>
                <w:szCs w:val="24"/>
                <w:lang w:val="sr-Cyrl-CS"/>
              </w:rPr>
            </w:pPr>
          </w:p>
        </w:tc>
        <w:tc>
          <w:tcPr>
            <w:tcW w:w="2784" w:type="dxa"/>
            <w:vMerge w:val="restart"/>
            <w:shd w:val="clear" w:color="auto" w:fill="A8D08D"/>
          </w:tcPr>
          <w:p w14:paraId="0C362CF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7419" w:type="dxa"/>
            <w:gridSpan w:val="5"/>
            <w:shd w:val="clear" w:color="auto" w:fill="A8D08D"/>
            <w:vAlign w:val="center"/>
          </w:tcPr>
          <w:p w14:paraId="1568646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3E4C21AF" w14:textId="77777777">
        <w:trPr>
          <w:trHeight w:val="227"/>
        </w:trPr>
        <w:tc>
          <w:tcPr>
            <w:tcW w:w="3674" w:type="dxa"/>
            <w:vMerge/>
            <w:shd w:val="clear" w:color="auto" w:fill="A8D08D"/>
          </w:tcPr>
          <w:p w14:paraId="3199A1E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784" w:type="dxa"/>
            <w:vMerge/>
            <w:shd w:val="clear" w:color="auto" w:fill="A8D08D"/>
          </w:tcPr>
          <w:p w14:paraId="6DE5132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65" w:type="dxa"/>
            <w:shd w:val="clear" w:color="auto" w:fill="A8D08D"/>
            <w:vAlign w:val="center"/>
          </w:tcPr>
          <w:p w14:paraId="081D93A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560" w:type="dxa"/>
            <w:shd w:val="clear" w:color="auto" w:fill="A8D08D"/>
            <w:vAlign w:val="center"/>
          </w:tcPr>
          <w:p w14:paraId="71B5E2C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325" w:type="dxa"/>
            <w:shd w:val="clear" w:color="auto" w:fill="A8D08D"/>
            <w:vAlign w:val="center"/>
          </w:tcPr>
          <w:p w14:paraId="69CAC5B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513" w:type="dxa"/>
            <w:shd w:val="clear" w:color="auto" w:fill="A8D08D"/>
            <w:vAlign w:val="center"/>
          </w:tcPr>
          <w:p w14:paraId="230FBF0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556" w:type="dxa"/>
            <w:shd w:val="clear" w:color="auto" w:fill="A8D08D"/>
            <w:vAlign w:val="center"/>
          </w:tcPr>
          <w:p w14:paraId="2E20E05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31C6CA6C" w14:textId="77777777">
        <w:trPr>
          <w:trHeight w:val="398"/>
        </w:trPr>
        <w:tc>
          <w:tcPr>
            <w:tcW w:w="3674" w:type="dxa"/>
            <w:shd w:val="clear" w:color="auto" w:fill="FFFFFF"/>
          </w:tcPr>
          <w:p w14:paraId="09B4FE8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tc>
        <w:tc>
          <w:tcPr>
            <w:tcW w:w="2784" w:type="dxa"/>
            <w:shd w:val="clear" w:color="auto" w:fill="FFFFFF"/>
          </w:tcPr>
          <w:p w14:paraId="7F948316" w14:textId="77777777" w:rsidR="00A0251B" w:rsidRPr="00CC35F0" w:rsidRDefault="00A0251B">
            <w:pPr>
              <w:rPr>
                <w:rFonts w:ascii="Times New Roman" w:eastAsia="Times New Roman" w:hAnsi="Times New Roman"/>
                <w:sz w:val="24"/>
                <w:szCs w:val="24"/>
                <w:lang w:val="sr-Cyrl-CS"/>
              </w:rPr>
            </w:pPr>
          </w:p>
        </w:tc>
        <w:tc>
          <w:tcPr>
            <w:tcW w:w="1465" w:type="dxa"/>
            <w:shd w:val="clear" w:color="auto" w:fill="FFFFFF"/>
          </w:tcPr>
          <w:p w14:paraId="7F75D63A" w14:textId="77777777" w:rsidR="00A0251B" w:rsidRPr="00CC35F0" w:rsidRDefault="00A0251B">
            <w:pPr>
              <w:jc w:val="right"/>
              <w:rPr>
                <w:rFonts w:ascii="Times New Roman" w:eastAsia="Times New Roman" w:hAnsi="Times New Roman"/>
                <w:sz w:val="24"/>
                <w:szCs w:val="24"/>
                <w:lang w:val="sr-Cyrl-CS"/>
              </w:rPr>
            </w:pPr>
          </w:p>
        </w:tc>
        <w:tc>
          <w:tcPr>
            <w:tcW w:w="1560" w:type="dxa"/>
            <w:shd w:val="clear" w:color="auto" w:fill="FFFFFF"/>
          </w:tcPr>
          <w:p w14:paraId="66A87D5B" w14:textId="77777777" w:rsidR="00A0251B" w:rsidRPr="00CC35F0" w:rsidRDefault="00A0251B">
            <w:pPr>
              <w:jc w:val="right"/>
              <w:rPr>
                <w:rFonts w:ascii="Times New Roman" w:eastAsia="Times New Roman" w:hAnsi="Times New Roman"/>
                <w:sz w:val="24"/>
                <w:szCs w:val="24"/>
                <w:lang w:val="sr-Cyrl-CS"/>
              </w:rPr>
            </w:pPr>
          </w:p>
        </w:tc>
        <w:tc>
          <w:tcPr>
            <w:tcW w:w="1325" w:type="dxa"/>
            <w:shd w:val="clear" w:color="auto" w:fill="FFFFFF"/>
          </w:tcPr>
          <w:p w14:paraId="68DE09DC" w14:textId="77777777" w:rsidR="00A0251B" w:rsidRPr="00CC35F0" w:rsidRDefault="00A0251B">
            <w:pPr>
              <w:jc w:val="right"/>
              <w:rPr>
                <w:rFonts w:ascii="Times New Roman" w:eastAsia="Times New Roman" w:hAnsi="Times New Roman"/>
                <w:sz w:val="24"/>
                <w:szCs w:val="24"/>
                <w:lang w:val="sr-Cyrl-CS"/>
              </w:rPr>
            </w:pPr>
          </w:p>
        </w:tc>
        <w:tc>
          <w:tcPr>
            <w:tcW w:w="1513" w:type="dxa"/>
            <w:shd w:val="clear" w:color="auto" w:fill="FFFFFF"/>
          </w:tcPr>
          <w:p w14:paraId="292D3C27" w14:textId="77777777" w:rsidR="00A0251B" w:rsidRPr="00CC35F0" w:rsidRDefault="00A0251B">
            <w:pPr>
              <w:jc w:val="right"/>
              <w:rPr>
                <w:rFonts w:ascii="Times New Roman" w:eastAsia="Times New Roman" w:hAnsi="Times New Roman"/>
                <w:sz w:val="24"/>
                <w:szCs w:val="24"/>
                <w:lang w:val="sr-Cyrl-CS"/>
              </w:rPr>
            </w:pPr>
          </w:p>
        </w:tc>
        <w:tc>
          <w:tcPr>
            <w:tcW w:w="1556" w:type="dxa"/>
            <w:shd w:val="clear" w:color="auto" w:fill="FFFFFF"/>
          </w:tcPr>
          <w:p w14:paraId="476967FA" w14:textId="77777777" w:rsidR="00A0251B" w:rsidRPr="00CC35F0" w:rsidRDefault="00A0251B">
            <w:pPr>
              <w:jc w:val="right"/>
              <w:rPr>
                <w:rFonts w:ascii="Times New Roman" w:eastAsia="Times New Roman" w:hAnsi="Times New Roman"/>
                <w:sz w:val="24"/>
                <w:szCs w:val="24"/>
                <w:lang w:val="sr-Cyrl-CS"/>
              </w:rPr>
            </w:pPr>
          </w:p>
        </w:tc>
      </w:tr>
      <w:tr w:rsidR="00A0251B" w:rsidRPr="00CC35F0" w14:paraId="4CE1A1C6" w14:textId="77777777">
        <w:trPr>
          <w:trHeight w:val="398"/>
        </w:trPr>
        <w:tc>
          <w:tcPr>
            <w:tcW w:w="3674" w:type="dxa"/>
            <w:shd w:val="clear" w:color="auto" w:fill="FFFFFF"/>
          </w:tcPr>
          <w:p w14:paraId="32505A9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2784" w:type="dxa"/>
            <w:shd w:val="clear" w:color="auto" w:fill="FFFFFF"/>
          </w:tcPr>
          <w:p w14:paraId="4FB02606" w14:textId="77777777" w:rsidR="00A0251B" w:rsidRPr="00CC35F0" w:rsidRDefault="008D6506">
            <w:pP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донаторска средства</w:t>
            </w:r>
          </w:p>
        </w:tc>
        <w:tc>
          <w:tcPr>
            <w:tcW w:w="1465" w:type="dxa"/>
            <w:shd w:val="clear" w:color="auto" w:fill="FFFFFF"/>
          </w:tcPr>
          <w:p w14:paraId="33AFA5D9" w14:textId="77777777" w:rsidR="00A0251B" w:rsidRPr="00CC35F0" w:rsidRDefault="00A0251B">
            <w:pPr>
              <w:jc w:val="right"/>
              <w:rPr>
                <w:rFonts w:ascii="Times New Roman" w:eastAsia="Times New Roman" w:hAnsi="Times New Roman"/>
                <w:sz w:val="24"/>
                <w:szCs w:val="24"/>
                <w:lang w:val="sr-Cyrl-CS"/>
              </w:rPr>
            </w:pPr>
          </w:p>
        </w:tc>
        <w:tc>
          <w:tcPr>
            <w:tcW w:w="1560" w:type="dxa"/>
            <w:shd w:val="clear" w:color="auto" w:fill="FFFFFF"/>
          </w:tcPr>
          <w:p w14:paraId="747A3E5C" w14:textId="77777777" w:rsidR="00A0251B" w:rsidRPr="00CC35F0" w:rsidRDefault="001A68DB">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w:t>
            </w:r>
            <w:r w:rsidR="006733E6"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750</w:t>
            </w:r>
            <w:r w:rsidR="008D6506" w:rsidRPr="00CC35F0">
              <w:rPr>
                <w:rFonts w:ascii="Times New Roman" w:eastAsia="Times New Roman" w:hAnsi="Times New Roman"/>
                <w:sz w:val="24"/>
                <w:szCs w:val="24"/>
                <w:lang w:val="sr-Cyrl-CS"/>
              </w:rPr>
              <w:t>*</w:t>
            </w:r>
          </w:p>
        </w:tc>
        <w:tc>
          <w:tcPr>
            <w:tcW w:w="1325" w:type="dxa"/>
            <w:shd w:val="clear" w:color="auto" w:fill="FFFFFF"/>
          </w:tcPr>
          <w:p w14:paraId="10B74909" w14:textId="77777777" w:rsidR="00A0251B" w:rsidRPr="00CC35F0" w:rsidRDefault="00A0251B">
            <w:pPr>
              <w:jc w:val="right"/>
              <w:rPr>
                <w:rFonts w:ascii="Times New Roman" w:eastAsia="Times New Roman" w:hAnsi="Times New Roman"/>
                <w:sz w:val="24"/>
                <w:szCs w:val="24"/>
                <w:lang w:val="sr-Cyrl-CS"/>
              </w:rPr>
            </w:pPr>
          </w:p>
        </w:tc>
        <w:tc>
          <w:tcPr>
            <w:tcW w:w="1513" w:type="dxa"/>
            <w:shd w:val="clear" w:color="auto" w:fill="FFFFFF"/>
          </w:tcPr>
          <w:p w14:paraId="62798A40" w14:textId="77777777" w:rsidR="00A0251B" w:rsidRPr="00CC35F0" w:rsidRDefault="00A0251B">
            <w:pPr>
              <w:jc w:val="right"/>
              <w:rPr>
                <w:rFonts w:ascii="Times New Roman" w:eastAsia="Times New Roman" w:hAnsi="Times New Roman"/>
                <w:sz w:val="24"/>
                <w:szCs w:val="24"/>
                <w:lang w:val="sr-Cyrl-CS"/>
              </w:rPr>
            </w:pPr>
          </w:p>
        </w:tc>
        <w:tc>
          <w:tcPr>
            <w:tcW w:w="1556" w:type="dxa"/>
            <w:shd w:val="clear" w:color="auto" w:fill="FFFFFF"/>
          </w:tcPr>
          <w:p w14:paraId="6BB9AAFD" w14:textId="77777777" w:rsidR="00A0251B" w:rsidRPr="00CC35F0" w:rsidRDefault="00A0251B">
            <w:pPr>
              <w:jc w:val="right"/>
              <w:rPr>
                <w:rFonts w:ascii="Times New Roman" w:eastAsia="Times New Roman" w:hAnsi="Times New Roman"/>
                <w:sz w:val="24"/>
                <w:szCs w:val="24"/>
                <w:lang w:val="sr-Cyrl-CS"/>
              </w:rPr>
            </w:pPr>
          </w:p>
        </w:tc>
      </w:tr>
    </w:tbl>
    <w:p w14:paraId="0707F822" w14:textId="77777777" w:rsidR="00A0251B" w:rsidRPr="00CC35F0" w:rsidRDefault="00A0251B">
      <w:pPr>
        <w:rPr>
          <w:rFonts w:ascii="Times New Roman" w:eastAsia="Times New Roman" w:hAnsi="Times New Roman"/>
          <w:sz w:val="24"/>
          <w:szCs w:val="24"/>
          <w:lang w:val="sr-Cyrl-CS"/>
        </w:rPr>
      </w:pPr>
    </w:p>
    <w:tbl>
      <w:tblPr>
        <w:tblStyle w:val="afff4"/>
        <w:tblW w:w="14154"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1793"/>
        <w:gridCol w:w="1246"/>
        <w:gridCol w:w="1698"/>
        <w:gridCol w:w="1427"/>
        <w:gridCol w:w="1791"/>
        <w:gridCol w:w="1565"/>
        <w:gridCol w:w="920"/>
        <w:gridCol w:w="920"/>
        <w:gridCol w:w="954"/>
        <w:gridCol w:w="920"/>
        <w:gridCol w:w="920"/>
      </w:tblGrid>
      <w:tr w:rsidR="00A0251B" w:rsidRPr="00CC35F0" w14:paraId="109912BB" w14:textId="77777777">
        <w:trPr>
          <w:trHeight w:val="140"/>
        </w:trPr>
        <w:tc>
          <w:tcPr>
            <w:tcW w:w="1793"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57C6E39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Назив активности:</w:t>
            </w:r>
          </w:p>
        </w:tc>
        <w:tc>
          <w:tcPr>
            <w:tcW w:w="1246"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4166E1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69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6B89B4A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42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1CE45E2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79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FFC14B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4B4A76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2187B161" w14:textId="77777777" w:rsidR="00A0251B" w:rsidRPr="00CC35F0" w:rsidRDefault="00A0251B">
            <w:pPr>
              <w:jc w:val="center"/>
              <w:rPr>
                <w:rFonts w:ascii="Times New Roman" w:eastAsia="Times New Roman" w:hAnsi="Times New Roman"/>
                <w:sz w:val="24"/>
                <w:szCs w:val="24"/>
                <w:lang w:val="sr-Cyrl-CS"/>
              </w:rPr>
            </w:pPr>
          </w:p>
        </w:tc>
        <w:tc>
          <w:tcPr>
            <w:tcW w:w="4634" w:type="dxa"/>
            <w:gridSpan w:val="5"/>
            <w:tcBorders>
              <w:top w:val="single" w:sz="4" w:space="0" w:color="000000"/>
              <w:left w:val="single" w:sz="4" w:space="0" w:color="000000"/>
              <w:bottom w:val="single" w:sz="4" w:space="0" w:color="000000"/>
              <w:right w:val="single" w:sz="4" w:space="0" w:color="000000"/>
            </w:tcBorders>
            <w:shd w:val="clear" w:color="auto" w:fill="FFF2CC"/>
          </w:tcPr>
          <w:p w14:paraId="6DAC933A" w14:textId="77777777" w:rsidR="00A0251B" w:rsidRPr="00CC35F0" w:rsidRDefault="008D6506">
            <w:pPr>
              <w:jc w:val="cente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006733E6" w:rsidRPr="00CC35F0">
              <w:rPr>
                <w:rFonts w:ascii="Times New Roman" w:eastAsia="Times New Roman" w:hAnsi="Times New Roman"/>
                <w:sz w:val="24"/>
                <w:szCs w:val="24"/>
                <w:vertAlign w:val="superscript"/>
                <w:lang w:val="sr-Cyrl-CS"/>
              </w:rPr>
              <w:t>82</w:t>
            </w:r>
          </w:p>
        </w:tc>
      </w:tr>
      <w:tr w:rsidR="00A0251B" w:rsidRPr="00CC35F0" w14:paraId="66ECBCCC" w14:textId="77777777">
        <w:trPr>
          <w:trHeight w:val="386"/>
        </w:trPr>
        <w:tc>
          <w:tcPr>
            <w:tcW w:w="1793" w:type="dxa"/>
            <w:vMerge/>
            <w:tcBorders>
              <w:top w:val="single" w:sz="4" w:space="0" w:color="000000"/>
              <w:left w:val="single" w:sz="4" w:space="0" w:color="000000"/>
              <w:bottom w:val="single" w:sz="4" w:space="0" w:color="000000"/>
              <w:right w:val="single" w:sz="4" w:space="0" w:color="000000"/>
            </w:tcBorders>
            <w:shd w:val="clear" w:color="auto" w:fill="FFF2CC"/>
          </w:tcPr>
          <w:p w14:paraId="5B7050BF"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246" w:type="dxa"/>
            <w:vMerge/>
            <w:tcBorders>
              <w:top w:val="single" w:sz="4" w:space="0" w:color="000000"/>
              <w:left w:val="single" w:sz="4" w:space="0" w:color="000000"/>
              <w:bottom w:val="single" w:sz="4" w:space="0" w:color="000000"/>
              <w:right w:val="single" w:sz="4" w:space="0" w:color="000000"/>
            </w:tcBorders>
            <w:shd w:val="clear" w:color="auto" w:fill="FFF2CC"/>
          </w:tcPr>
          <w:p w14:paraId="7ED68DC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98" w:type="dxa"/>
            <w:vMerge/>
            <w:tcBorders>
              <w:top w:val="single" w:sz="4" w:space="0" w:color="000000"/>
              <w:left w:val="single" w:sz="4" w:space="0" w:color="000000"/>
              <w:bottom w:val="single" w:sz="4" w:space="0" w:color="000000"/>
              <w:right w:val="single" w:sz="4" w:space="0" w:color="000000"/>
            </w:tcBorders>
            <w:shd w:val="clear" w:color="auto" w:fill="FFF2CC"/>
          </w:tcPr>
          <w:p w14:paraId="080A9FD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7" w:type="dxa"/>
            <w:vMerge/>
            <w:tcBorders>
              <w:top w:val="single" w:sz="4" w:space="0" w:color="000000"/>
              <w:left w:val="single" w:sz="4" w:space="0" w:color="000000"/>
              <w:bottom w:val="single" w:sz="4" w:space="0" w:color="000000"/>
              <w:right w:val="single" w:sz="4" w:space="0" w:color="000000"/>
            </w:tcBorders>
            <w:shd w:val="clear" w:color="auto" w:fill="FFF2CC"/>
          </w:tcPr>
          <w:p w14:paraId="1AA358D2"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91" w:type="dxa"/>
            <w:vMerge/>
            <w:tcBorders>
              <w:top w:val="single" w:sz="4" w:space="0" w:color="000000"/>
              <w:left w:val="single" w:sz="4" w:space="0" w:color="000000"/>
              <w:bottom w:val="single" w:sz="4" w:space="0" w:color="000000"/>
              <w:right w:val="single" w:sz="4" w:space="0" w:color="000000"/>
            </w:tcBorders>
            <w:shd w:val="clear" w:color="auto" w:fill="FFF2CC"/>
          </w:tcPr>
          <w:p w14:paraId="079335F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5" w:type="dxa"/>
            <w:vMerge/>
            <w:tcBorders>
              <w:top w:val="single" w:sz="4" w:space="0" w:color="000000"/>
              <w:left w:val="single" w:sz="4" w:space="0" w:color="000000"/>
              <w:bottom w:val="single" w:sz="4" w:space="0" w:color="000000"/>
              <w:right w:val="single" w:sz="4" w:space="0" w:color="000000"/>
            </w:tcBorders>
            <w:shd w:val="clear" w:color="auto" w:fill="FFF2CC"/>
          </w:tcPr>
          <w:p w14:paraId="358A6873"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19D5D93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3BFA2FB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54" w:type="dxa"/>
            <w:tcBorders>
              <w:top w:val="single" w:sz="4" w:space="0" w:color="000000"/>
              <w:left w:val="single" w:sz="4" w:space="0" w:color="000000"/>
              <w:bottom w:val="single" w:sz="4" w:space="0" w:color="000000"/>
              <w:right w:val="single" w:sz="4" w:space="0" w:color="000000"/>
            </w:tcBorders>
            <w:shd w:val="clear" w:color="auto" w:fill="FFF2CC"/>
          </w:tcPr>
          <w:p w14:paraId="0804CC6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3B2183B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0FC72BE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06395979" w14:textId="77777777">
        <w:trPr>
          <w:trHeight w:val="543"/>
        </w:trPr>
        <w:tc>
          <w:tcPr>
            <w:tcW w:w="1793" w:type="dxa"/>
          </w:tcPr>
          <w:p w14:paraId="2313C39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1.1.9.1 Завршетак плана правне транспозиције </w:t>
            </w:r>
            <w:r w:rsidRPr="00CC35F0">
              <w:rPr>
                <w:rFonts w:ascii="Times New Roman" w:eastAsia="Times New Roman" w:hAnsi="Times New Roman"/>
                <w:sz w:val="24"/>
                <w:szCs w:val="24"/>
                <w:lang w:val="sr-Cyrl-CS"/>
              </w:rPr>
              <w:lastRenderedPageBreak/>
              <w:t>за VOC петрол Директиве 1994/63/EЗ и 2009/126/EЗ</w:t>
            </w:r>
          </w:p>
        </w:tc>
        <w:tc>
          <w:tcPr>
            <w:tcW w:w="1246" w:type="dxa"/>
          </w:tcPr>
          <w:p w14:paraId="484242E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МЗЖС</w:t>
            </w:r>
          </w:p>
        </w:tc>
        <w:tc>
          <w:tcPr>
            <w:tcW w:w="1698" w:type="dxa"/>
          </w:tcPr>
          <w:p w14:paraId="310D7EB9"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Министарство рударства и енергетике </w:t>
            </w:r>
          </w:p>
          <w:p w14:paraId="6DC33AC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АЗЖС</w:t>
            </w:r>
          </w:p>
        </w:tc>
        <w:tc>
          <w:tcPr>
            <w:tcW w:w="1427" w:type="dxa"/>
          </w:tcPr>
          <w:p w14:paraId="75B2A74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2023</w:t>
            </w:r>
          </w:p>
        </w:tc>
        <w:tc>
          <w:tcPr>
            <w:tcW w:w="1791" w:type="dxa"/>
          </w:tcPr>
          <w:p w14:paraId="61C8379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65" w:type="dxa"/>
          </w:tcPr>
          <w:p w14:paraId="590A86B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03DFA814"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363FA936" w14:textId="77777777" w:rsidR="00A0251B" w:rsidRPr="00CC35F0" w:rsidRDefault="001A68DB" w:rsidP="001A68DB">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w:t>
            </w:r>
            <w:r w:rsidR="006733E6"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750</w:t>
            </w:r>
          </w:p>
        </w:tc>
        <w:tc>
          <w:tcPr>
            <w:tcW w:w="954" w:type="dxa"/>
          </w:tcPr>
          <w:p w14:paraId="434B3AF5"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3821A7A4"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7E2901DC" w14:textId="77777777" w:rsidR="00A0251B" w:rsidRPr="00CC35F0" w:rsidRDefault="00A0251B">
            <w:pPr>
              <w:jc w:val="right"/>
              <w:rPr>
                <w:rFonts w:ascii="Times New Roman" w:eastAsia="Times New Roman" w:hAnsi="Times New Roman"/>
                <w:sz w:val="24"/>
                <w:szCs w:val="24"/>
                <w:lang w:val="sr-Cyrl-CS"/>
              </w:rPr>
            </w:pPr>
          </w:p>
        </w:tc>
      </w:tr>
      <w:tr w:rsidR="00A0251B" w:rsidRPr="00CC35F0" w14:paraId="538E10FF" w14:textId="77777777">
        <w:trPr>
          <w:trHeight w:val="140"/>
        </w:trPr>
        <w:tc>
          <w:tcPr>
            <w:tcW w:w="1793" w:type="dxa"/>
          </w:tcPr>
          <w:p w14:paraId="612A36D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1.1.9.2 Повећање броја запослених у АЗЖС и МЗЖС за спровођење Директива.</w:t>
            </w:r>
          </w:p>
        </w:tc>
        <w:tc>
          <w:tcPr>
            <w:tcW w:w="1246" w:type="dxa"/>
          </w:tcPr>
          <w:p w14:paraId="2B87E08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698" w:type="dxa"/>
          </w:tcPr>
          <w:p w14:paraId="16BD7AE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p>
        </w:tc>
        <w:tc>
          <w:tcPr>
            <w:tcW w:w="1427" w:type="dxa"/>
          </w:tcPr>
          <w:p w14:paraId="7E1FC96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2023</w:t>
            </w:r>
          </w:p>
        </w:tc>
        <w:tc>
          <w:tcPr>
            <w:tcW w:w="1791" w:type="dxa"/>
          </w:tcPr>
          <w:p w14:paraId="247F439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565" w:type="dxa"/>
          </w:tcPr>
          <w:p w14:paraId="4150245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0404-560-0002-411</w:t>
            </w:r>
          </w:p>
        </w:tc>
        <w:tc>
          <w:tcPr>
            <w:tcW w:w="920" w:type="dxa"/>
          </w:tcPr>
          <w:p w14:paraId="3A8DD699" w14:textId="77777777" w:rsidR="00A0251B" w:rsidRPr="00CC35F0" w:rsidRDefault="00A0251B">
            <w:pPr>
              <w:jc w:val="right"/>
              <w:rPr>
                <w:rFonts w:ascii="Times New Roman" w:eastAsia="Times New Roman" w:hAnsi="Times New Roman"/>
                <w:sz w:val="24"/>
                <w:szCs w:val="24"/>
                <w:lang w:val="sr-Cyrl-CS"/>
              </w:rPr>
            </w:pPr>
          </w:p>
        </w:tc>
        <w:tc>
          <w:tcPr>
            <w:tcW w:w="920" w:type="dxa"/>
          </w:tcPr>
          <w:p w14:paraId="6E6E74A2" w14:textId="77777777" w:rsidR="00A0251B" w:rsidRPr="00CC35F0" w:rsidRDefault="00A0251B">
            <w:pPr>
              <w:jc w:val="right"/>
              <w:rPr>
                <w:rFonts w:ascii="Times New Roman" w:eastAsia="Times New Roman" w:hAnsi="Times New Roman"/>
                <w:sz w:val="24"/>
                <w:szCs w:val="24"/>
                <w:lang w:val="sr-Cyrl-CS"/>
              </w:rPr>
            </w:pPr>
          </w:p>
        </w:tc>
        <w:tc>
          <w:tcPr>
            <w:tcW w:w="954" w:type="dxa"/>
          </w:tcPr>
          <w:p w14:paraId="1E7D6EE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footnoteReference w:id="91"/>
            </w:r>
          </w:p>
        </w:tc>
        <w:tc>
          <w:tcPr>
            <w:tcW w:w="920" w:type="dxa"/>
          </w:tcPr>
          <w:p w14:paraId="4D13635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920" w:type="dxa"/>
          </w:tcPr>
          <w:p w14:paraId="7BD5C90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r>
      <w:tr w:rsidR="00A0251B" w:rsidRPr="00CC35F0" w14:paraId="03F5A658" w14:textId="77777777">
        <w:trPr>
          <w:trHeight w:val="140"/>
        </w:trPr>
        <w:tc>
          <w:tcPr>
            <w:tcW w:w="1793" w:type="dxa"/>
            <w:shd w:val="clear" w:color="auto" w:fill="auto"/>
          </w:tcPr>
          <w:p w14:paraId="0C2EDF6E"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1.1.9.3 Спровођење система за сакупљање пара у снабдевању, транспорту и дистрибуцији бензина.</w:t>
            </w:r>
            <w:r w:rsidR="006733E6" w:rsidRPr="00CC35F0">
              <w:rPr>
                <w:rFonts w:ascii="Times New Roman" w:eastAsia="Times New Roman" w:hAnsi="Times New Roman"/>
                <w:sz w:val="24"/>
                <w:szCs w:val="24"/>
                <w:vertAlign w:val="superscript"/>
                <w:lang w:val="sr-Cyrl-CS"/>
              </w:rPr>
              <w:t>#</w:t>
            </w:r>
          </w:p>
        </w:tc>
        <w:tc>
          <w:tcPr>
            <w:tcW w:w="1246" w:type="dxa"/>
          </w:tcPr>
          <w:p w14:paraId="7D3E3BC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698" w:type="dxa"/>
          </w:tcPr>
          <w:p w14:paraId="5789143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Министарство рударства и енергетике</w:t>
            </w:r>
          </w:p>
        </w:tc>
        <w:tc>
          <w:tcPr>
            <w:tcW w:w="1427" w:type="dxa"/>
          </w:tcPr>
          <w:p w14:paraId="40D88B3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791" w:type="dxa"/>
          </w:tcPr>
          <w:p w14:paraId="4E61C10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r w:rsidRPr="00CC35F0">
              <w:rPr>
                <w:rFonts w:ascii="Times New Roman" w:eastAsia="Times New Roman" w:hAnsi="Times New Roman"/>
                <w:sz w:val="24"/>
                <w:szCs w:val="24"/>
                <w:vertAlign w:val="superscript"/>
                <w:lang w:val="sr-Cyrl-CS"/>
              </w:rPr>
              <w:footnoteReference w:id="92"/>
            </w:r>
          </w:p>
        </w:tc>
        <w:tc>
          <w:tcPr>
            <w:tcW w:w="1565" w:type="dxa"/>
          </w:tcPr>
          <w:p w14:paraId="17361F27" w14:textId="77777777" w:rsidR="00A0251B" w:rsidRPr="00CC35F0" w:rsidRDefault="00A0251B">
            <w:pPr>
              <w:rPr>
                <w:rFonts w:ascii="Times New Roman" w:eastAsia="Times New Roman" w:hAnsi="Times New Roman"/>
                <w:sz w:val="24"/>
                <w:szCs w:val="24"/>
                <w:lang w:val="sr-Cyrl-CS"/>
              </w:rPr>
            </w:pPr>
          </w:p>
        </w:tc>
        <w:tc>
          <w:tcPr>
            <w:tcW w:w="920" w:type="dxa"/>
          </w:tcPr>
          <w:p w14:paraId="1255E23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03D39FD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54" w:type="dxa"/>
          </w:tcPr>
          <w:p w14:paraId="68A892E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2617F1B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7FA1F9B6"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bl>
    <w:p w14:paraId="01FB2EC0" w14:textId="77777777" w:rsidR="00A0251B" w:rsidRPr="00CC35F0" w:rsidRDefault="00A0251B">
      <w:pPr>
        <w:rPr>
          <w:rFonts w:ascii="Times New Roman" w:eastAsia="Times New Roman" w:hAnsi="Times New Roman"/>
          <w:sz w:val="24"/>
          <w:szCs w:val="24"/>
          <w:lang w:val="sr-Cyrl-CS"/>
        </w:rPr>
      </w:pPr>
    </w:p>
    <w:p w14:paraId="1C3D38BF" w14:textId="77777777" w:rsidR="00A0251B" w:rsidRPr="00CC35F0" w:rsidRDefault="00A0251B">
      <w:pPr>
        <w:spacing w:after="160"/>
        <w:jc w:val="left"/>
        <w:rPr>
          <w:rFonts w:ascii="Times New Roman" w:eastAsia="Times New Roman" w:hAnsi="Times New Roman"/>
          <w:sz w:val="24"/>
          <w:szCs w:val="24"/>
          <w:lang w:val="sr-Cyrl-CS"/>
        </w:rPr>
      </w:pPr>
    </w:p>
    <w:tbl>
      <w:tblPr>
        <w:tblStyle w:val="afff5"/>
        <w:tblW w:w="13986"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137"/>
        <w:gridCol w:w="1167"/>
        <w:gridCol w:w="1492"/>
        <w:gridCol w:w="1260"/>
        <w:gridCol w:w="1175"/>
        <w:gridCol w:w="1258"/>
        <w:gridCol w:w="1530"/>
        <w:gridCol w:w="1426"/>
        <w:gridCol w:w="1541"/>
      </w:tblGrid>
      <w:tr w:rsidR="00A0251B" w:rsidRPr="00CC35F0" w14:paraId="40F11288" w14:textId="77777777">
        <w:trPr>
          <w:trHeight w:val="320"/>
        </w:trPr>
        <w:tc>
          <w:tcPr>
            <w:tcW w:w="13987" w:type="dxa"/>
            <w:gridSpan w:val="9"/>
            <w:tcBorders>
              <w:top w:val="single" w:sz="4" w:space="0" w:color="000000"/>
              <w:left w:val="single" w:sz="4" w:space="0" w:color="000000"/>
              <w:bottom w:val="single" w:sz="4" w:space="0" w:color="000000"/>
              <w:right w:val="single" w:sz="4" w:space="0" w:color="000000"/>
            </w:tcBorders>
            <w:shd w:val="clear" w:color="auto" w:fill="B4C6E7"/>
          </w:tcPr>
          <w:p w14:paraId="73B6A551" w14:textId="77777777" w:rsidR="00A0251B" w:rsidRPr="00CC35F0" w:rsidRDefault="008D6506">
            <w:pPr>
              <w:rPr>
                <w:rFonts w:ascii="Times New Roman" w:eastAsia="Times New Roman" w:hAnsi="Times New Roman"/>
                <w:sz w:val="24"/>
                <w:szCs w:val="24"/>
                <w:lang w:val="sr-Cyrl-CS"/>
              </w:rPr>
            </w:pPr>
            <w:bookmarkStart w:id="134" w:name="_heading=h.1vsw3ci" w:colFirst="0" w:colLast="0"/>
            <w:bookmarkEnd w:id="134"/>
            <w:r w:rsidRPr="00CC35F0">
              <w:rPr>
                <w:rFonts w:ascii="Times New Roman" w:eastAsia="Times New Roman" w:hAnsi="Times New Roman"/>
                <w:b/>
                <w:sz w:val="24"/>
                <w:szCs w:val="24"/>
                <w:lang w:val="sr-Cyrl-CS"/>
              </w:rPr>
              <w:t xml:space="preserve">Посебни циљ 1.2: </w:t>
            </w:r>
            <w:r w:rsidRPr="00CC35F0">
              <w:rPr>
                <w:rFonts w:ascii="Times New Roman" w:eastAsia="Times New Roman" w:hAnsi="Times New Roman"/>
                <w:b/>
                <w:i/>
                <w:sz w:val="24"/>
                <w:szCs w:val="24"/>
                <w:lang w:val="sr-Cyrl-CS"/>
              </w:rPr>
              <w:t>Смањење емисија загађујућих материја у ваздух и тешких метала из индустријских процеса и употребе производа кроз усаглашавање са BAT AELs</w:t>
            </w:r>
          </w:p>
        </w:tc>
      </w:tr>
      <w:tr w:rsidR="00A0251B" w:rsidRPr="00CC35F0" w14:paraId="48C6E737" w14:textId="77777777">
        <w:trPr>
          <w:trHeight w:val="320"/>
        </w:trPr>
        <w:tc>
          <w:tcPr>
            <w:tcW w:w="13987" w:type="dxa"/>
            <w:gridSpan w:val="9"/>
            <w:tcBorders>
              <w:top w:val="single" w:sz="4" w:space="0" w:color="000000"/>
              <w:left w:val="single" w:sz="4" w:space="0" w:color="000000"/>
              <w:bottom w:val="single" w:sz="4" w:space="0" w:color="000000"/>
              <w:right w:val="single" w:sz="4" w:space="0" w:color="000000"/>
            </w:tcBorders>
            <w:shd w:val="clear" w:color="auto" w:fill="B4C6E7"/>
            <w:vAlign w:val="center"/>
          </w:tcPr>
          <w:p w14:paraId="7B60B9D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222222"/>
                <w:sz w:val="24"/>
                <w:szCs w:val="24"/>
                <w:lang w:val="sr-Cyrl-CS"/>
              </w:rPr>
              <w:t xml:space="preserve">Институција надлежна за мониторинг и контролу спровођење: </w:t>
            </w:r>
            <w:r w:rsidRPr="00CC35F0">
              <w:rPr>
                <w:rFonts w:ascii="Times New Roman" w:eastAsia="Times New Roman" w:hAnsi="Times New Roman"/>
                <w:sz w:val="24"/>
                <w:szCs w:val="24"/>
                <w:lang w:val="sr-Cyrl-CS"/>
              </w:rPr>
              <w:t>МЗЖС</w:t>
            </w:r>
          </w:p>
        </w:tc>
      </w:tr>
      <w:tr w:rsidR="00A0251B" w:rsidRPr="00CC35F0" w14:paraId="4765DD6E" w14:textId="77777777">
        <w:trPr>
          <w:trHeight w:val="575"/>
        </w:trPr>
        <w:tc>
          <w:tcPr>
            <w:tcW w:w="3138" w:type="dxa"/>
            <w:tcBorders>
              <w:top w:val="single" w:sz="4" w:space="0" w:color="000000"/>
              <w:left w:val="single" w:sz="4" w:space="0" w:color="000000"/>
              <w:bottom w:val="single" w:sz="4" w:space="0" w:color="000000"/>
              <w:right w:val="single" w:sz="4" w:space="0" w:color="000000"/>
            </w:tcBorders>
            <w:shd w:val="clear" w:color="auto" w:fill="D9D9D9"/>
          </w:tcPr>
          <w:p w14:paraId="11A10F1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Показатељ(и) на нивоу посебног циља (</w:t>
            </w:r>
            <w:r w:rsidRPr="00CC35F0">
              <w:rPr>
                <w:rFonts w:ascii="Times New Roman" w:eastAsia="Times New Roman" w:hAnsi="Times New Roman"/>
                <w:i/>
                <w:sz w:val="24"/>
                <w:szCs w:val="24"/>
                <w:lang w:val="sr-Cyrl-CS"/>
              </w:rPr>
              <w:t>показатељ исхода</w:t>
            </w:r>
            <w:r w:rsidRPr="00CC35F0">
              <w:rPr>
                <w:rFonts w:ascii="Times New Roman" w:eastAsia="Times New Roman" w:hAnsi="Times New Roman"/>
                <w:sz w:val="24"/>
                <w:szCs w:val="24"/>
                <w:lang w:val="sr-Cyrl-CS"/>
              </w:rPr>
              <w:t>)</w:t>
            </w:r>
          </w:p>
        </w:tc>
        <w:tc>
          <w:tcPr>
            <w:tcW w:w="1167" w:type="dxa"/>
            <w:tcBorders>
              <w:top w:val="single" w:sz="4" w:space="0" w:color="000000"/>
              <w:left w:val="single" w:sz="4" w:space="0" w:color="000000"/>
              <w:bottom w:val="single" w:sz="4" w:space="0" w:color="000000"/>
              <w:right w:val="single" w:sz="4" w:space="0" w:color="000000"/>
            </w:tcBorders>
            <w:shd w:val="clear" w:color="auto" w:fill="D9D9D9"/>
          </w:tcPr>
          <w:p w14:paraId="6ACD6EC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92" w:type="dxa"/>
            <w:tcBorders>
              <w:top w:val="single" w:sz="4" w:space="0" w:color="000000"/>
              <w:left w:val="single" w:sz="4" w:space="0" w:color="000000"/>
              <w:bottom w:val="single" w:sz="4" w:space="0" w:color="000000"/>
              <w:right w:val="single" w:sz="4" w:space="0" w:color="000000"/>
            </w:tcBorders>
            <w:shd w:val="clear" w:color="auto" w:fill="D9D9D9"/>
          </w:tcPr>
          <w:p w14:paraId="661EA3D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260" w:type="dxa"/>
            <w:tcBorders>
              <w:top w:val="single" w:sz="4" w:space="0" w:color="000000"/>
              <w:left w:val="single" w:sz="4" w:space="0" w:color="000000"/>
              <w:bottom w:val="single" w:sz="4" w:space="0" w:color="000000"/>
              <w:right w:val="single" w:sz="4" w:space="0" w:color="000000"/>
            </w:tcBorders>
            <w:shd w:val="clear" w:color="auto" w:fill="D9D9D9"/>
          </w:tcPr>
          <w:p w14:paraId="407FBB0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175" w:type="dxa"/>
            <w:tcBorders>
              <w:top w:val="single" w:sz="4" w:space="0" w:color="000000"/>
              <w:left w:val="single" w:sz="4" w:space="0" w:color="000000"/>
              <w:bottom w:val="single" w:sz="4" w:space="0" w:color="000000"/>
              <w:right w:val="single" w:sz="4" w:space="0" w:color="000000"/>
            </w:tcBorders>
            <w:shd w:val="clear" w:color="auto" w:fill="D9D9D9"/>
          </w:tcPr>
          <w:p w14:paraId="7F36F28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258" w:type="dxa"/>
            <w:tcBorders>
              <w:top w:val="single" w:sz="4" w:space="0" w:color="000000"/>
              <w:left w:val="single" w:sz="4" w:space="0" w:color="000000"/>
              <w:bottom w:val="single" w:sz="4" w:space="0" w:color="000000"/>
              <w:right w:val="single" w:sz="4" w:space="0" w:color="000000"/>
            </w:tcBorders>
            <w:shd w:val="clear" w:color="auto" w:fill="D9D9D9"/>
          </w:tcPr>
          <w:p w14:paraId="7A030FF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0" w:type="dxa"/>
            <w:tcBorders>
              <w:top w:val="single" w:sz="4" w:space="0" w:color="000000"/>
              <w:left w:val="single" w:sz="4" w:space="0" w:color="000000"/>
              <w:bottom w:val="single" w:sz="4" w:space="0" w:color="000000"/>
              <w:right w:val="single" w:sz="4" w:space="0" w:color="000000"/>
            </w:tcBorders>
            <w:shd w:val="clear" w:color="auto" w:fill="D9D9D9"/>
          </w:tcPr>
          <w:p w14:paraId="6288585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426" w:type="dxa"/>
            <w:tcBorders>
              <w:top w:val="single" w:sz="4" w:space="0" w:color="000000"/>
              <w:left w:val="single" w:sz="4" w:space="0" w:color="000000"/>
              <w:bottom w:val="single" w:sz="4" w:space="0" w:color="000000"/>
              <w:right w:val="single" w:sz="4" w:space="0" w:color="000000"/>
            </w:tcBorders>
            <w:shd w:val="clear" w:color="auto" w:fill="D9D9D9"/>
          </w:tcPr>
          <w:p w14:paraId="23B2B55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54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9E37E0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09BF1A54" w14:textId="77777777">
        <w:trPr>
          <w:trHeight w:val="254"/>
        </w:trPr>
        <w:tc>
          <w:tcPr>
            <w:tcW w:w="3138" w:type="dxa"/>
            <w:tcBorders>
              <w:top w:val="single" w:sz="4" w:space="0" w:color="000000"/>
              <w:left w:val="single" w:sz="4" w:space="0" w:color="000000"/>
              <w:bottom w:val="single" w:sz="4" w:space="0" w:color="000000"/>
              <w:right w:val="single" w:sz="4" w:space="0" w:color="000000"/>
            </w:tcBorders>
            <w:shd w:val="clear" w:color="auto" w:fill="FFFFFF"/>
          </w:tcPr>
          <w:p w14:paraId="29ECA27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Удео индустријских постројења у потпуној сагласности са одговарајућим BAT  AELs, узимајући у обзир квалитет ваздуха у зонама и агломерацијама.</w:t>
            </w:r>
          </w:p>
        </w:tc>
        <w:tc>
          <w:tcPr>
            <w:tcW w:w="1167" w:type="dxa"/>
            <w:tcBorders>
              <w:top w:val="single" w:sz="4" w:space="0" w:color="000000"/>
              <w:left w:val="single" w:sz="4" w:space="0" w:color="000000"/>
              <w:bottom w:val="single" w:sz="4" w:space="0" w:color="000000"/>
              <w:right w:val="single" w:sz="4" w:space="0" w:color="000000"/>
            </w:tcBorders>
            <w:shd w:val="clear" w:color="auto" w:fill="FFFFFF"/>
          </w:tcPr>
          <w:p w14:paraId="7621C9C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Pr>
          <w:p w14:paraId="0947D97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Извештаји о мерењу емисија у постројењима (АЗЖС)</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cPr>
          <w:p w14:paraId="246ED7B1"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w:t>
            </w:r>
          </w:p>
        </w:tc>
        <w:tc>
          <w:tcPr>
            <w:tcW w:w="1175" w:type="dxa"/>
            <w:tcBorders>
              <w:top w:val="single" w:sz="4" w:space="0" w:color="000000"/>
              <w:left w:val="single" w:sz="4" w:space="0" w:color="000000"/>
              <w:bottom w:val="single" w:sz="4" w:space="0" w:color="000000"/>
              <w:right w:val="single" w:sz="4" w:space="0" w:color="000000"/>
            </w:tcBorders>
            <w:shd w:val="clear" w:color="auto" w:fill="FFFFFF"/>
          </w:tcPr>
          <w:p w14:paraId="4B5567E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w:t>
            </w:r>
          </w:p>
        </w:tc>
        <w:tc>
          <w:tcPr>
            <w:tcW w:w="1258" w:type="dxa"/>
            <w:tcBorders>
              <w:top w:val="single" w:sz="4" w:space="0" w:color="000000"/>
              <w:left w:val="single" w:sz="4" w:space="0" w:color="000000"/>
              <w:bottom w:val="single" w:sz="4" w:space="0" w:color="000000"/>
              <w:right w:val="single" w:sz="4" w:space="0" w:color="000000"/>
            </w:tcBorders>
            <w:shd w:val="clear" w:color="auto" w:fill="FFFFFF"/>
          </w:tcPr>
          <w:p w14:paraId="267F26FD"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7707823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w:t>
            </w:r>
          </w:p>
        </w:tc>
        <w:tc>
          <w:tcPr>
            <w:tcW w:w="1426" w:type="dxa"/>
            <w:tcBorders>
              <w:top w:val="single" w:sz="4" w:space="0" w:color="000000"/>
              <w:left w:val="single" w:sz="4" w:space="0" w:color="000000"/>
              <w:bottom w:val="single" w:sz="4" w:space="0" w:color="000000"/>
              <w:right w:val="single" w:sz="4" w:space="0" w:color="000000"/>
            </w:tcBorders>
            <w:shd w:val="clear" w:color="auto" w:fill="FFFFFF"/>
          </w:tcPr>
          <w:p w14:paraId="761C3F3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w:t>
            </w:r>
          </w:p>
        </w:tc>
        <w:tc>
          <w:tcPr>
            <w:tcW w:w="1541" w:type="dxa"/>
            <w:tcBorders>
              <w:top w:val="single" w:sz="4" w:space="0" w:color="000000"/>
              <w:left w:val="single" w:sz="4" w:space="0" w:color="000000"/>
              <w:bottom w:val="single" w:sz="4" w:space="0" w:color="000000"/>
              <w:right w:val="single" w:sz="4" w:space="0" w:color="000000"/>
            </w:tcBorders>
            <w:shd w:val="clear" w:color="auto" w:fill="FFFFFF"/>
          </w:tcPr>
          <w:p w14:paraId="34B11D55"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w:t>
            </w:r>
          </w:p>
        </w:tc>
      </w:tr>
      <w:tr w:rsidR="00A0251B" w:rsidRPr="00CC35F0" w14:paraId="7F7844A8" w14:textId="77777777">
        <w:trPr>
          <w:trHeight w:val="254"/>
        </w:trPr>
        <w:tc>
          <w:tcPr>
            <w:tcW w:w="3138" w:type="dxa"/>
            <w:tcBorders>
              <w:top w:val="single" w:sz="4" w:space="0" w:color="000000"/>
              <w:left w:val="single" w:sz="4" w:space="0" w:color="000000"/>
              <w:bottom w:val="single" w:sz="4" w:space="0" w:color="000000"/>
              <w:right w:val="single" w:sz="4" w:space="0" w:color="000000"/>
            </w:tcBorders>
            <w:shd w:val="clear" w:color="auto" w:fill="FFFFFF"/>
          </w:tcPr>
          <w:p w14:paraId="0361B0D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Топионице бакра у складу са нижим </w:t>
            </w:r>
          </w:p>
          <w:p w14:paraId="55C98437"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BAT AELs за производњу бакра од 50 mg/Nm</w:t>
            </w:r>
            <w:r w:rsidRPr="00CC35F0">
              <w:rPr>
                <w:rFonts w:ascii="Times New Roman" w:eastAsia="Times New Roman" w:hAnsi="Times New Roman"/>
                <w:sz w:val="24"/>
                <w:szCs w:val="24"/>
                <w:vertAlign w:val="superscript"/>
                <w:lang w:val="sr-Cyrl-CS"/>
              </w:rPr>
              <w:t xml:space="preserve">3 </w:t>
            </w:r>
            <w:r w:rsidRPr="00CC35F0">
              <w:rPr>
                <w:rFonts w:ascii="Times New Roman" w:eastAsia="Times New Roman" w:hAnsi="Times New Roman"/>
                <w:sz w:val="24"/>
                <w:szCs w:val="24"/>
                <w:lang w:val="sr-Cyrl-CS"/>
              </w:rPr>
              <w:t>за SO</w:t>
            </w:r>
            <w:r w:rsidRPr="00CC35F0">
              <w:rPr>
                <w:rFonts w:ascii="Times New Roman" w:eastAsia="Times New Roman" w:hAnsi="Times New Roman"/>
                <w:sz w:val="24"/>
                <w:szCs w:val="24"/>
                <w:vertAlign w:val="subscript"/>
                <w:lang w:val="sr-Cyrl-CS"/>
              </w:rPr>
              <w:t>2</w:t>
            </w:r>
          </w:p>
        </w:tc>
        <w:tc>
          <w:tcPr>
            <w:tcW w:w="1167" w:type="dxa"/>
            <w:tcBorders>
              <w:top w:val="single" w:sz="4" w:space="0" w:color="000000"/>
              <w:left w:val="single" w:sz="4" w:space="0" w:color="000000"/>
              <w:bottom w:val="single" w:sz="4" w:space="0" w:color="000000"/>
              <w:right w:val="single" w:sz="4" w:space="0" w:color="000000"/>
            </w:tcBorders>
            <w:shd w:val="clear" w:color="auto" w:fill="FFFFFF"/>
          </w:tcPr>
          <w:p w14:paraId="2EE20B9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mgSO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/Nm</w:t>
            </w:r>
            <w:r w:rsidRPr="00CC35F0">
              <w:rPr>
                <w:rFonts w:ascii="Times New Roman" w:eastAsia="Times New Roman" w:hAnsi="Times New Roman"/>
                <w:sz w:val="24"/>
                <w:szCs w:val="24"/>
                <w:vertAlign w:val="superscript"/>
                <w:lang w:val="sr-Cyrl-CS"/>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Pr>
          <w:p w14:paraId="30E3A95A"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28E4A116"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(подаци о интегрисаним дозволама)</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cPr>
          <w:p w14:paraId="66049617"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&gt;50 </w:t>
            </w:r>
          </w:p>
        </w:tc>
        <w:tc>
          <w:tcPr>
            <w:tcW w:w="1175" w:type="dxa"/>
            <w:tcBorders>
              <w:top w:val="single" w:sz="4" w:space="0" w:color="000000"/>
              <w:left w:val="single" w:sz="4" w:space="0" w:color="000000"/>
              <w:bottom w:val="single" w:sz="4" w:space="0" w:color="000000"/>
              <w:right w:val="single" w:sz="4" w:space="0" w:color="000000"/>
            </w:tcBorders>
            <w:shd w:val="clear" w:color="auto" w:fill="FFFFFF"/>
          </w:tcPr>
          <w:p w14:paraId="58FEED0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258" w:type="dxa"/>
            <w:tcBorders>
              <w:top w:val="single" w:sz="4" w:space="0" w:color="000000"/>
              <w:left w:val="single" w:sz="4" w:space="0" w:color="000000"/>
              <w:bottom w:val="single" w:sz="4" w:space="0" w:color="000000"/>
              <w:right w:val="single" w:sz="4" w:space="0" w:color="000000"/>
            </w:tcBorders>
            <w:shd w:val="clear" w:color="auto" w:fill="FFFFFF"/>
          </w:tcPr>
          <w:p w14:paraId="46D855B3"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745C8F4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26" w:type="dxa"/>
            <w:tcBorders>
              <w:top w:val="single" w:sz="4" w:space="0" w:color="000000"/>
              <w:left w:val="single" w:sz="4" w:space="0" w:color="000000"/>
              <w:bottom w:val="single" w:sz="4" w:space="0" w:color="000000"/>
              <w:right w:val="single" w:sz="4" w:space="0" w:color="000000"/>
            </w:tcBorders>
            <w:shd w:val="clear" w:color="auto" w:fill="FFFFFF"/>
          </w:tcPr>
          <w:p w14:paraId="1DF1ECD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50 </w:t>
            </w:r>
          </w:p>
        </w:tc>
        <w:tc>
          <w:tcPr>
            <w:tcW w:w="1541" w:type="dxa"/>
            <w:tcBorders>
              <w:top w:val="single" w:sz="4" w:space="0" w:color="000000"/>
              <w:left w:val="single" w:sz="4" w:space="0" w:color="000000"/>
              <w:bottom w:val="single" w:sz="4" w:space="0" w:color="000000"/>
              <w:right w:val="single" w:sz="4" w:space="0" w:color="000000"/>
            </w:tcBorders>
            <w:shd w:val="clear" w:color="auto" w:fill="FFFFFF"/>
          </w:tcPr>
          <w:p w14:paraId="6518B22D"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50 </w:t>
            </w:r>
          </w:p>
        </w:tc>
      </w:tr>
      <w:tr w:rsidR="00A0251B" w:rsidRPr="00CC35F0" w14:paraId="3707B221" w14:textId="77777777">
        <w:trPr>
          <w:trHeight w:val="254"/>
        </w:trPr>
        <w:tc>
          <w:tcPr>
            <w:tcW w:w="3138" w:type="dxa"/>
            <w:tcBorders>
              <w:top w:val="single" w:sz="4" w:space="0" w:color="000000"/>
              <w:left w:val="single" w:sz="4" w:space="0" w:color="000000"/>
              <w:bottom w:val="single" w:sz="4" w:space="0" w:color="000000"/>
              <w:right w:val="single" w:sz="4" w:space="0" w:color="000000"/>
            </w:tcBorders>
            <w:shd w:val="clear" w:color="auto" w:fill="FFFFFF"/>
          </w:tcPr>
          <w:p w14:paraId="43EED8D7"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Постројења за производњу сумпорне киселине у складу са доњим </w:t>
            </w:r>
          </w:p>
          <w:p w14:paraId="3D019B07" w14:textId="77777777" w:rsidR="00A0251B" w:rsidRPr="00CC35F0" w:rsidRDefault="008D6506">
            <w:pPr>
              <w:jc w:val="left"/>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BAT AELs од 100 mg/Nm</w:t>
            </w:r>
            <w:r w:rsidRPr="00CC35F0">
              <w:rPr>
                <w:rFonts w:ascii="Times New Roman" w:eastAsia="Times New Roman" w:hAnsi="Times New Roman"/>
                <w:sz w:val="24"/>
                <w:szCs w:val="24"/>
                <w:vertAlign w:val="superscript"/>
                <w:lang w:val="sr-Cyrl-CS"/>
              </w:rPr>
              <w:t xml:space="preserve">3 </w:t>
            </w:r>
            <w:r w:rsidRPr="00CC35F0">
              <w:rPr>
                <w:rFonts w:ascii="Times New Roman" w:eastAsia="Times New Roman" w:hAnsi="Times New Roman"/>
                <w:sz w:val="24"/>
                <w:szCs w:val="24"/>
                <w:lang w:val="sr-Cyrl-CS"/>
              </w:rPr>
              <w:t>за SO</w:t>
            </w:r>
            <w:r w:rsidRPr="00CC35F0">
              <w:rPr>
                <w:rFonts w:ascii="Times New Roman" w:eastAsia="Times New Roman" w:hAnsi="Times New Roman"/>
                <w:sz w:val="24"/>
                <w:szCs w:val="24"/>
                <w:vertAlign w:val="subscript"/>
                <w:lang w:val="sr-Cyrl-CS"/>
              </w:rPr>
              <w:t>2</w:t>
            </w:r>
          </w:p>
        </w:tc>
        <w:tc>
          <w:tcPr>
            <w:tcW w:w="1167" w:type="dxa"/>
            <w:tcBorders>
              <w:top w:val="single" w:sz="4" w:space="0" w:color="000000"/>
              <w:left w:val="single" w:sz="4" w:space="0" w:color="000000"/>
              <w:bottom w:val="single" w:sz="4" w:space="0" w:color="000000"/>
              <w:right w:val="single" w:sz="4" w:space="0" w:color="000000"/>
            </w:tcBorders>
            <w:shd w:val="clear" w:color="auto" w:fill="FFFFFF"/>
          </w:tcPr>
          <w:p w14:paraId="01A53D1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mgSO</w:t>
            </w:r>
            <w:r w:rsidRPr="00CC35F0">
              <w:rPr>
                <w:rFonts w:ascii="Times New Roman" w:eastAsia="Times New Roman" w:hAnsi="Times New Roman"/>
                <w:sz w:val="24"/>
                <w:szCs w:val="24"/>
                <w:vertAlign w:val="subscript"/>
                <w:lang w:val="sr-Cyrl-CS"/>
              </w:rPr>
              <w:t>2</w:t>
            </w:r>
            <w:r w:rsidRPr="00CC35F0">
              <w:rPr>
                <w:rFonts w:ascii="Times New Roman" w:eastAsia="Times New Roman" w:hAnsi="Times New Roman"/>
                <w:sz w:val="24"/>
                <w:szCs w:val="24"/>
                <w:lang w:val="sr-Cyrl-CS"/>
              </w:rPr>
              <w:t>/Nm</w:t>
            </w:r>
            <w:r w:rsidRPr="00CC35F0">
              <w:rPr>
                <w:rFonts w:ascii="Times New Roman" w:eastAsia="Times New Roman" w:hAnsi="Times New Roman"/>
                <w:sz w:val="24"/>
                <w:szCs w:val="24"/>
                <w:vertAlign w:val="superscript"/>
                <w:lang w:val="sr-Cyrl-CS"/>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Pr>
          <w:p w14:paraId="3B25D4F4"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35676B8F"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(подаци о интегрисаним дозволама)</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cPr>
          <w:p w14:paraId="5B9626DD"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&gt;100 </w:t>
            </w:r>
          </w:p>
        </w:tc>
        <w:tc>
          <w:tcPr>
            <w:tcW w:w="1175" w:type="dxa"/>
            <w:tcBorders>
              <w:top w:val="single" w:sz="4" w:space="0" w:color="000000"/>
              <w:left w:val="single" w:sz="4" w:space="0" w:color="000000"/>
              <w:bottom w:val="single" w:sz="4" w:space="0" w:color="000000"/>
              <w:right w:val="single" w:sz="4" w:space="0" w:color="000000"/>
            </w:tcBorders>
            <w:shd w:val="clear" w:color="auto" w:fill="FFFFFF"/>
          </w:tcPr>
          <w:p w14:paraId="2A5DC4ED"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258" w:type="dxa"/>
            <w:tcBorders>
              <w:top w:val="single" w:sz="4" w:space="0" w:color="000000"/>
              <w:left w:val="single" w:sz="4" w:space="0" w:color="000000"/>
              <w:bottom w:val="single" w:sz="4" w:space="0" w:color="000000"/>
              <w:right w:val="single" w:sz="4" w:space="0" w:color="000000"/>
            </w:tcBorders>
            <w:shd w:val="clear" w:color="auto" w:fill="FFFFFF"/>
          </w:tcPr>
          <w:p w14:paraId="6A588D5D"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62341DBF"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26" w:type="dxa"/>
            <w:tcBorders>
              <w:top w:val="single" w:sz="4" w:space="0" w:color="000000"/>
              <w:left w:val="single" w:sz="4" w:space="0" w:color="000000"/>
              <w:bottom w:val="single" w:sz="4" w:space="0" w:color="000000"/>
              <w:right w:val="single" w:sz="4" w:space="0" w:color="000000"/>
            </w:tcBorders>
            <w:shd w:val="clear" w:color="auto" w:fill="FFFFFF"/>
          </w:tcPr>
          <w:p w14:paraId="046616F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100 </w:t>
            </w:r>
          </w:p>
        </w:tc>
        <w:tc>
          <w:tcPr>
            <w:tcW w:w="1541" w:type="dxa"/>
            <w:tcBorders>
              <w:top w:val="single" w:sz="4" w:space="0" w:color="000000"/>
              <w:left w:val="single" w:sz="4" w:space="0" w:color="000000"/>
              <w:bottom w:val="single" w:sz="4" w:space="0" w:color="000000"/>
              <w:right w:val="single" w:sz="4" w:space="0" w:color="000000"/>
            </w:tcBorders>
            <w:shd w:val="clear" w:color="auto" w:fill="FFFFFF"/>
          </w:tcPr>
          <w:p w14:paraId="5B8C78E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100 </w:t>
            </w:r>
          </w:p>
        </w:tc>
      </w:tr>
      <w:tr w:rsidR="00A0251B" w:rsidRPr="00CC35F0" w14:paraId="5A92476C" w14:textId="77777777">
        <w:trPr>
          <w:trHeight w:val="254"/>
        </w:trPr>
        <w:tc>
          <w:tcPr>
            <w:tcW w:w="3138" w:type="dxa"/>
            <w:tcBorders>
              <w:top w:val="single" w:sz="4" w:space="0" w:color="000000"/>
              <w:left w:val="single" w:sz="4" w:space="0" w:color="000000"/>
              <w:bottom w:val="single" w:sz="4" w:space="0" w:color="000000"/>
              <w:right w:val="single" w:sz="4" w:space="0" w:color="000000"/>
            </w:tcBorders>
            <w:shd w:val="clear" w:color="auto" w:fill="FFFFFF"/>
          </w:tcPr>
          <w:p w14:paraId="3D495EE6" w14:textId="77777777" w:rsidR="00A0251B" w:rsidRPr="00CC35F0" w:rsidRDefault="008D6506">
            <w:pPr>
              <w:jc w:val="left"/>
              <w:rPr>
                <w:rFonts w:ascii="Times New Roman" w:eastAsia="Times New Roman" w:hAnsi="Times New Roman"/>
                <w:color w:val="000000"/>
                <w:sz w:val="24"/>
                <w:szCs w:val="24"/>
                <w:highlight w:val="yellow"/>
                <w:lang w:val="sr-Cyrl-CS"/>
              </w:rPr>
            </w:pPr>
            <w:r w:rsidRPr="00CC35F0">
              <w:rPr>
                <w:rFonts w:ascii="Times New Roman" w:eastAsia="Times New Roman" w:hAnsi="Times New Roman"/>
                <w:color w:val="000000"/>
                <w:sz w:val="24"/>
                <w:szCs w:val="24"/>
                <w:lang w:val="sr-Cyrl-CS"/>
              </w:rPr>
              <w:t xml:space="preserve">Емисије прашкастих материја из производње бакра у складу са табелом Спроведбене одлуке Комисије 2016/1032/ЕУ. </w:t>
            </w:r>
          </w:p>
        </w:tc>
        <w:tc>
          <w:tcPr>
            <w:tcW w:w="1167" w:type="dxa"/>
            <w:tcBorders>
              <w:top w:val="single" w:sz="4" w:space="0" w:color="000000"/>
              <w:left w:val="single" w:sz="4" w:space="0" w:color="000000"/>
              <w:bottom w:val="single" w:sz="4" w:space="0" w:color="000000"/>
              <w:right w:val="single" w:sz="4" w:space="0" w:color="000000"/>
            </w:tcBorders>
            <w:shd w:val="clear" w:color="auto" w:fill="FFFFFF"/>
          </w:tcPr>
          <w:p w14:paraId="42CA7F43"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mg/Nm</w:t>
            </w:r>
            <w:r w:rsidRPr="00CC35F0">
              <w:rPr>
                <w:rFonts w:ascii="Times New Roman" w:eastAsia="Times New Roman" w:hAnsi="Times New Roman"/>
                <w:sz w:val="24"/>
                <w:szCs w:val="24"/>
                <w:vertAlign w:val="superscript"/>
                <w:lang w:val="sr-Cyrl-CS"/>
              </w:rPr>
              <w:t>3</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Pr>
          <w:p w14:paraId="6D8101C8"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092E4AB3"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(подаци о интегрисаним дозволама)</w:t>
            </w:r>
          </w:p>
        </w:tc>
        <w:tc>
          <w:tcPr>
            <w:tcW w:w="12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F45E03"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&gt;5 </w:t>
            </w:r>
          </w:p>
        </w:tc>
        <w:tc>
          <w:tcPr>
            <w:tcW w:w="11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C780A3"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2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9EEE77"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2F31CF"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969F3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67436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2-5 </w:t>
            </w:r>
          </w:p>
        </w:tc>
      </w:tr>
    </w:tbl>
    <w:p w14:paraId="38CAD546" w14:textId="77777777" w:rsidR="00A0251B" w:rsidRPr="00CC35F0" w:rsidRDefault="00A0251B">
      <w:pPr>
        <w:tabs>
          <w:tab w:val="left" w:pos="1940"/>
        </w:tabs>
        <w:spacing w:line="240" w:lineRule="auto"/>
        <w:rPr>
          <w:rFonts w:ascii="Times New Roman" w:eastAsia="Times New Roman" w:hAnsi="Times New Roman"/>
          <w:sz w:val="24"/>
          <w:szCs w:val="24"/>
          <w:lang w:val="sr-Cyrl-CS"/>
        </w:rPr>
      </w:pPr>
    </w:p>
    <w:tbl>
      <w:tblPr>
        <w:tblStyle w:val="afff6"/>
        <w:tblW w:w="14689"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6"/>
        <w:gridCol w:w="1256"/>
        <w:gridCol w:w="1457"/>
        <w:gridCol w:w="1259"/>
        <w:gridCol w:w="1079"/>
        <w:gridCol w:w="1377"/>
        <w:gridCol w:w="1535"/>
        <w:gridCol w:w="1571"/>
        <w:gridCol w:w="1924"/>
        <w:gridCol w:w="15"/>
      </w:tblGrid>
      <w:tr w:rsidR="00A0251B" w:rsidRPr="00CC35F0" w14:paraId="293AB50B" w14:textId="77777777">
        <w:trPr>
          <w:trHeight w:val="168"/>
        </w:trPr>
        <w:tc>
          <w:tcPr>
            <w:tcW w:w="14689" w:type="dxa"/>
            <w:gridSpan w:val="10"/>
            <w:tcBorders>
              <w:top w:val="single" w:sz="4" w:space="0" w:color="000000"/>
              <w:left w:val="single" w:sz="4" w:space="0" w:color="000000"/>
              <w:bottom w:val="single" w:sz="4" w:space="0" w:color="000000"/>
              <w:right w:val="single" w:sz="4" w:space="0" w:color="000000"/>
            </w:tcBorders>
            <w:shd w:val="clear" w:color="auto" w:fill="F7CBAC"/>
          </w:tcPr>
          <w:p w14:paraId="5864AC8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Мера 1.2.1:</w:t>
            </w:r>
            <w:r w:rsidRPr="00CC35F0">
              <w:rPr>
                <w:rFonts w:ascii="Times New Roman" w:eastAsia="Times New Roman" w:hAnsi="Times New Roman"/>
                <w:b/>
                <w:sz w:val="24"/>
                <w:szCs w:val="24"/>
                <w:u w:val="single"/>
                <w:lang w:val="sr-Cyrl-CS"/>
              </w:rPr>
              <w:t>Спровођење Поглавља II Директиве ЕУ о индустријским емисијама у индустријским процесима, узимајући у обзир средње вредности доњих и горњих BAT AELs, односно доње нивое за производњу бакра и сумпорне киселине у Бору</w:t>
            </w:r>
          </w:p>
        </w:tc>
      </w:tr>
      <w:tr w:rsidR="00A0251B" w:rsidRPr="00CC35F0" w14:paraId="572C8D1D" w14:textId="77777777">
        <w:trPr>
          <w:trHeight w:val="298"/>
        </w:trPr>
        <w:tc>
          <w:tcPr>
            <w:tcW w:w="14689" w:type="dxa"/>
            <w:gridSpan w:val="10"/>
            <w:tcBorders>
              <w:top w:val="single" w:sz="4" w:space="0" w:color="000000"/>
              <w:left w:val="single" w:sz="4" w:space="0" w:color="000000"/>
              <w:bottom w:val="single" w:sz="4" w:space="0" w:color="000000"/>
              <w:right w:val="single" w:sz="4" w:space="0" w:color="000000"/>
            </w:tcBorders>
            <w:shd w:val="clear" w:color="auto" w:fill="F7CBAC"/>
            <w:vAlign w:val="center"/>
          </w:tcPr>
          <w:p w14:paraId="4C403B37"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 МЗЖС</w:t>
            </w:r>
          </w:p>
        </w:tc>
      </w:tr>
      <w:tr w:rsidR="00A0251B" w:rsidRPr="00CC35F0" w14:paraId="5F803EBC" w14:textId="77777777">
        <w:trPr>
          <w:trHeight w:val="298"/>
        </w:trPr>
        <w:tc>
          <w:tcPr>
            <w:tcW w:w="5929" w:type="dxa"/>
            <w:gridSpan w:val="3"/>
            <w:tcBorders>
              <w:top w:val="single" w:sz="4" w:space="0" w:color="000000"/>
              <w:left w:val="single" w:sz="4" w:space="0" w:color="000000"/>
              <w:bottom w:val="single" w:sz="4" w:space="0" w:color="000000"/>
              <w:right w:val="single" w:sz="4" w:space="0" w:color="000000"/>
            </w:tcBorders>
            <w:shd w:val="clear" w:color="auto" w:fill="F7CBAC"/>
          </w:tcPr>
          <w:p w14:paraId="632E6D19"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Период спровођења: 2022-2026</w:t>
            </w:r>
            <w:r w:rsidR="00AC27E8" w:rsidRPr="00CC35F0">
              <w:rPr>
                <w:rFonts w:ascii="Times New Roman" w:eastAsia="Times New Roman" w:hAnsi="Times New Roman"/>
                <w:sz w:val="24"/>
                <w:szCs w:val="24"/>
                <w:vertAlign w:val="superscript"/>
                <w:lang w:val="sr-Cyrl-CS"/>
              </w:rPr>
              <w:t>#</w:t>
            </w:r>
          </w:p>
        </w:tc>
        <w:tc>
          <w:tcPr>
            <w:tcW w:w="8760" w:type="dxa"/>
            <w:gridSpan w:val="7"/>
            <w:tcBorders>
              <w:top w:val="single" w:sz="4" w:space="0" w:color="000000"/>
              <w:left w:val="single" w:sz="4" w:space="0" w:color="000000"/>
              <w:bottom w:val="single" w:sz="4" w:space="0" w:color="000000"/>
              <w:right w:val="single" w:sz="4" w:space="0" w:color="000000"/>
            </w:tcBorders>
            <w:shd w:val="clear" w:color="auto" w:fill="F7CBAC"/>
          </w:tcPr>
          <w:p w14:paraId="071C309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w:t>
            </w:r>
          </w:p>
        </w:tc>
      </w:tr>
      <w:tr w:rsidR="00A0251B" w:rsidRPr="00CC35F0" w14:paraId="229FDFBB" w14:textId="77777777">
        <w:trPr>
          <w:trHeight w:val="298"/>
        </w:trPr>
        <w:tc>
          <w:tcPr>
            <w:tcW w:w="5929" w:type="dxa"/>
            <w:gridSpan w:val="3"/>
            <w:tcBorders>
              <w:top w:val="single" w:sz="4" w:space="0" w:color="000000"/>
              <w:left w:val="single" w:sz="4" w:space="0" w:color="000000"/>
              <w:bottom w:val="single" w:sz="4" w:space="0" w:color="000000"/>
              <w:right w:val="single" w:sz="4" w:space="0" w:color="000000"/>
            </w:tcBorders>
            <w:shd w:val="clear" w:color="auto" w:fill="F7CBAC"/>
          </w:tcPr>
          <w:p w14:paraId="55F3892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Прописи које треба изменити/донети за спровођење мере:</w:t>
            </w:r>
          </w:p>
        </w:tc>
        <w:tc>
          <w:tcPr>
            <w:tcW w:w="8760" w:type="dxa"/>
            <w:gridSpan w:val="7"/>
            <w:tcBorders>
              <w:top w:val="single" w:sz="4" w:space="0" w:color="000000"/>
              <w:left w:val="single" w:sz="4" w:space="0" w:color="000000"/>
              <w:bottom w:val="single" w:sz="4" w:space="0" w:color="000000"/>
              <w:right w:val="single" w:sz="4" w:space="0" w:color="000000"/>
            </w:tcBorders>
            <w:shd w:val="clear" w:color="auto" w:fill="F7CBAC"/>
          </w:tcPr>
          <w:p w14:paraId="7AE0F18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Видети Меру 1.1.1.</w:t>
            </w:r>
          </w:p>
        </w:tc>
      </w:tr>
      <w:tr w:rsidR="00A0251B" w:rsidRPr="00CC35F0" w14:paraId="367D6EC8" w14:textId="77777777">
        <w:trPr>
          <w:trHeight w:val="950"/>
        </w:trPr>
        <w:tc>
          <w:tcPr>
            <w:tcW w:w="3216" w:type="dxa"/>
            <w:tcBorders>
              <w:top w:val="single" w:sz="4" w:space="0" w:color="000000"/>
              <w:left w:val="single" w:sz="4" w:space="0" w:color="000000"/>
              <w:bottom w:val="single" w:sz="4" w:space="0" w:color="000000"/>
              <w:right w:val="single" w:sz="4" w:space="0" w:color="000000"/>
            </w:tcBorders>
            <w:shd w:val="clear" w:color="auto" w:fill="D9D9D9"/>
          </w:tcPr>
          <w:p w14:paraId="6A56C83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1E4D0563" w14:textId="77777777" w:rsidR="00A0251B" w:rsidRPr="00CC35F0" w:rsidRDefault="00A0251B">
            <w:pPr>
              <w:jc w:val="center"/>
              <w:rPr>
                <w:rFonts w:ascii="Times New Roman" w:eastAsia="Times New Roman" w:hAnsi="Times New Roman"/>
                <w:sz w:val="24"/>
                <w:szCs w:val="24"/>
                <w:lang w:val="sr-Cyrl-CS"/>
              </w:rPr>
            </w:pPr>
          </w:p>
        </w:tc>
        <w:tc>
          <w:tcPr>
            <w:tcW w:w="1256" w:type="dxa"/>
            <w:tcBorders>
              <w:top w:val="single" w:sz="4" w:space="0" w:color="000000"/>
              <w:left w:val="single" w:sz="4" w:space="0" w:color="000000"/>
              <w:bottom w:val="single" w:sz="4" w:space="0" w:color="000000"/>
              <w:right w:val="single" w:sz="4" w:space="0" w:color="000000"/>
            </w:tcBorders>
            <w:shd w:val="clear" w:color="auto" w:fill="D9D9D9"/>
          </w:tcPr>
          <w:p w14:paraId="0BD45B0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57" w:type="dxa"/>
            <w:tcBorders>
              <w:top w:val="single" w:sz="4" w:space="0" w:color="000000"/>
              <w:left w:val="single" w:sz="4" w:space="0" w:color="000000"/>
              <w:bottom w:val="single" w:sz="4" w:space="0" w:color="000000"/>
              <w:right w:val="single" w:sz="4" w:space="0" w:color="000000"/>
            </w:tcBorders>
            <w:shd w:val="clear" w:color="auto" w:fill="D9D9D9"/>
          </w:tcPr>
          <w:p w14:paraId="6CB571B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259" w:type="dxa"/>
            <w:tcBorders>
              <w:top w:val="single" w:sz="4" w:space="0" w:color="000000"/>
              <w:left w:val="single" w:sz="4" w:space="0" w:color="000000"/>
              <w:bottom w:val="single" w:sz="4" w:space="0" w:color="000000"/>
              <w:right w:val="single" w:sz="4" w:space="0" w:color="000000"/>
            </w:tcBorders>
            <w:shd w:val="clear" w:color="auto" w:fill="D9D9D9"/>
          </w:tcPr>
          <w:p w14:paraId="07D74BB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079" w:type="dxa"/>
            <w:tcBorders>
              <w:top w:val="single" w:sz="4" w:space="0" w:color="000000"/>
              <w:left w:val="single" w:sz="4" w:space="0" w:color="000000"/>
              <w:bottom w:val="single" w:sz="4" w:space="0" w:color="000000"/>
              <w:right w:val="single" w:sz="4" w:space="0" w:color="000000"/>
            </w:tcBorders>
            <w:shd w:val="clear" w:color="auto" w:fill="D9D9D9"/>
          </w:tcPr>
          <w:p w14:paraId="6980C98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377" w:type="dxa"/>
            <w:tcBorders>
              <w:top w:val="single" w:sz="4" w:space="0" w:color="000000"/>
              <w:left w:val="single" w:sz="4" w:space="0" w:color="000000"/>
              <w:bottom w:val="single" w:sz="4" w:space="0" w:color="000000"/>
              <w:right w:val="single" w:sz="4" w:space="0" w:color="000000"/>
            </w:tcBorders>
            <w:shd w:val="clear" w:color="auto" w:fill="D9D9D9"/>
          </w:tcPr>
          <w:p w14:paraId="0CBF36C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5" w:type="dxa"/>
            <w:tcBorders>
              <w:top w:val="single" w:sz="4" w:space="0" w:color="000000"/>
              <w:left w:val="single" w:sz="4" w:space="0" w:color="000000"/>
              <w:bottom w:val="single" w:sz="4" w:space="0" w:color="000000"/>
              <w:right w:val="single" w:sz="4" w:space="0" w:color="000000"/>
            </w:tcBorders>
            <w:shd w:val="clear" w:color="auto" w:fill="D9D9D9"/>
          </w:tcPr>
          <w:p w14:paraId="1EA52CC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71" w:type="dxa"/>
            <w:tcBorders>
              <w:top w:val="single" w:sz="4" w:space="0" w:color="000000"/>
              <w:left w:val="single" w:sz="4" w:space="0" w:color="000000"/>
              <w:bottom w:val="single" w:sz="4" w:space="0" w:color="000000"/>
              <w:right w:val="single" w:sz="4" w:space="0" w:color="000000"/>
            </w:tcBorders>
            <w:shd w:val="clear" w:color="auto" w:fill="D9D9D9"/>
          </w:tcPr>
          <w:p w14:paraId="41B2FEB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939" w:type="dxa"/>
            <w:gridSpan w:val="2"/>
            <w:tcBorders>
              <w:top w:val="single" w:sz="4" w:space="0" w:color="000000"/>
              <w:left w:val="single" w:sz="4" w:space="0" w:color="000000"/>
              <w:bottom w:val="single" w:sz="4" w:space="0" w:color="000000"/>
              <w:right w:val="single" w:sz="4" w:space="0" w:color="000000"/>
            </w:tcBorders>
            <w:shd w:val="clear" w:color="auto" w:fill="D9D9D9"/>
          </w:tcPr>
          <w:p w14:paraId="0AE2B66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39FC0EED" w14:textId="77777777">
        <w:trPr>
          <w:trHeight w:val="1279"/>
        </w:trPr>
        <w:tc>
          <w:tcPr>
            <w:tcW w:w="3216" w:type="dxa"/>
            <w:tcBorders>
              <w:top w:val="single" w:sz="4" w:space="0" w:color="000000"/>
              <w:left w:val="single" w:sz="4" w:space="0" w:color="000000"/>
              <w:bottom w:val="single" w:sz="4" w:space="0" w:color="000000"/>
              <w:right w:val="single" w:sz="4" w:space="0" w:color="000000"/>
            </w:tcBorders>
            <w:shd w:val="clear" w:color="auto" w:fill="FFFFFF"/>
          </w:tcPr>
          <w:p w14:paraId="050FB9D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Концентрације емисијa </w:t>
            </w:r>
            <w:r w:rsidRPr="00CC35F0">
              <w:rPr>
                <w:rFonts w:ascii="Times New Roman" w:eastAsia="Times New Roman" w:hAnsi="Times New Roman"/>
                <w:color w:val="000000"/>
                <w:sz w:val="24"/>
                <w:szCs w:val="24"/>
                <w:lang w:val="sr-Cyrl-CS"/>
              </w:rPr>
              <w:t>SO</w:t>
            </w:r>
            <w:r w:rsidRPr="00CC35F0">
              <w:rPr>
                <w:rFonts w:ascii="Times New Roman" w:eastAsia="Times New Roman" w:hAnsi="Times New Roman"/>
                <w:color w:val="000000"/>
                <w:sz w:val="24"/>
                <w:szCs w:val="24"/>
                <w:vertAlign w:val="subscript"/>
                <w:lang w:val="sr-Cyrl-CS"/>
              </w:rPr>
              <w:t xml:space="preserve">2 </w:t>
            </w:r>
            <w:r w:rsidRPr="00CC35F0">
              <w:rPr>
                <w:rFonts w:ascii="Times New Roman" w:eastAsia="Times New Roman" w:hAnsi="Times New Roman"/>
                <w:sz w:val="24"/>
                <w:szCs w:val="24"/>
                <w:lang w:val="sr-Cyrl-CS"/>
              </w:rPr>
              <w:t>из специфичних индустријских процеса за производњу бакра</w:t>
            </w:r>
          </w:p>
        </w:tc>
        <w:tc>
          <w:tcPr>
            <w:tcW w:w="1256" w:type="dxa"/>
            <w:tcBorders>
              <w:top w:val="single" w:sz="4" w:space="0" w:color="000000"/>
              <w:left w:val="single" w:sz="4" w:space="0" w:color="000000"/>
              <w:bottom w:val="single" w:sz="4" w:space="0" w:color="000000"/>
              <w:right w:val="single" w:sz="4" w:space="0" w:color="000000"/>
            </w:tcBorders>
            <w:shd w:val="clear" w:color="auto" w:fill="FFFFFF"/>
          </w:tcPr>
          <w:p w14:paraId="47581B2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mg/Nm</w:t>
            </w:r>
            <w:r w:rsidRPr="00CC35F0">
              <w:rPr>
                <w:rFonts w:ascii="Times New Roman" w:eastAsia="Times New Roman" w:hAnsi="Times New Roman"/>
                <w:sz w:val="24"/>
                <w:szCs w:val="24"/>
                <w:vertAlign w:val="superscript"/>
                <w:lang w:val="sr-Cyrl-CS"/>
              </w:rPr>
              <w:t>3</w:t>
            </w:r>
          </w:p>
        </w:tc>
        <w:tc>
          <w:tcPr>
            <w:tcW w:w="1457" w:type="dxa"/>
            <w:tcBorders>
              <w:top w:val="single" w:sz="4" w:space="0" w:color="000000"/>
              <w:left w:val="single" w:sz="4" w:space="0" w:color="000000"/>
              <w:bottom w:val="single" w:sz="4" w:space="0" w:color="000000"/>
              <w:right w:val="single" w:sz="4" w:space="0" w:color="000000"/>
            </w:tcBorders>
            <w:shd w:val="clear" w:color="auto" w:fill="FFFFFF"/>
          </w:tcPr>
          <w:p w14:paraId="1A16A905"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Годишњи извештај о континуалним мерењима емисија</w:t>
            </w:r>
          </w:p>
        </w:tc>
        <w:tc>
          <w:tcPr>
            <w:tcW w:w="1259" w:type="dxa"/>
            <w:tcBorders>
              <w:top w:val="single" w:sz="4" w:space="0" w:color="000000"/>
              <w:left w:val="single" w:sz="4" w:space="0" w:color="000000"/>
              <w:bottom w:val="single" w:sz="4" w:space="0" w:color="000000"/>
              <w:right w:val="single" w:sz="4" w:space="0" w:color="000000"/>
            </w:tcBorders>
            <w:shd w:val="clear" w:color="auto" w:fill="FFFFFF"/>
          </w:tcPr>
          <w:p w14:paraId="725EF656" w14:textId="77777777" w:rsidR="00A0251B" w:rsidRPr="00CC35F0" w:rsidRDefault="00A0251B">
            <w:pPr>
              <w:jc w:val="left"/>
              <w:rPr>
                <w:rFonts w:ascii="Times New Roman" w:eastAsia="Times New Roman" w:hAnsi="Times New Roman"/>
                <w:sz w:val="24"/>
                <w:szCs w:val="24"/>
                <w:lang w:val="sr-Cyrl-CS"/>
              </w:rPr>
            </w:pPr>
          </w:p>
          <w:p w14:paraId="401D330F" w14:textId="77777777" w:rsidR="00A0251B" w:rsidRPr="00CC35F0" w:rsidRDefault="00A0251B">
            <w:pPr>
              <w:jc w:val="left"/>
              <w:rPr>
                <w:rFonts w:ascii="Times New Roman" w:eastAsia="Times New Roman" w:hAnsi="Times New Roman"/>
                <w:sz w:val="24"/>
                <w:szCs w:val="24"/>
                <w:lang w:val="sr-Cyrl-CS"/>
              </w:rPr>
            </w:pPr>
          </w:p>
          <w:p w14:paraId="3B3C9CFE" w14:textId="77777777" w:rsidR="00A0251B" w:rsidRPr="00CC35F0" w:rsidRDefault="00A0251B">
            <w:pPr>
              <w:jc w:val="left"/>
              <w:rPr>
                <w:rFonts w:ascii="Times New Roman" w:eastAsia="Times New Roman" w:hAnsi="Times New Roman"/>
                <w:sz w:val="24"/>
                <w:szCs w:val="24"/>
                <w:lang w:val="sr-Cyrl-CS"/>
              </w:rPr>
            </w:pPr>
          </w:p>
          <w:p w14:paraId="1F5F8E3F"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350 </w:t>
            </w:r>
          </w:p>
        </w:tc>
        <w:tc>
          <w:tcPr>
            <w:tcW w:w="1079" w:type="dxa"/>
            <w:tcBorders>
              <w:top w:val="single" w:sz="4" w:space="0" w:color="000000"/>
              <w:left w:val="single" w:sz="4" w:space="0" w:color="000000"/>
              <w:bottom w:val="single" w:sz="4" w:space="0" w:color="000000"/>
              <w:right w:val="single" w:sz="4" w:space="0" w:color="000000"/>
            </w:tcBorders>
            <w:shd w:val="clear" w:color="auto" w:fill="FFFFFF"/>
          </w:tcPr>
          <w:p w14:paraId="2FE0D5CA" w14:textId="77777777" w:rsidR="00A0251B" w:rsidRPr="00CC35F0" w:rsidRDefault="00A0251B">
            <w:pPr>
              <w:jc w:val="left"/>
              <w:rPr>
                <w:rFonts w:ascii="Times New Roman" w:eastAsia="Times New Roman" w:hAnsi="Times New Roman"/>
                <w:sz w:val="24"/>
                <w:szCs w:val="24"/>
                <w:lang w:val="sr-Cyrl-CS"/>
              </w:rPr>
            </w:pPr>
          </w:p>
          <w:p w14:paraId="5F76641F" w14:textId="77777777" w:rsidR="00A0251B" w:rsidRPr="00CC35F0" w:rsidRDefault="00A0251B">
            <w:pPr>
              <w:jc w:val="left"/>
              <w:rPr>
                <w:rFonts w:ascii="Times New Roman" w:eastAsia="Times New Roman" w:hAnsi="Times New Roman"/>
                <w:sz w:val="24"/>
                <w:szCs w:val="24"/>
                <w:lang w:val="sr-Cyrl-CS"/>
              </w:rPr>
            </w:pPr>
          </w:p>
          <w:p w14:paraId="5BEBECE0" w14:textId="77777777" w:rsidR="00A0251B" w:rsidRPr="00CC35F0" w:rsidRDefault="00A0251B">
            <w:pPr>
              <w:jc w:val="left"/>
              <w:rPr>
                <w:rFonts w:ascii="Times New Roman" w:eastAsia="Times New Roman" w:hAnsi="Times New Roman"/>
                <w:sz w:val="24"/>
                <w:szCs w:val="24"/>
                <w:lang w:val="sr-Cyrl-CS"/>
              </w:rPr>
            </w:pPr>
          </w:p>
          <w:p w14:paraId="04EB31A2"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350 </w:t>
            </w:r>
          </w:p>
        </w:tc>
        <w:tc>
          <w:tcPr>
            <w:tcW w:w="1377" w:type="dxa"/>
            <w:tcBorders>
              <w:top w:val="single" w:sz="4" w:space="0" w:color="000000"/>
              <w:left w:val="single" w:sz="4" w:space="0" w:color="000000"/>
              <w:bottom w:val="single" w:sz="4" w:space="0" w:color="000000"/>
              <w:right w:val="single" w:sz="4" w:space="0" w:color="000000"/>
            </w:tcBorders>
            <w:shd w:val="clear" w:color="auto" w:fill="FFFFFF"/>
          </w:tcPr>
          <w:p w14:paraId="4DDBC8AD" w14:textId="77777777" w:rsidR="00A0251B" w:rsidRPr="00CC35F0" w:rsidRDefault="00A0251B">
            <w:pPr>
              <w:jc w:val="left"/>
              <w:rPr>
                <w:rFonts w:ascii="Times New Roman" w:eastAsia="Times New Roman" w:hAnsi="Times New Roman"/>
                <w:sz w:val="24"/>
                <w:szCs w:val="24"/>
                <w:lang w:val="sr-Cyrl-CS"/>
              </w:rPr>
            </w:pPr>
          </w:p>
          <w:p w14:paraId="03AE70DD" w14:textId="77777777" w:rsidR="00A0251B" w:rsidRPr="00CC35F0" w:rsidRDefault="00A0251B">
            <w:pPr>
              <w:jc w:val="left"/>
              <w:rPr>
                <w:rFonts w:ascii="Times New Roman" w:eastAsia="Times New Roman" w:hAnsi="Times New Roman"/>
                <w:sz w:val="24"/>
                <w:szCs w:val="24"/>
                <w:lang w:val="sr-Cyrl-CS"/>
              </w:rPr>
            </w:pPr>
          </w:p>
          <w:p w14:paraId="562C83DC" w14:textId="77777777" w:rsidR="00A0251B" w:rsidRPr="00CC35F0" w:rsidRDefault="00A0251B">
            <w:pPr>
              <w:jc w:val="left"/>
              <w:rPr>
                <w:rFonts w:ascii="Times New Roman" w:eastAsia="Times New Roman" w:hAnsi="Times New Roman"/>
                <w:sz w:val="24"/>
                <w:szCs w:val="24"/>
                <w:lang w:val="sr-Cyrl-CS"/>
              </w:rPr>
            </w:pPr>
          </w:p>
          <w:p w14:paraId="04CB63E5"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350</w:t>
            </w:r>
          </w:p>
          <w:p w14:paraId="09C3FAEC" w14:textId="77777777" w:rsidR="00A0251B" w:rsidRPr="00CC35F0" w:rsidRDefault="00A0251B">
            <w:pPr>
              <w:shd w:val="clear" w:color="auto" w:fill="FFFFFF"/>
              <w:jc w:val="left"/>
              <w:rPr>
                <w:rFonts w:ascii="Times New Roman" w:eastAsia="Times New Roman" w:hAnsi="Times New Roman"/>
                <w:sz w:val="24"/>
                <w:szCs w:val="24"/>
                <w:lang w:val="sr-Cyrl-CS"/>
              </w:rPr>
            </w:pPr>
          </w:p>
        </w:tc>
        <w:tc>
          <w:tcPr>
            <w:tcW w:w="1535" w:type="dxa"/>
            <w:tcBorders>
              <w:top w:val="single" w:sz="4" w:space="0" w:color="000000"/>
              <w:left w:val="single" w:sz="4" w:space="0" w:color="000000"/>
              <w:bottom w:val="single" w:sz="4" w:space="0" w:color="000000"/>
              <w:right w:val="single" w:sz="4" w:space="0" w:color="000000"/>
            </w:tcBorders>
            <w:shd w:val="clear" w:color="auto" w:fill="FFFFFF"/>
          </w:tcPr>
          <w:p w14:paraId="3E7DE216" w14:textId="77777777" w:rsidR="00A0251B" w:rsidRPr="00CC35F0" w:rsidRDefault="00A0251B">
            <w:pPr>
              <w:jc w:val="left"/>
              <w:rPr>
                <w:rFonts w:ascii="Times New Roman" w:eastAsia="Times New Roman" w:hAnsi="Times New Roman"/>
                <w:sz w:val="24"/>
                <w:szCs w:val="24"/>
                <w:lang w:val="sr-Cyrl-CS"/>
              </w:rPr>
            </w:pPr>
          </w:p>
          <w:p w14:paraId="7E57423A" w14:textId="77777777" w:rsidR="00A0251B" w:rsidRPr="00CC35F0" w:rsidRDefault="00A0251B">
            <w:pPr>
              <w:jc w:val="left"/>
              <w:rPr>
                <w:rFonts w:ascii="Times New Roman" w:eastAsia="Times New Roman" w:hAnsi="Times New Roman"/>
                <w:sz w:val="24"/>
                <w:szCs w:val="24"/>
                <w:lang w:val="sr-Cyrl-CS"/>
              </w:rPr>
            </w:pPr>
          </w:p>
          <w:p w14:paraId="74949BE9" w14:textId="77777777" w:rsidR="00A0251B" w:rsidRPr="00CC35F0" w:rsidRDefault="00A0251B">
            <w:pPr>
              <w:jc w:val="left"/>
              <w:rPr>
                <w:rFonts w:ascii="Times New Roman" w:eastAsia="Times New Roman" w:hAnsi="Times New Roman"/>
                <w:sz w:val="24"/>
                <w:szCs w:val="24"/>
                <w:lang w:val="sr-Cyrl-CS"/>
              </w:rPr>
            </w:pPr>
          </w:p>
          <w:p w14:paraId="042E28C4"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350 </w:t>
            </w:r>
          </w:p>
        </w:tc>
        <w:tc>
          <w:tcPr>
            <w:tcW w:w="1571" w:type="dxa"/>
            <w:tcBorders>
              <w:top w:val="single" w:sz="4" w:space="0" w:color="000000"/>
              <w:left w:val="single" w:sz="4" w:space="0" w:color="000000"/>
              <w:bottom w:val="single" w:sz="4" w:space="0" w:color="000000"/>
              <w:right w:val="single" w:sz="4" w:space="0" w:color="000000"/>
            </w:tcBorders>
            <w:shd w:val="clear" w:color="auto" w:fill="FFFFFF"/>
          </w:tcPr>
          <w:p w14:paraId="79DEA910" w14:textId="77777777" w:rsidR="00A0251B" w:rsidRPr="00CC35F0" w:rsidRDefault="00A0251B">
            <w:pPr>
              <w:ind w:left="-50" w:right="-122"/>
              <w:jc w:val="left"/>
              <w:rPr>
                <w:rFonts w:ascii="Times New Roman" w:eastAsia="Times New Roman" w:hAnsi="Times New Roman"/>
                <w:sz w:val="24"/>
                <w:szCs w:val="24"/>
                <w:lang w:val="sr-Cyrl-CS"/>
              </w:rPr>
            </w:pPr>
          </w:p>
          <w:p w14:paraId="6E08BE0D" w14:textId="77777777" w:rsidR="00A0251B" w:rsidRPr="00CC35F0" w:rsidRDefault="00A0251B">
            <w:pPr>
              <w:ind w:left="-50" w:right="-122"/>
              <w:jc w:val="left"/>
              <w:rPr>
                <w:rFonts w:ascii="Times New Roman" w:eastAsia="Times New Roman" w:hAnsi="Times New Roman"/>
                <w:sz w:val="24"/>
                <w:szCs w:val="24"/>
                <w:lang w:val="sr-Cyrl-CS"/>
              </w:rPr>
            </w:pPr>
          </w:p>
          <w:p w14:paraId="606FE0A6" w14:textId="77777777" w:rsidR="00A0251B" w:rsidRPr="00CC35F0" w:rsidRDefault="00A0251B">
            <w:pPr>
              <w:ind w:left="-50" w:right="-122"/>
              <w:jc w:val="left"/>
              <w:rPr>
                <w:rFonts w:ascii="Times New Roman" w:eastAsia="Times New Roman" w:hAnsi="Times New Roman"/>
                <w:sz w:val="24"/>
                <w:szCs w:val="24"/>
                <w:lang w:val="sr-Cyrl-CS"/>
              </w:rPr>
            </w:pPr>
          </w:p>
          <w:p w14:paraId="3F0A17BF" w14:textId="77777777" w:rsidR="00A0251B" w:rsidRPr="00CC35F0" w:rsidRDefault="008D6506">
            <w:pPr>
              <w:ind w:left="-50" w:right="-122"/>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50 </w:t>
            </w:r>
          </w:p>
          <w:p w14:paraId="013DD341" w14:textId="77777777" w:rsidR="00A0251B" w:rsidRPr="00CC35F0" w:rsidRDefault="00A0251B">
            <w:pPr>
              <w:ind w:left="-50" w:right="-122"/>
              <w:jc w:val="left"/>
              <w:rPr>
                <w:rFonts w:ascii="Times New Roman" w:eastAsia="Times New Roman" w:hAnsi="Times New Roman"/>
                <w:sz w:val="24"/>
                <w:szCs w:val="24"/>
                <w:lang w:val="sr-Cyrl-CS"/>
              </w:rPr>
            </w:pPr>
          </w:p>
          <w:p w14:paraId="3BDE286D" w14:textId="77777777" w:rsidR="00A0251B" w:rsidRPr="00CC35F0" w:rsidRDefault="00A0251B">
            <w:pPr>
              <w:shd w:val="clear" w:color="auto" w:fill="FFFFFF"/>
              <w:ind w:left="-50" w:right="-122"/>
              <w:jc w:val="left"/>
              <w:rPr>
                <w:rFonts w:ascii="Times New Roman" w:eastAsia="Times New Roman" w:hAnsi="Times New Roman"/>
                <w:sz w:val="24"/>
                <w:szCs w:val="24"/>
                <w:lang w:val="sr-Cyrl-CS"/>
              </w:rPr>
            </w:pPr>
          </w:p>
        </w:tc>
        <w:tc>
          <w:tcPr>
            <w:tcW w:w="1939" w:type="dxa"/>
            <w:gridSpan w:val="2"/>
            <w:tcBorders>
              <w:top w:val="single" w:sz="4" w:space="0" w:color="000000"/>
              <w:left w:val="single" w:sz="4" w:space="0" w:color="000000"/>
              <w:bottom w:val="single" w:sz="4" w:space="0" w:color="000000"/>
              <w:right w:val="single" w:sz="4" w:space="0" w:color="000000"/>
            </w:tcBorders>
            <w:shd w:val="clear" w:color="auto" w:fill="FFFFFF"/>
          </w:tcPr>
          <w:p w14:paraId="54C19FD6" w14:textId="77777777" w:rsidR="00A0251B" w:rsidRPr="00CC35F0" w:rsidRDefault="00A0251B">
            <w:pPr>
              <w:ind w:left="-50" w:right="-122"/>
              <w:jc w:val="left"/>
              <w:rPr>
                <w:rFonts w:ascii="Times New Roman" w:eastAsia="Times New Roman" w:hAnsi="Times New Roman"/>
                <w:sz w:val="24"/>
                <w:szCs w:val="24"/>
                <w:lang w:val="sr-Cyrl-CS"/>
              </w:rPr>
            </w:pPr>
          </w:p>
          <w:p w14:paraId="231DA990" w14:textId="77777777" w:rsidR="00A0251B" w:rsidRPr="00CC35F0" w:rsidRDefault="00A0251B">
            <w:pPr>
              <w:ind w:left="-50" w:right="-122"/>
              <w:jc w:val="left"/>
              <w:rPr>
                <w:rFonts w:ascii="Times New Roman" w:eastAsia="Times New Roman" w:hAnsi="Times New Roman"/>
                <w:sz w:val="24"/>
                <w:szCs w:val="24"/>
                <w:lang w:val="sr-Cyrl-CS"/>
              </w:rPr>
            </w:pPr>
          </w:p>
          <w:p w14:paraId="43FEC477" w14:textId="77777777" w:rsidR="00A0251B" w:rsidRPr="00CC35F0" w:rsidRDefault="00A0251B">
            <w:pPr>
              <w:ind w:left="-50" w:right="-122"/>
              <w:jc w:val="left"/>
              <w:rPr>
                <w:rFonts w:ascii="Times New Roman" w:eastAsia="Times New Roman" w:hAnsi="Times New Roman"/>
                <w:sz w:val="24"/>
                <w:szCs w:val="24"/>
                <w:lang w:val="sr-Cyrl-CS"/>
              </w:rPr>
            </w:pPr>
          </w:p>
          <w:p w14:paraId="1FC3EA31" w14:textId="77777777" w:rsidR="00A0251B" w:rsidRPr="00CC35F0" w:rsidRDefault="008D6506">
            <w:pPr>
              <w:ind w:left="-50" w:right="-122"/>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50 </w:t>
            </w:r>
          </w:p>
        </w:tc>
      </w:tr>
      <w:tr w:rsidR="00A0251B" w:rsidRPr="00CC35F0" w14:paraId="2F970B00" w14:textId="77777777">
        <w:trPr>
          <w:trHeight w:val="1164"/>
        </w:trPr>
        <w:tc>
          <w:tcPr>
            <w:tcW w:w="3216" w:type="dxa"/>
            <w:tcBorders>
              <w:top w:val="single" w:sz="4" w:space="0" w:color="000000"/>
              <w:left w:val="single" w:sz="4" w:space="0" w:color="000000"/>
              <w:bottom w:val="single" w:sz="4" w:space="0" w:color="000000"/>
              <w:right w:val="single" w:sz="4" w:space="0" w:color="000000"/>
            </w:tcBorders>
            <w:shd w:val="clear" w:color="auto" w:fill="FFFFFF"/>
          </w:tcPr>
          <w:p w14:paraId="15D56B9F"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Концентрације емисијa </w:t>
            </w:r>
            <w:r w:rsidRPr="00CC35F0">
              <w:rPr>
                <w:rFonts w:ascii="Times New Roman" w:eastAsia="Times New Roman" w:hAnsi="Times New Roman"/>
                <w:color w:val="000000"/>
                <w:sz w:val="24"/>
                <w:szCs w:val="24"/>
                <w:lang w:val="sr-Cyrl-CS"/>
              </w:rPr>
              <w:t>SO</w:t>
            </w:r>
            <w:r w:rsidRPr="00CC35F0">
              <w:rPr>
                <w:rFonts w:ascii="Times New Roman" w:eastAsia="Times New Roman" w:hAnsi="Times New Roman"/>
                <w:color w:val="000000"/>
                <w:sz w:val="24"/>
                <w:szCs w:val="24"/>
                <w:vertAlign w:val="subscript"/>
                <w:lang w:val="sr-Cyrl-CS"/>
              </w:rPr>
              <w:t xml:space="preserve">2 </w:t>
            </w:r>
            <w:r w:rsidRPr="00CC35F0">
              <w:rPr>
                <w:rFonts w:ascii="Times New Roman" w:eastAsia="Times New Roman" w:hAnsi="Times New Roman"/>
                <w:sz w:val="24"/>
                <w:szCs w:val="24"/>
                <w:lang w:val="sr-Cyrl-CS"/>
              </w:rPr>
              <w:t>из специфичних индустријских процеса за производњу сумпорне киселине</w:t>
            </w:r>
          </w:p>
        </w:tc>
        <w:tc>
          <w:tcPr>
            <w:tcW w:w="1256" w:type="dxa"/>
            <w:tcBorders>
              <w:top w:val="single" w:sz="4" w:space="0" w:color="000000"/>
              <w:left w:val="single" w:sz="4" w:space="0" w:color="000000"/>
              <w:bottom w:val="single" w:sz="4" w:space="0" w:color="000000"/>
              <w:right w:val="single" w:sz="4" w:space="0" w:color="000000"/>
            </w:tcBorders>
            <w:shd w:val="clear" w:color="auto" w:fill="FFFFFF"/>
          </w:tcPr>
          <w:p w14:paraId="378E7E37"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mg/Nm</w:t>
            </w:r>
            <w:r w:rsidRPr="00CC35F0">
              <w:rPr>
                <w:rFonts w:ascii="Times New Roman" w:eastAsia="Times New Roman" w:hAnsi="Times New Roman"/>
                <w:sz w:val="24"/>
                <w:szCs w:val="24"/>
                <w:vertAlign w:val="superscript"/>
                <w:lang w:val="sr-Cyrl-CS"/>
              </w:rPr>
              <w:t>3</w:t>
            </w:r>
          </w:p>
        </w:tc>
        <w:tc>
          <w:tcPr>
            <w:tcW w:w="1457" w:type="dxa"/>
            <w:tcBorders>
              <w:top w:val="single" w:sz="4" w:space="0" w:color="000000"/>
              <w:left w:val="single" w:sz="4" w:space="0" w:color="000000"/>
              <w:bottom w:val="single" w:sz="4" w:space="0" w:color="000000"/>
              <w:right w:val="single" w:sz="4" w:space="0" w:color="000000"/>
            </w:tcBorders>
            <w:shd w:val="clear" w:color="auto" w:fill="FFFFFF"/>
          </w:tcPr>
          <w:p w14:paraId="708CDA72"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Годишњи извештај о континуалним мерењима емисија</w:t>
            </w:r>
          </w:p>
        </w:tc>
        <w:tc>
          <w:tcPr>
            <w:tcW w:w="1259" w:type="dxa"/>
            <w:tcBorders>
              <w:top w:val="single" w:sz="4" w:space="0" w:color="000000"/>
              <w:left w:val="single" w:sz="4" w:space="0" w:color="000000"/>
              <w:bottom w:val="single" w:sz="4" w:space="0" w:color="000000"/>
              <w:right w:val="single" w:sz="4" w:space="0" w:color="000000"/>
            </w:tcBorders>
            <w:shd w:val="clear" w:color="auto" w:fill="FFFFFF"/>
          </w:tcPr>
          <w:p w14:paraId="66A538C7"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120 </w:t>
            </w:r>
          </w:p>
        </w:tc>
        <w:tc>
          <w:tcPr>
            <w:tcW w:w="1079" w:type="dxa"/>
            <w:tcBorders>
              <w:top w:val="single" w:sz="4" w:space="0" w:color="000000"/>
              <w:left w:val="single" w:sz="4" w:space="0" w:color="000000"/>
              <w:bottom w:val="single" w:sz="4" w:space="0" w:color="000000"/>
              <w:right w:val="single" w:sz="4" w:space="0" w:color="000000"/>
            </w:tcBorders>
            <w:shd w:val="clear" w:color="auto" w:fill="FFFFFF"/>
          </w:tcPr>
          <w:p w14:paraId="6B8023C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120 </w:t>
            </w:r>
          </w:p>
        </w:tc>
        <w:tc>
          <w:tcPr>
            <w:tcW w:w="1377" w:type="dxa"/>
            <w:tcBorders>
              <w:top w:val="single" w:sz="4" w:space="0" w:color="000000"/>
              <w:left w:val="single" w:sz="4" w:space="0" w:color="000000"/>
              <w:bottom w:val="single" w:sz="4" w:space="0" w:color="000000"/>
              <w:right w:val="single" w:sz="4" w:space="0" w:color="000000"/>
            </w:tcBorders>
            <w:shd w:val="clear" w:color="auto" w:fill="FFFFFF"/>
          </w:tcPr>
          <w:p w14:paraId="2DE86773"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120 </w:t>
            </w:r>
          </w:p>
        </w:tc>
        <w:tc>
          <w:tcPr>
            <w:tcW w:w="1535" w:type="dxa"/>
            <w:tcBorders>
              <w:top w:val="single" w:sz="4" w:space="0" w:color="000000"/>
              <w:left w:val="single" w:sz="4" w:space="0" w:color="000000"/>
              <w:bottom w:val="single" w:sz="4" w:space="0" w:color="000000"/>
              <w:right w:val="single" w:sz="4" w:space="0" w:color="000000"/>
            </w:tcBorders>
            <w:shd w:val="clear" w:color="auto" w:fill="FFFFFF"/>
          </w:tcPr>
          <w:p w14:paraId="47D5736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120 </w:t>
            </w:r>
          </w:p>
        </w:tc>
        <w:tc>
          <w:tcPr>
            <w:tcW w:w="1571" w:type="dxa"/>
            <w:tcBorders>
              <w:top w:val="single" w:sz="4" w:space="0" w:color="000000"/>
              <w:left w:val="single" w:sz="4" w:space="0" w:color="000000"/>
              <w:bottom w:val="single" w:sz="4" w:space="0" w:color="000000"/>
              <w:right w:val="single" w:sz="4" w:space="0" w:color="000000"/>
            </w:tcBorders>
            <w:shd w:val="clear" w:color="auto" w:fill="FFFFFF"/>
          </w:tcPr>
          <w:p w14:paraId="62BA15D4" w14:textId="77777777" w:rsidR="00A0251B" w:rsidRPr="00CC35F0" w:rsidRDefault="008D6506">
            <w:pPr>
              <w:ind w:left="-50" w:right="-122"/>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100 </w:t>
            </w:r>
          </w:p>
        </w:tc>
        <w:tc>
          <w:tcPr>
            <w:tcW w:w="1939" w:type="dxa"/>
            <w:gridSpan w:val="2"/>
            <w:tcBorders>
              <w:top w:val="single" w:sz="4" w:space="0" w:color="000000"/>
              <w:left w:val="single" w:sz="4" w:space="0" w:color="000000"/>
              <w:bottom w:val="single" w:sz="4" w:space="0" w:color="000000"/>
              <w:right w:val="single" w:sz="4" w:space="0" w:color="000000"/>
            </w:tcBorders>
            <w:shd w:val="clear" w:color="auto" w:fill="FFFFFF"/>
          </w:tcPr>
          <w:p w14:paraId="17E4622D" w14:textId="77777777" w:rsidR="00A0251B" w:rsidRPr="00CC35F0" w:rsidRDefault="008D6506">
            <w:pPr>
              <w:ind w:left="-50" w:right="-122"/>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100 </w:t>
            </w:r>
          </w:p>
        </w:tc>
      </w:tr>
      <w:tr w:rsidR="00A0251B" w:rsidRPr="00CC35F0" w14:paraId="11B5C97B" w14:textId="77777777">
        <w:trPr>
          <w:gridAfter w:val="1"/>
          <w:wAfter w:w="15" w:type="dxa"/>
          <w:trHeight w:val="302"/>
        </w:trPr>
        <w:tc>
          <w:tcPr>
            <w:tcW w:w="3216" w:type="dxa"/>
            <w:tcBorders>
              <w:top w:val="single" w:sz="4" w:space="0" w:color="000000"/>
              <w:left w:val="single" w:sz="4" w:space="0" w:color="000000"/>
              <w:bottom w:val="single" w:sz="4" w:space="0" w:color="000000"/>
              <w:right w:val="single" w:sz="4" w:space="0" w:color="000000"/>
            </w:tcBorders>
            <w:shd w:val="clear" w:color="auto" w:fill="FFFFFF"/>
          </w:tcPr>
          <w:p w14:paraId="508DD0BF"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Концентрације емисија прашкастих материја из специфичних индустријских процеса</w:t>
            </w:r>
          </w:p>
        </w:tc>
        <w:tc>
          <w:tcPr>
            <w:tcW w:w="1256" w:type="dxa"/>
            <w:tcBorders>
              <w:top w:val="single" w:sz="4" w:space="0" w:color="000000"/>
              <w:left w:val="single" w:sz="4" w:space="0" w:color="000000"/>
              <w:bottom w:val="single" w:sz="4" w:space="0" w:color="000000"/>
              <w:right w:val="single" w:sz="4" w:space="0" w:color="000000"/>
            </w:tcBorders>
            <w:shd w:val="clear" w:color="auto" w:fill="FFFFFF"/>
          </w:tcPr>
          <w:p w14:paraId="6B8E0FB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mg/Nm</w:t>
            </w:r>
            <w:r w:rsidRPr="00CC35F0">
              <w:rPr>
                <w:rFonts w:ascii="Times New Roman" w:eastAsia="Times New Roman" w:hAnsi="Times New Roman"/>
                <w:sz w:val="24"/>
                <w:szCs w:val="24"/>
                <w:vertAlign w:val="superscript"/>
                <w:lang w:val="sr-Cyrl-CS"/>
              </w:rPr>
              <w:t>3</w:t>
            </w:r>
          </w:p>
        </w:tc>
        <w:tc>
          <w:tcPr>
            <w:tcW w:w="1457" w:type="dxa"/>
            <w:tcBorders>
              <w:top w:val="single" w:sz="4" w:space="0" w:color="000000"/>
              <w:left w:val="single" w:sz="4" w:space="0" w:color="000000"/>
              <w:bottom w:val="single" w:sz="4" w:space="0" w:color="000000"/>
              <w:right w:val="single" w:sz="4" w:space="0" w:color="000000"/>
            </w:tcBorders>
            <w:shd w:val="clear" w:color="auto" w:fill="FFFFFF"/>
          </w:tcPr>
          <w:p w14:paraId="43FEDC7E"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Годишњи извештај о континуалним мерењима емисија</w:t>
            </w:r>
          </w:p>
        </w:tc>
        <w:tc>
          <w:tcPr>
            <w:tcW w:w="1259" w:type="dxa"/>
            <w:tcBorders>
              <w:top w:val="single" w:sz="4" w:space="0" w:color="000000"/>
              <w:left w:val="single" w:sz="4" w:space="0" w:color="000000"/>
              <w:bottom w:val="single" w:sz="4" w:space="0" w:color="000000"/>
              <w:right w:val="single" w:sz="4" w:space="0" w:color="000000"/>
            </w:tcBorders>
            <w:shd w:val="clear" w:color="auto" w:fill="FFFFFF"/>
          </w:tcPr>
          <w:p w14:paraId="235D99FA" w14:textId="77777777" w:rsidR="00A0251B" w:rsidRPr="00CC35F0" w:rsidRDefault="00A0251B">
            <w:pPr>
              <w:jc w:val="left"/>
              <w:rPr>
                <w:rFonts w:ascii="Times New Roman" w:eastAsia="Times New Roman" w:hAnsi="Times New Roman"/>
                <w:sz w:val="24"/>
                <w:szCs w:val="24"/>
                <w:lang w:val="sr-Cyrl-CS"/>
              </w:rPr>
            </w:pPr>
          </w:p>
          <w:p w14:paraId="58E8DB3E" w14:textId="77777777" w:rsidR="00A0251B" w:rsidRPr="00CC35F0" w:rsidRDefault="00A0251B">
            <w:pPr>
              <w:jc w:val="left"/>
              <w:rPr>
                <w:rFonts w:ascii="Times New Roman" w:eastAsia="Times New Roman" w:hAnsi="Times New Roman"/>
                <w:sz w:val="24"/>
                <w:szCs w:val="24"/>
                <w:lang w:val="sr-Cyrl-CS"/>
              </w:rPr>
            </w:pPr>
          </w:p>
          <w:p w14:paraId="782FC80A"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&gt;5</w:t>
            </w:r>
          </w:p>
        </w:tc>
        <w:tc>
          <w:tcPr>
            <w:tcW w:w="107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1A24C3"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37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0133DD"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53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2F9C1F"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2-5 </w:t>
            </w:r>
          </w:p>
        </w:tc>
        <w:tc>
          <w:tcPr>
            <w:tcW w:w="157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52E66" w14:textId="77777777" w:rsidR="00A0251B" w:rsidRPr="00CC35F0" w:rsidRDefault="008D6506">
            <w:pPr>
              <w:ind w:left="-50" w:right="-122"/>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2-5 </w:t>
            </w:r>
          </w:p>
        </w:tc>
        <w:tc>
          <w:tcPr>
            <w:tcW w:w="19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51D06D" w14:textId="77777777" w:rsidR="00A0251B" w:rsidRPr="00CC35F0" w:rsidRDefault="008D6506">
            <w:pPr>
              <w:ind w:left="-50" w:right="-122"/>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2-5 </w:t>
            </w:r>
          </w:p>
        </w:tc>
      </w:tr>
    </w:tbl>
    <w:p w14:paraId="05FF2C09" w14:textId="77777777" w:rsidR="00A0251B" w:rsidRPr="00CC35F0" w:rsidRDefault="00A0251B">
      <w:pPr>
        <w:rPr>
          <w:rFonts w:ascii="Times New Roman" w:eastAsia="Times New Roman" w:hAnsi="Times New Roman"/>
          <w:sz w:val="24"/>
          <w:szCs w:val="24"/>
          <w:lang w:val="sr-Cyrl-CS"/>
        </w:rPr>
      </w:pPr>
    </w:p>
    <w:tbl>
      <w:tblPr>
        <w:tblStyle w:val="afff7"/>
        <w:tblW w:w="14303"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566"/>
        <w:gridCol w:w="2373"/>
        <w:gridCol w:w="1624"/>
        <w:gridCol w:w="1701"/>
        <w:gridCol w:w="1701"/>
        <w:gridCol w:w="1636"/>
        <w:gridCol w:w="1684"/>
        <w:gridCol w:w="18"/>
      </w:tblGrid>
      <w:tr w:rsidR="00A0251B" w:rsidRPr="00CC35F0" w14:paraId="342D2EC1" w14:textId="77777777">
        <w:trPr>
          <w:trHeight w:val="217"/>
        </w:trPr>
        <w:tc>
          <w:tcPr>
            <w:tcW w:w="3566" w:type="dxa"/>
            <w:vMerge w:val="restart"/>
            <w:shd w:val="clear" w:color="auto" w:fill="A8D08D"/>
          </w:tcPr>
          <w:p w14:paraId="2948F92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6F8B73F5" w14:textId="77777777" w:rsidR="00A0251B" w:rsidRPr="00CC35F0" w:rsidRDefault="00A0251B">
            <w:pPr>
              <w:jc w:val="center"/>
              <w:rPr>
                <w:rFonts w:ascii="Times New Roman" w:eastAsia="Times New Roman" w:hAnsi="Times New Roman"/>
                <w:sz w:val="24"/>
                <w:szCs w:val="24"/>
                <w:lang w:val="sr-Cyrl-CS"/>
              </w:rPr>
            </w:pPr>
          </w:p>
        </w:tc>
        <w:tc>
          <w:tcPr>
            <w:tcW w:w="2373" w:type="dxa"/>
            <w:vMerge w:val="restart"/>
            <w:shd w:val="clear" w:color="auto" w:fill="A8D08D"/>
          </w:tcPr>
          <w:p w14:paraId="53EC649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8364" w:type="dxa"/>
            <w:gridSpan w:val="6"/>
            <w:shd w:val="clear" w:color="auto" w:fill="A8D08D"/>
            <w:vAlign w:val="center"/>
          </w:tcPr>
          <w:p w14:paraId="2EDB753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5C2A58F4" w14:textId="77777777">
        <w:trPr>
          <w:gridAfter w:val="1"/>
          <w:wAfter w:w="18" w:type="dxa"/>
          <w:trHeight w:val="217"/>
        </w:trPr>
        <w:tc>
          <w:tcPr>
            <w:tcW w:w="3566" w:type="dxa"/>
            <w:vMerge/>
            <w:shd w:val="clear" w:color="auto" w:fill="A8D08D"/>
          </w:tcPr>
          <w:p w14:paraId="44675F2E"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373" w:type="dxa"/>
            <w:vMerge/>
            <w:shd w:val="clear" w:color="auto" w:fill="A8D08D"/>
          </w:tcPr>
          <w:p w14:paraId="4CBB42F9"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24" w:type="dxa"/>
            <w:shd w:val="clear" w:color="auto" w:fill="A8D08D"/>
            <w:vAlign w:val="center"/>
          </w:tcPr>
          <w:p w14:paraId="47052D7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701" w:type="dxa"/>
            <w:shd w:val="clear" w:color="auto" w:fill="A8D08D"/>
            <w:vAlign w:val="center"/>
          </w:tcPr>
          <w:p w14:paraId="2CACF98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701" w:type="dxa"/>
            <w:shd w:val="clear" w:color="auto" w:fill="A8D08D"/>
            <w:vAlign w:val="center"/>
          </w:tcPr>
          <w:p w14:paraId="02EC9F3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636" w:type="dxa"/>
            <w:shd w:val="clear" w:color="auto" w:fill="A8D08D"/>
            <w:vAlign w:val="center"/>
          </w:tcPr>
          <w:p w14:paraId="4AA489D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684" w:type="dxa"/>
            <w:shd w:val="clear" w:color="auto" w:fill="A8D08D"/>
            <w:vAlign w:val="center"/>
          </w:tcPr>
          <w:p w14:paraId="254827C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66DE7FAF" w14:textId="77777777">
        <w:trPr>
          <w:gridAfter w:val="1"/>
          <w:wAfter w:w="18" w:type="dxa"/>
          <w:trHeight w:val="381"/>
        </w:trPr>
        <w:tc>
          <w:tcPr>
            <w:tcW w:w="3566" w:type="dxa"/>
            <w:shd w:val="clear" w:color="auto" w:fill="FFFFFF"/>
          </w:tcPr>
          <w:p w14:paraId="5FA35EC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p w14:paraId="197900B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2373" w:type="dxa"/>
            <w:shd w:val="clear" w:color="auto" w:fill="FFFFFF"/>
          </w:tcPr>
          <w:p w14:paraId="521C69CE" w14:textId="77777777" w:rsidR="00A0251B" w:rsidRPr="00CC35F0" w:rsidRDefault="00A0251B">
            <w:pPr>
              <w:rPr>
                <w:rFonts w:ascii="Times New Roman" w:eastAsia="Times New Roman" w:hAnsi="Times New Roman"/>
                <w:sz w:val="24"/>
                <w:szCs w:val="24"/>
                <w:lang w:val="sr-Cyrl-CS"/>
              </w:rPr>
            </w:pPr>
          </w:p>
        </w:tc>
        <w:tc>
          <w:tcPr>
            <w:tcW w:w="1624" w:type="dxa"/>
            <w:shd w:val="clear" w:color="auto" w:fill="FFFFFF"/>
          </w:tcPr>
          <w:p w14:paraId="2713E612" w14:textId="77777777" w:rsidR="00A0251B" w:rsidRPr="00CC35F0" w:rsidRDefault="00A0251B">
            <w:pPr>
              <w:rPr>
                <w:rFonts w:ascii="Times New Roman" w:eastAsia="Times New Roman" w:hAnsi="Times New Roman"/>
                <w:sz w:val="24"/>
                <w:szCs w:val="24"/>
                <w:lang w:val="sr-Cyrl-CS"/>
              </w:rPr>
            </w:pPr>
          </w:p>
        </w:tc>
        <w:tc>
          <w:tcPr>
            <w:tcW w:w="1701" w:type="dxa"/>
            <w:shd w:val="clear" w:color="auto" w:fill="FFFFFF"/>
          </w:tcPr>
          <w:p w14:paraId="416DF909"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A87EC0" w:rsidRPr="00CC35F0">
              <w:rPr>
                <w:rFonts w:ascii="Times New Roman" w:eastAsia="Times New Roman" w:hAnsi="Times New Roman"/>
                <w:sz w:val="24"/>
                <w:szCs w:val="24"/>
                <w:vertAlign w:val="superscript"/>
                <w:lang w:val="sr-Cyrl-CS"/>
              </w:rPr>
              <w:t>95</w:t>
            </w:r>
          </w:p>
        </w:tc>
        <w:tc>
          <w:tcPr>
            <w:tcW w:w="1701" w:type="dxa"/>
            <w:shd w:val="clear" w:color="auto" w:fill="FFFFFF"/>
          </w:tcPr>
          <w:p w14:paraId="32F7A676"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КДА</w:t>
            </w:r>
            <w:r w:rsidR="00A87EC0" w:rsidRPr="00CC35F0">
              <w:rPr>
                <w:rFonts w:ascii="Times New Roman" w:eastAsia="Times New Roman" w:hAnsi="Times New Roman"/>
                <w:sz w:val="24"/>
                <w:szCs w:val="24"/>
                <w:vertAlign w:val="superscript"/>
                <w:lang w:val="sr-Cyrl-CS"/>
              </w:rPr>
              <w:t>95</w:t>
            </w:r>
          </w:p>
        </w:tc>
        <w:tc>
          <w:tcPr>
            <w:tcW w:w="1636" w:type="dxa"/>
            <w:shd w:val="clear" w:color="auto" w:fill="FFFFFF"/>
          </w:tcPr>
          <w:p w14:paraId="61B9CEB0"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A87EC0" w:rsidRPr="00CC35F0">
              <w:rPr>
                <w:rFonts w:ascii="Times New Roman" w:eastAsia="Times New Roman" w:hAnsi="Times New Roman"/>
                <w:sz w:val="24"/>
                <w:szCs w:val="24"/>
                <w:vertAlign w:val="superscript"/>
                <w:lang w:val="sr-Cyrl-CS"/>
              </w:rPr>
              <w:t>95</w:t>
            </w:r>
          </w:p>
        </w:tc>
        <w:tc>
          <w:tcPr>
            <w:tcW w:w="1684" w:type="dxa"/>
            <w:shd w:val="clear" w:color="auto" w:fill="FFFFFF"/>
          </w:tcPr>
          <w:p w14:paraId="303B1D44"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A87EC0" w:rsidRPr="00CC35F0">
              <w:rPr>
                <w:rFonts w:ascii="Times New Roman" w:eastAsia="Times New Roman" w:hAnsi="Times New Roman"/>
                <w:sz w:val="24"/>
                <w:szCs w:val="24"/>
                <w:vertAlign w:val="superscript"/>
                <w:lang w:val="sr-Cyrl-CS"/>
              </w:rPr>
              <w:t>95</w:t>
            </w:r>
          </w:p>
        </w:tc>
      </w:tr>
    </w:tbl>
    <w:p w14:paraId="00D54F72" w14:textId="77777777" w:rsidR="00A0251B" w:rsidRPr="00CC35F0" w:rsidRDefault="00A0251B">
      <w:pPr>
        <w:rPr>
          <w:rFonts w:ascii="Times New Roman" w:eastAsia="Times New Roman" w:hAnsi="Times New Roman"/>
          <w:sz w:val="24"/>
          <w:szCs w:val="24"/>
          <w:lang w:val="sr-Cyrl-CS"/>
        </w:rPr>
      </w:pPr>
    </w:p>
    <w:p w14:paraId="125566FD" w14:textId="77777777" w:rsidR="00A0251B" w:rsidRPr="00CC35F0" w:rsidRDefault="00A0251B">
      <w:pPr>
        <w:rPr>
          <w:rFonts w:ascii="Times New Roman" w:eastAsia="Times New Roman" w:hAnsi="Times New Roman"/>
          <w:sz w:val="24"/>
          <w:szCs w:val="24"/>
          <w:lang w:val="sr-Cyrl-CS"/>
        </w:rPr>
      </w:pPr>
    </w:p>
    <w:tbl>
      <w:tblPr>
        <w:tblStyle w:val="afff8"/>
        <w:tblW w:w="14838"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113"/>
        <w:gridCol w:w="1463"/>
        <w:gridCol w:w="1410"/>
        <w:gridCol w:w="1279"/>
        <w:gridCol w:w="1386"/>
        <w:gridCol w:w="1134"/>
        <w:gridCol w:w="985"/>
        <w:gridCol w:w="985"/>
        <w:gridCol w:w="982"/>
        <w:gridCol w:w="1071"/>
        <w:gridCol w:w="1030"/>
      </w:tblGrid>
      <w:tr w:rsidR="00A0251B" w:rsidRPr="00CC35F0" w14:paraId="59F22711" w14:textId="77777777">
        <w:trPr>
          <w:trHeight w:val="140"/>
        </w:trPr>
        <w:tc>
          <w:tcPr>
            <w:tcW w:w="3113"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15CAF95" w14:textId="77777777" w:rsidR="00A0251B" w:rsidRPr="00CC35F0" w:rsidRDefault="008D6506">
            <w:pPr>
              <w:jc w:val="center"/>
              <w:rPr>
                <w:rFonts w:ascii="Times New Roman" w:eastAsia="Times New Roman" w:hAnsi="Times New Roman"/>
                <w:sz w:val="24"/>
                <w:szCs w:val="24"/>
                <w:lang w:val="sr-Cyrl-CS"/>
              </w:rPr>
            </w:pPr>
            <w:bookmarkStart w:id="135" w:name="_heading=h.4fsjm0b" w:colFirst="0" w:colLast="0"/>
            <w:bookmarkEnd w:id="135"/>
            <w:r w:rsidRPr="00CC35F0">
              <w:rPr>
                <w:rFonts w:ascii="Times New Roman" w:eastAsia="Times New Roman" w:hAnsi="Times New Roman"/>
                <w:sz w:val="24"/>
                <w:szCs w:val="24"/>
                <w:lang w:val="sr-Cyrl-CS"/>
              </w:rPr>
              <w:lastRenderedPageBreak/>
              <w:t>Назив активности:</w:t>
            </w:r>
          </w:p>
        </w:tc>
        <w:tc>
          <w:tcPr>
            <w:tcW w:w="1463"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BC8CAE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w:t>
            </w:r>
          </w:p>
          <w:p w14:paraId="311C9AA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који спроводи активност</w:t>
            </w:r>
          </w:p>
        </w:tc>
        <w:tc>
          <w:tcPr>
            <w:tcW w:w="1410"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3166660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279"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065784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386"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FC341A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50BAC76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287FF663" w14:textId="77777777" w:rsidR="00A0251B" w:rsidRPr="00CC35F0" w:rsidRDefault="00A0251B">
            <w:pPr>
              <w:jc w:val="center"/>
              <w:rPr>
                <w:rFonts w:ascii="Times New Roman" w:eastAsia="Times New Roman" w:hAnsi="Times New Roman"/>
                <w:sz w:val="24"/>
                <w:szCs w:val="24"/>
                <w:lang w:val="sr-Cyrl-CS"/>
              </w:rPr>
            </w:pPr>
          </w:p>
        </w:tc>
        <w:tc>
          <w:tcPr>
            <w:tcW w:w="5053" w:type="dxa"/>
            <w:gridSpan w:val="5"/>
            <w:tcBorders>
              <w:top w:val="single" w:sz="4" w:space="0" w:color="000000"/>
              <w:left w:val="single" w:sz="4" w:space="0" w:color="000000"/>
              <w:bottom w:val="single" w:sz="4" w:space="0" w:color="000000"/>
              <w:right w:val="single" w:sz="4" w:space="0" w:color="000000"/>
            </w:tcBorders>
            <w:shd w:val="clear" w:color="auto" w:fill="FFF2CC"/>
          </w:tcPr>
          <w:p w14:paraId="501BEA23" w14:textId="77777777" w:rsidR="00A0251B" w:rsidRPr="00CC35F0" w:rsidRDefault="008D6506">
            <w:pPr>
              <w:jc w:val="cente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00933C19" w:rsidRPr="00CC35F0">
              <w:rPr>
                <w:rFonts w:ascii="Times New Roman" w:eastAsia="Times New Roman" w:hAnsi="Times New Roman"/>
                <w:sz w:val="24"/>
                <w:szCs w:val="24"/>
                <w:vertAlign w:val="superscript"/>
                <w:lang w:val="sr-Cyrl-CS"/>
              </w:rPr>
              <w:t>96</w:t>
            </w:r>
          </w:p>
        </w:tc>
      </w:tr>
      <w:tr w:rsidR="00A0251B" w:rsidRPr="00CC35F0" w14:paraId="500E2043" w14:textId="77777777">
        <w:trPr>
          <w:trHeight w:val="386"/>
        </w:trPr>
        <w:tc>
          <w:tcPr>
            <w:tcW w:w="3113" w:type="dxa"/>
            <w:vMerge/>
            <w:tcBorders>
              <w:top w:val="single" w:sz="4" w:space="0" w:color="000000"/>
              <w:left w:val="single" w:sz="4" w:space="0" w:color="000000"/>
              <w:bottom w:val="single" w:sz="4" w:space="0" w:color="000000"/>
              <w:right w:val="single" w:sz="4" w:space="0" w:color="000000"/>
            </w:tcBorders>
            <w:shd w:val="clear" w:color="auto" w:fill="FFF2CC"/>
          </w:tcPr>
          <w:p w14:paraId="39D195A9"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63" w:type="dxa"/>
            <w:vMerge/>
            <w:tcBorders>
              <w:top w:val="single" w:sz="4" w:space="0" w:color="000000"/>
              <w:left w:val="single" w:sz="4" w:space="0" w:color="000000"/>
              <w:bottom w:val="single" w:sz="4" w:space="0" w:color="000000"/>
              <w:right w:val="single" w:sz="4" w:space="0" w:color="000000"/>
            </w:tcBorders>
            <w:shd w:val="clear" w:color="auto" w:fill="FFF2CC"/>
          </w:tcPr>
          <w:p w14:paraId="3867501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10" w:type="dxa"/>
            <w:vMerge/>
            <w:tcBorders>
              <w:top w:val="single" w:sz="4" w:space="0" w:color="000000"/>
              <w:left w:val="single" w:sz="4" w:space="0" w:color="000000"/>
              <w:bottom w:val="single" w:sz="4" w:space="0" w:color="000000"/>
              <w:right w:val="single" w:sz="4" w:space="0" w:color="000000"/>
            </w:tcBorders>
            <w:shd w:val="clear" w:color="auto" w:fill="FFF2CC"/>
          </w:tcPr>
          <w:p w14:paraId="6E79023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279" w:type="dxa"/>
            <w:vMerge/>
            <w:tcBorders>
              <w:top w:val="single" w:sz="4" w:space="0" w:color="000000"/>
              <w:left w:val="single" w:sz="4" w:space="0" w:color="000000"/>
              <w:bottom w:val="single" w:sz="4" w:space="0" w:color="000000"/>
              <w:right w:val="single" w:sz="4" w:space="0" w:color="000000"/>
            </w:tcBorders>
            <w:shd w:val="clear" w:color="auto" w:fill="FFF2CC"/>
          </w:tcPr>
          <w:p w14:paraId="33579D4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86" w:type="dxa"/>
            <w:vMerge/>
            <w:tcBorders>
              <w:top w:val="single" w:sz="4" w:space="0" w:color="000000"/>
              <w:left w:val="single" w:sz="4" w:space="0" w:color="000000"/>
              <w:bottom w:val="single" w:sz="4" w:space="0" w:color="000000"/>
              <w:right w:val="single" w:sz="4" w:space="0" w:color="000000"/>
            </w:tcBorders>
            <w:shd w:val="clear" w:color="auto" w:fill="FFF2CC"/>
          </w:tcPr>
          <w:p w14:paraId="433877FE"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FFF2CC"/>
          </w:tcPr>
          <w:p w14:paraId="686019A5"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85" w:type="dxa"/>
            <w:tcBorders>
              <w:top w:val="single" w:sz="4" w:space="0" w:color="000000"/>
              <w:left w:val="single" w:sz="4" w:space="0" w:color="000000"/>
              <w:bottom w:val="single" w:sz="4" w:space="0" w:color="000000"/>
              <w:right w:val="single" w:sz="4" w:space="0" w:color="000000"/>
            </w:tcBorders>
            <w:shd w:val="clear" w:color="auto" w:fill="FFF2CC"/>
          </w:tcPr>
          <w:p w14:paraId="49C4CEF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985" w:type="dxa"/>
            <w:tcBorders>
              <w:top w:val="single" w:sz="4" w:space="0" w:color="000000"/>
              <w:left w:val="single" w:sz="4" w:space="0" w:color="000000"/>
              <w:bottom w:val="single" w:sz="4" w:space="0" w:color="000000"/>
              <w:right w:val="single" w:sz="4" w:space="0" w:color="000000"/>
            </w:tcBorders>
            <w:shd w:val="clear" w:color="auto" w:fill="FFF2CC"/>
          </w:tcPr>
          <w:p w14:paraId="1E45D06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82" w:type="dxa"/>
            <w:tcBorders>
              <w:top w:val="single" w:sz="4" w:space="0" w:color="000000"/>
              <w:left w:val="single" w:sz="4" w:space="0" w:color="000000"/>
              <w:bottom w:val="single" w:sz="4" w:space="0" w:color="000000"/>
              <w:right w:val="single" w:sz="4" w:space="0" w:color="000000"/>
            </w:tcBorders>
            <w:shd w:val="clear" w:color="auto" w:fill="FFF2CC"/>
          </w:tcPr>
          <w:p w14:paraId="7757AE2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071" w:type="dxa"/>
            <w:tcBorders>
              <w:top w:val="single" w:sz="4" w:space="0" w:color="000000"/>
              <w:left w:val="single" w:sz="4" w:space="0" w:color="000000"/>
              <w:bottom w:val="single" w:sz="4" w:space="0" w:color="000000"/>
              <w:right w:val="single" w:sz="4" w:space="0" w:color="000000"/>
            </w:tcBorders>
            <w:shd w:val="clear" w:color="auto" w:fill="FFF2CC"/>
          </w:tcPr>
          <w:p w14:paraId="79C08EE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030" w:type="dxa"/>
            <w:tcBorders>
              <w:top w:val="single" w:sz="4" w:space="0" w:color="000000"/>
              <w:left w:val="single" w:sz="4" w:space="0" w:color="000000"/>
              <w:bottom w:val="single" w:sz="4" w:space="0" w:color="000000"/>
              <w:right w:val="single" w:sz="4" w:space="0" w:color="000000"/>
            </w:tcBorders>
            <w:shd w:val="clear" w:color="auto" w:fill="FFF2CC"/>
          </w:tcPr>
          <w:p w14:paraId="6B37A05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2702965B" w14:textId="77777777">
        <w:trPr>
          <w:trHeight w:val="543"/>
        </w:trPr>
        <w:tc>
          <w:tcPr>
            <w:tcW w:w="3113" w:type="dxa"/>
          </w:tcPr>
          <w:p w14:paraId="48F88647"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1.2.1.1. Осигурати да су свим великим индустријским постројењима обухваћеним Анексом 1 Директиве о индустријским емисијама издате интегрисане дозволе и да су у складу са релевантним BAT AELs – измене и допуне подзаконских аката</w:t>
            </w:r>
            <w:r w:rsidRPr="00CC35F0">
              <w:rPr>
                <w:rFonts w:ascii="Times New Roman" w:eastAsia="Times New Roman" w:hAnsi="Times New Roman"/>
                <w:color w:val="000000"/>
                <w:sz w:val="40"/>
                <w:szCs w:val="40"/>
                <w:vertAlign w:val="superscript"/>
                <w:lang w:val="sr-Cyrl-CS"/>
              </w:rPr>
              <w:footnoteReference w:id="93"/>
            </w:r>
            <w:r w:rsidRPr="00CC35F0">
              <w:rPr>
                <w:rFonts w:ascii="Times New Roman" w:eastAsia="Times New Roman" w:hAnsi="Times New Roman"/>
                <w:color w:val="000000"/>
                <w:sz w:val="24"/>
                <w:szCs w:val="24"/>
                <w:lang w:val="sr-Cyrl-CS"/>
              </w:rPr>
              <w:t>.</w:t>
            </w:r>
          </w:p>
        </w:tc>
        <w:tc>
          <w:tcPr>
            <w:tcW w:w="1463" w:type="dxa"/>
          </w:tcPr>
          <w:p w14:paraId="014426C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410" w:type="dxa"/>
          </w:tcPr>
          <w:p w14:paraId="2E8FDFE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Покрајински секретаријат надлежан за послове заштите животне средине и локалне самоуправе</w:t>
            </w:r>
          </w:p>
          <w:p w14:paraId="608E862D" w14:textId="77777777" w:rsidR="00A0251B" w:rsidRPr="00CC35F0" w:rsidRDefault="00A0251B">
            <w:pPr>
              <w:jc w:val="center"/>
              <w:rPr>
                <w:rFonts w:ascii="Times New Roman" w:eastAsia="Times New Roman" w:hAnsi="Times New Roman"/>
                <w:sz w:val="24"/>
                <w:szCs w:val="24"/>
                <w:lang w:val="sr-Cyrl-CS"/>
              </w:rPr>
            </w:pPr>
          </w:p>
        </w:tc>
        <w:tc>
          <w:tcPr>
            <w:tcW w:w="1279" w:type="dxa"/>
          </w:tcPr>
          <w:p w14:paraId="56BE541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386" w:type="dxa"/>
          </w:tcPr>
          <w:p w14:paraId="5EACA928" w14:textId="77777777" w:rsidR="00A0251B" w:rsidRPr="00CC35F0" w:rsidRDefault="00A0251B">
            <w:pPr>
              <w:rPr>
                <w:rFonts w:ascii="Times New Roman" w:eastAsia="Times New Roman" w:hAnsi="Times New Roman"/>
                <w:sz w:val="24"/>
                <w:szCs w:val="24"/>
                <w:lang w:val="sr-Cyrl-CS"/>
              </w:rPr>
            </w:pPr>
          </w:p>
        </w:tc>
        <w:tc>
          <w:tcPr>
            <w:tcW w:w="1134" w:type="dxa"/>
          </w:tcPr>
          <w:p w14:paraId="20E24338" w14:textId="77777777" w:rsidR="00A0251B" w:rsidRPr="00CC35F0" w:rsidRDefault="00A0251B">
            <w:pPr>
              <w:rPr>
                <w:rFonts w:ascii="Times New Roman" w:eastAsia="Times New Roman" w:hAnsi="Times New Roman"/>
                <w:sz w:val="24"/>
                <w:szCs w:val="24"/>
                <w:lang w:val="sr-Cyrl-CS"/>
              </w:rPr>
            </w:pPr>
          </w:p>
        </w:tc>
        <w:tc>
          <w:tcPr>
            <w:tcW w:w="985" w:type="dxa"/>
          </w:tcPr>
          <w:p w14:paraId="23396D19" w14:textId="77777777" w:rsidR="00A0251B" w:rsidRPr="00CC35F0" w:rsidRDefault="00A0251B">
            <w:pPr>
              <w:jc w:val="center"/>
              <w:rPr>
                <w:rFonts w:ascii="Times New Roman" w:eastAsia="Times New Roman" w:hAnsi="Times New Roman"/>
                <w:sz w:val="24"/>
                <w:szCs w:val="24"/>
                <w:lang w:val="sr-Cyrl-CS"/>
              </w:rPr>
            </w:pPr>
          </w:p>
        </w:tc>
        <w:tc>
          <w:tcPr>
            <w:tcW w:w="985" w:type="dxa"/>
          </w:tcPr>
          <w:p w14:paraId="6D1B22EF" w14:textId="77777777" w:rsidR="00A0251B" w:rsidRPr="00CC35F0" w:rsidRDefault="0084294D">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footnoteReference w:id="94"/>
            </w:r>
          </w:p>
        </w:tc>
        <w:tc>
          <w:tcPr>
            <w:tcW w:w="982" w:type="dxa"/>
          </w:tcPr>
          <w:p w14:paraId="4518164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1071" w:type="dxa"/>
          </w:tcPr>
          <w:p w14:paraId="481B413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1030" w:type="dxa"/>
          </w:tcPr>
          <w:p w14:paraId="58A0AC6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r>
      <w:tr w:rsidR="00A0251B" w:rsidRPr="00CC35F0" w14:paraId="211B6C50" w14:textId="77777777">
        <w:trPr>
          <w:trHeight w:val="543"/>
        </w:trPr>
        <w:tc>
          <w:tcPr>
            <w:tcW w:w="3113" w:type="dxa"/>
          </w:tcPr>
          <w:p w14:paraId="294ED79C"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1.2.1.2. Обезбедити усклађеност емисија из индустријских процеса са BAT AELs, узимајући у обзир квалитет ваздуха у зонама и агломерацијама, и додатно ниже вредности SO</w:t>
            </w:r>
            <w:r w:rsidRPr="00CC35F0">
              <w:rPr>
                <w:rFonts w:ascii="Times New Roman" w:eastAsia="Times New Roman" w:hAnsi="Times New Roman"/>
                <w:color w:val="000000"/>
                <w:sz w:val="24"/>
                <w:szCs w:val="24"/>
                <w:vertAlign w:val="subscript"/>
                <w:lang w:val="sr-Cyrl-CS"/>
              </w:rPr>
              <w:t>2</w:t>
            </w:r>
            <w:r w:rsidRPr="00CC35F0">
              <w:rPr>
                <w:rFonts w:ascii="Times New Roman" w:eastAsia="Times New Roman" w:hAnsi="Times New Roman"/>
                <w:color w:val="000000"/>
                <w:sz w:val="24"/>
                <w:szCs w:val="24"/>
                <w:lang w:val="sr-Cyrl-CS"/>
              </w:rPr>
              <w:t xml:space="preserve"> за BAT AELs за производњу бакра од 50 mg/Nm</w:t>
            </w:r>
            <w:r w:rsidRPr="00CC35F0">
              <w:rPr>
                <w:rFonts w:ascii="Times New Roman" w:eastAsia="Times New Roman" w:hAnsi="Times New Roman"/>
                <w:color w:val="000000"/>
                <w:sz w:val="24"/>
                <w:szCs w:val="24"/>
                <w:vertAlign w:val="superscript"/>
                <w:lang w:val="sr-Cyrl-CS"/>
              </w:rPr>
              <w:t>3</w:t>
            </w:r>
            <w:r w:rsidRPr="00CC35F0">
              <w:rPr>
                <w:rFonts w:ascii="Times New Roman" w:eastAsia="Times New Roman" w:hAnsi="Times New Roman"/>
                <w:color w:val="000000"/>
                <w:sz w:val="24"/>
                <w:szCs w:val="24"/>
                <w:lang w:val="sr-Cyrl-CS"/>
              </w:rPr>
              <w:t xml:space="preserve"> и 100 mg/Nm</w:t>
            </w:r>
            <w:r w:rsidRPr="00CC35F0">
              <w:rPr>
                <w:rFonts w:ascii="Times New Roman" w:eastAsia="Times New Roman" w:hAnsi="Times New Roman"/>
                <w:color w:val="000000"/>
                <w:sz w:val="24"/>
                <w:szCs w:val="24"/>
                <w:vertAlign w:val="superscript"/>
                <w:lang w:val="sr-Cyrl-CS"/>
              </w:rPr>
              <w:t>3</w:t>
            </w:r>
            <w:r w:rsidRPr="00CC35F0">
              <w:rPr>
                <w:rFonts w:ascii="Times New Roman" w:eastAsia="Times New Roman" w:hAnsi="Times New Roman"/>
                <w:color w:val="000000"/>
                <w:sz w:val="24"/>
                <w:szCs w:val="24"/>
                <w:lang w:val="sr-Cyrl-CS"/>
              </w:rPr>
              <w:t xml:space="preserve"> за производњу сумпорне киселине, и доње вредности </w:t>
            </w:r>
            <w:r w:rsidRPr="00CC35F0">
              <w:rPr>
                <w:rFonts w:ascii="Times New Roman" w:eastAsia="Times New Roman" w:hAnsi="Times New Roman"/>
                <w:color w:val="000000"/>
                <w:sz w:val="24"/>
                <w:szCs w:val="24"/>
                <w:lang w:val="sr-Cyrl-CS"/>
              </w:rPr>
              <w:lastRenderedPageBreak/>
              <w:t>BAT AELs за прашкасте материје из производње бакра према Табели 3 из Спроведбене одлуке Комисије 2016/1032/EУ.</w:t>
            </w:r>
            <w:r w:rsidRPr="00CC35F0">
              <w:rPr>
                <w:rFonts w:ascii="Times New Roman" w:eastAsia="Times New Roman" w:hAnsi="Times New Roman"/>
                <w:color w:val="000000"/>
                <w:sz w:val="24"/>
                <w:szCs w:val="24"/>
                <w:vertAlign w:val="superscript"/>
                <w:lang w:val="sr-Cyrl-CS"/>
              </w:rPr>
              <w:footnoteReference w:id="95"/>
            </w:r>
          </w:p>
        </w:tc>
        <w:tc>
          <w:tcPr>
            <w:tcW w:w="1463" w:type="dxa"/>
          </w:tcPr>
          <w:p w14:paraId="50B2382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МЗЖС</w:t>
            </w:r>
          </w:p>
        </w:tc>
        <w:tc>
          <w:tcPr>
            <w:tcW w:w="1410" w:type="dxa"/>
          </w:tcPr>
          <w:p w14:paraId="602086F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Индустријско постројење у Бору</w:t>
            </w:r>
          </w:p>
        </w:tc>
        <w:tc>
          <w:tcPr>
            <w:tcW w:w="1279" w:type="dxa"/>
          </w:tcPr>
          <w:p w14:paraId="5AE6429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2025</w:t>
            </w:r>
          </w:p>
        </w:tc>
        <w:tc>
          <w:tcPr>
            <w:tcW w:w="1386" w:type="dxa"/>
          </w:tcPr>
          <w:p w14:paraId="4E956FAC" w14:textId="77777777" w:rsidR="00A0251B" w:rsidRPr="00CC35F0" w:rsidRDefault="00A0251B">
            <w:pPr>
              <w:rPr>
                <w:rFonts w:ascii="Times New Roman" w:eastAsia="Times New Roman" w:hAnsi="Times New Roman"/>
                <w:sz w:val="24"/>
                <w:szCs w:val="24"/>
                <w:lang w:val="sr-Cyrl-CS"/>
              </w:rPr>
            </w:pPr>
          </w:p>
        </w:tc>
        <w:tc>
          <w:tcPr>
            <w:tcW w:w="1134" w:type="dxa"/>
          </w:tcPr>
          <w:p w14:paraId="55EA0B00" w14:textId="77777777" w:rsidR="00A0251B" w:rsidRPr="00CC35F0" w:rsidRDefault="00A0251B">
            <w:pPr>
              <w:rPr>
                <w:rFonts w:ascii="Times New Roman" w:eastAsia="Times New Roman" w:hAnsi="Times New Roman"/>
                <w:sz w:val="24"/>
                <w:szCs w:val="24"/>
                <w:lang w:val="sr-Cyrl-CS"/>
              </w:rPr>
            </w:pPr>
          </w:p>
        </w:tc>
        <w:tc>
          <w:tcPr>
            <w:tcW w:w="985" w:type="dxa"/>
          </w:tcPr>
          <w:p w14:paraId="0EB4DFF6" w14:textId="77777777" w:rsidR="00A0251B" w:rsidRPr="00CC35F0" w:rsidRDefault="00A0251B">
            <w:pPr>
              <w:jc w:val="center"/>
              <w:rPr>
                <w:rFonts w:ascii="Times New Roman" w:eastAsia="Times New Roman" w:hAnsi="Times New Roman"/>
                <w:sz w:val="24"/>
                <w:szCs w:val="24"/>
                <w:lang w:val="sr-Cyrl-CS"/>
              </w:rPr>
            </w:pPr>
          </w:p>
        </w:tc>
        <w:tc>
          <w:tcPr>
            <w:tcW w:w="985" w:type="dxa"/>
          </w:tcPr>
          <w:p w14:paraId="4C00957E" w14:textId="77777777" w:rsidR="00A0251B" w:rsidRPr="00CC35F0" w:rsidRDefault="0084294D">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982" w:type="dxa"/>
          </w:tcPr>
          <w:p w14:paraId="4D73D44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1071" w:type="dxa"/>
          </w:tcPr>
          <w:p w14:paraId="6FA4330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1030" w:type="dxa"/>
          </w:tcPr>
          <w:p w14:paraId="0947C34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r>
    </w:tbl>
    <w:p w14:paraId="3416F3A8" w14:textId="77777777" w:rsidR="00A0251B" w:rsidRPr="00CC35F0" w:rsidRDefault="00A0251B">
      <w:pPr>
        <w:rPr>
          <w:rFonts w:ascii="Times New Roman" w:eastAsia="Times New Roman" w:hAnsi="Times New Roman"/>
          <w:sz w:val="24"/>
          <w:szCs w:val="24"/>
          <w:lang w:val="sr-Cyrl-CS"/>
        </w:rPr>
      </w:pPr>
    </w:p>
    <w:p w14:paraId="6F8E4F84" w14:textId="77777777" w:rsidR="00A0251B" w:rsidRPr="00CC35F0" w:rsidRDefault="00A0251B">
      <w:pPr>
        <w:rPr>
          <w:rFonts w:ascii="Times New Roman" w:eastAsia="Times New Roman" w:hAnsi="Times New Roman"/>
          <w:sz w:val="24"/>
          <w:szCs w:val="24"/>
          <w:lang w:val="sr-Cyrl-CS"/>
        </w:rPr>
      </w:pPr>
    </w:p>
    <w:tbl>
      <w:tblPr>
        <w:tblStyle w:val="afff9"/>
        <w:tblW w:w="13920"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8"/>
        <w:gridCol w:w="1267"/>
        <w:gridCol w:w="1440"/>
        <w:gridCol w:w="1037"/>
        <w:gridCol w:w="1123"/>
        <w:gridCol w:w="1458"/>
        <w:gridCol w:w="1536"/>
        <w:gridCol w:w="1572"/>
        <w:gridCol w:w="1269"/>
      </w:tblGrid>
      <w:tr w:rsidR="00A0251B" w:rsidRPr="00CC35F0" w14:paraId="6A7B6D8E" w14:textId="77777777">
        <w:trPr>
          <w:trHeight w:val="168"/>
        </w:trPr>
        <w:tc>
          <w:tcPr>
            <w:tcW w:w="13920" w:type="dxa"/>
            <w:gridSpan w:val="9"/>
            <w:shd w:val="clear" w:color="auto" w:fill="F7CBAC"/>
          </w:tcPr>
          <w:p w14:paraId="418D72D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Мера 1.2.2:</w:t>
            </w:r>
            <w:r w:rsidRPr="00CC35F0">
              <w:rPr>
                <w:rFonts w:ascii="Times New Roman" w:eastAsia="Times New Roman" w:hAnsi="Times New Roman"/>
                <w:b/>
                <w:sz w:val="24"/>
                <w:szCs w:val="24"/>
                <w:u w:val="single"/>
                <w:lang w:val="sr-Cyrl-CS"/>
              </w:rPr>
              <w:t>Спровођење Поглавља V Директиве о индустријским емисијама, Анекса VII за VOC или Поглавља 2 за постројења у којима потрошња растварача прелази 200 t годишње</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b/>
                <w:sz w:val="24"/>
                <w:szCs w:val="24"/>
                <w:u w:val="single"/>
                <w:lang w:val="sr-Cyrl-CS"/>
              </w:rPr>
              <w:t>или 150 kg/h</w:t>
            </w:r>
          </w:p>
        </w:tc>
      </w:tr>
      <w:tr w:rsidR="00A0251B" w:rsidRPr="00CC35F0" w14:paraId="1A091CE1" w14:textId="77777777">
        <w:trPr>
          <w:trHeight w:val="298"/>
        </w:trPr>
        <w:tc>
          <w:tcPr>
            <w:tcW w:w="13920" w:type="dxa"/>
            <w:gridSpan w:val="9"/>
            <w:shd w:val="clear" w:color="auto" w:fill="F7CBAC"/>
            <w:vAlign w:val="center"/>
          </w:tcPr>
          <w:p w14:paraId="1C26DD6B"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 МЗЖС</w:t>
            </w:r>
          </w:p>
        </w:tc>
      </w:tr>
      <w:tr w:rsidR="00A0251B" w:rsidRPr="00CC35F0" w14:paraId="047D3E03" w14:textId="77777777">
        <w:trPr>
          <w:trHeight w:val="298"/>
        </w:trPr>
        <w:tc>
          <w:tcPr>
            <w:tcW w:w="5925" w:type="dxa"/>
            <w:gridSpan w:val="3"/>
            <w:shd w:val="clear" w:color="auto" w:fill="F7CBAC"/>
          </w:tcPr>
          <w:p w14:paraId="6AA59065"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Период спровођења: 2022-2026</w:t>
            </w:r>
            <w:r w:rsidR="00B2785A" w:rsidRPr="00CC35F0">
              <w:rPr>
                <w:rFonts w:ascii="Times New Roman" w:eastAsia="Times New Roman" w:hAnsi="Times New Roman"/>
                <w:sz w:val="24"/>
                <w:szCs w:val="24"/>
                <w:vertAlign w:val="superscript"/>
                <w:lang w:val="sr-Cyrl-CS"/>
              </w:rPr>
              <w:t>#</w:t>
            </w:r>
          </w:p>
        </w:tc>
        <w:tc>
          <w:tcPr>
            <w:tcW w:w="7995" w:type="dxa"/>
            <w:gridSpan w:val="6"/>
            <w:shd w:val="clear" w:color="auto" w:fill="F7CBAC"/>
          </w:tcPr>
          <w:p w14:paraId="6CA1566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w:t>
            </w:r>
          </w:p>
        </w:tc>
      </w:tr>
      <w:tr w:rsidR="00A0251B" w:rsidRPr="00CC35F0" w14:paraId="124A6239" w14:textId="77777777">
        <w:trPr>
          <w:trHeight w:val="298"/>
        </w:trPr>
        <w:tc>
          <w:tcPr>
            <w:tcW w:w="5925" w:type="dxa"/>
            <w:gridSpan w:val="3"/>
            <w:shd w:val="clear" w:color="auto" w:fill="F7CBAC"/>
          </w:tcPr>
          <w:p w14:paraId="53C0A55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7995" w:type="dxa"/>
            <w:gridSpan w:val="6"/>
            <w:shd w:val="clear" w:color="auto" w:fill="F7CBAC"/>
          </w:tcPr>
          <w:p w14:paraId="209514C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Уредба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као и шеми за смањење емисија </w:t>
            </w:r>
          </w:p>
        </w:tc>
      </w:tr>
      <w:tr w:rsidR="00A0251B" w:rsidRPr="00CC35F0" w14:paraId="270D0F2B" w14:textId="77777777">
        <w:trPr>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4AA6CEF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7C5EC4A6" w14:textId="77777777" w:rsidR="00A0251B" w:rsidRPr="00CC35F0" w:rsidRDefault="00A0251B">
            <w:pPr>
              <w:jc w:val="center"/>
              <w:rPr>
                <w:rFonts w:ascii="Times New Roman" w:eastAsia="Times New Roman" w:hAnsi="Times New Roman"/>
                <w:sz w:val="24"/>
                <w:szCs w:val="24"/>
                <w:lang w:val="sr-Cyrl-CS"/>
              </w:rPr>
            </w:pPr>
          </w:p>
        </w:tc>
        <w:tc>
          <w:tcPr>
            <w:tcW w:w="1267" w:type="dxa"/>
            <w:tcBorders>
              <w:top w:val="single" w:sz="4" w:space="0" w:color="000000"/>
              <w:left w:val="single" w:sz="4" w:space="0" w:color="000000"/>
              <w:bottom w:val="single" w:sz="4" w:space="0" w:color="000000"/>
              <w:right w:val="single" w:sz="4" w:space="0" w:color="000000"/>
            </w:tcBorders>
            <w:shd w:val="clear" w:color="auto" w:fill="D9D9D9"/>
          </w:tcPr>
          <w:p w14:paraId="5AAB1C3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Pr>
          <w:p w14:paraId="7166A3B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037" w:type="dxa"/>
            <w:tcBorders>
              <w:top w:val="single" w:sz="4" w:space="0" w:color="000000"/>
              <w:left w:val="single" w:sz="4" w:space="0" w:color="000000"/>
              <w:bottom w:val="single" w:sz="4" w:space="0" w:color="000000"/>
              <w:right w:val="single" w:sz="4" w:space="0" w:color="000000"/>
            </w:tcBorders>
            <w:shd w:val="clear" w:color="auto" w:fill="D9D9D9"/>
          </w:tcPr>
          <w:p w14:paraId="09A3FB6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123" w:type="dxa"/>
            <w:tcBorders>
              <w:top w:val="single" w:sz="4" w:space="0" w:color="000000"/>
              <w:left w:val="single" w:sz="4" w:space="0" w:color="000000"/>
              <w:bottom w:val="single" w:sz="4" w:space="0" w:color="000000"/>
              <w:right w:val="single" w:sz="4" w:space="0" w:color="000000"/>
            </w:tcBorders>
            <w:shd w:val="clear" w:color="auto" w:fill="D9D9D9"/>
          </w:tcPr>
          <w:p w14:paraId="72F14AF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458" w:type="dxa"/>
            <w:tcBorders>
              <w:top w:val="single" w:sz="4" w:space="0" w:color="000000"/>
              <w:left w:val="single" w:sz="4" w:space="0" w:color="000000"/>
              <w:bottom w:val="single" w:sz="4" w:space="0" w:color="000000"/>
              <w:right w:val="single" w:sz="4" w:space="0" w:color="000000"/>
            </w:tcBorders>
            <w:shd w:val="clear" w:color="auto" w:fill="D9D9D9"/>
          </w:tcPr>
          <w:p w14:paraId="2DD561F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6" w:type="dxa"/>
            <w:tcBorders>
              <w:top w:val="single" w:sz="4" w:space="0" w:color="000000"/>
              <w:left w:val="single" w:sz="4" w:space="0" w:color="000000"/>
              <w:bottom w:val="single" w:sz="4" w:space="0" w:color="000000"/>
              <w:right w:val="single" w:sz="4" w:space="0" w:color="000000"/>
            </w:tcBorders>
            <w:shd w:val="clear" w:color="auto" w:fill="D9D9D9"/>
          </w:tcPr>
          <w:p w14:paraId="6E1CD76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72" w:type="dxa"/>
            <w:tcBorders>
              <w:top w:val="single" w:sz="4" w:space="0" w:color="000000"/>
              <w:left w:val="single" w:sz="4" w:space="0" w:color="000000"/>
              <w:bottom w:val="single" w:sz="4" w:space="0" w:color="000000"/>
              <w:right w:val="single" w:sz="4" w:space="0" w:color="000000"/>
            </w:tcBorders>
            <w:shd w:val="clear" w:color="auto" w:fill="D9D9D9"/>
          </w:tcPr>
          <w:p w14:paraId="637FDEC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26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B93902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4ED6665F" w14:textId="77777777">
        <w:trPr>
          <w:trHeight w:val="302"/>
        </w:trPr>
        <w:tc>
          <w:tcPr>
            <w:tcW w:w="3218" w:type="dxa"/>
            <w:shd w:val="clear" w:color="auto" w:fill="FFFFFF"/>
          </w:tcPr>
          <w:p w14:paraId="3B0B9B8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Смањење емисија у циљу спровођења Поглавља V Директиве о индустријским емисијама, Анекса VII за VOC или Поглавља 2 за </w:t>
            </w:r>
            <w:r w:rsidRPr="00CC35F0">
              <w:rPr>
                <w:rFonts w:ascii="Times New Roman" w:eastAsia="Times New Roman" w:hAnsi="Times New Roman"/>
                <w:sz w:val="24"/>
                <w:szCs w:val="24"/>
                <w:lang w:val="sr-Cyrl-CS"/>
              </w:rPr>
              <w:lastRenderedPageBreak/>
              <w:t>постројења у којима потрошња растварача прелази 200 t годишње или 150 kg/h</w:t>
            </w:r>
          </w:p>
        </w:tc>
        <w:tc>
          <w:tcPr>
            <w:tcW w:w="1267" w:type="dxa"/>
            <w:shd w:val="clear" w:color="auto" w:fill="FFFFFF"/>
          </w:tcPr>
          <w:p w14:paraId="475B02C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t VOC</w:t>
            </w:r>
          </w:p>
        </w:tc>
        <w:tc>
          <w:tcPr>
            <w:tcW w:w="1440" w:type="dxa"/>
            <w:shd w:val="clear" w:color="auto" w:fill="FFFFFF"/>
          </w:tcPr>
          <w:p w14:paraId="0987747A"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Електронска регистрација и систем </w:t>
            </w:r>
            <w:r w:rsidRPr="00CC35F0">
              <w:rPr>
                <w:rFonts w:ascii="Times New Roman" w:eastAsia="Times New Roman" w:hAnsi="Times New Roman"/>
                <w:color w:val="000000"/>
                <w:sz w:val="24"/>
                <w:szCs w:val="24"/>
                <w:lang w:val="sr-Cyrl-CS"/>
              </w:rPr>
              <w:lastRenderedPageBreak/>
              <w:t>извештавања</w:t>
            </w:r>
          </w:p>
          <w:p w14:paraId="2C8C256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АЗЖС</w:t>
            </w:r>
          </w:p>
        </w:tc>
        <w:tc>
          <w:tcPr>
            <w:tcW w:w="1037" w:type="dxa"/>
            <w:shd w:val="clear" w:color="auto" w:fill="FFFFFF"/>
            <w:vAlign w:val="center"/>
          </w:tcPr>
          <w:p w14:paraId="17843D16"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0</w:t>
            </w:r>
          </w:p>
        </w:tc>
        <w:tc>
          <w:tcPr>
            <w:tcW w:w="1123" w:type="dxa"/>
            <w:shd w:val="clear" w:color="auto" w:fill="FFFFFF"/>
            <w:vAlign w:val="center"/>
          </w:tcPr>
          <w:p w14:paraId="472825D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458" w:type="dxa"/>
            <w:shd w:val="clear" w:color="auto" w:fill="FFFFFF"/>
            <w:vAlign w:val="center"/>
          </w:tcPr>
          <w:p w14:paraId="6A40B9C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536" w:type="dxa"/>
            <w:shd w:val="clear" w:color="auto" w:fill="FFFFFF"/>
            <w:vAlign w:val="center"/>
          </w:tcPr>
          <w:p w14:paraId="502470E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2808 </w:t>
            </w:r>
          </w:p>
        </w:tc>
        <w:tc>
          <w:tcPr>
            <w:tcW w:w="1572" w:type="dxa"/>
            <w:shd w:val="clear" w:color="auto" w:fill="FFFFFF"/>
            <w:vAlign w:val="center"/>
          </w:tcPr>
          <w:p w14:paraId="210CCED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4213 </w:t>
            </w:r>
          </w:p>
        </w:tc>
        <w:tc>
          <w:tcPr>
            <w:tcW w:w="1269" w:type="dxa"/>
            <w:shd w:val="clear" w:color="auto" w:fill="FFFFFF"/>
            <w:vAlign w:val="center"/>
          </w:tcPr>
          <w:p w14:paraId="03682EC1"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4201 </w:t>
            </w:r>
          </w:p>
        </w:tc>
      </w:tr>
    </w:tbl>
    <w:p w14:paraId="12223690" w14:textId="77777777" w:rsidR="00A0251B" w:rsidRPr="00CC35F0" w:rsidRDefault="00A0251B">
      <w:pPr>
        <w:rPr>
          <w:rFonts w:ascii="Times New Roman" w:eastAsia="Times New Roman" w:hAnsi="Times New Roman"/>
          <w:sz w:val="24"/>
          <w:szCs w:val="24"/>
          <w:lang w:val="sr-Cyrl-CS"/>
        </w:rPr>
      </w:pPr>
    </w:p>
    <w:p w14:paraId="4593E2F1" w14:textId="77777777" w:rsidR="00A0251B" w:rsidRPr="00CC35F0" w:rsidRDefault="00A0251B">
      <w:pPr>
        <w:rPr>
          <w:rFonts w:ascii="Times New Roman" w:eastAsia="Times New Roman" w:hAnsi="Times New Roman"/>
          <w:sz w:val="24"/>
          <w:szCs w:val="24"/>
          <w:lang w:val="sr-Cyrl-CS"/>
        </w:rPr>
      </w:pPr>
    </w:p>
    <w:tbl>
      <w:tblPr>
        <w:tblStyle w:val="afffa"/>
        <w:tblW w:w="13026"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674"/>
        <w:gridCol w:w="2407"/>
        <w:gridCol w:w="1417"/>
        <w:gridCol w:w="1371"/>
        <w:gridCol w:w="1322"/>
        <w:gridCol w:w="1418"/>
        <w:gridCol w:w="1417"/>
      </w:tblGrid>
      <w:tr w:rsidR="00A0251B" w:rsidRPr="00CC35F0" w14:paraId="1E261A92" w14:textId="77777777">
        <w:trPr>
          <w:trHeight w:val="227"/>
        </w:trPr>
        <w:tc>
          <w:tcPr>
            <w:tcW w:w="3674" w:type="dxa"/>
            <w:vMerge w:val="restart"/>
            <w:shd w:val="clear" w:color="auto" w:fill="A8D08D"/>
          </w:tcPr>
          <w:p w14:paraId="55760CF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2CDC62A2" w14:textId="77777777" w:rsidR="00A0251B" w:rsidRPr="00CC35F0" w:rsidRDefault="00A0251B">
            <w:pPr>
              <w:jc w:val="center"/>
              <w:rPr>
                <w:rFonts w:ascii="Times New Roman" w:eastAsia="Times New Roman" w:hAnsi="Times New Roman"/>
                <w:sz w:val="24"/>
                <w:szCs w:val="24"/>
                <w:lang w:val="sr-Cyrl-CS"/>
              </w:rPr>
            </w:pPr>
          </w:p>
        </w:tc>
        <w:tc>
          <w:tcPr>
            <w:tcW w:w="2407" w:type="dxa"/>
            <w:vMerge w:val="restart"/>
            <w:shd w:val="clear" w:color="auto" w:fill="A8D08D"/>
          </w:tcPr>
          <w:p w14:paraId="1DC0A0D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6945" w:type="dxa"/>
            <w:gridSpan w:val="5"/>
            <w:shd w:val="clear" w:color="auto" w:fill="A8D08D"/>
            <w:vAlign w:val="center"/>
          </w:tcPr>
          <w:p w14:paraId="01E7369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27AD5CBC" w14:textId="77777777">
        <w:trPr>
          <w:trHeight w:val="227"/>
        </w:trPr>
        <w:tc>
          <w:tcPr>
            <w:tcW w:w="3674" w:type="dxa"/>
            <w:vMerge/>
            <w:shd w:val="clear" w:color="auto" w:fill="A8D08D"/>
          </w:tcPr>
          <w:p w14:paraId="36D6131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407" w:type="dxa"/>
            <w:vMerge/>
            <w:shd w:val="clear" w:color="auto" w:fill="A8D08D"/>
          </w:tcPr>
          <w:p w14:paraId="4DA7C8E7"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17" w:type="dxa"/>
            <w:shd w:val="clear" w:color="auto" w:fill="A8D08D"/>
            <w:vAlign w:val="center"/>
          </w:tcPr>
          <w:p w14:paraId="38D3147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371" w:type="dxa"/>
            <w:shd w:val="clear" w:color="auto" w:fill="A8D08D"/>
            <w:vAlign w:val="center"/>
          </w:tcPr>
          <w:p w14:paraId="14C41AA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322" w:type="dxa"/>
            <w:shd w:val="clear" w:color="auto" w:fill="A8D08D"/>
            <w:vAlign w:val="center"/>
          </w:tcPr>
          <w:p w14:paraId="424040B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418" w:type="dxa"/>
            <w:shd w:val="clear" w:color="auto" w:fill="A8D08D"/>
            <w:vAlign w:val="center"/>
          </w:tcPr>
          <w:p w14:paraId="35FF1BC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417" w:type="dxa"/>
            <w:shd w:val="clear" w:color="auto" w:fill="A8D08D"/>
            <w:vAlign w:val="center"/>
          </w:tcPr>
          <w:p w14:paraId="16D9415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352A7A1B" w14:textId="77777777">
        <w:trPr>
          <w:trHeight w:val="398"/>
        </w:trPr>
        <w:tc>
          <w:tcPr>
            <w:tcW w:w="3674" w:type="dxa"/>
            <w:shd w:val="clear" w:color="auto" w:fill="FFFFFF"/>
          </w:tcPr>
          <w:p w14:paraId="40CB6AD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 Амбасаде Краљевине Норвешке</w:t>
            </w:r>
          </w:p>
        </w:tc>
        <w:tc>
          <w:tcPr>
            <w:tcW w:w="2407" w:type="dxa"/>
            <w:shd w:val="clear" w:color="auto" w:fill="FFFFFF"/>
          </w:tcPr>
          <w:p w14:paraId="56CFA6E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417" w:type="dxa"/>
            <w:shd w:val="clear" w:color="auto" w:fill="FFFFFF"/>
          </w:tcPr>
          <w:p w14:paraId="7743E1F5" w14:textId="77777777" w:rsidR="00A0251B" w:rsidRPr="00CC35F0" w:rsidRDefault="00A0251B">
            <w:pPr>
              <w:rPr>
                <w:rFonts w:ascii="Times New Roman" w:eastAsia="Times New Roman" w:hAnsi="Times New Roman"/>
                <w:sz w:val="24"/>
                <w:szCs w:val="24"/>
                <w:lang w:val="sr-Cyrl-CS"/>
              </w:rPr>
            </w:pPr>
          </w:p>
        </w:tc>
        <w:tc>
          <w:tcPr>
            <w:tcW w:w="1371" w:type="dxa"/>
            <w:shd w:val="clear" w:color="auto" w:fill="FFFFFF"/>
          </w:tcPr>
          <w:p w14:paraId="02406A9F" w14:textId="77777777" w:rsidR="00A0251B" w:rsidRPr="00CC35F0" w:rsidRDefault="0084294D">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1322" w:type="dxa"/>
            <w:shd w:val="clear" w:color="auto" w:fill="FFFFFF"/>
          </w:tcPr>
          <w:p w14:paraId="7C46F78D" w14:textId="77777777" w:rsidR="00A0251B" w:rsidRPr="00CC35F0" w:rsidRDefault="00A0251B">
            <w:pPr>
              <w:rPr>
                <w:rFonts w:ascii="Times New Roman" w:eastAsia="Times New Roman" w:hAnsi="Times New Roman"/>
                <w:sz w:val="24"/>
                <w:szCs w:val="24"/>
                <w:lang w:val="sr-Cyrl-CS"/>
              </w:rPr>
            </w:pPr>
          </w:p>
        </w:tc>
        <w:tc>
          <w:tcPr>
            <w:tcW w:w="1418" w:type="dxa"/>
            <w:shd w:val="clear" w:color="auto" w:fill="FFFFFF"/>
          </w:tcPr>
          <w:p w14:paraId="4993D95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417" w:type="dxa"/>
            <w:shd w:val="clear" w:color="auto" w:fill="FFFFFF"/>
          </w:tcPr>
          <w:p w14:paraId="48064FA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r>
    </w:tbl>
    <w:p w14:paraId="399B3FBE" w14:textId="77777777" w:rsidR="00A0251B" w:rsidRPr="00CC35F0" w:rsidRDefault="00A0251B">
      <w:pPr>
        <w:rPr>
          <w:rFonts w:ascii="Times New Roman" w:eastAsia="Times New Roman" w:hAnsi="Times New Roman"/>
          <w:sz w:val="24"/>
          <w:szCs w:val="24"/>
          <w:lang w:val="sr-Cyrl-CS"/>
        </w:rPr>
      </w:pPr>
    </w:p>
    <w:tbl>
      <w:tblPr>
        <w:tblStyle w:val="afffb"/>
        <w:tblW w:w="14332"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2140"/>
        <w:gridCol w:w="1246"/>
        <w:gridCol w:w="1441"/>
        <w:gridCol w:w="1427"/>
        <w:gridCol w:w="1605"/>
        <w:gridCol w:w="1565"/>
        <w:gridCol w:w="1074"/>
        <w:gridCol w:w="1074"/>
        <w:gridCol w:w="920"/>
        <w:gridCol w:w="920"/>
        <w:gridCol w:w="920"/>
      </w:tblGrid>
      <w:tr w:rsidR="00A0251B" w:rsidRPr="00CC35F0" w14:paraId="5983C5FD" w14:textId="77777777">
        <w:trPr>
          <w:trHeight w:val="140"/>
        </w:trPr>
        <w:tc>
          <w:tcPr>
            <w:tcW w:w="2140"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13E91F0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Назив активности:</w:t>
            </w:r>
          </w:p>
        </w:tc>
        <w:tc>
          <w:tcPr>
            <w:tcW w:w="1246"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157786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44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3B2D7B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42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3F0B631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60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32E49B9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731682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4908" w:type="dxa"/>
            <w:gridSpan w:val="5"/>
            <w:tcBorders>
              <w:top w:val="single" w:sz="4" w:space="0" w:color="000000"/>
              <w:left w:val="single" w:sz="4" w:space="0" w:color="000000"/>
              <w:bottom w:val="single" w:sz="4" w:space="0" w:color="000000"/>
              <w:right w:val="single" w:sz="4" w:space="0" w:color="000000"/>
            </w:tcBorders>
            <w:shd w:val="clear" w:color="auto" w:fill="FFF2CC"/>
          </w:tcPr>
          <w:p w14:paraId="0D74EBB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p>
        </w:tc>
      </w:tr>
      <w:tr w:rsidR="00A0251B" w:rsidRPr="00CC35F0" w14:paraId="671C1342" w14:textId="77777777">
        <w:trPr>
          <w:trHeight w:val="386"/>
        </w:trPr>
        <w:tc>
          <w:tcPr>
            <w:tcW w:w="2140" w:type="dxa"/>
            <w:vMerge/>
            <w:tcBorders>
              <w:top w:val="single" w:sz="4" w:space="0" w:color="000000"/>
              <w:left w:val="single" w:sz="4" w:space="0" w:color="000000"/>
              <w:bottom w:val="single" w:sz="4" w:space="0" w:color="000000"/>
              <w:right w:val="single" w:sz="4" w:space="0" w:color="000000"/>
            </w:tcBorders>
            <w:shd w:val="clear" w:color="auto" w:fill="FFF2CC"/>
          </w:tcPr>
          <w:p w14:paraId="2F4F5413"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246" w:type="dxa"/>
            <w:vMerge/>
            <w:tcBorders>
              <w:top w:val="single" w:sz="4" w:space="0" w:color="000000"/>
              <w:left w:val="single" w:sz="4" w:space="0" w:color="000000"/>
              <w:bottom w:val="single" w:sz="4" w:space="0" w:color="000000"/>
              <w:right w:val="single" w:sz="4" w:space="0" w:color="000000"/>
            </w:tcBorders>
            <w:shd w:val="clear" w:color="auto" w:fill="FFF2CC"/>
          </w:tcPr>
          <w:p w14:paraId="11593C97"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41" w:type="dxa"/>
            <w:vMerge/>
            <w:tcBorders>
              <w:top w:val="single" w:sz="4" w:space="0" w:color="000000"/>
              <w:left w:val="single" w:sz="4" w:space="0" w:color="000000"/>
              <w:bottom w:val="single" w:sz="4" w:space="0" w:color="000000"/>
              <w:right w:val="single" w:sz="4" w:space="0" w:color="000000"/>
            </w:tcBorders>
            <w:shd w:val="clear" w:color="auto" w:fill="FFF2CC"/>
          </w:tcPr>
          <w:p w14:paraId="27761E9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7" w:type="dxa"/>
            <w:vMerge/>
            <w:tcBorders>
              <w:top w:val="single" w:sz="4" w:space="0" w:color="000000"/>
              <w:left w:val="single" w:sz="4" w:space="0" w:color="000000"/>
              <w:bottom w:val="single" w:sz="4" w:space="0" w:color="000000"/>
              <w:right w:val="single" w:sz="4" w:space="0" w:color="000000"/>
            </w:tcBorders>
            <w:shd w:val="clear" w:color="auto" w:fill="FFF2CC"/>
          </w:tcPr>
          <w:p w14:paraId="7981118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05" w:type="dxa"/>
            <w:vMerge/>
            <w:tcBorders>
              <w:top w:val="single" w:sz="4" w:space="0" w:color="000000"/>
              <w:left w:val="single" w:sz="4" w:space="0" w:color="000000"/>
              <w:bottom w:val="single" w:sz="4" w:space="0" w:color="000000"/>
              <w:right w:val="single" w:sz="4" w:space="0" w:color="000000"/>
            </w:tcBorders>
            <w:shd w:val="clear" w:color="auto" w:fill="FFF2CC"/>
          </w:tcPr>
          <w:p w14:paraId="678A2D2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5" w:type="dxa"/>
            <w:vMerge/>
            <w:tcBorders>
              <w:top w:val="single" w:sz="4" w:space="0" w:color="000000"/>
              <w:left w:val="single" w:sz="4" w:space="0" w:color="000000"/>
              <w:bottom w:val="single" w:sz="4" w:space="0" w:color="000000"/>
              <w:right w:val="single" w:sz="4" w:space="0" w:color="000000"/>
            </w:tcBorders>
            <w:shd w:val="clear" w:color="auto" w:fill="FFF2CC"/>
          </w:tcPr>
          <w:p w14:paraId="3AF210BF"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074" w:type="dxa"/>
            <w:tcBorders>
              <w:top w:val="single" w:sz="4" w:space="0" w:color="000000"/>
              <w:left w:val="single" w:sz="4" w:space="0" w:color="000000"/>
              <w:bottom w:val="single" w:sz="4" w:space="0" w:color="000000"/>
              <w:right w:val="single" w:sz="4" w:space="0" w:color="000000"/>
            </w:tcBorders>
            <w:shd w:val="clear" w:color="auto" w:fill="FFF2CC"/>
          </w:tcPr>
          <w:p w14:paraId="73794D5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074" w:type="dxa"/>
            <w:tcBorders>
              <w:top w:val="single" w:sz="4" w:space="0" w:color="000000"/>
              <w:left w:val="single" w:sz="4" w:space="0" w:color="000000"/>
              <w:bottom w:val="single" w:sz="4" w:space="0" w:color="000000"/>
              <w:right w:val="single" w:sz="4" w:space="0" w:color="000000"/>
            </w:tcBorders>
            <w:shd w:val="clear" w:color="auto" w:fill="FFF2CC"/>
          </w:tcPr>
          <w:p w14:paraId="0F9920A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00859D7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20F714C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41E41C3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01CD45C1" w14:textId="77777777">
        <w:trPr>
          <w:trHeight w:val="543"/>
        </w:trPr>
        <w:tc>
          <w:tcPr>
            <w:tcW w:w="2140" w:type="dxa"/>
          </w:tcPr>
          <w:p w14:paraId="3B1BAAE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1.2.2.1 Измене и допуне Уредбе о листи индустријских постројења и активности у којима се контролише емисија испарљивих органских  једињења, о вредностима </w:t>
            </w:r>
            <w:r w:rsidRPr="00CC35F0">
              <w:rPr>
                <w:rFonts w:ascii="Times New Roman" w:eastAsia="Times New Roman" w:hAnsi="Times New Roman"/>
                <w:sz w:val="24"/>
                <w:szCs w:val="24"/>
                <w:lang w:val="sr-Cyrl-CS"/>
              </w:rPr>
              <w:lastRenderedPageBreak/>
              <w:t>емисије испарљивих органских једињења при одређеној потрошњи растварача и укупним дозвољеним емисијама, као и шеми за смањење емисија („Службени гласник РС”, број 100/11)</w:t>
            </w:r>
          </w:p>
        </w:tc>
        <w:tc>
          <w:tcPr>
            <w:tcW w:w="1246" w:type="dxa"/>
          </w:tcPr>
          <w:p w14:paraId="2F778D2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МЗЖС</w:t>
            </w:r>
          </w:p>
        </w:tc>
        <w:tc>
          <w:tcPr>
            <w:tcW w:w="1441" w:type="dxa"/>
          </w:tcPr>
          <w:p w14:paraId="186DC31E" w14:textId="77777777" w:rsidR="00A0251B" w:rsidRPr="00CC35F0" w:rsidRDefault="008D6506">
            <w:pPr>
              <w:ind w:left="-69"/>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Локалне самоуправе </w:t>
            </w:r>
          </w:p>
          <w:p w14:paraId="45E31C1B" w14:textId="77777777" w:rsidR="00A0251B" w:rsidRPr="00CC35F0" w:rsidRDefault="008D6506">
            <w:pPr>
              <w:ind w:left="-69"/>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w:t>
            </w:r>
            <w:r w:rsidR="006B4421" w:rsidRPr="00CC35F0">
              <w:rPr>
                <w:rFonts w:ascii="Times New Roman" w:eastAsia="Times New Roman" w:hAnsi="Times New Roman"/>
                <w:sz w:val="24"/>
                <w:szCs w:val="24"/>
                <w:lang w:val="sr-Cyrl-CS"/>
              </w:rPr>
              <w:t>П</w:t>
            </w:r>
            <w:r w:rsidRPr="00CC35F0">
              <w:rPr>
                <w:rFonts w:ascii="Times New Roman" w:eastAsia="Times New Roman" w:hAnsi="Times New Roman"/>
                <w:sz w:val="24"/>
                <w:szCs w:val="24"/>
                <w:lang w:val="sr-Cyrl-CS"/>
              </w:rPr>
              <w:t xml:space="preserve"> Војводина</w:t>
            </w:r>
          </w:p>
          <w:p w14:paraId="34BA1937" w14:textId="77777777" w:rsidR="00A0251B" w:rsidRPr="00CC35F0" w:rsidRDefault="008D6506">
            <w:pPr>
              <w:ind w:left="-69"/>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p>
        </w:tc>
        <w:tc>
          <w:tcPr>
            <w:tcW w:w="1427" w:type="dxa"/>
          </w:tcPr>
          <w:p w14:paraId="626631E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w:t>
            </w:r>
            <w:r w:rsidR="0084294D" w:rsidRPr="00CC35F0">
              <w:rPr>
                <w:rFonts w:ascii="Times New Roman" w:eastAsia="Times New Roman" w:hAnsi="Times New Roman"/>
                <w:sz w:val="24"/>
                <w:szCs w:val="24"/>
                <w:lang w:val="sr-Cyrl-CS"/>
              </w:rPr>
              <w:t>3</w:t>
            </w:r>
          </w:p>
        </w:tc>
        <w:tc>
          <w:tcPr>
            <w:tcW w:w="1605" w:type="dxa"/>
          </w:tcPr>
          <w:p w14:paraId="0595BD2C" w14:textId="77777777" w:rsidR="00A0251B" w:rsidRPr="00CC35F0" w:rsidRDefault="00A0251B">
            <w:pPr>
              <w:rPr>
                <w:rFonts w:ascii="Times New Roman" w:eastAsia="Times New Roman" w:hAnsi="Times New Roman"/>
                <w:sz w:val="24"/>
                <w:szCs w:val="24"/>
                <w:lang w:val="sr-Cyrl-CS"/>
              </w:rPr>
            </w:pPr>
          </w:p>
        </w:tc>
        <w:tc>
          <w:tcPr>
            <w:tcW w:w="1565" w:type="dxa"/>
          </w:tcPr>
          <w:p w14:paraId="5C86E852" w14:textId="77777777" w:rsidR="00A0251B" w:rsidRPr="00CC35F0" w:rsidRDefault="00A0251B">
            <w:pPr>
              <w:rPr>
                <w:rFonts w:ascii="Times New Roman" w:eastAsia="Times New Roman" w:hAnsi="Times New Roman"/>
                <w:sz w:val="24"/>
                <w:szCs w:val="24"/>
                <w:lang w:val="sr-Cyrl-CS"/>
              </w:rPr>
            </w:pPr>
          </w:p>
        </w:tc>
        <w:tc>
          <w:tcPr>
            <w:tcW w:w="1074" w:type="dxa"/>
            <w:tcBorders>
              <w:top w:val="single" w:sz="4" w:space="0" w:color="000000"/>
            </w:tcBorders>
          </w:tcPr>
          <w:p w14:paraId="3E8B797D" w14:textId="77777777" w:rsidR="00A0251B" w:rsidRPr="00CC35F0" w:rsidRDefault="00A0251B">
            <w:pPr>
              <w:rPr>
                <w:rFonts w:ascii="Times New Roman" w:eastAsia="Times New Roman" w:hAnsi="Times New Roman"/>
                <w:sz w:val="24"/>
                <w:szCs w:val="24"/>
                <w:lang w:val="sr-Cyrl-CS"/>
              </w:rPr>
            </w:pPr>
          </w:p>
        </w:tc>
        <w:tc>
          <w:tcPr>
            <w:tcW w:w="1074" w:type="dxa"/>
            <w:tcBorders>
              <w:top w:val="single" w:sz="4" w:space="0" w:color="000000"/>
            </w:tcBorders>
          </w:tcPr>
          <w:p w14:paraId="07C0993D" w14:textId="77777777" w:rsidR="00A0251B" w:rsidRPr="00CC35F0" w:rsidRDefault="0084294D">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footnoteReference w:id="96"/>
            </w:r>
          </w:p>
        </w:tc>
        <w:tc>
          <w:tcPr>
            <w:tcW w:w="920" w:type="dxa"/>
            <w:tcBorders>
              <w:top w:val="single" w:sz="4" w:space="0" w:color="000000"/>
            </w:tcBorders>
          </w:tcPr>
          <w:p w14:paraId="02C37110" w14:textId="77777777" w:rsidR="00A0251B" w:rsidRPr="00CC35F0" w:rsidRDefault="00A0251B">
            <w:pPr>
              <w:rPr>
                <w:rFonts w:ascii="Times New Roman" w:eastAsia="Times New Roman" w:hAnsi="Times New Roman"/>
                <w:sz w:val="24"/>
                <w:szCs w:val="24"/>
                <w:lang w:val="sr-Cyrl-CS"/>
              </w:rPr>
            </w:pPr>
          </w:p>
        </w:tc>
        <w:tc>
          <w:tcPr>
            <w:tcW w:w="920" w:type="dxa"/>
            <w:tcBorders>
              <w:top w:val="single" w:sz="4" w:space="0" w:color="000000"/>
            </w:tcBorders>
          </w:tcPr>
          <w:p w14:paraId="1ED51342" w14:textId="77777777" w:rsidR="00A0251B" w:rsidRPr="00CC35F0" w:rsidRDefault="00A0251B">
            <w:pPr>
              <w:rPr>
                <w:rFonts w:ascii="Times New Roman" w:eastAsia="Times New Roman" w:hAnsi="Times New Roman"/>
                <w:sz w:val="24"/>
                <w:szCs w:val="24"/>
                <w:lang w:val="sr-Cyrl-CS"/>
              </w:rPr>
            </w:pPr>
          </w:p>
        </w:tc>
        <w:tc>
          <w:tcPr>
            <w:tcW w:w="920" w:type="dxa"/>
            <w:tcBorders>
              <w:top w:val="single" w:sz="4" w:space="0" w:color="000000"/>
            </w:tcBorders>
          </w:tcPr>
          <w:p w14:paraId="6F509767" w14:textId="77777777" w:rsidR="00A0251B" w:rsidRPr="00CC35F0" w:rsidRDefault="00A0251B">
            <w:pPr>
              <w:rPr>
                <w:rFonts w:ascii="Times New Roman" w:eastAsia="Times New Roman" w:hAnsi="Times New Roman"/>
                <w:sz w:val="24"/>
                <w:szCs w:val="24"/>
                <w:lang w:val="sr-Cyrl-CS"/>
              </w:rPr>
            </w:pPr>
          </w:p>
        </w:tc>
      </w:tr>
      <w:tr w:rsidR="00A0251B" w:rsidRPr="00CC35F0" w14:paraId="79C5429B" w14:textId="77777777">
        <w:trPr>
          <w:trHeight w:val="140"/>
        </w:trPr>
        <w:tc>
          <w:tcPr>
            <w:tcW w:w="2140" w:type="dxa"/>
          </w:tcPr>
          <w:p w14:paraId="3AF9AFF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1.2.2.2. Наставак процене стања у Србији у погледу емисија VOC из употребе растварача у индустрији и припрема листе оператера VOC, као и развој, тестирање и покретање система електронске регистрације и извештавања за </w:t>
            </w:r>
            <w:r w:rsidRPr="00CC35F0">
              <w:rPr>
                <w:rFonts w:ascii="Times New Roman" w:eastAsia="Times New Roman" w:hAnsi="Times New Roman"/>
                <w:color w:val="000000"/>
                <w:sz w:val="24"/>
                <w:szCs w:val="24"/>
                <w:lang w:val="sr-Cyrl-CS"/>
              </w:rPr>
              <w:lastRenderedPageBreak/>
              <w:t xml:space="preserve">оператере класификоване као VOC оператери и изградња капацитета (пројекат у току). </w:t>
            </w:r>
          </w:p>
        </w:tc>
        <w:tc>
          <w:tcPr>
            <w:tcW w:w="1246" w:type="dxa"/>
          </w:tcPr>
          <w:p w14:paraId="17E1639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МЗЖС</w:t>
            </w:r>
          </w:p>
        </w:tc>
        <w:tc>
          <w:tcPr>
            <w:tcW w:w="1441" w:type="dxa"/>
          </w:tcPr>
          <w:p w14:paraId="3CB57650" w14:textId="77777777" w:rsidR="00A0251B" w:rsidRPr="00CC35F0" w:rsidRDefault="008D6506">
            <w:pPr>
              <w:ind w:left="-69"/>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АЗЖС</w:t>
            </w:r>
          </w:p>
        </w:tc>
        <w:tc>
          <w:tcPr>
            <w:tcW w:w="1427" w:type="dxa"/>
          </w:tcPr>
          <w:p w14:paraId="18889D3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w:t>
            </w:r>
            <w:r w:rsidR="00CA209C" w:rsidRPr="00CC35F0">
              <w:rPr>
                <w:rFonts w:ascii="Times New Roman" w:eastAsia="Times New Roman" w:hAnsi="Times New Roman"/>
                <w:sz w:val="24"/>
                <w:szCs w:val="24"/>
                <w:lang w:val="sr-Cyrl-CS"/>
              </w:rPr>
              <w:t>3</w:t>
            </w:r>
          </w:p>
        </w:tc>
        <w:tc>
          <w:tcPr>
            <w:tcW w:w="1605" w:type="dxa"/>
          </w:tcPr>
          <w:p w14:paraId="4C047C7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 Амбасаде Краљевине Норвешке</w:t>
            </w:r>
          </w:p>
          <w:p w14:paraId="63276BC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p>
        </w:tc>
        <w:tc>
          <w:tcPr>
            <w:tcW w:w="1565" w:type="dxa"/>
          </w:tcPr>
          <w:p w14:paraId="7A5F3C09" w14:textId="77777777" w:rsidR="00A0251B" w:rsidRPr="00CC35F0" w:rsidRDefault="00A0251B">
            <w:pPr>
              <w:rPr>
                <w:rFonts w:ascii="Times New Roman" w:eastAsia="Times New Roman" w:hAnsi="Times New Roman"/>
                <w:sz w:val="24"/>
                <w:szCs w:val="24"/>
                <w:lang w:val="sr-Cyrl-CS"/>
              </w:rPr>
            </w:pPr>
          </w:p>
        </w:tc>
        <w:tc>
          <w:tcPr>
            <w:tcW w:w="1074" w:type="dxa"/>
          </w:tcPr>
          <w:p w14:paraId="328F17B0" w14:textId="77777777" w:rsidR="00A0251B" w:rsidRPr="00CC35F0" w:rsidRDefault="00A0251B">
            <w:pPr>
              <w:jc w:val="center"/>
              <w:rPr>
                <w:rFonts w:ascii="Times New Roman" w:eastAsia="Times New Roman" w:hAnsi="Times New Roman"/>
                <w:sz w:val="24"/>
                <w:szCs w:val="24"/>
                <w:lang w:val="sr-Cyrl-CS"/>
              </w:rPr>
            </w:pPr>
          </w:p>
        </w:tc>
        <w:tc>
          <w:tcPr>
            <w:tcW w:w="1074" w:type="dxa"/>
          </w:tcPr>
          <w:p w14:paraId="368C7C8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footnoteReference w:id="97"/>
            </w:r>
          </w:p>
        </w:tc>
        <w:tc>
          <w:tcPr>
            <w:tcW w:w="920" w:type="dxa"/>
          </w:tcPr>
          <w:p w14:paraId="469111DE" w14:textId="77777777" w:rsidR="00A0251B" w:rsidRPr="00CC35F0" w:rsidRDefault="00A0251B">
            <w:pPr>
              <w:jc w:val="center"/>
              <w:rPr>
                <w:rFonts w:ascii="Times New Roman" w:eastAsia="Times New Roman" w:hAnsi="Times New Roman"/>
                <w:sz w:val="24"/>
                <w:szCs w:val="24"/>
                <w:lang w:val="sr-Cyrl-CS"/>
              </w:rPr>
            </w:pPr>
          </w:p>
        </w:tc>
        <w:tc>
          <w:tcPr>
            <w:tcW w:w="920" w:type="dxa"/>
          </w:tcPr>
          <w:p w14:paraId="4667438C" w14:textId="77777777" w:rsidR="00A0251B" w:rsidRPr="00CC35F0" w:rsidRDefault="00A0251B">
            <w:pPr>
              <w:jc w:val="center"/>
              <w:rPr>
                <w:rFonts w:ascii="Times New Roman" w:eastAsia="Times New Roman" w:hAnsi="Times New Roman"/>
                <w:sz w:val="24"/>
                <w:szCs w:val="24"/>
                <w:lang w:val="sr-Cyrl-CS"/>
              </w:rPr>
            </w:pPr>
          </w:p>
        </w:tc>
        <w:tc>
          <w:tcPr>
            <w:tcW w:w="920" w:type="dxa"/>
          </w:tcPr>
          <w:p w14:paraId="029719CB" w14:textId="77777777" w:rsidR="00A0251B" w:rsidRPr="00CC35F0" w:rsidRDefault="00A0251B">
            <w:pPr>
              <w:jc w:val="center"/>
              <w:rPr>
                <w:rFonts w:ascii="Times New Roman" w:eastAsia="Times New Roman" w:hAnsi="Times New Roman"/>
                <w:sz w:val="24"/>
                <w:szCs w:val="24"/>
                <w:lang w:val="sr-Cyrl-CS"/>
              </w:rPr>
            </w:pPr>
          </w:p>
        </w:tc>
      </w:tr>
      <w:tr w:rsidR="00A0251B" w:rsidRPr="00CC35F0" w14:paraId="1710BE7E" w14:textId="77777777">
        <w:trPr>
          <w:trHeight w:val="140"/>
        </w:trPr>
        <w:tc>
          <w:tcPr>
            <w:tcW w:w="2140" w:type="dxa"/>
          </w:tcPr>
          <w:p w14:paraId="1F99278E"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1.2.2.3 Спровођење BAТ AELs у постројењима са потрошњом растварача већом од 200t</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color w:val="000000"/>
                <w:sz w:val="24"/>
                <w:szCs w:val="24"/>
                <w:lang w:val="sr-Cyrl-CS"/>
              </w:rPr>
              <w:t>или 150 kg на сат</w:t>
            </w:r>
          </w:p>
        </w:tc>
        <w:tc>
          <w:tcPr>
            <w:tcW w:w="1246" w:type="dxa"/>
          </w:tcPr>
          <w:p w14:paraId="518F24B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МЗЖС</w:t>
            </w:r>
          </w:p>
        </w:tc>
        <w:tc>
          <w:tcPr>
            <w:tcW w:w="1441" w:type="dxa"/>
          </w:tcPr>
          <w:p w14:paraId="7B8047CF" w14:textId="77777777" w:rsidR="00A0251B" w:rsidRPr="00CC35F0" w:rsidRDefault="00A0251B">
            <w:pPr>
              <w:ind w:left="-69"/>
              <w:rPr>
                <w:rFonts w:ascii="Times New Roman" w:eastAsia="Times New Roman" w:hAnsi="Times New Roman"/>
                <w:color w:val="000000"/>
                <w:sz w:val="24"/>
                <w:szCs w:val="24"/>
                <w:lang w:val="sr-Cyrl-CS"/>
              </w:rPr>
            </w:pPr>
          </w:p>
        </w:tc>
        <w:tc>
          <w:tcPr>
            <w:tcW w:w="1427" w:type="dxa"/>
          </w:tcPr>
          <w:p w14:paraId="034FCD6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605" w:type="dxa"/>
          </w:tcPr>
          <w:p w14:paraId="2787D65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p>
        </w:tc>
        <w:tc>
          <w:tcPr>
            <w:tcW w:w="1565" w:type="dxa"/>
          </w:tcPr>
          <w:p w14:paraId="21368CFE" w14:textId="77777777" w:rsidR="00A0251B" w:rsidRPr="00CC35F0" w:rsidRDefault="00A0251B">
            <w:pPr>
              <w:rPr>
                <w:rFonts w:ascii="Times New Roman" w:eastAsia="Times New Roman" w:hAnsi="Times New Roman"/>
                <w:sz w:val="24"/>
                <w:szCs w:val="24"/>
                <w:lang w:val="sr-Cyrl-CS"/>
              </w:rPr>
            </w:pPr>
          </w:p>
        </w:tc>
        <w:tc>
          <w:tcPr>
            <w:tcW w:w="1074" w:type="dxa"/>
          </w:tcPr>
          <w:p w14:paraId="44CBBE6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74" w:type="dxa"/>
          </w:tcPr>
          <w:p w14:paraId="5754058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4D64E7E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33217D4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Pr>
          <w:p w14:paraId="26D0105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bl>
    <w:p w14:paraId="7868A12A" w14:textId="77777777" w:rsidR="00A0251B" w:rsidRPr="00CC35F0" w:rsidRDefault="00A0251B">
      <w:pPr>
        <w:rPr>
          <w:rFonts w:ascii="Times New Roman" w:eastAsia="Times New Roman" w:hAnsi="Times New Roman"/>
          <w:sz w:val="24"/>
          <w:szCs w:val="24"/>
          <w:lang w:val="sr-Cyrl-CS"/>
        </w:rPr>
      </w:pPr>
    </w:p>
    <w:p w14:paraId="60FBCDB4"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tbl>
      <w:tblPr>
        <w:tblStyle w:val="afffc"/>
        <w:tblW w:w="1384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138"/>
        <w:gridCol w:w="1167"/>
        <w:gridCol w:w="1260"/>
        <w:gridCol w:w="1080"/>
        <w:gridCol w:w="1256"/>
        <w:gridCol w:w="1447"/>
        <w:gridCol w:w="1530"/>
        <w:gridCol w:w="1426"/>
        <w:gridCol w:w="1534"/>
        <w:gridCol w:w="7"/>
      </w:tblGrid>
      <w:tr w:rsidR="00A0251B" w:rsidRPr="00CC35F0" w14:paraId="63D1E3BD" w14:textId="77777777">
        <w:trPr>
          <w:gridAfter w:val="1"/>
          <w:wAfter w:w="7" w:type="dxa"/>
          <w:trHeight w:val="320"/>
        </w:trPr>
        <w:tc>
          <w:tcPr>
            <w:tcW w:w="13838" w:type="dxa"/>
            <w:gridSpan w:val="9"/>
            <w:tcBorders>
              <w:top w:val="single" w:sz="4" w:space="0" w:color="000000"/>
              <w:left w:val="single" w:sz="4" w:space="0" w:color="000000"/>
              <w:bottom w:val="single" w:sz="4" w:space="0" w:color="000000"/>
              <w:right w:val="single" w:sz="4" w:space="0" w:color="000000"/>
            </w:tcBorders>
            <w:shd w:val="clear" w:color="auto" w:fill="B4C6E7"/>
          </w:tcPr>
          <w:p w14:paraId="370F5F9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b/>
                <w:sz w:val="24"/>
                <w:szCs w:val="24"/>
                <w:lang w:val="sr-Cyrl-CS"/>
              </w:rPr>
              <w:lastRenderedPageBreak/>
              <w:t xml:space="preserve">Посебни циљ 1.3: </w:t>
            </w:r>
            <w:r w:rsidRPr="00CC35F0">
              <w:rPr>
                <w:rFonts w:ascii="Times New Roman" w:eastAsia="Times New Roman" w:hAnsi="Times New Roman"/>
                <w:b/>
                <w:i/>
                <w:sz w:val="24"/>
                <w:szCs w:val="24"/>
                <w:lang w:val="sr-Cyrl-CS"/>
              </w:rPr>
              <w:t>Смањење емисија NH</w:t>
            </w:r>
            <w:r w:rsidRPr="00CC35F0">
              <w:rPr>
                <w:rFonts w:ascii="Times New Roman" w:eastAsia="Times New Roman" w:hAnsi="Times New Roman"/>
                <w:b/>
                <w:i/>
                <w:sz w:val="24"/>
                <w:szCs w:val="24"/>
                <w:vertAlign w:val="subscript"/>
                <w:lang w:val="sr-Cyrl-CS"/>
              </w:rPr>
              <w:t>3</w:t>
            </w:r>
            <w:r w:rsidRPr="00CC35F0">
              <w:rPr>
                <w:rFonts w:ascii="Times New Roman" w:eastAsia="Times New Roman" w:hAnsi="Times New Roman"/>
                <w:b/>
                <w:i/>
                <w:sz w:val="24"/>
                <w:szCs w:val="24"/>
                <w:lang w:val="sr-Cyrl-CS"/>
              </w:rPr>
              <w:t xml:space="preserve"> из сектора пољопривреде за 20,5% у поређењу са 2015. годином</w:t>
            </w:r>
          </w:p>
        </w:tc>
      </w:tr>
      <w:tr w:rsidR="00A0251B" w:rsidRPr="00CC35F0" w14:paraId="4891A511" w14:textId="77777777">
        <w:trPr>
          <w:gridAfter w:val="1"/>
          <w:wAfter w:w="7" w:type="dxa"/>
          <w:trHeight w:val="320"/>
        </w:trPr>
        <w:tc>
          <w:tcPr>
            <w:tcW w:w="13838" w:type="dxa"/>
            <w:gridSpan w:val="9"/>
            <w:tcBorders>
              <w:top w:val="single" w:sz="4" w:space="0" w:color="000000"/>
              <w:left w:val="single" w:sz="4" w:space="0" w:color="000000"/>
              <w:bottom w:val="single" w:sz="4" w:space="0" w:color="000000"/>
              <w:right w:val="single" w:sz="4" w:space="0" w:color="000000"/>
            </w:tcBorders>
            <w:shd w:val="clear" w:color="auto" w:fill="B4C6E7"/>
            <w:vAlign w:val="center"/>
          </w:tcPr>
          <w:p w14:paraId="061AADF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Институција надлежна за мониторинг и контролу спровођења: </w:t>
            </w:r>
            <w:r w:rsidR="00D03902" w:rsidRPr="00CC35F0">
              <w:rPr>
                <w:rFonts w:ascii="Times New Roman" w:eastAsia="Times New Roman" w:hAnsi="Times New Roman"/>
                <w:sz w:val="24"/>
                <w:szCs w:val="24"/>
                <w:lang w:val="sr-Cyrl-CS"/>
              </w:rPr>
              <w:t>Министарство пољопривреде, шумарства и водопривреде</w:t>
            </w:r>
            <w:r w:rsidR="008D4B3E" w:rsidRPr="00CC35F0">
              <w:rPr>
                <w:rFonts w:ascii="Times New Roman" w:eastAsia="Times New Roman" w:hAnsi="Times New Roman"/>
                <w:sz w:val="24"/>
                <w:szCs w:val="24"/>
                <w:lang w:val="sr-Cyrl-CS"/>
              </w:rPr>
              <w:t xml:space="preserve"> и </w:t>
            </w:r>
            <w:r w:rsidRPr="00CC35F0">
              <w:rPr>
                <w:rFonts w:ascii="Times New Roman" w:eastAsia="Times New Roman" w:hAnsi="Times New Roman"/>
                <w:sz w:val="24"/>
                <w:szCs w:val="24"/>
                <w:lang w:val="sr-Cyrl-CS"/>
              </w:rPr>
              <w:t>М</w:t>
            </w:r>
            <w:r w:rsidR="00D03902" w:rsidRPr="00CC35F0">
              <w:rPr>
                <w:rFonts w:ascii="Times New Roman" w:eastAsia="Times New Roman" w:hAnsi="Times New Roman"/>
                <w:sz w:val="24"/>
                <w:szCs w:val="24"/>
                <w:lang w:val="sr-Cyrl-CS"/>
              </w:rPr>
              <w:t>инистарство заштите животне средине</w:t>
            </w:r>
          </w:p>
        </w:tc>
      </w:tr>
      <w:tr w:rsidR="00A0251B" w:rsidRPr="00CC35F0" w14:paraId="296A6D45" w14:textId="77777777">
        <w:trPr>
          <w:trHeight w:val="575"/>
        </w:trPr>
        <w:tc>
          <w:tcPr>
            <w:tcW w:w="3138" w:type="dxa"/>
            <w:tcBorders>
              <w:top w:val="single" w:sz="4" w:space="0" w:color="000000"/>
              <w:left w:val="single" w:sz="4" w:space="0" w:color="000000"/>
              <w:bottom w:val="single" w:sz="4" w:space="0" w:color="000000"/>
              <w:right w:val="single" w:sz="4" w:space="0" w:color="000000"/>
            </w:tcBorders>
            <w:shd w:val="clear" w:color="auto" w:fill="D9D9D9"/>
          </w:tcPr>
          <w:p w14:paraId="1676551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посебног циља (</w:t>
            </w:r>
            <w:r w:rsidRPr="00CC35F0">
              <w:rPr>
                <w:rFonts w:ascii="Times New Roman" w:eastAsia="Times New Roman" w:hAnsi="Times New Roman"/>
                <w:i/>
                <w:sz w:val="24"/>
                <w:szCs w:val="24"/>
                <w:lang w:val="sr-Cyrl-CS"/>
              </w:rPr>
              <w:t>показатељ исхода</w:t>
            </w:r>
            <w:r w:rsidRPr="00CC35F0">
              <w:rPr>
                <w:rFonts w:ascii="Times New Roman" w:eastAsia="Times New Roman" w:hAnsi="Times New Roman"/>
                <w:sz w:val="24"/>
                <w:szCs w:val="24"/>
                <w:lang w:val="sr-Cyrl-CS"/>
              </w:rPr>
              <w:t>)</w:t>
            </w:r>
          </w:p>
        </w:tc>
        <w:tc>
          <w:tcPr>
            <w:tcW w:w="1167" w:type="dxa"/>
            <w:tcBorders>
              <w:top w:val="single" w:sz="4" w:space="0" w:color="000000"/>
              <w:left w:val="single" w:sz="4" w:space="0" w:color="000000"/>
              <w:bottom w:val="single" w:sz="4" w:space="0" w:color="000000"/>
              <w:right w:val="single" w:sz="4" w:space="0" w:color="000000"/>
            </w:tcBorders>
            <w:shd w:val="clear" w:color="auto" w:fill="D9D9D9"/>
          </w:tcPr>
          <w:p w14:paraId="54AA497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260" w:type="dxa"/>
            <w:tcBorders>
              <w:top w:val="single" w:sz="4" w:space="0" w:color="000000"/>
              <w:left w:val="single" w:sz="4" w:space="0" w:color="000000"/>
              <w:bottom w:val="single" w:sz="4" w:space="0" w:color="000000"/>
              <w:right w:val="single" w:sz="4" w:space="0" w:color="000000"/>
            </w:tcBorders>
            <w:shd w:val="clear" w:color="auto" w:fill="D9D9D9"/>
          </w:tcPr>
          <w:p w14:paraId="23D211D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верификације</w:t>
            </w:r>
          </w:p>
        </w:tc>
        <w:tc>
          <w:tcPr>
            <w:tcW w:w="1080" w:type="dxa"/>
            <w:tcBorders>
              <w:top w:val="single" w:sz="4" w:space="0" w:color="000000"/>
              <w:left w:val="single" w:sz="4" w:space="0" w:color="000000"/>
              <w:bottom w:val="single" w:sz="4" w:space="0" w:color="000000"/>
              <w:right w:val="single" w:sz="4" w:space="0" w:color="000000"/>
            </w:tcBorders>
            <w:shd w:val="clear" w:color="auto" w:fill="D9D9D9"/>
          </w:tcPr>
          <w:p w14:paraId="4D03E96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256" w:type="dxa"/>
            <w:tcBorders>
              <w:top w:val="single" w:sz="4" w:space="0" w:color="000000"/>
              <w:left w:val="single" w:sz="4" w:space="0" w:color="000000"/>
              <w:bottom w:val="single" w:sz="4" w:space="0" w:color="000000"/>
              <w:right w:val="single" w:sz="4" w:space="0" w:color="000000"/>
            </w:tcBorders>
            <w:shd w:val="clear" w:color="auto" w:fill="D9D9D9"/>
          </w:tcPr>
          <w:p w14:paraId="2A1E155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447" w:type="dxa"/>
            <w:tcBorders>
              <w:top w:val="single" w:sz="4" w:space="0" w:color="000000"/>
              <w:left w:val="single" w:sz="4" w:space="0" w:color="000000"/>
              <w:bottom w:val="single" w:sz="4" w:space="0" w:color="000000"/>
              <w:right w:val="single" w:sz="4" w:space="0" w:color="000000"/>
            </w:tcBorders>
            <w:shd w:val="clear" w:color="auto" w:fill="D9D9D9"/>
          </w:tcPr>
          <w:p w14:paraId="5F26A82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0" w:type="dxa"/>
            <w:tcBorders>
              <w:top w:val="single" w:sz="4" w:space="0" w:color="000000"/>
              <w:left w:val="single" w:sz="4" w:space="0" w:color="000000"/>
              <w:bottom w:val="single" w:sz="4" w:space="0" w:color="000000"/>
              <w:right w:val="single" w:sz="4" w:space="0" w:color="000000"/>
            </w:tcBorders>
            <w:shd w:val="clear" w:color="auto" w:fill="D9D9D9"/>
          </w:tcPr>
          <w:p w14:paraId="690D439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426" w:type="dxa"/>
            <w:tcBorders>
              <w:top w:val="single" w:sz="4" w:space="0" w:color="000000"/>
              <w:left w:val="single" w:sz="4" w:space="0" w:color="000000"/>
              <w:bottom w:val="single" w:sz="4" w:space="0" w:color="000000"/>
              <w:right w:val="single" w:sz="4" w:space="0" w:color="000000"/>
            </w:tcBorders>
            <w:shd w:val="clear" w:color="auto" w:fill="D9D9D9"/>
          </w:tcPr>
          <w:p w14:paraId="3CE7FCB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54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AD7873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378F897D" w14:textId="77777777">
        <w:trPr>
          <w:trHeight w:val="254"/>
        </w:trPr>
        <w:tc>
          <w:tcPr>
            <w:tcW w:w="3138" w:type="dxa"/>
            <w:tcBorders>
              <w:top w:val="single" w:sz="4" w:space="0" w:color="000000"/>
              <w:left w:val="single" w:sz="4" w:space="0" w:color="000000"/>
              <w:bottom w:val="single" w:sz="4" w:space="0" w:color="000000"/>
              <w:right w:val="single" w:sz="4" w:space="0" w:color="000000"/>
            </w:tcBorders>
            <w:shd w:val="clear" w:color="auto" w:fill="FFFFFF"/>
          </w:tcPr>
          <w:p w14:paraId="72EEBD51"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Укупне емисије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из сектора пољопривреде (шифра К и L)</w:t>
            </w:r>
          </w:p>
        </w:tc>
        <w:tc>
          <w:tcPr>
            <w:tcW w:w="1167" w:type="dxa"/>
            <w:tcBorders>
              <w:top w:val="single" w:sz="4" w:space="0" w:color="000000"/>
              <w:left w:val="single" w:sz="4" w:space="0" w:color="000000"/>
              <w:bottom w:val="single" w:sz="4" w:space="0" w:color="000000"/>
              <w:right w:val="single" w:sz="4" w:space="0" w:color="000000"/>
            </w:tcBorders>
            <w:shd w:val="clear" w:color="auto" w:fill="FFFFFF"/>
          </w:tcPr>
          <w:p w14:paraId="4BE1B0A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kt NH</w:t>
            </w:r>
            <w:r w:rsidRPr="00CC35F0">
              <w:rPr>
                <w:rFonts w:ascii="Times New Roman" w:eastAsia="Times New Roman" w:hAnsi="Times New Roman"/>
                <w:sz w:val="24"/>
                <w:szCs w:val="24"/>
                <w:vertAlign w:val="subscript"/>
                <w:lang w:val="sr-Cyrl-CS"/>
              </w:rPr>
              <w:t>3</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cPr>
          <w:p w14:paraId="2C43DE8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АЗЖС</w:t>
            </w:r>
          </w:p>
          <w:p w14:paraId="42BD8AC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Инвентар </w:t>
            </w:r>
            <w:r w:rsidR="00D7552D" w:rsidRPr="00CC35F0">
              <w:rPr>
                <w:rFonts w:ascii="Times New Roman" w:eastAsia="Times New Roman" w:hAnsi="Times New Roman"/>
                <w:sz w:val="24"/>
                <w:szCs w:val="24"/>
                <w:lang w:val="sr-Cyrl-CS"/>
              </w:rPr>
              <w:t>CLRTAP</w:t>
            </w:r>
            <w:r w:rsidRPr="00CC35F0">
              <w:rPr>
                <w:rFonts w:ascii="Times New Roman" w:eastAsia="Times New Roman" w:hAnsi="Times New Roman"/>
                <w:sz w:val="24"/>
                <w:szCs w:val="24"/>
                <w:lang w:val="sr-Cyrl-CS"/>
              </w:rPr>
              <w:t xml:space="preserve"> </w:t>
            </w:r>
          </w:p>
        </w:tc>
        <w:tc>
          <w:tcPr>
            <w:tcW w:w="10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82FAE4"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72,3</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DFF8E9"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70,2</w:t>
            </w:r>
          </w:p>
        </w:tc>
        <w:tc>
          <w:tcPr>
            <w:tcW w:w="144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5CD4B0"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68,3</w:t>
            </w:r>
          </w:p>
        </w:tc>
        <w:tc>
          <w:tcPr>
            <w:tcW w:w="15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58602B"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66,5</w:t>
            </w:r>
          </w:p>
        </w:tc>
        <w:tc>
          <w:tcPr>
            <w:tcW w:w="14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6E31C0"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64,6</w:t>
            </w:r>
          </w:p>
        </w:tc>
        <w:tc>
          <w:tcPr>
            <w:tcW w:w="1541"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57794AC"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63,8</w:t>
            </w:r>
          </w:p>
        </w:tc>
      </w:tr>
    </w:tbl>
    <w:p w14:paraId="189A55AE" w14:textId="77777777" w:rsidR="00A0251B" w:rsidRPr="00CC35F0" w:rsidRDefault="00A0251B">
      <w:pPr>
        <w:rPr>
          <w:rFonts w:ascii="Times New Roman" w:eastAsia="Times New Roman" w:hAnsi="Times New Roman"/>
          <w:sz w:val="24"/>
          <w:szCs w:val="24"/>
          <w:lang w:val="sr-Cyrl-CS"/>
        </w:rPr>
      </w:pPr>
    </w:p>
    <w:p w14:paraId="73D5C2CF" w14:textId="77777777" w:rsidR="00A0251B" w:rsidRPr="00CC35F0" w:rsidRDefault="00A0251B">
      <w:pPr>
        <w:spacing w:after="160"/>
        <w:jc w:val="left"/>
        <w:rPr>
          <w:rFonts w:ascii="Times New Roman" w:eastAsia="Times New Roman" w:hAnsi="Times New Roman"/>
          <w:sz w:val="24"/>
          <w:szCs w:val="24"/>
          <w:lang w:val="sr-Cyrl-CS"/>
        </w:rPr>
      </w:pPr>
    </w:p>
    <w:tbl>
      <w:tblPr>
        <w:tblStyle w:val="afffd"/>
        <w:tblW w:w="1406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8"/>
        <w:gridCol w:w="1474"/>
        <w:gridCol w:w="1520"/>
        <w:gridCol w:w="1287"/>
        <w:gridCol w:w="991"/>
        <w:gridCol w:w="1349"/>
        <w:gridCol w:w="1530"/>
        <w:gridCol w:w="1426"/>
        <w:gridCol w:w="1242"/>
        <w:gridCol w:w="28"/>
      </w:tblGrid>
      <w:tr w:rsidR="00A0251B" w:rsidRPr="00CC35F0" w14:paraId="0143E27C" w14:textId="77777777">
        <w:trPr>
          <w:trHeight w:val="168"/>
        </w:trPr>
        <w:tc>
          <w:tcPr>
            <w:tcW w:w="14065" w:type="dxa"/>
            <w:gridSpan w:val="10"/>
            <w:tcBorders>
              <w:top w:val="single" w:sz="4" w:space="0" w:color="000000"/>
              <w:left w:val="single" w:sz="4" w:space="0" w:color="000000"/>
              <w:bottom w:val="single" w:sz="4" w:space="0" w:color="000000"/>
              <w:right w:val="single" w:sz="4" w:space="0" w:color="000000"/>
            </w:tcBorders>
            <w:shd w:val="clear" w:color="auto" w:fill="F7CBAC"/>
          </w:tcPr>
          <w:p w14:paraId="6A9F6DC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1.3.1: </w:t>
            </w:r>
            <w:r w:rsidRPr="00CC35F0">
              <w:rPr>
                <w:rFonts w:ascii="Times New Roman" w:eastAsia="Times New Roman" w:hAnsi="Times New Roman"/>
                <w:b/>
                <w:color w:val="000000"/>
                <w:sz w:val="24"/>
                <w:szCs w:val="24"/>
                <w:lang w:val="sr-Cyrl-CS"/>
              </w:rPr>
              <w:t>Увођење најбоље праксе у складиштењу течног стајњака</w:t>
            </w:r>
          </w:p>
        </w:tc>
      </w:tr>
      <w:tr w:rsidR="00A0251B" w:rsidRPr="00CC35F0" w14:paraId="55AA90F6" w14:textId="77777777">
        <w:trPr>
          <w:trHeight w:val="298"/>
        </w:trPr>
        <w:tc>
          <w:tcPr>
            <w:tcW w:w="14065" w:type="dxa"/>
            <w:gridSpan w:val="10"/>
            <w:tcBorders>
              <w:top w:val="single" w:sz="4" w:space="0" w:color="000000"/>
              <w:left w:val="single" w:sz="4" w:space="0" w:color="000000"/>
              <w:bottom w:val="single" w:sz="4" w:space="0" w:color="000000"/>
              <w:right w:val="single" w:sz="4" w:space="0" w:color="000000"/>
            </w:tcBorders>
            <w:shd w:val="clear" w:color="auto" w:fill="F7CBAC"/>
            <w:vAlign w:val="center"/>
          </w:tcPr>
          <w:p w14:paraId="24546B71"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Министарство пољопривреде, шумарства и водопривреде</w:t>
            </w:r>
          </w:p>
        </w:tc>
      </w:tr>
      <w:tr w:rsidR="00A0251B" w:rsidRPr="00CC35F0" w14:paraId="1497D34B" w14:textId="77777777">
        <w:trPr>
          <w:gridAfter w:val="1"/>
          <w:wAfter w:w="28" w:type="dxa"/>
          <w:trHeight w:val="298"/>
        </w:trPr>
        <w:tc>
          <w:tcPr>
            <w:tcW w:w="6212" w:type="dxa"/>
            <w:gridSpan w:val="3"/>
            <w:tcBorders>
              <w:top w:val="single" w:sz="4" w:space="0" w:color="000000"/>
              <w:left w:val="single" w:sz="4" w:space="0" w:color="000000"/>
              <w:bottom w:val="single" w:sz="4" w:space="0" w:color="000000"/>
              <w:right w:val="single" w:sz="4" w:space="0" w:color="000000"/>
            </w:tcBorders>
            <w:shd w:val="clear" w:color="auto" w:fill="F7CBAC"/>
          </w:tcPr>
          <w:p w14:paraId="0B881A94"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Период спровођење: 2022-2026</w:t>
            </w:r>
            <w:r w:rsidR="007445E4" w:rsidRPr="00CC35F0">
              <w:rPr>
                <w:rFonts w:ascii="Times New Roman" w:eastAsia="Times New Roman" w:hAnsi="Times New Roman"/>
                <w:sz w:val="24"/>
                <w:szCs w:val="24"/>
                <w:vertAlign w:val="superscript"/>
                <w:lang w:val="sr-Cyrl-CS"/>
              </w:rPr>
              <w:t>#</w:t>
            </w:r>
          </w:p>
        </w:tc>
        <w:tc>
          <w:tcPr>
            <w:tcW w:w="7825" w:type="dxa"/>
            <w:gridSpan w:val="6"/>
            <w:tcBorders>
              <w:top w:val="single" w:sz="4" w:space="0" w:color="000000"/>
              <w:left w:val="single" w:sz="4" w:space="0" w:color="000000"/>
              <w:bottom w:val="single" w:sz="4" w:space="0" w:color="000000"/>
              <w:right w:val="single" w:sz="4" w:space="0" w:color="000000"/>
            </w:tcBorders>
            <w:shd w:val="clear" w:color="auto" w:fill="F7CBAC"/>
          </w:tcPr>
          <w:p w14:paraId="7F705C7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Информативно - едукативна</w:t>
            </w:r>
          </w:p>
        </w:tc>
      </w:tr>
      <w:tr w:rsidR="00A0251B" w:rsidRPr="00CC35F0" w14:paraId="50D41A97" w14:textId="77777777">
        <w:trPr>
          <w:gridAfter w:val="1"/>
          <w:wAfter w:w="28" w:type="dxa"/>
          <w:trHeight w:val="298"/>
        </w:trPr>
        <w:tc>
          <w:tcPr>
            <w:tcW w:w="6212" w:type="dxa"/>
            <w:gridSpan w:val="3"/>
            <w:tcBorders>
              <w:top w:val="single" w:sz="4" w:space="0" w:color="000000"/>
              <w:left w:val="single" w:sz="4" w:space="0" w:color="000000"/>
              <w:bottom w:val="single" w:sz="4" w:space="0" w:color="000000"/>
              <w:right w:val="single" w:sz="4" w:space="0" w:color="000000"/>
            </w:tcBorders>
            <w:shd w:val="clear" w:color="auto" w:fill="F7CBAC"/>
          </w:tcPr>
          <w:p w14:paraId="1F918F2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7825" w:type="dxa"/>
            <w:gridSpan w:val="6"/>
            <w:tcBorders>
              <w:top w:val="single" w:sz="4" w:space="0" w:color="000000"/>
              <w:left w:val="single" w:sz="4" w:space="0" w:color="000000"/>
              <w:bottom w:val="single" w:sz="4" w:space="0" w:color="000000"/>
              <w:right w:val="single" w:sz="4" w:space="0" w:color="000000"/>
            </w:tcBorders>
            <w:shd w:val="clear" w:color="auto" w:fill="F7CBAC"/>
          </w:tcPr>
          <w:p w14:paraId="2E2EB4A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Измена постојећег националног Кодекса добре пољопривредне праксе из</w:t>
            </w:r>
            <w:r w:rsidRPr="00CC35F0">
              <w:rPr>
                <w:rFonts w:ascii="Times New Roman" w:eastAsia="Times New Roman" w:hAnsi="Times New Roman"/>
                <w:color w:val="000000"/>
                <w:sz w:val="24"/>
                <w:szCs w:val="24"/>
                <w:lang w:val="sr-Cyrl-CS"/>
              </w:rPr>
              <w:t xml:space="preserve"> 2016. године</w:t>
            </w:r>
          </w:p>
        </w:tc>
      </w:tr>
      <w:tr w:rsidR="00A0251B" w:rsidRPr="00CC35F0" w14:paraId="32A213CB" w14:textId="77777777">
        <w:trPr>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740D031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323CB3AB" w14:textId="77777777" w:rsidR="00A0251B" w:rsidRPr="00CC35F0" w:rsidRDefault="00A0251B">
            <w:pPr>
              <w:jc w:val="center"/>
              <w:rPr>
                <w:rFonts w:ascii="Times New Roman" w:eastAsia="Times New Roman" w:hAnsi="Times New Roman"/>
                <w:sz w:val="24"/>
                <w:szCs w:val="24"/>
                <w:lang w:val="sr-Cyrl-CS"/>
              </w:rPr>
            </w:pPr>
          </w:p>
        </w:tc>
        <w:tc>
          <w:tcPr>
            <w:tcW w:w="1474" w:type="dxa"/>
            <w:tcBorders>
              <w:top w:val="single" w:sz="4" w:space="0" w:color="000000"/>
              <w:left w:val="single" w:sz="4" w:space="0" w:color="000000"/>
              <w:bottom w:val="single" w:sz="4" w:space="0" w:color="000000"/>
              <w:right w:val="single" w:sz="4" w:space="0" w:color="000000"/>
            </w:tcBorders>
            <w:shd w:val="clear" w:color="auto" w:fill="D9D9D9"/>
          </w:tcPr>
          <w:p w14:paraId="5DC57C0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520" w:type="dxa"/>
            <w:tcBorders>
              <w:top w:val="single" w:sz="4" w:space="0" w:color="000000"/>
              <w:left w:val="single" w:sz="4" w:space="0" w:color="000000"/>
              <w:bottom w:val="single" w:sz="4" w:space="0" w:color="000000"/>
              <w:right w:val="single" w:sz="4" w:space="0" w:color="000000"/>
            </w:tcBorders>
            <w:shd w:val="clear" w:color="auto" w:fill="D9D9D9"/>
          </w:tcPr>
          <w:p w14:paraId="7C33779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6B6F53">
              <w:rPr>
                <w:rFonts w:ascii="Times New Roman" w:eastAsia="Times New Roman" w:hAnsi="Times New Roman"/>
                <w:lang w:val="sr-Cyrl-CS"/>
              </w:rPr>
              <w:t>верификације</w:t>
            </w:r>
          </w:p>
        </w:tc>
        <w:tc>
          <w:tcPr>
            <w:tcW w:w="1287" w:type="dxa"/>
            <w:tcBorders>
              <w:top w:val="single" w:sz="4" w:space="0" w:color="000000"/>
              <w:left w:val="single" w:sz="4" w:space="0" w:color="000000"/>
              <w:bottom w:val="single" w:sz="4" w:space="0" w:color="000000"/>
              <w:right w:val="single" w:sz="4" w:space="0" w:color="000000"/>
            </w:tcBorders>
            <w:shd w:val="clear" w:color="auto" w:fill="D9D9D9"/>
          </w:tcPr>
          <w:p w14:paraId="5D7F1F3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991" w:type="dxa"/>
            <w:tcBorders>
              <w:top w:val="single" w:sz="4" w:space="0" w:color="000000"/>
              <w:left w:val="single" w:sz="4" w:space="0" w:color="000000"/>
              <w:bottom w:val="single" w:sz="4" w:space="0" w:color="000000"/>
              <w:right w:val="single" w:sz="4" w:space="0" w:color="000000"/>
            </w:tcBorders>
            <w:shd w:val="clear" w:color="auto" w:fill="D9D9D9"/>
          </w:tcPr>
          <w:p w14:paraId="70DE4318" w14:textId="77777777" w:rsidR="00A0251B" w:rsidRPr="00CC35F0" w:rsidRDefault="008D6506">
            <w:pPr>
              <w:jc w:val="center"/>
              <w:rPr>
                <w:rFonts w:ascii="Times New Roman" w:eastAsia="Times New Roman" w:hAnsi="Times New Roman"/>
                <w:sz w:val="24"/>
                <w:szCs w:val="24"/>
                <w:lang w:val="sr-Cyrl-CS"/>
              </w:rPr>
            </w:pPr>
            <w:r w:rsidRPr="006B6F53">
              <w:rPr>
                <w:rFonts w:ascii="Times New Roman" w:eastAsia="Times New Roman" w:hAnsi="Times New Roman"/>
                <w:sz w:val="20"/>
                <w:szCs w:val="20"/>
                <w:lang w:val="sr-Cyrl-CS"/>
              </w:rPr>
              <w:t>Циљана вредност</w:t>
            </w:r>
            <w:r w:rsidRPr="00CC35F0">
              <w:rPr>
                <w:rFonts w:ascii="Times New Roman" w:eastAsia="Times New Roman" w:hAnsi="Times New Roman"/>
                <w:sz w:val="24"/>
                <w:szCs w:val="24"/>
                <w:lang w:val="sr-Cyrl-CS"/>
              </w:rPr>
              <w:t xml:space="preserve"> 2022. година</w:t>
            </w:r>
          </w:p>
        </w:tc>
        <w:tc>
          <w:tcPr>
            <w:tcW w:w="1349" w:type="dxa"/>
            <w:tcBorders>
              <w:top w:val="single" w:sz="4" w:space="0" w:color="000000"/>
              <w:left w:val="single" w:sz="4" w:space="0" w:color="000000"/>
              <w:bottom w:val="single" w:sz="4" w:space="0" w:color="000000"/>
              <w:right w:val="single" w:sz="4" w:space="0" w:color="000000"/>
            </w:tcBorders>
            <w:shd w:val="clear" w:color="auto" w:fill="D9D9D9"/>
          </w:tcPr>
          <w:p w14:paraId="19C0EB0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0" w:type="dxa"/>
            <w:tcBorders>
              <w:top w:val="single" w:sz="4" w:space="0" w:color="000000"/>
              <w:left w:val="single" w:sz="4" w:space="0" w:color="000000"/>
              <w:bottom w:val="single" w:sz="4" w:space="0" w:color="000000"/>
              <w:right w:val="single" w:sz="4" w:space="0" w:color="000000"/>
            </w:tcBorders>
            <w:shd w:val="clear" w:color="auto" w:fill="D9D9D9"/>
          </w:tcPr>
          <w:p w14:paraId="19062AF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426" w:type="dxa"/>
            <w:tcBorders>
              <w:top w:val="single" w:sz="4" w:space="0" w:color="000000"/>
              <w:left w:val="single" w:sz="4" w:space="0" w:color="000000"/>
              <w:bottom w:val="single" w:sz="4" w:space="0" w:color="000000"/>
              <w:right w:val="single" w:sz="4" w:space="0" w:color="000000"/>
            </w:tcBorders>
            <w:shd w:val="clear" w:color="auto" w:fill="D9D9D9"/>
          </w:tcPr>
          <w:p w14:paraId="1CAB060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27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812C1C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Циљана вредност у </w:t>
            </w:r>
            <w:r w:rsidRPr="006B6F53">
              <w:rPr>
                <w:rFonts w:ascii="Times New Roman" w:eastAsia="Times New Roman" w:hAnsi="Times New Roman"/>
                <w:lang w:val="sr-Cyrl-CS"/>
              </w:rPr>
              <w:t xml:space="preserve">последњој </w:t>
            </w:r>
            <w:r w:rsidRPr="00CC35F0">
              <w:rPr>
                <w:rFonts w:ascii="Times New Roman" w:eastAsia="Times New Roman" w:hAnsi="Times New Roman"/>
                <w:sz w:val="24"/>
                <w:szCs w:val="24"/>
                <w:lang w:val="sr-Cyrl-CS"/>
              </w:rPr>
              <w:t>години АП, 2026. године</w:t>
            </w:r>
          </w:p>
        </w:tc>
      </w:tr>
      <w:tr w:rsidR="00A0251B" w:rsidRPr="00CC35F0" w14:paraId="5287C09E"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0EDE145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Удео покривених складишта свињског стајњака у укупном броју </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cPr>
          <w:p w14:paraId="78BDF21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Pr>
          <w:p w14:paraId="29FC4813" w14:textId="77777777" w:rsidR="00A0251B" w:rsidRPr="006B6F53" w:rsidRDefault="008D6506">
            <w:pPr>
              <w:shd w:val="clear" w:color="auto" w:fill="FFFFFF"/>
              <w:rPr>
                <w:rFonts w:ascii="Times New Roman" w:eastAsia="Times New Roman" w:hAnsi="Times New Roman"/>
                <w:sz w:val="20"/>
                <w:szCs w:val="20"/>
                <w:lang w:val="sr-Cyrl-CS"/>
              </w:rPr>
            </w:pPr>
            <w:r w:rsidRPr="006B6F53">
              <w:rPr>
                <w:rFonts w:ascii="Times New Roman" w:eastAsia="Times New Roman" w:hAnsi="Times New Roman"/>
                <w:sz w:val="20"/>
                <w:szCs w:val="20"/>
                <w:lang w:val="sr-Cyrl-CS"/>
              </w:rPr>
              <w:t>Годишња студија Саветодавне п</w:t>
            </w:r>
            <w:r w:rsidRPr="006B6F53">
              <w:rPr>
                <w:rFonts w:ascii="Times New Roman" w:eastAsia="Times New Roman" w:hAnsi="Times New Roman"/>
                <w:sz w:val="19"/>
                <w:szCs w:val="19"/>
                <w:lang w:val="sr-Cyrl-CS"/>
              </w:rPr>
              <w:t>ољопривредне</w:t>
            </w:r>
            <w:r w:rsidRPr="006B6F53">
              <w:rPr>
                <w:rFonts w:ascii="Times New Roman" w:eastAsia="Times New Roman" w:hAnsi="Times New Roman"/>
                <w:sz w:val="20"/>
                <w:szCs w:val="20"/>
                <w:lang w:val="sr-Cyrl-CS"/>
              </w:rPr>
              <w:t xml:space="preserve"> службе </w:t>
            </w:r>
          </w:p>
        </w:tc>
        <w:tc>
          <w:tcPr>
            <w:tcW w:w="1287" w:type="dxa"/>
            <w:tcBorders>
              <w:top w:val="single" w:sz="4" w:space="0" w:color="000000"/>
              <w:left w:val="single" w:sz="4" w:space="0" w:color="000000"/>
              <w:bottom w:val="single" w:sz="4" w:space="0" w:color="000000"/>
              <w:right w:val="single" w:sz="4" w:space="0" w:color="000000"/>
            </w:tcBorders>
            <w:shd w:val="clear" w:color="auto" w:fill="FFFFFF"/>
          </w:tcPr>
          <w:p w14:paraId="4E65C8E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0 </w:t>
            </w:r>
          </w:p>
          <w:p w14:paraId="31D95B7A" w14:textId="77777777" w:rsidR="00A0251B" w:rsidRPr="00CC35F0" w:rsidRDefault="00A0251B">
            <w:pPr>
              <w:shd w:val="clear" w:color="auto" w:fill="FFFFFF"/>
              <w:rPr>
                <w:rFonts w:ascii="Times New Roman" w:eastAsia="Times New Roman" w:hAnsi="Times New Roman"/>
                <w:sz w:val="24"/>
                <w:szCs w:val="24"/>
                <w:lang w:val="sr-Cyrl-CS"/>
              </w:rPr>
            </w:pPr>
          </w:p>
          <w:p w14:paraId="7A972013" w14:textId="77777777" w:rsidR="00A0251B" w:rsidRPr="00CC35F0" w:rsidRDefault="00A0251B">
            <w:pPr>
              <w:shd w:val="clear" w:color="auto" w:fill="FFFFFF"/>
              <w:rPr>
                <w:rFonts w:ascii="Times New Roman" w:eastAsia="Times New Roman" w:hAnsi="Times New Roman"/>
                <w:sz w:val="24"/>
                <w:szCs w:val="24"/>
                <w:lang w:val="sr-Cyrl-CS"/>
              </w:rPr>
            </w:pPr>
          </w:p>
          <w:p w14:paraId="12B6610E" w14:textId="77777777" w:rsidR="00A0251B" w:rsidRPr="00CC35F0" w:rsidRDefault="00A0251B">
            <w:pPr>
              <w:shd w:val="clear" w:color="auto" w:fill="FFFFFF"/>
              <w:rPr>
                <w:rFonts w:ascii="Times New Roman" w:eastAsia="Times New Roman" w:hAnsi="Times New Roman"/>
                <w:sz w:val="24"/>
                <w:szCs w:val="24"/>
                <w:lang w:val="sr-Cyrl-CS"/>
              </w:rPr>
            </w:pPr>
          </w:p>
        </w:tc>
        <w:tc>
          <w:tcPr>
            <w:tcW w:w="991" w:type="dxa"/>
            <w:tcBorders>
              <w:top w:val="single" w:sz="4" w:space="0" w:color="000000"/>
              <w:left w:val="single" w:sz="4" w:space="0" w:color="000000"/>
              <w:bottom w:val="single" w:sz="4" w:space="0" w:color="000000"/>
              <w:right w:val="single" w:sz="4" w:space="0" w:color="000000"/>
            </w:tcBorders>
            <w:shd w:val="clear" w:color="auto" w:fill="FFFFFF"/>
          </w:tcPr>
          <w:p w14:paraId="79B61C2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0,5 </w:t>
            </w:r>
          </w:p>
          <w:p w14:paraId="5A628AE9" w14:textId="77777777" w:rsidR="00A0251B" w:rsidRPr="00CC35F0" w:rsidRDefault="00A0251B">
            <w:pPr>
              <w:shd w:val="clear" w:color="auto" w:fill="FFFFFF"/>
              <w:rPr>
                <w:rFonts w:ascii="Times New Roman" w:eastAsia="Times New Roman" w:hAnsi="Times New Roman"/>
                <w:sz w:val="24"/>
                <w:szCs w:val="24"/>
                <w:lang w:val="sr-Cyrl-CS"/>
              </w:rPr>
            </w:pPr>
          </w:p>
          <w:p w14:paraId="1177F3F9" w14:textId="77777777" w:rsidR="00A0251B" w:rsidRPr="00CC35F0" w:rsidRDefault="00A0251B">
            <w:pPr>
              <w:shd w:val="clear" w:color="auto" w:fill="FFFFFF"/>
              <w:rPr>
                <w:rFonts w:ascii="Times New Roman" w:eastAsia="Times New Roman" w:hAnsi="Times New Roman"/>
                <w:sz w:val="24"/>
                <w:szCs w:val="24"/>
                <w:lang w:val="sr-Cyrl-CS"/>
              </w:rPr>
            </w:pPr>
          </w:p>
          <w:p w14:paraId="41D75D71" w14:textId="77777777" w:rsidR="00A0251B" w:rsidRPr="00CC35F0" w:rsidRDefault="00A0251B">
            <w:pPr>
              <w:shd w:val="clear" w:color="auto" w:fill="FFFFFF"/>
              <w:rPr>
                <w:rFonts w:ascii="Times New Roman" w:eastAsia="Times New Roman" w:hAnsi="Times New Roman"/>
                <w:sz w:val="24"/>
                <w:szCs w:val="24"/>
                <w:lang w:val="sr-Cyrl-CS"/>
              </w:rPr>
            </w:pPr>
          </w:p>
        </w:tc>
        <w:tc>
          <w:tcPr>
            <w:tcW w:w="1349" w:type="dxa"/>
            <w:tcBorders>
              <w:top w:val="single" w:sz="4" w:space="0" w:color="000000"/>
              <w:left w:val="single" w:sz="4" w:space="0" w:color="000000"/>
              <w:bottom w:val="single" w:sz="4" w:space="0" w:color="000000"/>
              <w:right w:val="single" w:sz="4" w:space="0" w:color="000000"/>
            </w:tcBorders>
            <w:shd w:val="clear" w:color="auto" w:fill="FFFFFF"/>
          </w:tcPr>
          <w:p w14:paraId="7E28848D"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0,7</w:t>
            </w:r>
          </w:p>
          <w:p w14:paraId="73720084" w14:textId="77777777" w:rsidR="00A0251B" w:rsidRPr="00CC35F0" w:rsidRDefault="00A0251B">
            <w:pPr>
              <w:shd w:val="clear" w:color="auto" w:fill="FFFFFF"/>
              <w:rPr>
                <w:rFonts w:ascii="Times New Roman" w:eastAsia="Times New Roman" w:hAnsi="Times New Roman"/>
                <w:sz w:val="24"/>
                <w:szCs w:val="24"/>
                <w:lang w:val="sr-Cyrl-CS"/>
              </w:rPr>
            </w:pPr>
          </w:p>
          <w:p w14:paraId="778ACC59" w14:textId="77777777" w:rsidR="00A0251B" w:rsidRPr="00CC35F0" w:rsidRDefault="00A0251B">
            <w:pPr>
              <w:shd w:val="clear" w:color="auto" w:fill="FFFFFF"/>
              <w:rPr>
                <w:rFonts w:ascii="Times New Roman" w:eastAsia="Times New Roman" w:hAnsi="Times New Roman"/>
                <w:sz w:val="24"/>
                <w:szCs w:val="24"/>
                <w:lang w:val="sr-Cyrl-CS"/>
              </w:rPr>
            </w:pPr>
          </w:p>
          <w:p w14:paraId="22CE710A" w14:textId="77777777" w:rsidR="00A0251B" w:rsidRPr="00CC35F0" w:rsidRDefault="00A0251B">
            <w:pPr>
              <w:shd w:val="clear" w:color="auto" w:fill="FFFFFF"/>
              <w:rPr>
                <w:rFonts w:ascii="Times New Roman" w:eastAsia="Times New Roman" w:hAnsi="Times New Roman"/>
                <w:sz w:val="24"/>
                <w:szCs w:val="24"/>
                <w:lang w:val="sr-Cyrl-CS"/>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64D3461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0,9</w:t>
            </w:r>
          </w:p>
          <w:p w14:paraId="18353980" w14:textId="77777777" w:rsidR="00A0251B" w:rsidRPr="00CC35F0" w:rsidRDefault="00A0251B">
            <w:pPr>
              <w:shd w:val="clear" w:color="auto" w:fill="FFFFFF"/>
              <w:rPr>
                <w:rFonts w:ascii="Times New Roman" w:eastAsia="Times New Roman" w:hAnsi="Times New Roman"/>
                <w:sz w:val="24"/>
                <w:szCs w:val="24"/>
                <w:lang w:val="sr-Cyrl-CS"/>
              </w:rPr>
            </w:pPr>
          </w:p>
          <w:p w14:paraId="4CEBA61C" w14:textId="77777777" w:rsidR="00A0251B" w:rsidRPr="00CC35F0" w:rsidRDefault="00A0251B">
            <w:pPr>
              <w:shd w:val="clear" w:color="auto" w:fill="FFFFFF"/>
              <w:rPr>
                <w:rFonts w:ascii="Times New Roman" w:eastAsia="Times New Roman" w:hAnsi="Times New Roman"/>
                <w:sz w:val="24"/>
                <w:szCs w:val="24"/>
                <w:lang w:val="sr-Cyrl-CS"/>
              </w:rPr>
            </w:pPr>
          </w:p>
          <w:p w14:paraId="07506C5F" w14:textId="77777777" w:rsidR="00A0251B" w:rsidRPr="00CC35F0" w:rsidRDefault="00A0251B">
            <w:pPr>
              <w:shd w:val="clear" w:color="auto" w:fill="FFFFFF"/>
              <w:rPr>
                <w:rFonts w:ascii="Times New Roman" w:eastAsia="Times New Roman" w:hAnsi="Times New Roman"/>
                <w:sz w:val="24"/>
                <w:szCs w:val="24"/>
                <w:lang w:val="sr-Cyrl-CS"/>
              </w:rPr>
            </w:pPr>
          </w:p>
        </w:tc>
        <w:tc>
          <w:tcPr>
            <w:tcW w:w="1426" w:type="dxa"/>
            <w:tcBorders>
              <w:top w:val="single" w:sz="4" w:space="0" w:color="000000"/>
              <w:left w:val="single" w:sz="4" w:space="0" w:color="000000"/>
              <w:bottom w:val="single" w:sz="4" w:space="0" w:color="000000"/>
              <w:right w:val="single" w:sz="4" w:space="0" w:color="000000"/>
            </w:tcBorders>
            <w:shd w:val="clear" w:color="auto" w:fill="FFFFFF"/>
          </w:tcPr>
          <w:p w14:paraId="335A371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1,2 </w:t>
            </w:r>
          </w:p>
          <w:p w14:paraId="26FFC772" w14:textId="77777777" w:rsidR="00A0251B" w:rsidRPr="00CC35F0" w:rsidRDefault="00A0251B">
            <w:pPr>
              <w:shd w:val="clear" w:color="auto" w:fill="FFFFFF"/>
              <w:rPr>
                <w:rFonts w:ascii="Times New Roman" w:eastAsia="Times New Roman" w:hAnsi="Times New Roman"/>
                <w:sz w:val="24"/>
                <w:szCs w:val="24"/>
                <w:lang w:val="sr-Cyrl-CS"/>
              </w:rPr>
            </w:pPr>
          </w:p>
          <w:p w14:paraId="3D931756" w14:textId="77777777" w:rsidR="00A0251B" w:rsidRPr="00CC35F0" w:rsidRDefault="00A0251B">
            <w:pPr>
              <w:shd w:val="clear" w:color="auto" w:fill="FFFFFF"/>
              <w:rPr>
                <w:rFonts w:ascii="Times New Roman" w:eastAsia="Times New Roman" w:hAnsi="Times New Roman"/>
                <w:sz w:val="24"/>
                <w:szCs w:val="24"/>
                <w:lang w:val="sr-Cyrl-CS"/>
              </w:rPr>
            </w:pPr>
          </w:p>
          <w:p w14:paraId="4EF31D8D" w14:textId="77777777" w:rsidR="00A0251B" w:rsidRPr="00CC35F0" w:rsidRDefault="00A0251B">
            <w:pPr>
              <w:shd w:val="clear" w:color="auto" w:fill="FFFFFF"/>
              <w:rPr>
                <w:rFonts w:ascii="Times New Roman" w:eastAsia="Times New Roman" w:hAnsi="Times New Roman"/>
                <w:sz w:val="24"/>
                <w:szCs w:val="24"/>
                <w:lang w:val="sr-Cyrl-CS"/>
              </w:rPr>
            </w:pPr>
          </w:p>
        </w:tc>
        <w:tc>
          <w:tcPr>
            <w:tcW w:w="1270" w:type="dxa"/>
            <w:gridSpan w:val="2"/>
            <w:tcBorders>
              <w:top w:val="single" w:sz="4" w:space="0" w:color="000000"/>
              <w:left w:val="single" w:sz="4" w:space="0" w:color="000000"/>
              <w:bottom w:val="single" w:sz="4" w:space="0" w:color="000000"/>
              <w:right w:val="single" w:sz="4" w:space="0" w:color="000000"/>
            </w:tcBorders>
            <w:shd w:val="clear" w:color="auto" w:fill="FFFFFF"/>
          </w:tcPr>
          <w:p w14:paraId="5FC185D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1,3 </w:t>
            </w:r>
          </w:p>
          <w:p w14:paraId="1E392862" w14:textId="77777777" w:rsidR="00A0251B" w:rsidRPr="00CC35F0" w:rsidRDefault="00A0251B">
            <w:pPr>
              <w:shd w:val="clear" w:color="auto" w:fill="FFFFFF"/>
              <w:rPr>
                <w:rFonts w:ascii="Times New Roman" w:eastAsia="Times New Roman" w:hAnsi="Times New Roman"/>
                <w:sz w:val="24"/>
                <w:szCs w:val="24"/>
                <w:lang w:val="sr-Cyrl-CS"/>
              </w:rPr>
            </w:pPr>
          </w:p>
          <w:p w14:paraId="11CEFAD1" w14:textId="77777777" w:rsidR="00A0251B" w:rsidRPr="00CC35F0" w:rsidRDefault="00A0251B">
            <w:pPr>
              <w:shd w:val="clear" w:color="auto" w:fill="FFFFFF"/>
              <w:rPr>
                <w:rFonts w:ascii="Times New Roman" w:eastAsia="Times New Roman" w:hAnsi="Times New Roman"/>
                <w:sz w:val="24"/>
                <w:szCs w:val="24"/>
                <w:lang w:val="sr-Cyrl-CS"/>
              </w:rPr>
            </w:pPr>
          </w:p>
          <w:p w14:paraId="4C78D4C7" w14:textId="77777777" w:rsidR="00A0251B" w:rsidRPr="00CC35F0" w:rsidRDefault="00A0251B">
            <w:pPr>
              <w:shd w:val="clear" w:color="auto" w:fill="FFFFFF"/>
              <w:rPr>
                <w:rFonts w:ascii="Times New Roman" w:eastAsia="Times New Roman" w:hAnsi="Times New Roman"/>
                <w:sz w:val="24"/>
                <w:szCs w:val="24"/>
                <w:lang w:val="sr-Cyrl-CS"/>
              </w:rPr>
            </w:pPr>
          </w:p>
        </w:tc>
      </w:tr>
      <w:tr w:rsidR="00A0251B" w:rsidRPr="00CC35F0" w14:paraId="1817B357"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3CF53D9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Удео складишта стајњака са сточних фарми под слојем природне коре</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cPr>
          <w:p w14:paraId="2747F18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520" w:type="dxa"/>
            <w:tcBorders>
              <w:top w:val="single" w:sz="4" w:space="0" w:color="000000"/>
              <w:left w:val="single" w:sz="4" w:space="0" w:color="000000"/>
              <w:bottom w:val="single" w:sz="4" w:space="0" w:color="000000"/>
              <w:right w:val="single" w:sz="4" w:space="0" w:color="000000"/>
            </w:tcBorders>
            <w:shd w:val="clear" w:color="auto" w:fill="FFFFFF"/>
          </w:tcPr>
          <w:p w14:paraId="0E0928E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Годишња студија Саветодавне </w:t>
            </w:r>
            <w:r w:rsidRPr="00D25B1A">
              <w:rPr>
                <w:rFonts w:ascii="Times New Roman" w:eastAsia="Times New Roman" w:hAnsi="Times New Roman"/>
                <w:sz w:val="19"/>
                <w:szCs w:val="19"/>
                <w:lang w:val="sr-Cyrl-CS"/>
              </w:rPr>
              <w:t>пољопривредне</w:t>
            </w:r>
            <w:r w:rsidRPr="00CC35F0">
              <w:rPr>
                <w:rFonts w:ascii="Times New Roman" w:eastAsia="Times New Roman" w:hAnsi="Times New Roman"/>
                <w:sz w:val="24"/>
                <w:szCs w:val="24"/>
                <w:lang w:val="sr-Cyrl-CS"/>
              </w:rPr>
              <w:t xml:space="preserve"> службе </w:t>
            </w:r>
          </w:p>
        </w:tc>
        <w:tc>
          <w:tcPr>
            <w:tcW w:w="1287" w:type="dxa"/>
            <w:tcBorders>
              <w:top w:val="single" w:sz="4" w:space="0" w:color="000000"/>
              <w:left w:val="single" w:sz="4" w:space="0" w:color="000000"/>
              <w:bottom w:val="single" w:sz="4" w:space="0" w:color="000000"/>
              <w:right w:val="single" w:sz="4" w:space="0" w:color="000000"/>
            </w:tcBorders>
            <w:shd w:val="clear" w:color="auto" w:fill="FFFFFF"/>
          </w:tcPr>
          <w:p w14:paraId="1071DDA3"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991" w:type="dxa"/>
            <w:tcBorders>
              <w:top w:val="single" w:sz="4" w:space="0" w:color="000000"/>
              <w:left w:val="single" w:sz="4" w:space="0" w:color="000000"/>
              <w:bottom w:val="single" w:sz="4" w:space="0" w:color="000000"/>
              <w:right w:val="single" w:sz="4" w:space="0" w:color="000000"/>
            </w:tcBorders>
            <w:shd w:val="clear" w:color="auto" w:fill="FFFFFF"/>
          </w:tcPr>
          <w:p w14:paraId="7B507BE5"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w:t>
            </w:r>
          </w:p>
        </w:tc>
        <w:tc>
          <w:tcPr>
            <w:tcW w:w="1349" w:type="dxa"/>
            <w:tcBorders>
              <w:top w:val="single" w:sz="4" w:space="0" w:color="000000"/>
              <w:left w:val="single" w:sz="4" w:space="0" w:color="000000"/>
              <w:bottom w:val="single" w:sz="4" w:space="0" w:color="000000"/>
              <w:right w:val="single" w:sz="4" w:space="0" w:color="000000"/>
            </w:tcBorders>
            <w:shd w:val="clear" w:color="auto" w:fill="FFFFFF"/>
          </w:tcPr>
          <w:p w14:paraId="59ADFD8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02E4B95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w:t>
            </w:r>
          </w:p>
        </w:tc>
        <w:tc>
          <w:tcPr>
            <w:tcW w:w="1426" w:type="dxa"/>
            <w:tcBorders>
              <w:top w:val="single" w:sz="4" w:space="0" w:color="000000"/>
              <w:left w:val="single" w:sz="4" w:space="0" w:color="000000"/>
              <w:bottom w:val="single" w:sz="4" w:space="0" w:color="000000"/>
              <w:right w:val="single" w:sz="4" w:space="0" w:color="000000"/>
            </w:tcBorders>
            <w:shd w:val="clear" w:color="auto" w:fill="FFFFFF"/>
          </w:tcPr>
          <w:p w14:paraId="1BA7953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w:t>
            </w:r>
          </w:p>
        </w:tc>
        <w:tc>
          <w:tcPr>
            <w:tcW w:w="1270" w:type="dxa"/>
            <w:gridSpan w:val="2"/>
            <w:tcBorders>
              <w:top w:val="single" w:sz="4" w:space="0" w:color="000000"/>
              <w:left w:val="single" w:sz="4" w:space="0" w:color="000000"/>
              <w:bottom w:val="single" w:sz="4" w:space="0" w:color="000000"/>
              <w:right w:val="single" w:sz="4" w:space="0" w:color="000000"/>
            </w:tcBorders>
            <w:shd w:val="clear" w:color="auto" w:fill="FFFFFF"/>
          </w:tcPr>
          <w:p w14:paraId="0713A7C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w:t>
            </w:r>
          </w:p>
        </w:tc>
      </w:tr>
    </w:tbl>
    <w:p w14:paraId="6047DFBA" w14:textId="77777777" w:rsidR="00A0251B" w:rsidRPr="00CC35F0" w:rsidRDefault="00A0251B">
      <w:pPr>
        <w:rPr>
          <w:rFonts w:ascii="Times New Roman" w:eastAsia="Times New Roman" w:hAnsi="Times New Roman"/>
          <w:sz w:val="24"/>
          <w:szCs w:val="24"/>
          <w:lang w:val="sr-Cyrl-CS"/>
        </w:rPr>
      </w:pPr>
    </w:p>
    <w:tbl>
      <w:tblPr>
        <w:tblStyle w:val="afffe"/>
        <w:tblW w:w="13388"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673"/>
        <w:gridCol w:w="2407"/>
        <w:gridCol w:w="1559"/>
        <w:gridCol w:w="1371"/>
        <w:gridCol w:w="1538"/>
        <w:gridCol w:w="1400"/>
        <w:gridCol w:w="1440"/>
      </w:tblGrid>
      <w:tr w:rsidR="00A0251B" w:rsidRPr="00CC35F0" w14:paraId="2A7858ED" w14:textId="77777777">
        <w:trPr>
          <w:trHeight w:val="227"/>
        </w:trPr>
        <w:tc>
          <w:tcPr>
            <w:tcW w:w="3674" w:type="dxa"/>
            <w:vMerge w:val="restart"/>
            <w:shd w:val="clear" w:color="auto" w:fill="A8D08D"/>
          </w:tcPr>
          <w:p w14:paraId="405EDB9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121AA405" w14:textId="77777777" w:rsidR="00A0251B" w:rsidRPr="00CC35F0" w:rsidRDefault="00A0251B">
            <w:pPr>
              <w:jc w:val="center"/>
              <w:rPr>
                <w:rFonts w:ascii="Times New Roman" w:eastAsia="Times New Roman" w:hAnsi="Times New Roman"/>
                <w:sz w:val="24"/>
                <w:szCs w:val="24"/>
                <w:lang w:val="sr-Cyrl-CS"/>
              </w:rPr>
            </w:pPr>
          </w:p>
        </w:tc>
        <w:tc>
          <w:tcPr>
            <w:tcW w:w="2407" w:type="dxa"/>
            <w:vMerge w:val="restart"/>
            <w:shd w:val="clear" w:color="auto" w:fill="A8D08D"/>
          </w:tcPr>
          <w:p w14:paraId="231312D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7308" w:type="dxa"/>
            <w:gridSpan w:val="5"/>
            <w:shd w:val="clear" w:color="auto" w:fill="A8D08D"/>
            <w:vAlign w:val="center"/>
          </w:tcPr>
          <w:p w14:paraId="2DC6460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55C9048B" w14:textId="77777777">
        <w:trPr>
          <w:trHeight w:val="227"/>
        </w:trPr>
        <w:tc>
          <w:tcPr>
            <w:tcW w:w="3674" w:type="dxa"/>
            <w:vMerge/>
            <w:shd w:val="clear" w:color="auto" w:fill="A8D08D"/>
          </w:tcPr>
          <w:p w14:paraId="65F8374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407" w:type="dxa"/>
            <w:vMerge/>
            <w:shd w:val="clear" w:color="auto" w:fill="A8D08D"/>
          </w:tcPr>
          <w:p w14:paraId="7E6DFEC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59" w:type="dxa"/>
            <w:shd w:val="clear" w:color="auto" w:fill="A8D08D"/>
            <w:vAlign w:val="center"/>
          </w:tcPr>
          <w:p w14:paraId="5CD3090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371" w:type="dxa"/>
            <w:shd w:val="clear" w:color="auto" w:fill="A8D08D"/>
            <w:vAlign w:val="center"/>
          </w:tcPr>
          <w:p w14:paraId="270E465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538" w:type="dxa"/>
            <w:shd w:val="clear" w:color="auto" w:fill="A8D08D"/>
            <w:vAlign w:val="center"/>
          </w:tcPr>
          <w:p w14:paraId="69ADF1B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400" w:type="dxa"/>
            <w:shd w:val="clear" w:color="auto" w:fill="A8D08D"/>
            <w:vAlign w:val="center"/>
          </w:tcPr>
          <w:p w14:paraId="511EDF7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440" w:type="dxa"/>
            <w:shd w:val="clear" w:color="auto" w:fill="A8D08D"/>
            <w:vAlign w:val="center"/>
          </w:tcPr>
          <w:p w14:paraId="286F6D8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74FC9CB3" w14:textId="77777777">
        <w:trPr>
          <w:trHeight w:val="398"/>
        </w:trPr>
        <w:tc>
          <w:tcPr>
            <w:tcW w:w="3674" w:type="dxa"/>
            <w:shd w:val="clear" w:color="auto" w:fill="FFFFFF"/>
          </w:tcPr>
          <w:p w14:paraId="1BC02D0D"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p w14:paraId="368D1C6C"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ЕУ/донатори</w:t>
            </w:r>
          </w:p>
        </w:tc>
        <w:tc>
          <w:tcPr>
            <w:tcW w:w="2407" w:type="dxa"/>
            <w:shd w:val="clear" w:color="auto" w:fill="FFFFFF"/>
          </w:tcPr>
          <w:p w14:paraId="5E8826C3"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0101-420-0001-411</w:t>
            </w:r>
          </w:p>
          <w:p w14:paraId="2843E447"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59" w:type="dxa"/>
            <w:shd w:val="clear" w:color="auto" w:fill="FFFFFF"/>
          </w:tcPr>
          <w:p w14:paraId="4F993EAD" w14:textId="77777777" w:rsidR="00A0251B" w:rsidRPr="00CC35F0" w:rsidRDefault="00A0251B">
            <w:pPr>
              <w:jc w:val="right"/>
              <w:rPr>
                <w:rFonts w:ascii="Times New Roman" w:eastAsia="Times New Roman" w:hAnsi="Times New Roman"/>
                <w:sz w:val="24"/>
                <w:szCs w:val="24"/>
                <w:lang w:val="sr-Cyrl-CS"/>
              </w:rPr>
            </w:pPr>
          </w:p>
        </w:tc>
        <w:tc>
          <w:tcPr>
            <w:tcW w:w="1371" w:type="dxa"/>
            <w:shd w:val="clear" w:color="auto" w:fill="FFFFFF"/>
          </w:tcPr>
          <w:p w14:paraId="4506463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30.550*</w:t>
            </w:r>
          </w:p>
          <w:p w14:paraId="1CC198B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47.000*</w:t>
            </w:r>
          </w:p>
        </w:tc>
        <w:tc>
          <w:tcPr>
            <w:tcW w:w="1538" w:type="dxa"/>
            <w:shd w:val="clear" w:color="auto" w:fill="FFFFFF"/>
          </w:tcPr>
          <w:p w14:paraId="4A0D207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30.550*</w:t>
            </w:r>
          </w:p>
          <w:p w14:paraId="74A3499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47.000*</w:t>
            </w:r>
          </w:p>
        </w:tc>
        <w:tc>
          <w:tcPr>
            <w:tcW w:w="1400" w:type="dxa"/>
            <w:shd w:val="clear" w:color="auto" w:fill="FFFFFF"/>
          </w:tcPr>
          <w:p w14:paraId="374B60A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30.550*</w:t>
            </w:r>
          </w:p>
          <w:p w14:paraId="61C7BA1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440" w:type="dxa"/>
            <w:shd w:val="clear" w:color="auto" w:fill="FFFFFF"/>
          </w:tcPr>
          <w:p w14:paraId="4639D80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30.550*</w:t>
            </w:r>
          </w:p>
          <w:p w14:paraId="34211A5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r>
      <w:tr w:rsidR="00A0251B" w:rsidRPr="00CC35F0" w14:paraId="67A7FAE1" w14:textId="77777777">
        <w:trPr>
          <w:trHeight w:val="398"/>
        </w:trPr>
        <w:tc>
          <w:tcPr>
            <w:tcW w:w="3674" w:type="dxa"/>
            <w:shd w:val="clear" w:color="auto" w:fill="FFFFFF"/>
          </w:tcPr>
          <w:p w14:paraId="1A146D1A"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ЕУ/донатори/буџет</w:t>
            </w:r>
          </w:p>
        </w:tc>
        <w:tc>
          <w:tcPr>
            <w:tcW w:w="2407" w:type="dxa"/>
            <w:shd w:val="clear" w:color="auto" w:fill="FFFFFF"/>
          </w:tcPr>
          <w:p w14:paraId="1CAA2B7B"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 /0102-420-0003-423</w:t>
            </w:r>
          </w:p>
        </w:tc>
        <w:tc>
          <w:tcPr>
            <w:tcW w:w="1559" w:type="dxa"/>
            <w:shd w:val="clear" w:color="auto" w:fill="FFFFFF"/>
          </w:tcPr>
          <w:p w14:paraId="4752C787" w14:textId="77777777" w:rsidR="00A0251B" w:rsidRPr="00CC35F0" w:rsidRDefault="00A0251B">
            <w:pPr>
              <w:jc w:val="right"/>
              <w:rPr>
                <w:rFonts w:ascii="Times New Roman" w:eastAsia="Times New Roman" w:hAnsi="Times New Roman"/>
                <w:sz w:val="24"/>
                <w:szCs w:val="24"/>
                <w:lang w:val="sr-Cyrl-CS"/>
              </w:rPr>
            </w:pPr>
          </w:p>
        </w:tc>
        <w:tc>
          <w:tcPr>
            <w:tcW w:w="1371" w:type="dxa"/>
            <w:shd w:val="clear" w:color="auto" w:fill="FFFFFF"/>
          </w:tcPr>
          <w:p w14:paraId="4DBD6893" w14:textId="77777777" w:rsidR="00A0251B" w:rsidRPr="00CC35F0" w:rsidRDefault="00A0251B">
            <w:pPr>
              <w:jc w:val="right"/>
              <w:rPr>
                <w:rFonts w:ascii="Times New Roman" w:eastAsia="Times New Roman" w:hAnsi="Times New Roman"/>
                <w:b/>
                <w:sz w:val="24"/>
                <w:szCs w:val="24"/>
                <w:lang w:val="sr-Cyrl-CS"/>
              </w:rPr>
            </w:pPr>
          </w:p>
        </w:tc>
        <w:tc>
          <w:tcPr>
            <w:tcW w:w="1538" w:type="dxa"/>
            <w:shd w:val="clear" w:color="auto" w:fill="FFFFFF"/>
          </w:tcPr>
          <w:p w14:paraId="7661A3C5" w14:textId="77777777" w:rsidR="00A0251B" w:rsidRPr="00CC35F0" w:rsidRDefault="008D6506">
            <w:pPr>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5.875*</w:t>
            </w:r>
          </w:p>
        </w:tc>
        <w:tc>
          <w:tcPr>
            <w:tcW w:w="1400" w:type="dxa"/>
            <w:shd w:val="clear" w:color="auto" w:fill="FFFFFF"/>
          </w:tcPr>
          <w:p w14:paraId="1AD4AAA3" w14:textId="77777777" w:rsidR="00A0251B" w:rsidRPr="00CC35F0" w:rsidRDefault="008D6506">
            <w:pPr>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12.827*</w:t>
            </w:r>
          </w:p>
        </w:tc>
        <w:tc>
          <w:tcPr>
            <w:tcW w:w="1440" w:type="dxa"/>
            <w:shd w:val="clear" w:color="auto" w:fill="FFFFFF"/>
          </w:tcPr>
          <w:p w14:paraId="6BA3029C" w14:textId="77777777" w:rsidR="00A0251B" w:rsidRPr="00CC35F0" w:rsidRDefault="008D6506">
            <w:pPr>
              <w:jc w:val="right"/>
              <w:rPr>
                <w:rFonts w:ascii="Times New Roman" w:eastAsia="Times New Roman" w:hAnsi="Times New Roman"/>
                <w:b/>
                <w:sz w:val="24"/>
                <w:szCs w:val="24"/>
                <w:lang w:val="sr-Cyrl-CS"/>
              </w:rPr>
            </w:pPr>
            <w:r w:rsidRPr="00CC35F0">
              <w:rPr>
                <w:rFonts w:ascii="Times New Roman" w:eastAsia="Times New Roman" w:hAnsi="Times New Roman"/>
                <w:sz w:val="24"/>
                <w:szCs w:val="24"/>
                <w:lang w:val="sr-Cyrl-CS"/>
              </w:rPr>
              <w:t>86.617*</w:t>
            </w:r>
          </w:p>
        </w:tc>
      </w:tr>
    </w:tbl>
    <w:p w14:paraId="32506C45" w14:textId="77777777" w:rsidR="00A0251B" w:rsidRPr="00CC35F0" w:rsidRDefault="00A0251B">
      <w:pPr>
        <w:rPr>
          <w:rFonts w:ascii="Times New Roman" w:eastAsia="Times New Roman" w:hAnsi="Times New Roman"/>
          <w:sz w:val="24"/>
          <w:szCs w:val="24"/>
          <w:lang w:val="sr-Cyrl-CS"/>
        </w:rPr>
      </w:pPr>
    </w:p>
    <w:tbl>
      <w:tblPr>
        <w:tblStyle w:val="affff"/>
        <w:tblW w:w="14541"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1932"/>
        <w:gridCol w:w="1689"/>
        <w:gridCol w:w="1797"/>
        <w:gridCol w:w="1368"/>
        <w:gridCol w:w="1537"/>
        <w:gridCol w:w="1499"/>
        <w:gridCol w:w="883"/>
        <w:gridCol w:w="1034"/>
        <w:gridCol w:w="1032"/>
        <w:gridCol w:w="885"/>
        <w:gridCol w:w="885"/>
      </w:tblGrid>
      <w:tr w:rsidR="00A0251B" w:rsidRPr="00CC35F0" w14:paraId="24737B17" w14:textId="77777777">
        <w:trPr>
          <w:trHeight w:val="140"/>
          <w:tblHeader/>
        </w:trPr>
        <w:tc>
          <w:tcPr>
            <w:tcW w:w="1932"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5256676F" w14:textId="77777777" w:rsidR="00A0251B" w:rsidRPr="00CC35F0" w:rsidRDefault="00E715F7">
            <w:pPr>
              <w:jc w:val="center"/>
              <w:rPr>
                <w:rFonts w:ascii="Times New Roman" w:eastAsia="Times New Roman" w:hAnsi="Times New Roman"/>
                <w:sz w:val="24"/>
                <w:szCs w:val="24"/>
                <w:lang w:val="sr-Cyrl-CS"/>
              </w:rPr>
            </w:pPr>
            <w:r>
              <w:rPr>
                <w:rFonts w:ascii="Times New Roman" w:eastAsia="Times New Roman" w:hAnsi="Times New Roman"/>
                <w:sz w:val="24"/>
                <w:szCs w:val="24"/>
                <w:lang w:val="sr-Cyrl-CS"/>
              </w:rPr>
              <w:t>Назив активности</w:t>
            </w:r>
          </w:p>
        </w:tc>
        <w:tc>
          <w:tcPr>
            <w:tcW w:w="1689"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57CAFB6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79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11B250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36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967BD5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Рок за завршетак </w:t>
            </w:r>
            <w:r w:rsidRPr="00D25B1A">
              <w:rPr>
                <w:rFonts w:ascii="Times New Roman" w:eastAsia="Times New Roman" w:hAnsi="Times New Roman"/>
                <w:lang w:val="sr-Cyrl-CS"/>
              </w:rPr>
              <w:t>спровођења активности</w:t>
            </w:r>
          </w:p>
        </w:tc>
        <w:tc>
          <w:tcPr>
            <w:tcW w:w="153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BD7262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D25B1A">
              <w:rPr>
                <w:rFonts w:ascii="Times New Roman" w:eastAsia="Times New Roman" w:hAnsi="Times New Roman"/>
                <w:lang w:val="sr-Cyrl-CS"/>
              </w:rPr>
              <w:t>финансирања</w:t>
            </w:r>
          </w:p>
        </w:tc>
        <w:tc>
          <w:tcPr>
            <w:tcW w:w="1499"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57E0139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Веза са </w:t>
            </w:r>
            <w:r w:rsidRPr="00D25B1A">
              <w:rPr>
                <w:rFonts w:ascii="Times New Roman" w:eastAsia="Times New Roman" w:hAnsi="Times New Roman"/>
                <w:lang w:val="sr-Cyrl-CS"/>
              </w:rPr>
              <w:t xml:space="preserve">програмским </w:t>
            </w:r>
            <w:r w:rsidRPr="00CC35F0">
              <w:rPr>
                <w:rFonts w:ascii="Times New Roman" w:eastAsia="Times New Roman" w:hAnsi="Times New Roman"/>
                <w:sz w:val="24"/>
                <w:szCs w:val="24"/>
                <w:lang w:val="sr-Cyrl-CS"/>
              </w:rPr>
              <w:t>буџетом</w:t>
            </w:r>
          </w:p>
          <w:p w14:paraId="4A5D5FA0" w14:textId="77777777" w:rsidR="00A0251B" w:rsidRPr="00CC35F0" w:rsidRDefault="00A0251B">
            <w:pPr>
              <w:jc w:val="center"/>
              <w:rPr>
                <w:rFonts w:ascii="Times New Roman" w:eastAsia="Times New Roman" w:hAnsi="Times New Roman"/>
                <w:sz w:val="24"/>
                <w:szCs w:val="24"/>
                <w:lang w:val="sr-Cyrl-CS"/>
              </w:rPr>
            </w:pPr>
          </w:p>
        </w:tc>
        <w:tc>
          <w:tcPr>
            <w:tcW w:w="4719" w:type="dxa"/>
            <w:gridSpan w:val="5"/>
            <w:tcBorders>
              <w:top w:val="single" w:sz="4" w:space="0" w:color="000000"/>
              <w:left w:val="single" w:sz="4" w:space="0" w:color="000000"/>
              <w:bottom w:val="single" w:sz="4" w:space="0" w:color="000000"/>
              <w:right w:val="single" w:sz="4" w:space="0" w:color="000000"/>
            </w:tcBorders>
            <w:shd w:val="clear" w:color="auto" w:fill="FFF2CC"/>
          </w:tcPr>
          <w:p w14:paraId="7B2A650C" w14:textId="77777777" w:rsidR="00A0251B" w:rsidRPr="00CC35F0" w:rsidRDefault="008D6506">
            <w:pPr>
              <w:jc w:val="cente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007445E4" w:rsidRPr="00CC35F0">
              <w:rPr>
                <w:rFonts w:ascii="Times New Roman" w:eastAsia="Times New Roman" w:hAnsi="Times New Roman"/>
                <w:sz w:val="24"/>
                <w:szCs w:val="24"/>
                <w:vertAlign w:val="superscript"/>
                <w:lang w:val="sr-Cyrl-CS"/>
              </w:rPr>
              <w:t>82</w:t>
            </w:r>
          </w:p>
        </w:tc>
      </w:tr>
      <w:tr w:rsidR="00A0251B" w:rsidRPr="00CC35F0" w14:paraId="445533F2" w14:textId="77777777" w:rsidTr="0084294D">
        <w:trPr>
          <w:trHeight w:val="386"/>
          <w:tblHeader/>
        </w:trPr>
        <w:tc>
          <w:tcPr>
            <w:tcW w:w="1932" w:type="dxa"/>
            <w:vMerge/>
            <w:tcBorders>
              <w:top w:val="single" w:sz="4" w:space="0" w:color="000000"/>
              <w:left w:val="single" w:sz="4" w:space="0" w:color="000000"/>
              <w:bottom w:val="single" w:sz="4" w:space="0" w:color="000000"/>
              <w:right w:val="single" w:sz="4" w:space="0" w:color="000000"/>
            </w:tcBorders>
            <w:shd w:val="clear" w:color="auto" w:fill="FFF2CC"/>
          </w:tcPr>
          <w:p w14:paraId="7D45F36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89" w:type="dxa"/>
            <w:vMerge/>
            <w:tcBorders>
              <w:top w:val="single" w:sz="4" w:space="0" w:color="000000"/>
              <w:left w:val="single" w:sz="4" w:space="0" w:color="000000"/>
              <w:bottom w:val="single" w:sz="4" w:space="0" w:color="000000"/>
              <w:right w:val="single" w:sz="4" w:space="0" w:color="000000"/>
            </w:tcBorders>
            <w:shd w:val="clear" w:color="auto" w:fill="FFF2CC"/>
          </w:tcPr>
          <w:p w14:paraId="7F978C4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97" w:type="dxa"/>
            <w:vMerge/>
            <w:tcBorders>
              <w:top w:val="single" w:sz="4" w:space="0" w:color="000000"/>
              <w:left w:val="single" w:sz="4" w:space="0" w:color="000000"/>
              <w:bottom w:val="single" w:sz="4" w:space="0" w:color="000000"/>
              <w:right w:val="single" w:sz="4" w:space="0" w:color="000000"/>
            </w:tcBorders>
            <w:shd w:val="clear" w:color="auto" w:fill="FFF2CC"/>
          </w:tcPr>
          <w:p w14:paraId="73EDACA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68" w:type="dxa"/>
            <w:vMerge/>
            <w:tcBorders>
              <w:top w:val="single" w:sz="4" w:space="0" w:color="000000"/>
              <w:left w:val="single" w:sz="4" w:space="0" w:color="000000"/>
              <w:bottom w:val="single" w:sz="4" w:space="0" w:color="000000"/>
              <w:right w:val="single" w:sz="4" w:space="0" w:color="000000"/>
            </w:tcBorders>
            <w:shd w:val="clear" w:color="auto" w:fill="FFF2CC"/>
          </w:tcPr>
          <w:p w14:paraId="00055E4F"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37" w:type="dxa"/>
            <w:vMerge/>
            <w:tcBorders>
              <w:top w:val="single" w:sz="4" w:space="0" w:color="000000"/>
              <w:left w:val="single" w:sz="4" w:space="0" w:color="000000"/>
              <w:bottom w:val="single" w:sz="4" w:space="0" w:color="000000"/>
              <w:right w:val="single" w:sz="4" w:space="0" w:color="000000"/>
            </w:tcBorders>
            <w:shd w:val="clear" w:color="auto" w:fill="FFF2CC"/>
          </w:tcPr>
          <w:p w14:paraId="68FFB5DE"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99" w:type="dxa"/>
            <w:vMerge/>
            <w:tcBorders>
              <w:top w:val="single" w:sz="4" w:space="0" w:color="000000"/>
              <w:left w:val="single" w:sz="4" w:space="0" w:color="000000"/>
              <w:bottom w:val="single" w:sz="4" w:space="0" w:color="000000"/>
              <w:right w:val="single" w:sz="4" w:space="0" w:color="000000"/>
            </w:tcBorders>
            <w:shd w:val="clear" w:color="auto" w:fill="FFF2CC"/>
          </w:tcPr>
          <w:p w14:paraId="34F0F63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883" w:type="dxa"/>
            <w:tcBorders>
              <w:top w:val="single" w:sz="4" w:space="0" w:color="000000"/>
              <w:left w:val="single" w:sz="4" w:space="0" w:color="000000"/>
              <w:bottom w:val="single" w:sz="4" w:space="0" w:color="000000"/>
              <w:right w:val="single" w:sz="4" w:space="0" w:color="000000"/>
            </w:tcBorders>
            <w:shd w:val="clear" w:color="auto" w:fill="FFF2CC"/>
          </w:tcPr>
          <w:p w14:paraId="1B2196C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2022. </w:t>
            </w:r>
            <w:r w:rsidRPr="00D25B1A">
              <w:rPr>
                <w:rFonts w:ascii="Times New Roman" w:eastAsia="Times New Roman" w:hAnsi="Times New Roman"/>
                <w:lang w:val="sr-Cyrl-CS"/>
              </w:rPr>
              <w:t>године</w:t>
            </w:r>
          </w:p>
        </w:tc>
        <w:tc>
          <w:tcPr>
            <w:tcW w:w="1034" w:type="dxa"/>
            <w:tcBorders>
              <w:top w:val="single" w:sz="4" w:space="0" w:color="000000"/>
              <w:left w:val="single" w:sz="4" w:space="0" w:color="000000"/>
              <w:bottom w:val="single" w:sz="4" w:space="0" w:color="000000"/>
              <w:right w:val="single" w:sz="4" w:space="0" w:color="000000"/>
            </w:tcBorders>
            <w:shd w:val="clear" w:color="auto" w:fill="FFF2CC"/>
          </w:tcPr>
          <w:p w14:paraId="72A16BF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032" w:type="dxa"/>
            <w:tcBorders>
              <w:top w:val="single" w:sz="4" w:space="0" w:color="000000"/>
              <w:left w:val="single" w:sz="4" w:space="0" w:color="000000"/>
              <w:bottom w:val="single" w:sz="4" w:space="0" w:color="000000"/>
              <w:right w:val="single" w:sz="4" w:space="0" w:color="000000"/>
            </w:tcBorders>
            <w:shd w:val="clear" w:color="auto" w:fill="FFF2CC"/>
          </w:tcPr>
          <w:p w14:paraId="35B7B44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885" w:type="dxa"/>
            <w:tcBorders>
              <w:top w:val="single" w:sz="4" w:space="0" w:color="000000"/>
              <w:left w:val="single" w:sz="4" w:space="0" w:color="000000"/>
              <w:bottom w:val="single" w:sz="4" w:space="0" w:color="000000"/>
              <w:right w:val="single" w:sz="4" w:space="0" w:color="000000"/>
            </w:tcBorders>
            <w:shd w:val="clear" w:color="auto" w:fill="FFF2CC"/>
          </w:tcPr>
          <w:p w14:paraId="638AED1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2025. </w:t>
            </w:r>
            <w:r w:rsidRPr="00D25B1A">
              <w:rPr>
                <w:rFonts w:ascii="Times New Roman" w:eastAsia="Times New Roman" w:hAnsi="Times New Roman"/>
                <w:lang w:val="sr-Cyrl-CS"/>
              </w:rPr>
              <w:t>године</w:t>
            </w:r>
          </w:p>
        </w:tc>
        <w:tc>
          <w:tcPr>
            <w:tcW w:w="885" w:type="dxa"/>
            <w:tcBorders>
              <w:top w:val="single" w:sz="4" w:space="0" w:color="000000"/>
              <w:left w:val="single" w:sz="4" w:space="0" w:color="000000"/>
              <w:bottom w:val="single" w:sz="4" w:space="0" w:color="000000"/>
              <w:right w:val="single" w:sz="4" w:space="0" w:color="000000"/>
            </w:tcBorders>
            <w:shd w:val="clear" w:color="auto" w:fill="FFF2CC"/>
          </w:tcPr>
          <w:p w14:paraId="63B57BA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2026. </w:t>
            </w:r>
            <w:r w:rsidRPr="00D25B1A">
              <w:rPr>
                <w:rFonts w:ascii="Times New Roman" w:eastAsia="Times New Roman" w:hAnsi="Times New Roman"/>
                <w:lang w:val="sr-Cyrl-CS"/>
              </w:rPr>
              <w:t>године</w:t>
            </w:r>
          </w:p>
        </w:tc>
      </w:tr>
      <w:tr w:rsidR="00A0251B" w:rsidRPr="00CC35F0" w14:paraId="36CE95DB" w14:textId="77777777" w:rsidTr="0084294D">
        <w:trPr>
          <w:trHeight w:val="543"/>
        </w:trPr>
        <w:tc>
          <w:tcPr>
            <w:tcW w:w="1932" w:type="dxa"/>
            <w:tcBorders>
              <w:top w:val="single" w:sz="4" w:space="0" w:color="000000"/>
              <w:left w:val="single" w:sz="4" w:space="0" w:color="000000"/>
              <w:bottom w:val="single" w:sz="4" w:space="0" w:color="000000"/>
              <w:right w:val="single" w:sz="4" w:space="0" w:color="000000"/>
            </w:tcBorders>
          </w:tcPr>
          <w:p w14:paraId="13B69DF0" w14:textId="77777777" w:rsidR="0051118C"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1.3.1.1 Транспозиција шест начела управљања азотом представљених у Анексу 3, део 2 Директиве 2284/2016, који су такође наведени у Анексу 9</w:t>
            </w:r>
          </w:p>
          <w:p w14:paraId="5FD5BD8D" w14:textId="77777777" w:rsidR="0051118C" w:rsidRDefault="0051118C">
            <w:pPr>
              <w:rPr>
                <w:rFonts w:ascii="Times New Roman" w:eastAsia="Times New Roman" w:hAnsi="Times New Roman"/>
                <w:sz w:val="24"/>
                <w:szCs w:val="24"/>
                <w:lang w:val="sr-Cyrl-CS"/>
              </w:rPr>
            </w:pPr>
          </w:p>
          <w:p w14:paraId="25D5C15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Гетеборшког протокола, у национални правни оквир</w:t>
            </w:r>
          </w:p>
        </w:tc>
        <w:tc>
          <w:tcPr>
            <w:tcW w:w="1689" w:type="dxa"/>
            <w:tcBorders>
              <w:top w:val="single" w:sz="4" w:space="0" w:color="000000"/>
              <w:left w:val="single" w:sz="4" w:space="0" w:color="000000"/>
              <w:bottom w:val="single" w:sz="4" w:space="0" w:color="000000"/>
              <w:right w:val="single" w:sz="4" w:space="0" w:color="000000"/>
            </w:tcBorders>
          </w:tcPr>
          <w:p w14:paraId="1467B8EC" w14:textId="77777777" w:rsidR="00A0251B" w:rsidRPr="00CC35F0" w:rsidRDefault="008D6506">
            <w:pPr>
              <w:rPr>
                <w:rFonts w:ascii="Times New Roman" w:eastAsia="Times New Roman" w:hAnsi="Times New Roman"/>
                <w:sz w:val="24"/>
                <w:szCs w:val="24"/>
                <w:lang w:val="sr-Cyrl-CS"/>
              </w:rPr>
            </w:pPr>
            <w:r w:rsidRPr="00D25B1A">
              <w:rPr>
                <w:rFonts w:ascii="Times New Roman" w:eastAsia="Times New Roman" w:hAnsi="Times New Roman"/>
                <w:color w:val="000000"/>
                <w:sz w:val="20"/>
                <w:szCs w:val="20"/>
                <w:lang w:val="sr-Cyrl-CS"/>
              </w:rPr>
              <w:lastRenderedPageBreak/>
              <w:t xml:space="preserve">Министарство </w:t>
            </w:r>
            <w:r w:rsidRPr="00CC35F0">
              <w:rPr>
                <w:rFonts w:ascii="Times New Roman" w:eastAsia="Times New Roman" w:hAnsi="Times New Roman"/>
                <w:color w:val="000000"/>
                <w:sz w:val="24"/>
                <w:szCs w:val="24"/>
                <w:lang w:val="sr-Cyrl-CS"/>
              </w:rPr>
              <w:t>п</w:t>
            </w:r>
            <w:r w:rsidRPr="00D25B1A">
              <w:rPr>
                <w:rFonts w:ascii="Times New Roman" w:eastAsia="Times New Roman" w:hAnsi="Times New Roman"/>
                <w:color w:val="000000"/>
                <w:lang w:val="sr-Cyrl-CS"/>
              </w:rPr>
              <w:t>ољопривреде</w:t>
            </w:r>
            <w:r w:rsidRPr="00CC35F0">
              <w:rPr>
                <w:rFonts w:ascii="Times New Roman" w:eastAsia="Times New Roman" w:hAnsi="Times New Roman"/>
                <w:color w:val="000000"/>
                <w:sz w:val="24"/>
                <w:szCs w:val="24"/>
                <w:lang w:val="sr-Cyrl-CS"/>
              </w:rPr>
              <w:t>, шумарства и водопривреде</w:t>
            </w:r>
          </w:p>
        </w:tc>
        <w:tc>
          <w:tcPr>
            <w:tcW w:w="1797" w:type="dxa"/>
            <w:tcBorders>
              <w:top w:val="single" w:sz="4" w:space="0" w:color="000000"/>
              <w:left w:val="single" w:sz="4" w:space="0" w:color="000000"/>
              <w:bottom w:val="single" w:sz="4" w:space="0" w:color="000000"/>
              <w:right w:val="single" w:sz="4" w:space="0" w:color="000000"/>
            </w:tcBorders>
          </w:tcPr>
          <w:p w14:paraId="6A2DE8A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МЗЖС, АЗЖС</w:t>
            </w:r>
          </w:p>
        </w:tc>
        <w:tc>
          <w:tcPr>
            <w:tcW w:w="1368" w:type="dxa"/>
            <w:tcBorders>
              <w:top w:val="single" w:sz="4" w:space="0" w:color="000000"/>
              <w:left w:val="single" w:sz="4" w:space="0" w:color="000000"/>
              <w:bottom w:val="single" w:sz="4" w:space="0" w:color="000000"/>
              <w:right w:val="single" w:sz="4" w:space="0" w:color="000000"/>
            </w:tcBorders>
          </w:tcPr>
          <w:p w14:paraId="7E446F3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2024</w:t>
            </w:r>
          </w:p>
        </w:tc>
        <w:tc>
          <w:tcPr>
            <w:tcW w:w="1537" w:type="dxa"/>
            <w:tcBorders>
              <w:top w:val="single" w:sz="4" w:space="0" w:color="000000"/>
              <w:left w:val="single" w:sz="4" w:space="0" w:color="000000"/>
              <w:bottom w:val="single" w:sz="4" w:space="0" w:color="000000"/>
              <w:right w:val="single" w:sz="4" w:space="0" w:color="000000"/>
            </w:tcBorders>
          </w:tcPr>
          <w:p w14:paraId="226AA10A" w14:textId="77777777" w:rsidR="00A0251B" w:rsidRPr="00CC35F0" w:rsidRDefault="00A0251B">
            <w:pPr>
              <w:rPr>
                <w:rFonts w:ascii="Times New Roman" w:eastAsia="Times New Roman" w:hAnsi="Times New Roman"/>
                <w:sz w:val="24"/>
                <w:szCs w:val="24"/>
                <w:lang w:val="sr-Cyrl-CS"/>
              </w:rPr>
            </w:pPr>
          </w:p>
        </w:tc>
        <w:tc>
          <w:tcPr>
            <w:tcW w:w="1499" w:type="dxa"/>
            <w:tcBorders>
              <w:top w:val="single" w:sz="4" w:space="0" w:color="000000"/>
              <w:left w:val="single" w:sz="4" w:space="0" w:color="000000"/>
              <w:bottom w:val="single" w:sz="4" w:space="0" w:color="000000"/>
              <w:right w:val="single" w:sz="4" w:space="0" w:color="000000"/>
            </w:tcBorders>
          </w:tcPr>
          <w:p w14:paraId="6FB0C862" w14:textId="77777777" w:rsidR="00A0251B" w:rsidRPr="00CC35F0" w:rsidRDefault="00A0251B">
            <w:pPr>
              <w:rPr>
                <w:rFonts w:ascii="Times New Roman" w:eastAsia="Times New Roman" w:hAnsi="Times New Roman"/>
                <w:sz w:val="24"/>
                <w:szCs w:val="24"/>
                <w:lang w:val="sr-Cyrl-CS"/>
              </w:rPr>
            </w:pPr>
          </w:p>
        </w:tc>
        <w:tc>
          <w:tcPr>
            <w:tcW w:w="883" w:type="dxa"/>
            <w:tcBorders>
              <w:top w:val="single" w:sz="4" w:space="0" w:color="000000"/>
              <w:left w:val="single" w:sz="4" w:space="0" w:color="000000"/>
              <w:bottom w:val="single" w:sz="4" w:space="0" w:color="000000"/>
              <w:right w:val="single" w:sz="4" w:space="0" w:color="000000"/>
            </w:tcBorders>
          </w:tcPr>
          <w:p w14:paraId="6C0449F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34" w:type="dxa"/>
            <w:tcBorders>
              <w:top w:val="single" w:sz="4" w:space="0" w:color="000000"/>
              <w:left w:val="single" w:sz="4" w:space="0" w:color="000000"/>
              <w:bottom w:val="single" w:sz="4" w:space="0" w:color="000000"/>
              <w:right w:val="single" w:sz="4" w:space="0" w:color="000000"/>
            </w:tcBorders>
          </w:tcPr>
          <w:p w14:paraId="7B95839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32" w:type="dxa"/>
            <w:tcBorders>
              <w:top w:val="single" w:sz="4" w:space="0" w:color="000000"/>
              <w:left w:val="single" w:sz="4" w:space="0" w:color="000000"/>
              <w:bottom w:val="single" w:sz="4" w:space="0" w:color="000000"/>
              <w:right w:val="single" w:sz="4" w:space="0" w:color="000000"/>
            </w:tcBorders>
          </w:tcPr>
          <w:p w14:paraId="31E5CDA9"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85" w:type="dxa"/>
            <w:tcBorders>
              <w:top w:val="single" w:sz="4" w:space="0" w:color="000000"/>
              <w:left w:val="single" w:sz="4" w:space="0" w:color="000000"/>
              <w:bottom w:val="single" w:sz="4" w:space="0" w:color="000000"/>
              <w:right w:val="single" w:sz="4" w:space="0" w:color="000000"/>
            </w:tcBorders>
          </w:tcPr>
          <w:p w14:paraId="580FA0D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85" w:type="dxa"/>
            <w:tcBorders>
              <w:top w:val="single" w:sz="4" w:space="0" w:color="000000"/>
              <w:left w:val="single" w:sz="4" w:space="0" w:color="000000"/>
              <w:bottom w:val="single" w:sz="4" w:space="0" w:color="000000"/>
              <w:right w:val="single" w:sz="4" w:space="0" w:color="000000"/>
            </w:tcBorders>
          </w:tcPr>
          <w:p w14:paraId="6A9A26C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5FA4846C" w14:textId="77777777" w:rsidTr="0084294D">
        <w:trPr>
          <w:trHeight w:val="543"/>
        </w:trPr>
        <w:tc>
          <w:tcPr>
            <w:tcW w:w="1932" w:type="dxa"/>
            <w:tcBorders>
              <w:top w:val="single" w:sz="4" w:space="0" w:color="000000"/>
              <w:left w:val="single" w:sz="4" w:space="0" w:color="000000"/>
              <w:bottom w:val="single" w:sz="4" w:space="0" w:color="000000"/>
              <w:right w:val="single" w:sz="4" w:space="0" w:color="000000"/>
            </w:tcBorders>
          </w:tcPr>
          <w:p w14:paraId="2E57CC2D" w14:textId="77777777" w:rsidR="00A0251B"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1.3.1.2 Припрема Националног кодекса добре пољопривредне праксе за контролу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допуњавањем и проширивањем постојећег националног Кодекса добре пољопривредне праксе из 2016. године ради бољег разматрања мера за смањење емисије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у складу са захтевима UNECE</w:t>
            </w:r>
            <w:r w:rsidR="00634CE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t>и ЕУ</w:t>
            </w:r>
          </w:p>
          <w:p w14:paraId="7940971D" w14:textId="77777777" w:rsidR="00634CE0" w:rsidRPr="00CC35F0" w:rsidRDefault="00634CE0">
            <w:pPr>
              <w:rPr>
                <w:rFonts w:ascii="Times New Roman" w:eastAsia="Times New Roman" w:hAnsi="Times New Roman"/>
                <w:sz w:val="24"/>
                <w:szCs w:val="24"/>
                <w:lang w:val="sr-Cyrl-CS"/>
              </w:rPr>
            </w:pPr>
          </w:p>
        </w:tc>
        <w:tc>
          <w:tcPr>
            <w:tcW w:w="1689" w:type="dxa"/>
            <w:tcBorders>
              <w:top w:val="single" w:sz="4" w:space="0" w:color="000000"/>
              <w:left w:val="single" w:sz="4" w:space="0" w:color="000000"/>
              <w:bottom w:val="single" w:sz="4" w:space="0" w:color="000000"/>
              <w:right w:val="single" w:sz="4" w:space="0" w:color="000000"/>
            </w:tcBorders>
          </w:tcPr>
          <w:p w14:paraId="3DF2194A" w14:textId="77777777" w:rsidR="00A0251B" w:rsidRPr="00CC35F0" w:rsidRDefault="008D6506">
            <w:pPr>
              <w:rPr>
                <w:rFonts w:ascii="Times New Roman" w:eastAsia="Times New Roman" w:hAnsi="Times New Roman"/>
                <w:color w:val="000000"/>
                <w:sz w:val="24"/>
                <w:szCs w:val="24"/>
                <w:lang w:val="sr-Cyrl-CS"/>
              </w:rPr>
            </w:pPr>
            <w:r w:rsidRPr="00634CE0">
              <w:rPr>
                <w:rFonts w:ascii="Times New Roman" w:eastAsia="Times New Roman" w:hAnsi="Times New Roman"/>
                <w:color w:val="000000"/>
                <w:lang w:val="sr-Cyrl-CS"/>
              </w:rPr>
              <w:t>Министарство пољопривреде,</w:t>
            </w:r>
            <w:r w:rsidRPr="00CC35F0">
              <w:rPr>
                <w:rFonts w:ascii="Times New Roman" w:eastAsia="Times New Roman" w:hAnsi="Times New Roman"/>
                <w:color w:val="000000"/>
                <w:sz w:val="24"/>
                <w:szCs w:val="24"/>
                <w:lang w:val="sr-Cyrl-CS"/>
              </w:rPr>
              <w:t xml:space="preserve"> шумарства и водопривреде</w:t>
            </w:r>
          </w:p>
        </w:tc>
        <w:tc>
          <w:tcPr>
            <w:tcW w:w="1797" w:type="dxa"/>
            <w:tcBorders>
              <w:top w:val="single" w:sz="4" w:space="0" w:color="000000"/>
              <w:left w:val="single" w:sz="4" w:space="0" w:color="000000"/>
              <w:bottom w:val="single" w:sz="4" w:space="0" w:color="000000"/>
              <w:right w:val="single" w:sz="4" w:space="0" w:color="000000"/>
            </w:tcBorders>
          </w:tcPr>
          <w:p w14:paraId="0BC0F923" w14:textId="77777777" w:rsidR="00A0251B" w:rsidRPr="00CC35F0" w:rsidRDefault="008D6506">
            <w:pPr>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 А</w:t>
            </w:r>
            <w:r w:rsidR="00300F38" w:rsidRPr="00CC35F0">
              <w:rPr>
                <w:rFonts w:ascii="Times New Roman" w:eastAsia="Times New Roman" w:hAnsi="Times New Roman"/>
                <w:color w:val="000000"/>
                <w:sz w:val="24"/>
                <w:szCs w:val="24"/>
                <w:lang w:val="sr-Cyrl-CS"/>
              </w:rPr>
              <w:t>П</w:t>
            </w:r>
            <w:r w:rsidRPr="00CC35F0">
              <w:rPr>
                <w:rFonts w:ascii="Times New Roman" w:eastAsia="Times New Roman" w:hAnsi="Times New Roman"/>
                <w:color w:val="000000"/>
                <w:sz w:val="24"/>
                <w:szCs w:val="24"/>
                <w:lang w:val="sr-Cyrl-CS"/>
              </w:rPr>
              <w:t xml:space="preserve"> Војводина</w:t>
            </w:r>
            <w:r w:rsidRPr="00CC35F0">
              <w:rPr>
                <w:rFonts w:ascii="Times New Roman" w:eastAsia="Times New Roman" w:hAnsi="Times New Roman"/>
                <w:sz w:val="24"/>
                <w:szCs w:val="24"/>
                <w:lang w:val="sr-Cyrl-CS"/>
              </w:rPr>
              <w:t>,</w:t>
            </w:r>
          </w:p>
          <w:p w14:paraId="0522719C" w14:textId="77777777" w:rsidR="00A0251B" w:rsidRPr="00CC35F0" w:rsidRDefault="008D6506">
            <w:pPr>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Јединице локалне самоуправе, АЗЖС</w:t>
            </w:r>
          </w:p>
        </w:tc>
        <w:tc>
          <w:tcPr>
            <w:tcW w:w="1368" w:type="dxa"/>
            <w:tcBorders>
              <w:top w:val="single" w:sz="4" w:space="0" w:color="000000"/>
              <w:left w:val="single" w:sz="4" w:space="0" w:color="000000"/>
              <w:bottom w:val="single" w:sz="4" w:space="0" w:color="000000"/>
              <w:right w:val="single" w:sz="4" w:space="0" w:color="000000"/>
            </w:tcBorders>
          </w:tcPr>
          <w:p w14:paraId="156D228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2023</w:t>
            </w:r>
          </w:p>
        </w:tc>
        <w:tc>
          <w:tcPr>
            <w:tcW w:w="1537" w:type="dxa"/>
            <w:tcBorders>
              <w:top w:val="single" w:sz="4" w:space="0" w:color="000000"/>
              <w:left w:val="single" w:sz="4" w:space="0" w:color="000000"/>
              <w:bottom w:val="single" w:sz="4" w:space="0" w:color="000000"/>
              <w:right w:val="single" w:sz="4" w:space="0" w:color="000000"/>
            </w:tcBorders>
          </w:tcPr>
          <w:p w14:paraId="16D13E27" w14:textId="77777777" w:rsidR="00A0251B" w:rsidRPr="00CC35F0" w:rsidRDefault="00A0251B">
            <w:pPr>
              <w:rPr>
                <w:rFonts w:ascii="Times New Roman" w:eastAsia="Times New Roman" w:hAnsi="Times New Roman"/>
                <w:sz w:val="24"/>
                <w:szCs w:val="24"/>
                <w:lang w:val="sr-Cyrl-CS"/>
              </w:rPr>
            </w:pPr>
          </w:p>
        </w:tc>
        <w:tc>
          <w:tcPr>
            <w:tcW w:w="1499" w:type="dxa"/>
            <w:tcBorders>
              <w:top w:val="single" w:sz="4" w:space="0" w:color="000000"/>
              <w:left w:val="single" w:sz="4" w:space="0" w:color="000000"/>
              <w:bottom w:val="single" w:sz="4" w:space="0" w:color="000000"/>
              <w:right w:val="single" w:sz="4" w:space="0" w:color="000000"/>
            </w:tcBorders>
          </w:tcPr>
          <w:p w14:paraId="744A13BD" w14:textId="77777777" w:rsidR="00A0251B" w:rsidRPr="00CC35F0" w:rsidRDefault="00A0251B">
            <w:pPr>
              <w:rPr>
                <w:rFonts w:ascii="Times New Roman" w:eastAsia="Times New Roman" w:hAnsi="Times New Roman"/>
                <w:sz w:val="24"/>
                <w:szCs w:val="24"/>
                <w:lang w:val="sr-Cyrl-CS"/>
              </w:rPr>
            </w:pPr>
          </w:p>
        </w:tc>
        <w:tc>
          <w:tcPr>
            <w:tcW w:w="883" w:type="dxa"/>
            <w:tcBorders>
              <w:top w:val="single" w:sz="4" w:space="0" w:color="000000"/>
              <w:left w:val="single" w:sz="4" w:space="0" w:color="000000"/>
              <w:bottom w:val="single" w:sz="4" w:space="0" w:color="000000"/>
              <w:right w:val="single" w:sz="4" w:space="0" w:color="000000"/>
            </w:tcBorders>
          </w:tcPr>
          <w:p w14:paraId="58E434F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34" w:type="dxa"/>
            <w:tcBorders>
              <w:top w:val="single" w:sz="4" w:space="0" w:color="000000"/>
              <w:left w:val="single" w:sz="4" w:space="0" w:color="000000"/>
              <w:bottom w:val="single" w:sz="4" w:space="0" w:color="000000"/>
              <w:right w:val="single" w:sz="4" w:space="0" w:color="000000"/>
            </w:tcBorders>
          </w:tcPr>
          <w:p w14:paraId="45D1CD8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32" w:type="dxa"/>
            <w:tcBorders>
              <w:top w:val="single" w:sz="4" w:space="0" w:color="000000"/>
              <w:left w:val="single" w:sz="4" w:space="0" w:color="000000"/>
              <w:bottom w:val="single" w:sz="4" w:space="0" w:color="000000"/>
              <w:right w:val="single" w:sz="4" w:space="0" w:color="000000"/>
            </w:tcBorders>
          </w:tcPr>
          <w:p w14:paraId="1CC6013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85" w:type="dxa"/>
            <w:tcBorders>
              <w:top w:val="single" w:sz="4" w:space="0" w:color="000000"/>
              <w:left w:val="single" w:sz="4" w:space="0" w:color="000000"/>
              <w:bottom w:val="single" w:sz="4" w:space="0" w:color="000000"/>
              <w:right w:val="single" w:sz="4" w:space="0" w:color="000000"/>
            </w:tcBorders>
          </w:tcPr>
          <w:p w14:paraId="732A7B8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85" w:type="dxa"/>
            <w:tcBorders>
              <w:top w:val="single" w:sz="4" w:space="0" w:color="000000"/>
              <w:left w:val="single" w:sz="4" w:space="0" w:color="000000"/>
              <w:bottom w:val="single" w:sz="4" w:space="0" w:color="000000"/>
              <w:right w:val="single" w:sz="4" w:space="0" w:color="000000"/>
            </w:tcBorders>
          </w:tcPr>
          <w:p w14:paraId="3FD1688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5BF3DFD0" w14:textId="77777777" w:rsidTr="0084294D">
        <w:trPr>
          <w:trHeight w:val="140"/>
        </w:trPr>
        <w:tc>
          <w:tcPr>
            <w:tcW w:w="1932" w:type="dxa"/>
            <w:tcBorders>
              <w:top w:val="single" w:sz="4" w:space="0" w:color="000000"/>
              <w:left w:val="single" w:sz="4" w:space="0" w:color="000000"/>
              <w:bottom w:val="single" w:sz="4" w:space="0" w:color="000000"/>
              <w:right w:val="single" w:sz="4" w:space="0" w:color="000000"/>
            </w:tcBorders>
          </w:tcPr>
          <w:p w14:paraId="4578FA9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1.3.1.3 Успостављање националног буџета за азот ради праћења промена у укупним губицима реактивног азота из пољопривреде, укључујући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NOx, амонијум, нитрате и нитрите, на основу принципа утврђених у изнетих у Водичу UNECEо буџетима за азот.</w:t>
            </w:r>
          </w:p>
        </w:tc>
        <w:tc>
          <w:tcPr>
            <w:tcW w:w="1689" w:type="dxa"/>
            <w:tcBorders>
              <w:top w:val="single" w:sz="4" w:space="0" w:color="000000"/>
              <w:left w:val="single" w:sz="4" w:space="0" w:color="000000"/>
              <w:bottom w:val="single" w:sz="4" w:space="0" w:color="000000"/>
              <w:right w:val="single" w:sz="4" w:space="0" w:color="000000"/>
            </w:tcBorders>
          </w:tcPr>
          <w:p w14:paraId="4D32B7D7"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 </w:t>
            </w:r>
            <w:r w:rsidRPr="005E124C">
              <w:rPr>
                <w:rFonts w:ascii="Times New Roman" w:eastAsia="Times New Roman" w:hAnsi="Times New Roman"/>
                <w:color w:val="000000"/>
                <w:lang w:val="sr-Cyrl-CS"/>
              </w:rPr>
              <w:t>Министарство пољопривреде,</w:t>
            </w:r>
            <w:r w:rsidRPr="00CC35F0">
              <w:rPr>
                <w:rFonts w:ascii="Times New Roman" w:eastAsia="Times New Roman" w:hAnsi="Times New Roman"/>
                <w:color w:val="000000"/>
                <w:sz w:val="24"/>
                <w:szCs w:val="24"/>
                <w:lang w:val="sr-Cyrl-CS"/>
              </w:rPr>
              <w:t xml:space="preserve"> шумарства и водопривреде</w:t>
            </w:r>
          </w:p>
        </w:tc>
        <w:tc>
          <w:tcPr>
            <w:tcW w:w="1797" w:type="dxa"/>
            <w:tcBorders>
              <w:top w:val="single" w:sz="4" w:space="0" w:color="000000"/>
              <w:left w:val="single" w:sz="4" w:space="0" w:color="000000"/>
              <w:bottom w:val="single" w:sz="4" w:space="0" w:color="000000"/>
              <w:right w:val="single" w:sz="4" w:space="0" w:color="000000"/>
            </w:tcBorders>
          </w:tcPr>
          <w:p w14:paraId="2DC3A167" w14:textId="77777777" w:rsidR="00A0251B" w:rsidRPr="00CC35F0" w:rsidRDefault="008D6506">
            <w:pPr>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МЗЖС,</w:t>
            </w:r>
          </w:p>
          <w:p w14:paraId="4513AE48" w14:textId="77777777" w:rsidR="00A0251B" w:rsidRPr="00CC35F0" w:rsidRDefault="008D6506">
            <w:pPr>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АЗЖС</w:t>
            </w:r>
          </w:p>
          <w:p w14:paraId="1F11CD09" w14:textId="77777777" w:rsidR="00A0251B" w:rsidRPr="00CC35F0" w:rsidRDefault="00A0251B">
            <w:pPr>
              <w:rPr>
                <w:rFonts w:ascii="Times New Roman" w:eastAsia="Times New Roman" w:hAnsi="Times New Roman"/>
                <w:sz w:val="24"/>
                <w:szCs w:val="24"/>
                <w:lang w:val="sr-Cyrl-CS"/>
              </w:rPr>
            </w:pPr>
          </w:p>
        </w:tc>
        <w:tc>
          <w:tcPr>
            <w:tcW w:w="1368" w:type="dxa"/>
            <w:tcBorders>
              <w:top w:val="single" w:sz="4" w:space="0" w:color="000000"/>
              <w:left w:val="single" w:sz="4" w:space="0" w:color="000000"/>
              <w:bottom w:val="single" w:sz="4" w:space="0" w:color="000000"/>
              <w:right w:val="single" w:sz="4" w:space="0" w:color="000000"/>
            </w:tcBorders>
          </w:tcPr>
          <w:p w14:paraId="08F393B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2024</w:t>
            </w:r>
          </w:p>
        </w:tc>
        <w:tc>
          <w:tcPr>
            <w:tcW w:w="1537" w:type="dxa"/>
            <w:tcBorders>
              <w:top w:val="single" w:sz="4" w:space="0" w:color="000000"/>
              <w:left w:val="single" w:sz="4" w:space="0" w:color="000000"/>
              <w:bottom w:val="single" w:sz="4" w:space="0" w:color="000000"/>
              <w:right w:val="single" w:sz="4" w:space="0" w:color="000000"/>
            </w:tcBorders>
          </w:tcPr>
          <w:p w14:paraId="03756A0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499" w:type="dxa"/>
            <w:tcBorders>
              <w:top w:val="single" w:sz="4" w:space="0" w:color="000000"/>
              <w:left w:val="single" w:sz="4" w:space="0" w:color="000000"/>
              <w:bottom w:val="single" w:sz="4" w:space="0" w:color="000000"/>
              <w:right w:val="single" w:sz="4" w:space="0" w:color="000000"/>
            </w:tcBorders>
          </w:tcPr>
          <w:p w14:paraId="4A70828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83" w:type="dxa"/>
            <w:tcBorders>
              <w:top w:val="single" w:sz="4" w:space="0" w:color="000000"/>
              <w:left w:val="single" w:sz="4" w:space="0" w:color="000000"/>
              <w:bottom w:val="single" w:sz="4" w:space="0" w:color="000000"/>
              <w:right w:val="single" w:sz="4" w:space="0" w:color="000000"/>
            </w:tcBorders>
          </w:tcPr>
          <w:p w14:paraId="594B560B" w14:textId="77777777" w:rsidR="00A0251B" w:rsidRPr="00CC35F0" w:rsidRDefault="00A0251B">
            <w:pPr>
              <w:jc w:val="right"/>
              <w:rPr>
                <w:rFonts w:ascii="Times New Roman" w:eastAsia="Times New Roman" w:hAnsi="Times New Roman"/>
                <w:sz w:val="24"/>
                <w:szCs w:val="24"/>
                <w:lang w:val="sr-Cyrl-CS"/>
              </w:rPr>
            </w:pPr>
          </w:p>
        </w:tc>
        <w:tc>
          <w:tcPr>
            <w:tcW w:w="1034" w:type="dxa"/>
            <w:tcBorders>
              <w:top w:val="single" w:sz="4" w:space="0" w:color="000000"/>
              <w:left w:val="single" w:sz="4" w:space="0" w:color="000000"/>
              <w:bottom w:val="single" w:sz="4" w:space="0" w:color="000000"/>
              <w:right w:val="single" w:sz="4" w:space="0" w:color="000000"/>
            </w:tcBorders>
          </w:tcPr>
          <w:p w14:paraId="3A30D34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47.000</w:t>
            </w:r>
          </w:p>
        </w:tc>
        <w:tc>
          <w:tcPr>
            <w:tcW w:w="1032" w:type="dxa"/>
            <w:tcBorders>
              <w:top w:val="single" w:sz="4" w:space="0" w:color="000000"/>
              <w:left w:val="single" w:sz="4" w:space="0" w:color="000000"/>
              <w:bottom w:val="single" w:sz="4" w:space="0" w:color="000000"/>
              <w:right w:val="single" w:sz="4" w:space="0" w:color="000000"/>
            </w:tcBorders>
          </w:tcPr>
          <w:p w14:paraId="7E25A76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47.000</w:t>
            </w:r>
          </w:p>
        </w:tc>
        <w:tc>
          <w:tcPr>
            <w:tcW w:w="885" w:type="dxa"/>
            <w:tcBorders>
              <w:top w:val="single" w:sz="4" w:space="0" w:color="000000"/>
              <w:left w:val="single" w:sz="4" w:space="0" w:color="000000"/>
              <w:bottom w:val="single" w:sz="4" w:space="0" w:color="000000"/>
              <w:right w:val="single" w:sz="4" w:space="0" w:color="000000"/>
            </w:tcBorders>
          </w:tcPr>
          <w:p w14:paraId="0594E4A1" w14:textId="77777777" w:rsidR="00A0251B" w:rsidRPr="00CC35F0" w:rsidRDefault="00A0251B">
            <w:pPr>
              <w:jc w:val="right"/>
              <w:rPr>
                <w:rFonts w:ascii="Times New Roman" w:eastAsia="Times New Roman" w:hAnsi="Times New Roman"/>
                <w:sz w:val="24"/>
                <w:szCs w:val="24"/>
                <w:lang w:val="sr-Cyrl-CS"/>
              </w:rPr>
            </w:pPr>
          </w:p>
        </w:tc>
        <w:tc>
          <w:tcPr>
            <w:tcW w:w="885" w:type="dxa"/>
            <w:tcBorders>
              <w:top w:val="single" w:sz="4" w:space="0" w:color="000000"/>
              <w:left w:val="single" w:sz="4" w:space="0" w:color="000000"/>
              <w:bottom w:val="single" w:sz="4" w:space="0" w:color="000000"/>
              <w:right w:val="single" w:sz="4" w:space="0" w:color="000000"/>
            </w:tcBorders>
          </w:tcPr>
          <w:p w14:paraId="3C13BAD9" w14:textId="77777777" w:rsidR="00A0251B" w:rsidRPr="00CC35F0" w:rsidRDefault="00A0251B">
            <w:pPr>
              <w:jc w:val="right"/>
              <w:rPr>
                <w:rFonts w:ascii="Times New Roman" w:eastAsia="Times New Roman" w:hAnsi="Times New Roman"/>
                <w:sz w:val="24"/>
                <w:szCs w:val="24"/>
                <w:lang w:val="sr-Cyrl-CS"/>
              </w:rPr>
            </w:pPr>
          </w:p>
        </w:tc>
      </w:tr>
      <w:tr w:rsidR="00A0251B" w:rsidRPr="00CC35F0" w14:paraId="07EF67EA" w14:textId="77777777" w:rsidTr="0084294D">
        <w:trPr>
          <w:trHeight w:val="140"/>
        </w:trPr>
        <w:tc>
          <w:tcPr>
            <w:tcW w:w="1932" w:type="dxa"/>
            <w:tcBorders>
              <w:top w:val="single" w:sz="4" w:space="0" w:color="000000"/>
              <w:left w:val="single" w:sz="4" w:space="0" w:color="000000"/>
              <w:bottom w:val="single" w:sz="4" w:space="0" w:color="000000"/>
              <w:right w:val="single" w:sz="4" w:space="0" w:color="000000"/>
            </w:tcBorders>
          </w:tcPr>
          <w:p w14:paraId="35DE054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1.3.1.4 Јачање људских ресурса у Министарству пољопривреде, </w:t>
            </w:r>
            <w:r w:rsidRPr="00CC35F0">
              <w:rPr>
                <w:rFonts w:ascii="Times New Roman" w:eastAsia="Times New Roman" w:hAnsi="Times New Roman"/>
                <w:color w:val="000000"/>
                <w:sz w:val="24"/>
                <w:szCs w:val="24"/>
                <w:lang w:val="sr-Cyrl-CS"/>
              </w:rPr>
              <w:lastRenderedPageBreak/>
              <w:t>шумарства и водопривреде (3 лица с пуним радним временом су потребна за развој Националног саветодавног кодекса, организовање Пољопривредних</w:t>
            </w:r>
            <w:r w:rsidR="00DD6F48" w:rsidRPr="00CC35F0">
              <w:rPr>
                <w:rFonts w:ascii="Times New Roman" w:eastAsia="Times New Roman" w:hAnsi="Times New Roman"/>
                <w:color w:val="000000"/>
                <w:sz w:val="24"/>
                <w:szCs w:val="24"/>
                <w:lang w:val="sr-Cyrl-CS"/>
              </w:rPr>
              <w:t xml:space="preserve"> стручних и </w:t>
            </w:r>
            <w:r w:rsidRPr="00CC35F0">
              <w:rPr>
                <w:rFonts w:ascii="Times New Roman" w:eastAsia="Times New Roman" w:hAnsi="Times New Roman"/>
                <w:color w:val="000000"/>
                <w:sz w:val="24"/>
                <w:szCs w:val="24"/>
                <w:lang w:val="sr-Cyrl-CS"/>
              </w:rPr>
              <w:t xml:space="preserve"> саветодавних служби и ширење добре праксе у интегрисаном приступу) и Пољопривредне</w:t>
            </w:r>
            <w:r w:rsidR="00847036" w:rsidRPr="00CC35F0">
              <w:rPr>
                <w:rFonts w:ascii="Times New Roman" w:eastAsia="Times New Roman" w:hAnsi="Times New Roman"/>
                <w:color w:val="000000"/>
                <w:sz w:val="24"/>
                <w:szCs w:val="24"/>
                <w:lang w:val="sr-Cyrl-CS"/>
              </w:rPr>
              <w:t xml:space="preserve"> стручне и </w:t>
            </w:r>
            <w:r w:rsidRPr="00CC35F0">
              <w:rPr>
                <w:rFonts w:ascii="Times New Roman" w:eastAsia="Times New Roman" w:hAnsi="Times New Roman"/>
                <w:color w:val="000000"/>
                <w:sz w:val="24"/>
                <w:szCs w:val="24"/>
                <w:lang w:val="sr-Cyrl-CS"/>
              </w:rPr>
              <w:t xml:space="preserve"> саветодавне службе (10 лица с пуним радним временом за ширење мера смањења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и заштиту </w:t>
            </w:r>
            <w:r w:rsidRPr="00CC35F0">
              <w:rPr>
                <w:rFonts w:ascii="Times New Roman" w:eastAsia="Times New Roman" w:hAnsi="Times New Roman"/>
                <w:color w:val="000000"/>
                <w:sz w:val="24"/>
                <w:szCs w:val="24"/>
                <w:lang w:val="sr-Cyrl-CS"/>
              </w:rPr>
              <w:lastRenderedPageBreak/>
              <w:t>подземних водних тела).</w:t>
            </w:r>
          </w:p>
        </w:tc>
        <w:tc>
          <w:tcPr>
            <w:tcW w:w="1689" w:type="dxa"/>
            <w:tcBorders>
              <w:top w:val="single" w:sz="4" w:space="0" w:color="000000"/>
              <w:left w:val="single" w:sz="4" w:space="0" w:color="000000"/>
              <w:bottom w:val="single" w:sz="4" w:space="0" w:color="000000"/>
              <w:right w:val="single" w:sz="4" w:space="0" w:color="000000"/>
            </w:tcBorders>
          </w:tcPr>
          <w:p w14:paraId="217C6E86" w14:textId="77777777" w:rsidR="00A0251B" w:rsidRPr="00CC35F0" w:rsidRDefault="008D6506">
            <w:pPr>
              <w:jc w:val="left"/>
              <w:rPr>
                <w:rFonts w:ascii="Times New Roman" w:eastAsia="Times New Roman" w:hAnsi="Times New Roman"/>
                <w:color w:val="000000"/>
                <w:sz w:val="24"/>
                <w:szCs w:val="24"/>
                <w:lang w:val="sr-Cyrl-CS"/>
              </w:rPr>
            </w:pPr>
            <w:r w:rsidRPr="005E124C">
              <w:rPr>
                <w:rFonts w:ascii="Times New Roman" w:eastAsia="Times New Roman" w:hAnsi="Times New Roman"/>
                <w:color w:val="000000"/>
                <w:lang w:val="sr-Cyrl-CS"/>
              </w:rPr>
              <w:lastRenderedPageBreak/>
              <w:t xml:space="preserve">Министарство пољопривреде, </w:t>
            </w:r>
            <w:r w:rsidRPr="00CC35F0">
              <w:rPr>
                <w:rFonts w:ascii="Times New Roman" w:eastAsia="Times New Roman" w:hAnsi="Times New Roman"/>
                <w:color w:val="000000"/>
                <w:sz w:val="24"/>
                <w:szCs w:val="24"/>
                <w:lang w:val="sr-Cyrl-CS"/>
              </w:rPr>
              <w:t>шумарства и водопривреде</w:t>
            </w:r>
          </w:p>
        </w:tc>
        <w:tc>
          <w:tcPr>
            <w:tcW w:w="1797" w:type="dxa"/>
            <w:tcBorders>
              <w:top w:val="single" w:sz="4" w:space="0" w:color="000000"/>
              <w:left w:val="single" w:sz="4" w:space="0" w:color="000000"/>
              <w:bottom w:val="single" w:sz="4" w:space="0" w:color="000000"/>
              <w:right w:val="single" w:sz="4" w:space="0" w:color="000000"/>
            </w:tcBorders>
          </w:tcPr>
          <w:p w14:paraId="3DA8D156" w14:textId="77777777" w:rsidR="00A0251B" w:rsidRPr="00CC35F0" w:rsidRDefault="008D6506">
            <w:pPr>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Пољопривредне</w:t>
            </w:r>
            <w:r w:rsidR="00847036" w:rsidRPr="00CC35F0">
              <w:rPr>
                <w:rFonts w:ascii="Times New Roman" w:eastAsia="Times New Roman" w:hAnsi="Times New Roman"/>
                <w:color w:val="000000"/>
                <w:sz w:val="24"/>
                <w:szCs w:val="24"/>
                <w:lang w:val="sr-Cyrl-CS"/>
              </w:rPr>
              <w:t xml:space="preserve"> стручне и </w:t>
            </w:r>
            <w:r w:rsidRPr="00CC35F0">
              <w:rPr>
                <w:rFonts w:ascii="Times New Roman" w:eastAsia="Times New Roman" w:hAnsi="Times New Roman"/>
                <w:color w:val="000000"/>
                <w:sz w:val="24"/>
                <w:szCs w:val="24"/>
                <w:lang w:val="sr-Cyrl-CS"/>
              </w:rPr>
              <w:t xml:space="preserve"> саветодавне службе</w:t>
            </w:r>
          </w:p>
        </w:tc>
        <w:tc>
          <w:tcPr>
            <w:tcW w:w="1368" w:type="dxa"/>
            <w:tcBorders>
              <w:top w:val="single" w:sz="4" w:space="0" w:color="000000"/>
              <w:left w:val="single" w:sz="4" w:space="0" w:color="000000"/>
              <w:bottom w:val="single" w:sz="4" w:space="0" w:color="000000"/>
              <w:right w:val="single" w:sz="4" w:space="0" w:color="000000"/>
            </w:tcBorders>
          </w:tcPr>
          <w:p w14:paraId="1073B51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w:t>
            </w:r>
            <w:r w:rsidR="00B24086" w:rsidRPr="00CC35F0">
              <w:rPr>
                <w:rFonts w:ascii="Times New Roman" w:eastAsia="Times New Roman" w:hAnsi="Times New Roman"/>
                <w:sz w:val="24"/>
                <w:szCs w:val="24"/>
                <w:lang w:val="sr-Cyrl-CS"/>
              </w:rPr>
              <w:t>3</w:t>
            </w:r>
          </w:p>
        </w:tc>
        <w:tc>
          <w:tcPr>
            <w:tcW w:w="1537" w:type="dxa"/>
            <w:tcBorders>
              <w:top w:val="single" w:sz="4" w:space="0" w:color="000000"/>
              <w:left w:val="single" w:sz="4" w:space="0" w:color="000000"/>
              <w:bottom w:val="single" w:sz="4" w:space="0" w:color="000000"/>
              <w:right w:val="single" w:sz="4" w:space="0" w:color="000000"/>
            </w:tcBorders>
          </w:tcPr>
          <w:p w14:paraId="41F7464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499" w:type="dxa"/>
            <w:tcBorders>
              <w:top w:val="single" w:sz="4" w:space="0" w:color="000000"/>
              <w:left w:val="single" w:sz="4" w:space="0" w:color="000000"/>
              <w:bottom w:val="single" w:sz="4" w:space="0" w:color="000000"/>
              <w:right w:val="single" w:sz="4" w:space="0" w:color="000000"/>
            </w:tcBorders>
          </w:tcPr>
          <w:p w14:paraId="4650664A" w14:textId="77777777" w:rsidR="00A0251B" w:rsidRPr="00CC35F0" w:rsidRDefault="00A0251B">
            <w:pPr>
              <w:jc w:val="center"/>
              <w:rPr>
                <w:rFonts w:ascii="Times New Roman" w:eastAsia="Times New Roman" w:hAnsi="Times New Roman"/>
                <w:sz w:val="24"/>
                <w:szCs w:val="24"/>
                <w:lang w:val="sr-Cyrl-CS"/>
              </w:rPr>
            </w:pPr>
          </w:p>
        </w:tc>
        <w:tc>
          <w:tcPr>
            <w:tcW w:w="883" w:type="dxa"/>
            <w:tcBorders>
              <w:top w:val="single" w:sz="4" w:space="0" w:color="000000"/>
              <w:left w:val="single" w:sz="4" w:space="0" w:color="000000"/>
              <w:bottom w:val="single" w:sz="4" w:space="0" w:color="000000"/>
              <w:right w:val="single" w:sz="4" w:space="0" w:color="000000"/>
            </w:tcBorders>
          </w:tcPr>
          <w:p w14:paraId="157103D2" w14:textId="77777777" w:rsidR="00A0251B" w:rsidRPr="00CC35F0" w:rsidRDefault="00A0251B">
            <w:pPr>
              <w:jc w:val="right"/>
              <w:rPr>
                <w:rFonts w:ascii="Times New Roman" w:eastAsia="Times New Roman" w:hAnsi="Times New Roman"/>
                <w:sz w:val="24"/>
                <w:szCs w:val="24"/>
                <w:lang w:val="sr-Cyrl-CS"/>
              </w:rPr>
            </w:pPr>
          </w:p>
        </w:tc>
        <w:tc>
          <w:tcPr>
            <w:tcW w:w="1034" w:type="dxa"/>
            <w:tcBorders>
              <w:top w:val="single" w:sz="4" w:space="0" w:color="000000"/>
              <w:left w:val="single" w:sz="4" w:space="0" w:color="000000"/>
              <w:bottom w:val="single" w:sz="4" w:space="0" w:color="000000"/>
              <w:right w:val="single" w:sz="4" w:space="0" w:color="000000"/>
            </w:tcBorders>
          </w:tcPr>
          <w:p w14:paraId="2BAC4816"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30.550</w:t>
            </w:r>
          </w:p>
        </w:tc>
        <w:tc>
          <w:tcPr>
            <w:tcW w:w="1032" w:type="dxa"/>
            <w:tcBorders>
              <w:top w:val="single" w:sz="4" w:space="0" w:color="000000"/>
              <w:left w:val="single" w:sz="4" w:space="0" w:color="000000"/>
              <w:bottom w:val="single" w:sz="4" w:space="0" w:color="000000"/>
              <w:right w:val="single" w:sz="4" w:space="0" w:color="000000"/>
            </w:tcBorders>
          </w:tcPr>
          <w:p w14:paraId="0B5641B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30.550</w:t>
            </w:r>
          </w:p>
        </w:tc>
        <w:tc>
          <w:tcPr>
            <w:tcW w:w="885" w:type="dxa"/>
            <w:tcBorders>
              <w:top w:val="single" w:sz="4" w:space="0" w:color="000000"/>
              <w:left w:val="single" w:sz="4" w:space="0" w:color="000000"/>
              <w:bottom w:val="single" w:sz="4" w:space="0" w:color="000000"/>
              <w:right w:val="single" w:sz="4" w:space="0" w:color="000000"/>
            </w:tcBorders>
          </w:tcPr>
          <w:p w14:paraId="07230B0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30.550</w:t>
            </w:r>
          </w:p>
        </w:tc>
        <w:tc>
          <w:tcPr>
            <w:tcW w:w="885" w:type="dxa"/>
            <w:tcBorders>
              <w:top w:val="single" w:sz="4" w:space="0" w:color="000000"/>
              <w:left w:val="single" w:sz="4" w:space="0" w:color="000000"/>
              <w:bottom w:val="single" w:sz="4" w:space="0" w:color="000000"/>
              <w:right w:val="single" w:sz="4" w:space="0" w:color="000000"/>
            </w:tcBorders>
          </w:tcPr>
          <w:p w14:paraId="6669E7D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30.550</w:t>
            </w:r>
          </w:p>
        </w:tc>
      </w:tr>
      <w:tr w:rsidR="00A0251B" w:rsidRPr="00CC35F0" w14:paraId="43263827" w14:textId="77777777" w:rsidTr="0084294D">
        <w:trPr>
          <w:trHeight w:val="140"/>
        </w:trPr>
        <w:tc>
          <w:tcPr>
            <w:tcW w:w="1932" w:type="dxa"/>
            <w:tcBorders>
              <w:top w:val="single" w:sz="4" w:space="0" w:color="000000"/>
              <w:left w:val="single" w:sz="4" w:space="0" w:color="000000"/>
              <w:bottom w:val="single" w:sz="4" w:space="0" w:color="000000"/>
              <w:right w:val="single" w:sz="4" w:space="0" w:color="000000"/>
            </w:tcBorders>
          </w:tcPr>
          <w:p w14:paraId="067242D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1.3.1.5 Информисање  и ширење Националног кодекса добре пољопривредне праксе и развој кампања за подизање свести о утицају емисија NH</w:t>
            </w:r>
            <w:r w:rsidRPr="00CC35F0">
              <w:rPr>
                <w:rFonts w:ascii="Times New Roman" w:eastAsia="Times New Roman" w:hAnsi="Times New Roman"/>
                <w:sz w:val="24"/>
                <w:szCs w:val="24"/>
                <w:vertAlign w:val="subscript"/>
                <w:lang w:val="sr-Cyrl-CS"/>
              </w:rPr>
              <w:t>3</w:t>
            </w:r>
            <w:r w:rsidRPr="00CC35F0">
              <w:rPr>
                <w:rFonts w:ascii="Times New Roman" w:eastAsia="Times New Roman" w:hAnsi="Times New Roman"/>
                <w:sz w:val="24"/>
                <w:szCs w:val="24"/>
                <w:lang w:val="sr-Cyrl-CS"/>
              </w:rPr>
              <w:t xml:space="preserve"> на квалитет ваздуха и о мерама за њихово смањење (кроз више догађаја (5 годишње у Србији од 2024. године), израда и ширење промотивних материјала ((летака, видео записа) …): 10), интернет страница (1))  </w:t>
            </w:r>
          </w:p>
        </w:tc>
        <w:tc>
          <w:tcPr>
            <w:tcW w:w="1689" w:type="dxa"/>
            <w:tcBorders>
              <w:top w:val="single" w:sz="4" w:space="0" w:color="000000"/>
              <w:left w:val="single" w:sz="4" w:space="0" w:color="000000"/>
              <w:bottom w:val="single" w:sz="4" w:space="0" w:color="000000"/>
              <w:right w:val="single" w:sz="4" w:space="0" w:color="000000"/>
            </w:tcBorders>
          </w:tcPr>
          <w:p w14:paraId="687A185A" w14:textId="77777777" w:rsidR="00A0251B" w:rsidRPr="00CC35F0" w:rsidRDefault="008D6506">
            <w:pPr>
              <w:jc w:val="left"/>
              <w:rPr>
                <w:rFonts w:ascii="Times New Roman" w:eastAsia="Times New Roman" w:hAnsi="Times New Roman"/>
                <w:color w:val="000000"/>
                <w:sz w:val="24"/>
                <w:szCs w:val="24"/>
                <w:lang w:val="sr-Cyrl-CS"/>
              </w:rPr>
            </w:pPr>
            <w:r w:rsidRPr="005E124C">
              <w:rPr>
                <w:rFonts w:ascii="Times New Roman" w:eastAsia="Times New Roman" w:hAnsi="Times New Roman"/>
                <w:color w:val="000000"/>
                <w:lang w:val="sr-Cyrl-CS"/>
              </w:rPr>
              <w:t xml:space="preserve">Министарство пољопривреде, </w:t>
            </w:r>
            <w:r w:rsidRPr="00CC35F0">
              <w:rPr>
                <w:rFonts w:ascii="Times New Roman" w:eastAsia="Times New Roman" w:hAnsi="Times New Roman"/>
                <w:color w:val="000000"/>
                <w:sz w:val="24"/>
                <w:szCs w:val="24"/>
                <w:lang w:val="sr-Cyrl-CS"/>
              </w:rPr>
              <w:t>шумарства и водопривреде (Сектор за аграрне политике, Управа за ветерину, Управа за земљиште)</w:t>
            </w:r>
          </w:p>
        </w:tc>
        <w:tc>
          <w:tcPr>
            <w:tcW w:w="1797" w:type="dxa"/>
            <w:tcBorders>
              <w:top w:val="single" w:sz="4" w:space="0" w:color="000000"/>
              <w:left w:val="single" w:sz="4" w:space="0" w:color="000000"/>
              <w:bottom w:val="single" w:sz="4" w:space="0" w:color="000000"/>
              <w:right w:val="single" w:sz="4" w:space="0" w:color="000000"/>
            </w:tcBorders>
          </w:tcPr>
          <w:p w14:paraId="2F051907" w14:textId="77777777" w:rsidR="00A0251B" w:rsidRPr="00CC35F0" w:rsidRDefault="008D6506">
            <w:pPr>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Пољопривредне </w:t>
            </w:r>
            <w:r w:rsidR="00847036" w:rsidRPr="00CC35F0">
              <w:rPr>
                <w:rFonts w:ascii="Times New Roman" w:eastAsia="Times New Roman" w:hAnsi="Times New Roman"/>
                <w:color w:val="000000"/>
                <w:sz w:val="24"/>
                <w:szCs w:val="24"/>
                <w:lang w:val="sr-Cyrl-CS"/>
              </w:rPr>
              <w:t xml:space="preserve">стручне и </w:t>
            </w:r>
            <w:r w:rsidRPr="00CC35F0">
              <w:rPr>
                <w:rFonts w:ascii="Times New Roman" w:eastAsia="Times New Roman" w:hAnsi="Times New Roman"/>
                <w:color w:val="000000"/>
                <w:sz w:val="24"/>
                <w:szCs w:val="24"/>
                <w:lang w:val="sr-Cyrl-CS"/>
              </w:rPr>
              <w:t>саветодавне лужбе</w:t>
            </w:r>
          </w:p>
        </w:tc>
        <w:tc>
          <w:tcPr>
            <w:tcW w:w="1368" w:type="dxa"/>
            <w:tcBorders>
              <w:top w:val="single" w:sz="4" w:space="0" w:color="000000"/>
              <w:left w:val="single" w:sz="4" w:space="0" w:color="000000"/>
              <w:bottom w:val="single" w:sz="4" w:space="0" w:color="000000"/>
              <w:right w:val="single" w:sz="4" w:space="0" w:color="000000"/>
            </w:tcBorders>
          </w:tcPr>
          <w:p w14:paraId="719DDD5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w:t>
            </w:r>
            <w:r w:rsidR="007445E4" w:rsidRPr="00CC35F0">
              <w:rPr>
                <w:rFonts w:ascii="Times New Roman" w:eastAsia="Times New Roman" w:hAnsi="Times New Roman"/>
                <w:sz w:val="24"/>
                <w:szCs w:val="24"/>
                <w:lang w:val="sr-Cyrl-CS"/>
              </w:rPr>
              <w:t>26</w:t>
            </w:r>
          </w:p>
        </w:tc>
        <w:tc>
          <w:tcPr>
            <w:tcW w:w="1537" w:type="dxa"/>
            <w:tcBorders>
              <w:top w:val="single" w:sz="4" w:space="0" w:color="000000"/>
              <w:left w:val="single" w:sz="4" w:space="0" w:color="000000"/>
              <w:bottom w:val="single" w:sz="4" w:space="0" w:color="000000"/>
              <w:right w:val="single" w:sz="4" w:space="0" w:color="000000"/>
            </w:tcBorders>
          </w:tcPr>
          <w:p w14:paraId="5041042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 или буџет</w:t>
            </w:r>
          </w:p>
        </w:tc>
        <w:tc>
          <w:tcPr>
            <w:tcW w:w="1499" w:type="dxa"/>
            <w:tcBorders>
              <w:top w:val="single" w:sz="4" w:space="0" w:color="000000"/>
              <w:left w:val="single" w:sz="4" w:space="0" w:color="000000"/>
              <w:bottom w:val="single" w:sz="4" w:space="0" w:color="000000"/>
              <w:right w:val="single" w:sz="4" w:space="0" w:color="000000"/>
            </w:tcBorders>
          </w:tcPr>
          <w:p w14:paraId="694868B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0102-420-0003-423</w:t>
            </w:r>
          </w:p>
        </w:tc>
        <w:tc>
          <w:tcPr>
            <w:tcW w:w="883" w:type="dxa"/>
            <w:tcBorders>
              <w:top w:val="single" w:sz="4" w:space="0" w:color="000000"/>
              <w:left w:val="single" w:sz="4" w:space="0" w:color="000000"/>
              <w:bottom w:val="single" w:sz="4" w:space="0" w:color="000000"/>
              <w:right w:val="single" w:sz="4" w:space="0" w:color="000000"/>
            </w:tcBorders>
          </w:tcPr>
          <w:p w14:paraId="19E6F314" w14:textId="77777777" w:rsidR="00A0251B" w:rsidRPr="00CC35F0" w:rsidRDefault="00A0251B">
            <w:pPr>
              <w:jc w:val="right"/>
              <w:rPr>
                <w:rFonts w:ascii="Times New Roman" w:eastAsia="Times New Roman" w:hAnsi="Times New Roman"/>
                <w:sz w:val="24"/>
                <w:szCs w:val="24"/>
                <w:lang w:val="sr-Cyrl-CS"/>
              </w:rPr>
            </w:pPr>
          </w:p>
        </w:tc>
        <w:tc>
          <w:tcPr>
            <w:tcW w:w="1034" w:type="dxa"/>
            <w:tcBorders>
              <w:top w:val="single" w:sz="4" w:space="0" w:color="000000"/>
              <w:left w:val="single" w:sz="4" w:space="0" w:color="000000"/>
              <w:bottom w:val="single" w:sz="4" w:space="0" w:color="000000"/>
              <w:right w:val="single" w:sz="4" w:space="0" w:color="000000"/>
            </w:tcBorders>
          </w:tcPr>
          <w:p w14:paraId="4C0806A1" w14:textId="77777777" w:rsidR="00A0251B" w:rsidRPr="00CC35F0" w:rsidRDefault="00A0251B">
            <w:pPr>
              <w:jc w:val="right"/>
              <w:rPr>
                <w:rFonts w:ascii="Times New Roman" w:eastAsia="Times New Roman" w:hAnsi="Times New Roman"/>
                <w:sz w:val="24"/>
                <w:szCs w:val="24"/>
                <w:lang w:val="sr-Cyrl-CS"/>
              </w:rPr>
            </w:pPr>
          </w:p>
        </w:tc>
        <w:tc>
          <w:tcPr>
            <w:tcW w:w="1032" w:type="dxa"/>
            <w:tcBorders>
              <w:top w:val="single" w:sz="4" w:space="0" w:color="000000"/>
              <w:left w:val="single" w:sz="4" w:space="0" w:color="000000"/>
              <w:bottom w:val="single" w:sz="4" w:space="0" w:color="000000"/>
              <w:right w:val="single" w:sz="4" w:space="0" w:color="000000"/>
            </w:tcBorders>
          </w:tcPr>
          <w:p w14:paraId="6AF32973" w14:textId="77777777" w:rsidR="00A0251B" w:rsidRPr="00CC35F0" w:rsidRDefault="00A0251B">
            <w:pPr>
              <w:jc w:val="right"/>
              <w:rPr>
                <w:rFonts w:ascii="Times New Roman" w:eastAsia="Times New Roman" w:hAnsi="Times New Roman"/>
                <w:sz w:val="24"/>
                <w:szCs w:val="24"/>
                <w:lang w:val="sr-Cyrl-CS"/>
              </w:rPr>
            </w:pPr>
          </w:p>
        </w:tc>
        <w:tc>
          <w:tcPr>
            <w:tcW w:w="885" w:type="dxa"/>
            <w:tcBorders>
              <w:top w:val="single" w:sz="4" w:space="0" w:color="000000"/>
              <w:left w:val="single" w:sz="4" w:space="0" w:color="000000"/>
              <w:bottom w:val="single" w:sz="4" w:space="0" w:color="000000"/>
              <w:right w:val="single" w:sz="4" w:space="0" w:color="000000"/>
            </w:tcBorders>
          </w:tcPr>
          <w:p w14:paraId="0D8A0E4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6.953</w:t>
            </w:r>
          </w:p>
        </w:tc>
        <w:tc>
          <w:tcPr>
            <w:tcW w:w="885" w:type="dxa"/>
            <w:tcBorders>
              <w:top w:val="single" w:sz="4" w:space="0" w:color="000000"/>
              <w:left w:val="single" w:sz="4" w:space="0" w:color="000000"/>
              <w:bottom w:val="single" w:sz="4" w:space="0" w:color="000000"/>
              <w:right w:val="single" w:sz="4" w:space="0" w:color="000000"/>
            </w:tcBorders>
          </w:tcPr>
          <w:p w14:paraId="04516F4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6.953</w:t>
            </w:r>
          </w:p>
        </w:tc>
      </w:tr>
      <w:tr w:rsidR="00A0251B" w:rsidRPr="00CC35F0" w14:paraId="5D60A2C0" w14:textId="77777777" w:rsidTr="0084294D">
        <w:trPr>
          <w:trHeight w:val="140"/>
        </w:trPr>
        <w:tc>
          <w:tcPr>
            <w:tcW w:w="1932" w:type="dxa"/>
            <w:tcBorders>
              <w:top w:val="single" w:sz="4" w:space="0" w:color="000000"/>
              <w:left w:val="single" w:sz="4" w:space="0" w:color="000000"/>
              <w:bottom w:val="single" w:sz="4" w:space="0" w:color="000000"/>
              <w:right w:val="single" w:sz="4" w:space="0" w:color="000000"/>
            </w:tcBorders>
            <w:vAlign w:val="center"/>
          </w:tcPr>
          <w:p w14:paraId="2C450FB4" w14:textId="77777777" w:rsidR="00A0251B" w:rsidRPr="00CC35F0" w:rsidRDefault="008D6506">
            <w:pPr>
              <w:rPr>
                <w:rFonts w:ascii="Times New Roman" w:eastAsia="Times New Roman" w:hAnsi="Times New Roman"/>
                <w:sz w:val="24"/>
                <w:szCs w:val="24"/>
                <w:lang w:val="sr-Cyrl-CS"/>
              </w:rPr>
            </w:pPr>
            <w:bookmarkStart w:id="136" w:name="_heading=h.2uxtw84" w:colFirst="0" w:colLast="0"/>
            <w:bookmarkEnd w:id="136"/>
            <w:r w:rsidRPr="00CC35F0">
              <w:rPr>
                <w:rFonts w:ascii="Times New Roman" w:eastAsia="Times New Roman" w:hAnsi="Times New Roman"/>
                <w:sz w:val="24"/>
                <w:szCs w:val="24"/>
                <w:lang w:val="sr-Cyrl-CS"/>
              </w:rPr>
              <w:lastRenderedPageBreak/>
              <w:t>1.3.1.6 Спровођење најбољих- пракса за складиштење стајњака</w:t>
            </w:r>
          </w:p>
        </w:tc>
        <w:tc>
          <w:tcPr>
            <w:tcW w:w="1689" w:type="dxa"/>
            <w:tcBorders>
              <w:top w:val="single" w:sz="4" w:space="0" w:color="000000"/>
              <w:left w:val="single" w:sz="4" w:space="0" w:color="000000"/>
              <w:bottom w:val="single" w:sz="4" w:space="0" w:color="000000"/>
              <w:right w:val="single" w:sz="4" w:space="0" w:color="000000"/>
            </w:tcBorders>
          </w:tcPr>
          <w:p w14:paraId="70783691" w14:textId="77777777" w:rsidR="00A0251B" w:rsidRPr="00CC35F0" w:rsidRDefault="008D6506">
            <w:pPr>
              <w:jc w:val="left"/>
              <w:rPr>
                <w:rFonts w:ascii="Times New Roman" w:eastAsia="Times New Roman" w:hAnsi="Times New Roman"/>
                <w:color w:val="000000"/>
                <w:sz w:val="24"/>
                <w:szCs w:val="24"/>
                <w:lang w:val="sr-Cyrl-CS"/>
              </w:rPr>
            </w:pPr>
            <w:r w:rsidRPr="005E124C">
              <w:rPr>
                <w:rFonts w:ascii="Times New Roman" w:eastAsia="Times New Roman" w:hAnsi="Times New Roman"/>
                <w:color w:val="000000"/>
                <w:lang w:val="sr-Cyrl-CS"/>
              </w:rPr>
              <w:t>Министарство пољопривреде,</w:t>
            </w:r>
            <w:r w:rsidRPr="00CC35F0">
              <w:rPr>
                <w:rFonts w:ascii="Times New Roman" w:eastAsia="Times New Roman" w:hAnsi="Times New Roman"/>
                <w:color w:val="000000"/>
                <w:sz w:val="24"/>
                <w:szCs w:val="24"/>
                <w:lang w:val="sr-Cyrl-CS"/>
              </w:rPr>
              <w:t xml:space="preserve"> шумарства и водопривреде</w:t>
            </w:r>
          </w:p>
        </w:tc>
        <w:tc>
          <w:tcPr>
            <w:tcW w:w="1797" w:type="dxa"/>
            <w:tcBorders>
              <w:top w:val="single" w:sz="4" w:space="0" w:color="000000"/>
              <w:left w:val="single" w:sz="4" w:space="0" w:color="000000"/>
              <w:bottom w:val="single" w:sz="4" w:space="0" w:color="000000"/>
              <w:right w:val="single" w:sz="4" w:space="0" w:color="000000"/>
            </w:tcBorders>
          </w:tcPr>
          <w:p w14:paraId="4ED25222" w14:textId="77777777" w:rsidR="00A0251B" w:rsidRPr="00CC35F0" w:rsidRDefault="00A0251B">
            <w:pPr>
              <w:jc w:val="left"/>
              <w:rPr>
                <w:rFonts w:ascii="Times New Roman" w:eastAsia="Times New Roman" w:hAnsi="Times New Roman"/>
                <w:color w:val="000000"/>
                <w:sz w:val="24"/>
                <w:szCs w:val="24"/>
                <w:lang w:val="sr-Cyrl-CS"/>
              </w:rPr>
            </w:pPr>
          </w:p>
        </w:tc>
        <w:tc>
          <w:tcPr>
            <w:tcW w:w="1368" w:type="dxa"/>
            <w:tcBorders>
              <w:top w:val="single" w:sz="4" w:space="0" w:color="000000"/>
              <w:left w:val="single" w:sz="4" w:space="0" w:color="000000"/>
              <w:bottom w:val="single" w:sz="4" w:space="0" w:color="000000"/>
              <w:right w:val="single" w:sz="4" w:space="0" w:color="000000"/>
            </w:tcBorders>
          </w:tcPr>
          <w:p w14:paraId="75A5CD1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537" w:type="dxa"/>
            <w:tcBorders>
              <w:top w:val="single" w:sz="4" w:space="0" w:color="000000"/>
              <w:left w:val="single" w:sz="4" w:space="0" w:color="000000"/>
              <w:bottom w:val="single" w:sz="4" w:space="0" w:color="000000"/>
              <w:right w:val="single" w:sz="4" w:space="0" w:color="000000"/>
            </w:tcBorders>
          </w:tcPr>
          <w:p w14:paraId="74BB183E" w14:textId="77777777" w:rsidR="00A0251B" w:rsidRPr="005E124C" w:rsidRDefault="008D6506">
            <w:pPr>
              <w:jc w:val="right"/>
              <w:rPr>
                <w:rFonts w:ascii="Times New Roman" w:eastAsia="Times New Roman" w:hAnsi="Times New Roman"/>
                <w:lang w:val="sr-Cyrl-CS"/>
              </w:rPr>
            </w:pPr>
            <w:r w:rsidRPr="005E124C">
              <w:rPr>
                <w:rFonts w:ascii="Times New Roman" w:eastAsia="Times New Roman" w:hAnsi="Times New Roman"/>
                <w:lang w:val="sr-Cyrl-CS"/>
              </w:rPr>
              <w:t>Инвеститори</w:t>
            </w:r>
          </w:p>
        </w:tc>
        <w:tc>
          <w:tcPr>
            <w:tcW w:w="1499" w:type="dxa"/>
            <w:tcBorders>
              <w:top w:val="single" w:sz="4" w:space="0" w:color="000000"/>
              <w:left w:val="single" w:sz="4" w:space="0" w:color="000000"/>
              <w:bottom w:val="single" w:sz="4" w:space="0" w:color="000000"/>
              <w:right w:val="single" w:sz="4" w:space="0" w:color="000000"/>
            </w:tcBorders>
          </w:tcPr>
          <w:p w14:paraId="489DF7A3" w14:textId="77777777" w:rsidR="00A0251B" w:rsidRPr="00CC35F0" w:rsidRDefault="00A0251B">
            <w:pPr>
              <w:jc w:val="right"/>
              <w:rPr>
                <w:rFonts w:ascii="Times New Roman" w:eastAsia="Times New Roman" w:hAnsi="Times New Roman"/>
                <w:sz w:val="24"/>
                <w:szCs w:val="24"/>
                <w:lang w:val="sr-Cyrl-CS"/>
              </w:rPr>
            </w:pPr>
          </w:p>
        </w:tc>
        <w:tc>
          <w:tcPr>
            <w:tcW w:w="883" w:type="dxa"/>
            <w:tcBorders>
              <w:top w:val="single" w:sz="4" w:space="0" w:color="000000"/>
              <w:left w:val="single" w:sz="4" w:space="0" w:color="000000"/>
              <w:bottom w:val="single" w:sz="4" w:space="0" w:color="000000"/>
              <w:right w:val="single" w:sz="4" w:space="0" w:color="000000"/>
            </w:tcBorders>
          </w:tcPr>
          <w:p w14:paraId="6F31FE7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34" w:type="dxa"/>
            <w:tcBorders>
              <w:top w:val="single" w:sz="4" w:space="0" w:color="000000"/>
              <w:left w:val="single" w:sz="4" w:space="0" w:color="000000"/>
              <w:bottom w:val="single" w:sz="4" w:space="0" w:color="000000"/>
              <w:right w:val="single" w:sz="4" w:space="0" w:color="000000"/>
            </w:tcBorders>
          </w:tcPr>
          <w:p w14:paraId="6BFBAAF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32" w:type="dxa"/>
            <w:tcBorders>
              <w:top w:val="single" w:sz="4" w:space="0" w:color="000000"/>
              <w:left w:val="single" w:sz="4" w:space="0" w:color="000000"/>
              <w:bottom w:val="single" w:sz="4" w:space="0" w:color="000000"/>
              <w:right w:val="single" w:sz="4" w:space="0" w:color="000000"/>
            </w:tcBorders>
          </w:tcPr>
          <w:p w14:paraId="30DAA54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85" w:type="dxa"/>
            <w:tcBorders>
              <w:top w:val="single" w:sz="4" w:space="0" w:color="000000"/>
              <w:left w:val="single" w:sz="4" w:space="0" w:color="000000"/>
              <w:bottom w:val="single" w:sz="4" w:space="0" w:color="000000"/>
              <w:right w:val="single" w:sz="4" w:space="0" w:color="000000"/>
            </w:tcBorders>
          </w:tcPr>
          <w:p w14:paraId="4F02EBF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85" w:type="dxa"/>
            <w:tcBorders>
              <w:top w:val="single" w:sz="4" w:space="0" w:color="000000"/>
              <w:left w:val="single" w:sz="4" w:space="0" w:color="000000"/>
              <w:bottom w:val="single" w:sz="4" w:space="0" w:color="000000"/>
              <w:right w:val="single" w:sz="4" w:space="0" w:color="000000"/>
            </w:tcBorders>
          </w:tcPr>
          <w:p w14:paraId="3E22F01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1FA9BC5E" w14:textId="77777777" w:rsidTr="0084294D">
        <w:trPr>
          <w:trHeight w:val="140"/>
        </w:trPr>
        <w:tc>
          <w:tcPr>
            <w:tcW w:w="1932" w:type="dxa"/>
            <w:tcBorders>
              <w:top w:val="single" w:sz="4" w:space="0" w:color="000000"/>
              <w:left w:val="single" w:sz="4" w:space="0" w:color="000000"/>
              <w:bottom w:val="single" w:sz="4" w:space="0" w:color="000000"/>
              <w:right w:val="single" w:sz="4" w:space="0" w:color="000000"/>
            </w:tcBorders>
          </w:tcPr>
          <w:p w14:paraId="5F50932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1.3.1.7 Јачање техничких капацитета фармера о најбољој пракси у растурању стајњака и о другим најбољим праксама (15 годишње од 2024. године), израда посебних смерница).</w:t>
            </w:r>
          </w:p>
        </w:tc>
        <w:tc>
          <w:tcPr>
            <w:tcW w:w="1689" w:type="dxa"/>
            <w:tcBorders>
              <w:top w:val="single" w:sz="4" w:space="0" w:color="000000"/>
              <w:left w:val="single" w:sz="4" w:space="0" w:color="000000"/>
              <w:bottom w:val="single" w:sz="4" w:space="0" w:color="000000"/>
              <w:right w:val="single" w:sz="4" w:space="0" w:color="000000"/>
            </w:tcBorders>
          </w:tcPr>
          <w:p w14:paraId="31299B6E" w14:textId="77777777" w:rsidR="00A0251B" w:rsidRPr="00CC35F0" w:rsidRDefault="008D6506">
            <w:pPr>
              <w:jc w:val="left"/>
              <w:rPr>
                <w:rFonts w:ascii="Times New Roman" w:eastAsia="Times New Roman" w:hAnsi="Times New Roman"/>
                <w:color w:val="000000"/>
                <w:sz w:val="24"/>
                <w:szCs w:val="24"/>
                <w:lang w:val="sr-Cyrl-CS"/>
              </w:rPr>
            </w:pPr>
            <w:r w:rsidRPr="005E124C">
              <w:rPr>
                <w:rFonts w:ascii="Times New Roman" w:eastAsia="Times New Roman" w:hAnsi="Times New Roman"/>
                <w:color w:val="000000"/>
                <w:lang w:val="sr-Cyrl-CS"/>
              </w:rPr>
              <w:t>Министарство пољопривреде,</w:t>
            </w:r>
            <w:r w:rsidRPr="00CC35F0">
              <w:rPr>
                <w:rFonts w:ascii="Times New Roman" w:eastAsia="Times New Roman" w:hAnsi="Times New Roman"/>
                <w:color w:val="000000"/>
                <w:sz w:val="24"/>
                <w:szCs w:val="24"/>
                <w:lang w:val="sr-Cyrl-CS"/>
              </w:rPr>
              <w:t xml:space="preserve"> шумарства и водопривреде</w:t>
            </w:r>
          </w:p>
        </w:tc>
        <w:tc>
          <w:tcPr>
            <w:tcW w:w="1797" w:type="dxa"/>
            <w:tcBorders>
              <w:top w:val="single" w:sz="4" w:space="0" w:color="000000"/>
              <w:left w:val="single" w:sz="4" w:space="0" w:color="000000"/>
              <w:bottom w:val="single" w:sz="4" w:space="0" w:color="000000"/>
              <w:right w:val="single" w:sz="4" w:space="0" w:color="000000"/>
            </w:tcBorders>
          </w:tcPr>
          <w:p w14:paraId="243C8C27" w14:textId="77777777" w:rsidR="00A0251B" w:rsidRPr="00CC35F0" w:rsidRDefault="008D6506">
            <w:pPr>
              <w:jc w:val="left"/>
              <w:rPr>
                <w:rFonts w:ascii="Times New Roman" w:eastAsia="Times New Roman" w:hAnsi="Times New Roman"/>
                <w:color w:val="000000"/>
                <w:sz w:val="24"/>
                <w:szCs w:val="24"/>
                <w:lang w:val="sr-Cyrl-CS"/>
              </w:rPr>
            </w:pPr>
            <w:r w:rsidRPr="0080110D">
              <w:rPr>
                <w:rFonts w:ascii="Times New Roman" w:eastAsia="Times New Roman" w:hAnsi="Times New Roman"/>
                <w:color w:val="000000"/>
                <w:lang w:val="sr-Cyrl-CS"/>
              </w:rPr>
              <w:t xml:space="preserve">Пољопривредне </w:t>
            </w:r>
            <w:r w:rsidR="00847036" w:rsidRPr="00CC35F0">
              <w:rPr>
                <w:rFonts w:ascii="Times New Roman" w:eastAsia="Times New Roman" w:hAnsi="Times New Roman"/>
                <w:color w:val="000000"/>
                <w:sz w:val="24"/>
                <w:szCs w:val="24"/>
                <w:lang w:val="sr-Cyrl-CS"/>
              </w:rPr>
              <w:t xml:space="preserve">стручне и </w:t>
            </w:r>
            <w:r w:rsidRPr="00CC35F0">
              <w:rPr>
                <w:rFonts w:ascii="Times New Roman" w:eastAsia="Times New Roman" w:hAnsi="Times New Roman"/>
                <w:color w:val="000000"/>
                <w:sz w:val="24"/>
                <w:szCs w:val="24"/>
                <w:lang w:val="sr-Cyrl-CS"/>
              </w:rPr>
              <w:t>саветодавне службе</w:t>
            </w:r>
          </w:p>
        </w:tc>
        <w:tc>
          <w:tcPr>
            <w:tcW w:w="1368" w:type="dxa"/>
            <w:tcBorders>
              <w:top w:val="single" w:sz="4" w:space="0" w:color="000000"/>
              <w:left w:val="single" w:sz="4" w:space="0" w:color="000000"/>
              <w:bottom w:val="single" w:sz="4" w:space="0" w:color="000000"/>
              <w:right w:val="single" w:sz="4" w:space="0" w:color="000000"/>
            </w:tcBorders>
          </w:tcPr>
          <w:p w14:paraId="41D968B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537" w:type="dxa"/>
            <w:tcBorders>
              <w:top w:val="single" w:sz="4" w:space="0" w:color="000000"/>
              <w:left w:val="single" w:sz="4" w:space="0" w:color="000000"/>
              <w:bottom w:val="single" w:sz="4" w:space="0" w:color="000000"/>
              <w:right w:val="single" w:sz="4" w:space="0" w:color="000000"/>
            </w:tcBorders>
          </w:tcPr>
          <w:p w14:paraId="4C9234C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 или буџет</w:t>
            </w:r>
          </w:p>
        </w:tc>
        <w:tc>
          <w:tcPr>
            <w:tcW w:w="1499" w:type="dxa"/>
            <w:tcBorders>
              <w:top w:val="single" w:sz="4" w:space="0" w:color="000000"/>
              <w:left w:val="single" w:sz="4" w:space="0" w:color="000000"/>
              <w:bottom w:val="single" w:sz="4" w:space="0" w:color="000000"/>
              <w:right w:val="single" w:sz="4" w:space="0" w:color="000000"/>
            </w:tcBorders>
          </w:tcPr>
          <w:p w14:paraId="200088E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0102-420-0003-423</w:t>
            </w:r>
          </w:p>
        </w:tc>
        <w:tc>
          <w:tcPr>
            <w:tcW w:w="883" w:type="dxa"/>
            <w:tcBorders>
              <w:top w:val="single" w:sz="4" w:space="0" w:color="000000"/>
              <w:left w:val="single" w:sz="4" w:space="0" w:color="000000"/>
              <w:bottom w:val="single" w:sz="4" w:space="0" w:color="000000"/>
              <w:right w:val="single" w:sz="4" w:space="0" w:color="000000"/>
            </w:tcBorders>
          </w:tcPr>
          <w:p w14:paraId="4F908CA9" w14:textId="77777777" w:rsidR="00A0251B" w:rsidRPr="00CC35F0" w:rsidRDefault="00A0251B">
            <w:pPr>
              <w:jc w:val="right"/>
              <w:rPr>
                <w:rFonts w:ascii="Times New Roman" w:eastAsia="Times New Roman" w:hAnsi="Times New Roman"/>
                <w:sz w:val="24"/>
                <w:szCs w:val="24"/>
                <w:lang w:val="sr-Cyrl-CS"/>
              </w:rPr>
            </w:pPr>
          </w:p>
        </w:tc>
        <w:tc>
          <w:tcPr>
            <w:tcW w:w="1034" w:type="dxa"/>
            <w:tcBorders>
              <w:top w:val="single" w:sz="4" w:space="0" w:color="000000"/>
              <w:left w:val="single" w:sz="4" w:space="0" w:color="000000"/>
              <w:bottom w:val="single" w:sz="4" w:space="0" w:color="000000"/>
              <w:right w:val="single" w:sz="4" w:space="0" w:color="000000"/>
            </w:tcBorders>
          </w:tcPr>
          <w:p w14:paraId="77711691" w14:textId="77777777" w:rsidR="00A0251B" w:rsidRPr="00CC35F0" w:rsidRDefault="00A0251B">
            <w:pPr>
              <w:jc w:val="right"/>
              <w:rPr>
                <w:rFonts w:ascii="Times New Roman" w:eastAsia="Times New Roman" w:hAnsi="Times New Roman"/>
                <w:sz w:val="24"/>
                <w:szCs w:val="24"/>
                <w:lang w:val="sr-Cyrl-CS"/>
              </w:rPr>
            </w:pPr>
          </w:p>
        </w:tc>
        <w:tc>
          <w:tcPr>
            <w:tcW w:w="1032" w:type="dxa"/>
            <w:tcBorders>
              <w:top w:val="single" w:sz="4" w:space="0" w:color="000000"/>
              <w:left w:val="single" w:sz="4" w:space="0" w:color="000000"/>
              <w:bottom w:val="single" w:sz="4" w:space="0" w:color="000000"/>
              <w:right w:val="single" w:sz="4" w:space="0" w:color="000000"/>
            </w:tcBorders>
          </w:tcPr>
          <w:p w14:paraId="487BBD7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5.875</w:t>
            </w:r>
          </w:p>
        </w:tc>
        <w:tc>
          <w:tcPr>
            <w:tcW w:w="885" w:type="dxa"/>
            <w:tcBorders>
              <w:top w:val="single" w:sz="4" w:space="0" w:color="000000"/>
              <w:left w:val="single" w:sz="4" w:space="0" w:color="000000"/>
              <w:bottom w:val="single" w:sz="4" w:space="0" w:color="000000"/>
              <w:right w:val="single" w:sz="4" w:space="0" w:color="000000"/>
            </w:tcBorders>
          </w:tcPr>
          <w:p w14:paraId="4E1FB98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5.875</w:t>
            </w:r>
          </w:p>
        </w:tc>
        <w:tc>
          <w:tcPr>
            <w:tcW w:w="885" w:type="dxa"/>
            <w:tcBorders>
              <w:top w:val="single" w:sz="4" w:space="0" w:color="000000"/>
              <w:left w:val="single" w:sz="4" w:space="0" w:color="000000"/>
              <w:bottom w:val="single" w:sz="4" w:space="0" w:color="000000"/>
              <w:right w:val="single" w:sz="4" w:space="0" w:color="000000"/>
            </w:tcBorders>
          </w:tcPr>
          <w:p w14:paraId="321D0DD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82.838</w:t>
            </w:r>
          </w:p>
        </w:tc>
      </w:tr>
      <w:tr w:rsidR="00A0251B" w:rsidRPr="00CC35F0" w14:paraId="50CC85BD" w14:textId="77777777" w:rsidTr="0084294D">
        <w:trPr>
          <w:trHeight w:val="140"/>
        </w:trPr>
        <w:tc>
          <w:tcPr>
            <w:tcW w:w="1932" w:type="dxa"/>
            <w:tcBorders>
              <w:top w:val="single" w:sz="4" w:space="0" w:color="000000"/>
              <w:left w:val="single" w:sz="4" w:space="0" w:color="000000"/>
              <w:bottom w:val="single" w:sz="4" w:space="0" w:color="000000"/>
              <w:right w:val="single" w:sz="4" w:space="0" w:color="000000"/>
            </w:tcBorders>
          </w:tcPr>
          <w:p w14:paraId="4DAC16E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1.3.1.8 Завршетак издавања интегрисаних дозвола за фарме на основу примене најбољих </w:t>
            </w:r>
            <w:r w:rsidRPr="00CC35F0">
              <w:rPr>
                <w:rFonts w:ascii="Times New Roman" w:eastAsia="Times New Roman" w:hAnsi="Times New Roman"/>
                <w:color w:val="000000"/>
                <w:sz w:val="24"/>
                <w:szCs w:val="24"/>
                <w:lang w:val="sr-Cyrl-CS"/>
              </w:rPr>
              <w:lastRenderedPageBreak/>
              <w:t>доступних техника.</w:t>
            </w:r>
          </w:p>
        </w:tc>
        <w:tc>
          <w:tcPr>
            <w:tcW w:w="1689" w:type="dxa"/>
            <w:tcBorders>
              <w:top w:val="single" w:sz="4" w:space="0" w:color="000000"/>
              <w:left w:val="single" w:sz="4" w:space="0" w:color="000000"/>
              <w:bottom w:val="single" w:sz="4" w:space="0" w:color="000000"/>
              <w:right w:val="single" w:sz="4" w:space="0" w:color="000000"/>
            </w:tcBorders>
          </w:tcPr>
          <w:p w14:paraId="5DF74A99" w14:textId="77777777" w:rsidR="00A0251B" w:rsidRPr="00CC35F0" w:rsidRDefault="008D6506">
            <w:pPr>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МЗЖС</w:t>
            </w:r>
          </w:p>
          <w:p w14:paraId="72F5AFA3" w14:textId="77777777" w:rsidR="00A0251B" w:rsidRPr="00CC35F0" w:rsidRDefault="00A0251B">
            <w:pPr>
              <w:jc w:val="left"/>
              <w:rPr>
                <w:rFonts w:ascii="Times New Roman" w:eastAsia="Times New Roman" w:hAnsi="Times New Roman"/>
                <w:color w:val="000000"/>
                <w:sz w:val="24"/>
                <w:szCs w:val="24"/>
                <w:lang w:val="sr-Cyrl-CS"/>
              </w:rPr>
            </w:pPr>
          </w:p>
        </w:tc>
        <w:tc>
          <w:tcPr>
            <w:tcW w:w="1797" w:type="dxa"/>
            <w:tcBorders>
              <w:top w:val="single" w:sz="4" w:space="0" w:color="000000"/>
              <w:left w:val="single" w:sz="4" w:space="0" w:color="000000"/>
              <w:bottom w:val="single" w:sz="4" w:space="0" w:color="000000"/>
              <w:right w:val="single" w:sz="4" w:space="0" w:color="000000"/>
            </w:tcBorders>
          </w:tcPr>
          <w:p w14:paraId="565FFB2C" w14:textId="77777777" w:rsidR="00A0251B" w:rsidRPr="00CC35F0" w:rsidRDefault="00A0251B">
            <w:pPr>
              <w:jc w:val="left"/>
              <w:rPr>
                <w:rFonts w:ascii="Times New Roman" w:eastAsia="Times New Roman" w:hAnsi="Times New Roman"/>
                <w:color w:val="000000"/>
                <w:sz w:val="24"/>
                <w:szCs w:val="24"/>
                <w:lang w:val="sr-Cyrl-CS"/>
              </w:rPr>
            </w:pPr>
          </w:p>
        </w:tc>
        <w:tc>
          <w:tcPr>
            <w:tcW w:w="1368" w:type="dxa"/>
            <w:tcBorders>
              <w:top w:val="single" w:sz="4" w:space="0" w:color="000000"/>
              <w:left w:val="single" w:sz="4" w:space="0" w:color="000000"/>
              <w:bottom w:val="single" w:sz="4" w:space="0" w:color="000000"/>
              <w:right w:val="single" w:sz="4" w:space="0" w:color="000000"/>
            </w:tcBorders>
          </w:tcPr>
          <w:p w14:paraId="3B33A3A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2025</w:t>
            </w:r>
          </w:p>
        </w:tc>
        <w:tc>
          <w:tcPr>
            <w:tcW w:w="1537" w:type="dxa"/>
            <w:tcBorders>
              <w:top w:val="single" w:sz="4" w:space="0" w:color="000000"/>
              <w:left w:val="single" w:sz="4" w:space="0" w:color="000000"/>
              <w:bottom w:val="single" w:sz="4" w:space="0" w:color="000000"/>
              <w:right w:val="single" w:sz="4" w:space="0" w:color="000000"/>
            </w:tcBorders>
          </w:tcPr>
          <w:p w14:paraId="471ACB6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tc>
        <w:tc>
          <w:tcPr>
            <w:tcW w:w="1499" w:type="dxa"/>
            <w:tcBorders>
              <w:top w:val="single" w:sz="4" w:space="0" w:color="000000"/>
              <w:left w:val="single" w:sz="4" w:space="0" w:color="000000"/>
              <w:bottom w:val="single" w:sz="4" w:space="0" w:color="000000"/>
              <w:right w:val="single" w:sz="4" w:space="0" w:color="000000"/>
            </w:tcBorders>
          </w:tcPr>
          <w:p w14:paraId="69FA5162" w14:textId="77777777" w:rsidR="00A0251B" w:rsidRPr="00CC35F0" w:rsidRDefault="00A0251B">
            <w:pPr>
              <w:jc w:val="right"/>
              <w:rPr>
                <w:rFonts w:ascii="Times New Roman" w:eastAsia="Times New Roman" w:hAnsi="Times New Roman"/>
                <w:sz w:val="24"/>
                <w:szCs w:val="24"/>
                <w:lang w:val="sr-Cyrl-CS"/>
              </w:rPr>
            </w:pPr>
          </w:p>
        </w:tc>
        <w:tc>
          <w:tcPr>
            <w:tcW w:w="883" w:type="dxa"/>
            <w:tcBorders>
              <w:top w:val="single" w:sz="4" w:space="0" w:color="000000"/>
              <w:left w:val="single" w:sz="4" w:space="0" w:color="000000"/>
              <w:bottom w:val="single" w:sz="4" w:space="0" w:color="000000"/>
              <w:right w:val="single" w:sz="4" w:space="0" w:color="000000"/>
            </w:tcBorders>
          </w:tcPr>
          <w:p w14:paraId="43111F6D" w14:textId="77777777" w:rsidR="00A0251B" w:rsidRPr="00CC35F0" w:rsidRDefault="00A0251B">
            <w:pPr>
              <w:jc w:val="right"/>
              <w:rPr>
                <w:rFonts w:ascii="Times New Roman" w:eastAsia="Times New Roman" w:hAnsi="Times New Roman"/>
                <w:sz w:val="24"/>
                <w:szCs w:val="24"/>
                <w:lang w:val="sr-Cyrl-CS"/>
              </w:rPr>
            </w:pPr>
          </w:p>
        </w:tc>
        <w:tc>
          <w:tcPr>
            <w:tcW w:w="1034" w:type="dxa"/>
            <w:tcBorders>
              <w:top w:val="single" w:sz="4" w:space="0" w:color="000000"/>
              <w:left w:val="single" w:sz="4" w:space="0" w:color="000000"/>
              <w:bottom w:val="single" w:sz="4" w:space="0" w:color="000000"/>
              <w:right w:val="single" w:sz="4" w:space="0" w:color="000000"/>
            </w:tcBorders>
          </w:tcPr>
          <w:p w14:paraId="02EF77FC" w14:textId="77777777" w:rsidR="00A0251B" w:rsidRPr="00CC35F0" w:rsidRDefault="0084294D">
            <w:pPr>
              <w:jc w:val="right"/>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КДА</w:t>
            </w:r>
            <w:r w:rsidR="00104A82" w:rsidRPr="00CC35F0">
              <w:rPr>
                <w:rFonts w:ascii="Times New Roman" w:eastAsia="Times New Roman" w:hAnsi="Times New Roman"/>
                <w:sz w:val="24"/>
                <w:szCs w:val="24"/>
                <w:vertAlign w:val="superscript"/>
                <w:lang w:val="sr-Cyrl-CS"/>
              </w:rPr>
              <w:t>96</w:t>
            </w:r>
          </w:p>
        </w:tc>
        <w:tc>
          <w:tcPr>
            <w:tcW w:w="1032" w:type="dxa"/>
            <w:tcBorders>
              <w:top w:val="single" w:sz="4" w:space="0" w:color="000000"/>
              <w:left w:val="single" w:sz="4" w:space="0" w:color="000000"/>
              <w:bottom w:val="single" w:sz="4" w:space="0" w:color="000000"/>
              <w:right w:val="single" w:sz="4" w:space="0" w:color="000000"/>
            </w:tcBorders>
          </w:tcPr>
          <w:p w14:paraId="37DABAC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885" w:type="dxa"/>
            <w:tcBorders>
              <w:top w:val="single" w:sz="4" w:space="0" w:color="000000"/>
              <w:left w:val="single" w:sz="4" w:space="0" w:color="000000"/>
              <w:bottom w:val="single" w:sz="4" w:space="0" w:color="000000"/>
              <w:right w:val="single" w:sz="4" w:space="0" w:color="000000"/>
            </w:tcBorders>
          </w:tcPr>
          <w:p w14:paraId="5D3CB2B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885" w:type="dxa"/>
            <w:tcBorders>
              <w:top w:val="single" w:sz="4" w:space="0" w:color="000000"/>
              <w:left w:val="single" w:sz="4" w:space="0" w:color="000000"/>
              <w:bottom w:val="single" w:sz="4" w:space="0" w:color="000000"/>
              <w:right w:val="single" w:sz="4" w:space="0" w:color="000000"/>
            </w:tcBorders>
          </w:tcPr>
          <w:p w14:paraId="7CA13DC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r>
      <w:tr w:rsidR="00A0251B" w:rsidRPr="00CC35F0" w14:paraId="3AB4A31C" w14:textId="77777777" w:rsidTr="0084294D">
        <w:trPr>
          <w:trHeight w:val="140"/>
        </w:trPr>
        <w:tc>
          <w:tcPr>
            <w:tcW w:w="1932" w:type="dxa"/>
            <w:tcBorders>
              <w:top w:val="single" w:sz="4" w:space="0" w:color="000000"/>
              <w:left w:val="single" w:sz="4" w:space="0" w:color="000000"/>
              <w:bottom w:val="single" w:sz="4" w:space="0" w:color="000000"/>
              <w:right w:val="single" w:sz="4" w:space="0" w:color="000000"/>
            </w:tcBorders>
          </w:tcPr>
          <w:p w14:paraId="51337A34" w14:textId="77777777" w:rsidR="00A0251B" w:rsidRPr="00CC35F0" w:rsidRDefault="008D6506">
            <w:pPr>
              <w:rPr>
                <w:rFonts w:ascii="Times New Roman" w:eastAsia="Times New Roman" w:hAnsi="Times New Roman"/>
                <w:color w:val="000000"/>
                <w:sz w:val="24"/>
                <w:szCs w:val="24"/>
                <w:highlight w:val="yellow"/>
                <w:lang w:val="sr-Cyrl-CS"/>
              </w:rPr>
            </w:pPr>
            <w:r w:rsidRPr="00CC35F0">
              <w:rPr>
                <w:rFonts w:ascii="Times New Roman" w:eastAsia="Times New Roman" w:hAnsi="Times New Roman"/>
                <w:color w:val="000000"/>
                <w:sz w:val="24"/>
                <w:szCs w:val="24"/>
                <w:lang w:val="sr-Cyrl-CS"/>
              </w:rPr>
              <w:t>1.3.1.9 Спровођење годишње анкете о примени најбоље праксе на фармама.</w:t>
            </w:r>
            <w:r w:rsidR="00101DF4" w:rsidRPr="00CC35F0">
              <w:rPr>
                <w:rFonts w:ascii="Times New Roman" w:eastAsia="Times New Roman" w:hAnsi="Times New Roman"/>
                <w:sz w:val="24"/>
                <w:szCs w:val="24"/>
                <w:vertAlign w:val="superscript"/>
                <w:lang w:val="sr-Cyrl-CS"/>
              </w:rPr>
              <w:t>#</w:t>
            </w:r>
          </w:p>
        </w:tc>
        <w:tc>
          <w:tcPr>
            <w:tcW w:w="1689" w:type="dxa"/>
            <w:tcBorders>
              <w:top w:val="single" w:sz="4" w:space="0" w:color="000000"/>
              <w:left w:val="single" w:sz="4" w:space="0" w:color="000000"/>
              <w:bottom w:val="single" w:sz="4" w:space="0" w:color="000000"/>
              <w:right w:val="single" w:sz="4" w:space="0" w:color="000000"/>
            </w:tcBorders>
          </w:tcPr>
          <w:p w14:paraId="3EE3EEDD" w14:textId="77777777" w:rsidR="00A0251B" w:rsidRPr="00CC35F0" w:rsidRDefault="008D6506">
            <w:pPr>
              <w:jc w:val="left"/>
              <w:rPr>
                <w:rFonts w:ascii="Times New Roman" w:eastAsia="Times New Roman" w:hAnsi="Times New Roman"/>
                <w:color w:val="000000"/>
                <w:sz w:val="24"/>
                <w:szCs w:val="24"/>
                <w:lang w:val="sr-Cyrl-CS"/>
              </w:rPr>
            </w:pPr>
            <w:r w:rsidRPr="005E124C">
              <w:rPr>
                <w:rFonts w:ascii="Times New Roman" w:eastAsia="Times New Roman" w:hAnsi="Times New Roman"/>
                <w:color w:val="000000"/>
                <w:lang w:val="sr-Cyrl-CS"/>
              </w:rPr>
              <w:t xml:space="preserve">Министарство пољопривреде, </w:t>
            </w:r>
            <w:r w:rsidRPr="00CC35F0">
              <w:rPr>
                <w:rFonts w:ascii="Times New Roman" w:eastAsia="Times New Roman" w:hAnsi="Times New Roman"/>
                <w:color w:val="000000"/>
                <w:sz w:val="24"/>
                <w:szCs w:val="24"/>
                <w:lang w:val="sr-Cyrl-CS"/>
              </w:rPr>
              <w:t>шумарства и водопривреде</w:t>
            </w:r>
          </w:p>
        </w:tc>
        <w:tc>
          <w:tcPr>
            <w:tcW w:w="1797" w:type="dxa"/>
            <w:tcBorders>
              <w:top w:val="single" w:sz="4" w:space="0" w:color="000000"/>
              <w:left w:val="single" w:sz="4" w:space="0" w:color="000000"/>
              <w:bottom w:val="single" w:sz="4" w:space="0" w:color="000000"/>
              <w:right w:val="single" w:sz="4" w:space="0" w:color="000000"/>
            </w:tcBorders>
          </w:tcPr>
          <w:p w14:paraId="494F632F" w14:textId="77777777" w:rsidR="00A0251B" w:rsidRPr="00CC35F0" w:rsidRDefault="00A0251B">
            <w:pPr>
              <w:jc w:val="left"/>
              <w:rPr>
                <w:rFonts w:ascii="Times New Roman" w:eastAsia="Times New Roman" w:hAnsi="Times New Roman"/>
                <w:color w:val="000000"/>
                <w:sz w:val="24"/>
                <w:szCs w:val="24"/>
                <w:lang w:val="sr-Cyrl-CS"/>
              </w:rPr>
            </w:pPr>
          </w:p>
        </w:tc>
        <w:tc>
          <w:tcPr>
            <w:tcW w:w="1368" w:type="dxa"/>
            <w:tcBorders>
              <w:top w:val="single" w:sz="4" w:space="0" w:color="000000"/>
              <w:left w:val="single" w:sz="4" w:space="0" w:color="000000"/>
              <w:bottom w:val="single" w:sz="4" w:space="0" w:color="000000"/>
              <w:right w:val="single" w:sz="4" w:space="0" w:color="000000"/>
            </w:tcBorders>
          </w:tcPr>
          <w:p w14:paraId="059CE62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537" w:type="dxa"/>
            <w:tcBorders>
              <w:top w:val="single" w:sz="4" w:space="0" w:color="000000"/>
              <w:left w:val="single" w:sz="4" w:space="0" w:color="000000"/>
              <w:bottom w:val="single" w:sz="4" w:space="0" w:color="000000"/>
              <w:right w:val="single" w:sz="4" w:space="0" w:color="000000"/>
            </w:tcBorders>
          </w:tcPr>
          <w:p w14:paraId="6F373FF6"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tc>
        <w:tc>
          <w:tcPr>
            <w:tcW w:w="1499" w:type="dxa"/>
            <w:tcBorders>
              <w:top w:val="single" w:sz="4" w:space="0" w:color="000000"/>
              <w:left w:val="single" w:sz="4" w:space="0" w:color="000000"/>
              <w:bottom w:val="single" w:sz="4" w:space="0" w:color="000000"/>
              <w:right w:val="single" w:sz="4" w:space="0" w:color="000000"/>
            </w:tcBorders>
          </w:tcPr>
          <w:p w14:paraId="359DA49F" w14:textId="77777777" w:rsidR="00A0251B" w:rsidRPr="00CC35F0" w:rsidRDefault="00A0251B">
            <w:pPr>
              <w:jc w:val="right"/>
              <w:rPr>
                <w:rFonts w:ascii="Times New Roman" w:eastAsia="Times New Roman" w:hAnsi="Times New Roman"/>
                <w:sz w:val="24"/>
                <w:szCs w:val="24"/>
                <w:lang w:val="sr-Cyrl-CS"/>
              </w:rPr>
            </w:pPr>
          </w:p>
        </w:tc>
        <w:tc>
          <w:tcPr>
            <w:tcW w:w="883" w:type="dxa"/>
            <w:tcBorders>
              <w:top w:val="single" w:sz="4" w:space="0" w:color="000000"/>
              <w:left w:val="single" w:sz="4" w:space="0" w:color="000000"/>
              <w:bottom w:val="single" w:sz="4" w:space="0" w:color="000000"/>
              <w:right w:val="single" w:sz="4" w:space="0" w:color="000000"/>
            </w:tcBorders>
          </w:tcPr>
          <w:p w14:paraId="7BC14319" w14:textId="77777777" w:rsidR="00A0251B" w:rsidRPr="00CC35F0" w:rsidRDefault="00A0251B">
            <w:pPr>
              <w:jc w:val="right"/>
              <w:rPr>
                <w:rFonts w:ascii="Times New Roman" w:eastAsia="Times New Roman" w:hAnsi="Times New Roman"/>
                <w:sz w:val="24"/>
                <w:szCs w:val="24"/>
                <w:lang w:val="sr-Cyrl-CS"/>
              </w:rPr>
            </w:pPr>
          </w:p>
        </w:tc>
        <w:tc>
          <w:tcPr>
            <w:tcW w:w="1034" w:type="dxa"/>
            <w:tcBorders>
              <w:top w:val="single" w:sz="4" w:space="0" w:color="000000"/>
              <w:left w:val="single" w:sz="4" w:space="0" w:color="000000"/>
              <w:bottom w:val="single" w:sz="4" w:space="0" w:color="000000"/>
              <w:right w:val="single" w:sz="4" w:space="0" w:color="000000"/>
            </w:tcBorders>
          </w:tcPr>
          <w:p w14:paraId="40380008" w14:textId="77777777" w:rsidR="00A0251B" w:rsidRPr="00CC35F0" w:rsidRDefault="00A0251B">
            <w:pPr>
              <w:jc w:val="right"/>
              <w:rPr>
                <w:rFonts w:ascii="Times New Roman" w:eastAsia="Times New Roman" w:hAnsi="Times New Roman"/>
                <w:sz w:val="24"/>
                <w:szCs w:val="24"/>
                <w:lang w:val="sr-Cyrl-CS"/>
              </w:rPr>
            </w:pPr>
          </w:p>
        </w:tc>
        <w:tc>
          <w:tcPr>
            <w:tcW w:w="1032" w:type="dxa"/>
            <w:tcBorders>
              <w:top w:val="single" w:sz="4" w:space="0" w:color="000000"/>
              <w:left w:val="single" w:sz="4" w:space="0" w:color="000000"/>
              <w:bottom w:val="single" w:sz="4" w:space="0" w:color="000000"/>
              <w:right w:val="single" w:sz="4" w:space="0" w:color="000000"/>
            </w:tcBorders>
          </w:tcPr>
          <w:p w14:paraId="3F6606C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footnoteReference w:id="98"/>
            </w:r>
          </w:p>
        </w:tc>
        <w:tc>
          <w:tcPr>
            <w:tcW w:w="885" w:type="dxa"/>
            <w:tcBorders>
              <w:top w:val="single" w:sz="4" w:space="0" w:color="000000"/>
              <w:left w:val="single" w:sz="4" w:space="0" w:color="000000"/>
              <w:bottom w:val="single" w:sz="4" w:space="0" w:color="000000"/>
              <w:right w:val="single" w:sz="4" w:space="0" w:color="000000"/>
            </w:tcBorders>
          </w:tcPr>
          <w:p w14:paraId="481DD76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885" w:type="dxa"/>
            <w:tcBorders>
              <w:top w:val="single" w:sz="4" w:space="0" w:color="000000"/>
              <w:left w:val="single" w:sz="4" w:space="0" w:color="000000"/>
              <w:bottom w:val="single" w:sz="4" w:space="0" w:color="000000"/>
              <w:right w:val="single" w:sz="4" w:space="0" w:color="000000"/>
            </w:tcBorders>
          </w:tcPr>
          <w:p w14:paraId="3BDD7A96"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r>
    </w:tbl>
    <w:p w14:paraId="3EE2421D" w14:textId="77777777" w:rsidR="00A0251B" w:rsidRPr="00CC35F0" w:rsidRDefault="00A0251B">
      <w:pPr>
        <w:rPr>
          <w:rFonts w:ascii="Times New Roman" w:eastAsia="Times New Roman" w:hAnsi="Times New Roman"/>
          <w:sz w:val="24"/>
          <w:szCs w:val="24"/>
          <w:lang w:val="sr-Cyrl-CS"/>
        </w:rPr>
      </w:pPr>
    </w:p>
    <w:p w14:paraId="090F1D51" w14:textId="77777777" w:rsidR="00A0251B" w:rsidRPr="00CC35F0" w:rsidRDefault="00A0251B">
      <w:pPr>
        <w:spacing w:after="160"/>
        <w:jc w:val="left"/>
        <w:rPr>
          <w:rFonts w:ascii="Times New Roman" w:eastAsia="Times New Roman" w:hAnsi="Times New Roman"/>
          <w:sz w:val="24"/>
          <w:szCs w:val="24"/>
          <w:lang w:val="sr-Cyrl-CS"/>
        </w:rPr>
      </w:pPr>
    </w:p>
    <w:tbl>
      <w:tblPr>
        <w:tblStyle w:val="affff0"/>
        <w:tblW w:w="14033"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8"/>
        <w:gridCol w:w="1267"/>
        <w:gridCol w:w="1454"/>
        <w:gridCol w:w="1037"/>
        <w:gridCol w:w="1123"/>
        <w:gridCol w:w="1548"/>
        <w:gridCol w:w="1536"/>
        <w:gridCol w:w="1572"/>
        <w:gridCol w:w="1269"/>
        <w:gridCol w:w="9"/>
      </w:tblGrid>
      <w:tr w:rsidR="00A0251B" w:rsidRPr="00CC35F0" w14:paraId="0CD8203B" w14:textId="77777777">
        <w:trPr>
          <w:trHeight w:val="168"/>
        </w:trPr>
        <w:tc>
          <w:tcPr>
            <w:tcW w:w="14033" w:type="dxa"/>
            <w:gridSpan w:val="10"/>
            <w:shd w:val="clear" w:color="auto" w:fill="F7CBAC"/>
          </w:tcPr>
          <w:p w14:paraId="23E46A8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1.3.2: </w:t>
            </w:r>
            <w:r w:rsidRPr="00CC35F0">
              <w:rPr>
                <w:rFonts w:ascii="Times New Roman" w:eastAsia="Times New Roman" w:hAnsi="Times New Roman"/>
                <w:b/>
                <w:color w:val="000000"/>
                <w:sz w:val="24"/>
                <w:szCs w:val="24"/>
                <w:lang w:val="sr-Cyrl-CS"/>
              </w:rPr>
              <w:t xml:space="preserve">Замена ђубрива на бази урее ђубривима на бази амонијум-нитрата </w:t>
            </w:r>
          </w:p>
        </w:tc>
      </w:tr>
      <w:tr w:rsidR="00A0251B" w:rsidRPr="00CC35F0" w14:paraId="28490FE8" w14:textId="77777777">
        <w:trPr>
          <w:trHeight w:val="298"/>
        </w:trPr>
        <w:tc>
          <w:tcPr>
            <w:tcW w:w="14033" w:type="dxa"/>
            <w:gridSpan w:val="10"/>
            <w:shd w:val="clear" w:color="auto" w:fill="F7CBAC"/>
            <w:vAlign w:val="center"/>
          </w:tcPr>
          <w:p w14:paraId="5A5920B8"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Министарство пољопривреде, шумарства и водопривреде</w:t>
            </w:r>
          </w:p>
        </w:tc>
      </w:tr>
      <w:tr w:rsidR="00A0251B" w:rsidRPr="00CC35F0" w14:paraId="6791ABBC" w14:textId="77777777">
        <w:trPr>
          <w:gridAfter w:val="1"/>
          <w:wAfter w:w="9" w:type="dxa"/>
          <w:trHeight w:val="298"/>
        </w:trPr>
        <w:tc>
          <w:tcPr>
            <w:tcW w:w="5939" w:type="dxa"/>
            <w:gridSpan w:val="3"/>
            <w:shd w:val="clear" w:color="auto" w:fill="F7CBAC"/>
          </w:tcPr>
          <w:p w14:paraId="15F401B0"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Период спровођења: 2023-2026</w:t>
            </w:r>
            <w:r w:rsidR="00101DF4" w:rsidRPr="00CC35F0">
              <w:rPr>
                <w:rFonts w:ascii="Times New Roman" w:eastAsia="Times New Roman" w:hAnsi="Times New Roman"/>
                <w:sz w:val="24"/>
                <w:szCs w:val="24"/>
                <w:vertAlign w:val="superscript"/>
                <w:lang w:val="sr-Cyrl-CS"/>
              </w:rPr>
              <w:t>#</w:t>
            </w:r>
          </w:p>
        </w:tc>
        <w:tc>
          <w:tcPr>
            <w:tcW w:w="8085" w:type="dxa"/>
            <w:gridSpan w:val="6"/>
            <w:shd w:val="clear" w:color="auto" w:fill="F7CBAC"/>
          </w:tcPr>
          <w:p w14:paraId="4CF17E9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Информативно - едукативна</w:t>
            </w:r>
          </w:p>
        </w:tc>
      </w:tr>
      <w:tr w:rsidR="00A0251B" w:rsidRPr="00CC35F0" w14:paraId="2CAABBFB" w14:textId="77777777">
        <w:trPr>
          <w:gridAfter w:val="1"/>
          <w:wAfter w:w="9" w:type="dxa"/>
          <w:trHeight w:val="298"/>
        </w:trPr>
        <w:tc>
          <w:tcPr>
            <w:tcW w:w="5939" w:type="dxa"/>
            <w:gridSpan w:val="3"/>
            <w:shd w:val="clear" w:color="auto" w:fill="F7CBAC"/>
          </w:tcPr>
          <w:p w14:paraId="5A763F6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8085" w:type="dxa"/>
            <w:gridSpan w:val="6"/>
            <w:shd w:val="clear" w:color="auto" w:fill="F7CBAC"/>
          </w:tcPr>
          <w:p w14:paraId="056C73F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НП</w:t>
            </w:r>
          </w:p>
        </w:tc>
      </w:tr>
      <w:tr w:rsidR="00A0251B" w:rsidRPr="00CC35F0" w14:paraId="0A495575" w14:textId="77777777">
        <w:trPr>
          <w:gridAfter w:val="1"/>
          <w:wAfter w:w="9" w:type="dxa"/>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2CFA447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1820FFCB" w14:textId="77777777" w:rsidR="00A0251B" w:rsidRPr="00CC35F0" w:rsidRDefault="00A0251B">
            <w:pPr>
              <w:jc w:val="center"/>
              <w:rPr>
                <w:rFonts w:ascii="Times New Roman" w:eastAsia="Times New Roman" w:hAnsi="Times New Roman"/>
                <w:sz w:val="24"/>
                <w:szCs w:val="24"/>
                <w:lang w:val="sr-Cyrl-CS"/>
              </w:rPr>
            </w:pPr>
          </w:p>
        </w:tc>
        <w:tc>
          <w:tcPr>
            <w:tcW w:w="1267" w:type="dxa"/>
            <w:tcBorders>
              <w:top w:val="single" w:sz="4" w:space="0" w:color="000000"/>
              <w:left w:val="single" w:sz="4" w:space="0" w:color="000000"/>
              <w:bottom w:val="single" w:sz="4" w:space="0" w:color="000000"/>
              <w:right w:val="single" w:sz="4" w:space="0" w:color="000000"/>
            </w:tcBorders>
            <w:shd w:val="clear" w:color="auto" w:fill="D9D9D9"/>
          </w:tcPr>
          <w:p w14:paraId="4501C69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54" w:type="dxa"/>
            <w:tcBorders>
              <w:top w:val="single" w:sz="4" w:space="0" w:color="000000"/>
              <w:left w:val="single" w:sz="4" w:space="0" w:color="000000"/>
              <w:bottom w:val="single" w:sz="4" w:space="0" w:color="000000"/>
              <w:right w:val="single" w:sz="4" w:space="0" w:color="000000"/>
            </w:tcBorders>
            <w:shd w:val="clear" w:color="auto" w:fill="D9D9D9"/>
          </w:tcPr>
          <w:p w14:paraId="702B8EE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5E124C">
              <w:rPr>
                <w:rFonts w:ascii="Times New Roman" w:eastAsia="Times New Roman" w:hAnsi="Times New Roman"/>
                <w:sz w:val="20"/>
                <w:szCs w:val="20"/>
                <w:lang w:val="sr-Cyrl-CS"/>
              </w:rPr>
              <w:t>верификације</w:t>
            </w:r>
          </w:p>
        </w:tc>
        <w:tc>
          <w:tcPr>
            <w:tcW w:w="1037" w:type="dxa"/>
            <w:tcBorders>
              <w:top w:val="single" w:sz="4" w:space="0" w:color="000000"/>
              <w:left w:val="single" w:sz="4" w:space="0" w:color="000000"/>
              <w:bottom w:val="single" w:sz="4" w:space="0" w:color="000000"/>
              <w:right w:val="single" w:sz="4" w:space="0" w:color="000000"/>
            </w:tcBorders>
            <w:shd w:val="clear" w:color="auto" w:fill="D9D9D9"/>
          </w:tcPr>
          <w:p w14:paraId="52151E49" w14:textId="77777777" w:rsidR="00A0251B" w:rsidRPr="00CC35F0" w:rsidRDefault="008D6506">
            <w:pPr>
              <w:jc w:val="center"/>
              <w:rPr>
                <w:rFonts w:ascii="Times New Roman" w:eastAsia="Times New Roman" w:hAnsi="Times New Roman"/>
                <w:sz w:val="24"/>
                <w:szCs w:val="24"/>
                <w:lang w:val="sr-Cyrl-CS"/>
              </w:rPr>
            </w:pPr>
            <w:r w:rsidRPr="005E124C">
              <w:rPr>
                <w:rFonts w:ascii="Times New Roman" w:eastAsia="Times New Roman" w:hAnsi="Times New Roman"/>
                <w:lang w:val="sr-Cyrl-CS"/>
              </w:rPr>
              <w:t xml:space="preserve">Почетна </w:t>
            </w:r>
            <w:r w:rsidRPr="005E124C">
              <w:rPr>
                <w:rFonts w:ascii="Times New Roman" w:eastAsia="Times New Roman" w:hAnsi="Times New Roman"/>
                <w:sz w:val="20"/>
                <w:szCs w:val="20"/>
                <w:lang w:val="sr-Cyrl-CS"/>
              </w:rPr>
              <w:t xml:space="preserve">вредност </w:t>
            </w:r>
            <w:r w:rsidRPr="00CC35F0">
              <w:rPr>
                <w:rFonts w:ascii="Times New Roman" w:eastAsia="Times New Roman" w:hAnsi="Times New Roman"/>
                <w:sz w:val="24"/>
                <w:szCs w:val="24"/>
                <w:lang w:val="sr-Cyrl-CS"/>
              </w:rPr>
              <w:t>2015. године</w:t>
            </w:r>
          </w:p>
        </w:tc>
        <w:tc>
          <w:tcPr>
            <w:tcW w:w="1123" w:type="dxa"/>
            <w:tcBorders>
              <w:top w:val="single" w:sz="4" w:space="0" w:color="000000"/>
              <w:left w:val="single" w:sz="4" w:space="0" w:color="000000"/>
              <w:bottom w:val="single" w:sz="4" w:space="0" w:color="000000"/>
              <w:right w:val="single" w:sz="4" w:space="0" w:color="000000"/>
            </w:tcBorders>
            <w:shd w:val="clear" w:color="auto" w:fill="D9D9D9"/>
          </w:tcPr>
          <w:p w14:paraId="0F37BA8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Циљана </w:t>
            </w:r>
            <w:r w:rsidRPr="005E124C">
              <w:rPr>
                <w:rFonts w:ascii="Times New Roman" w:eastAsia="Times New Roman" w:hAnsi="Times New Roman"/>
                <w:sz w:val="20"/>
                <w:szCs w:val="20"/>
                <w:lang w:val="sr-Cyrl-CS"/>
              </w:rPr>
              <w:t>вредност</w:t>
            </w:r>
            <w:r w:rsidRPr="00CC35F0">
              <w:rPr>
                <w:rFonts w:ascii="Times New Roman" w:eastAsia="Times New Roman" w:hAnsi="Times New Roman"/>
                <w:sz w:val="24"/>
                <w:szCs w:val="24"/>
                <w:lang w:val="sr-Cyrl-CS"/>
              </w:rPr>
              <w:t xml:space="preserve"> 2022. година</w:t>
            </w:r>
          </w:p>
        </w:tc>
        <w:tc>
          <w:tcPr>
            <w:tcW w:w="1548" w:type="dxa"/>
            <w:tcBorders>
              <w:top w:val="single" w:sz="4" w:space="0" w:color="000000"/>
              <w:left w:val="single" w:sz="4" w:space="0" w:color="000000"/>
              <w:bottom w:val="single" w:sz="4" w:space="0" w:color="000000"/>
              <w:right w:val="single" w:sz="4" w:space="0" w:color="000000"/>
            </w:tcBorders>
            <w:shd w:val="clear" w:color="auto" w:fill="D9D9D9"/>
          </w:tcPr>
          <w:p w14:paraId="67FC798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6" w:type="dxa"/>
            <w:tcBorders>
              <w:top w:val="single" w:sz="4" w:space="0" w:color="000000"/>
              <w:left w:val="single" w:sz="4" w:space="0" w:color="000000"/>
              <w:bottom w:val="single" w:sz="4" w:space="0" w:color="000000"/>
              <w:right w:val="single" w:sz="4" w:space="0" w:color="000000"/>
            </w:tcBorders>
            <w:shd w:val="clear" w:color="auto" w:fill="D9D9D9"/>
          </w:tcPr>
          <w:p w14:paraId="5BCE323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72" w:type="dxa"/>
            <w:tcBorders>
              <w:top w:val="single" w:sz="4" w:space="0" w:color="000000"/>
              <w:left w:val="single" w:sz="4" w:space="0" w:color="000000"/>
              <w:bottom w:val="single" w:sz="4" w:space="0" w:color="000000"/>
              <w:right w:val="single" w:sz="4" w:space="0" w:color="000000"/>
            </w:tcBorders>
            <w:shd w:val="clear" w:color="auto" w:fill="D9D9D9"/>
          </w:tcPr>
          <w:p w14:paraId="106A28F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26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3B2B7F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Циљана вредност у </w:t>
            </w:r>
            <w:r w:rsidRPr="005E124C">
              <w:rPr>
                <w:rFonts w:ascii="Times New Roman" w:eastAsia="Times New Roman" w:hAnsi="Times New Roman"/>
                <w:lang w:val="sr-Cyrl-CS"/>
              </w:rPr>
              <w:t>последњој</w:t>
            </w:r>
            <w:r w:rsidRPr="00CC35F0">
              <w:rPr>
                <w:rFonts w:ascii="Times New Roman" w:eastAsia="Times New Roman" w:hAnsi="Times New Roman"/>
                <w:sz w:val="24"/>
                <w:szCs w:val="24"/>
                <w:lang w:val="sr-Cyrl-CS"/>
              </w:rPr>
              <w:t xml:space="preserve"> години АП, 2026. године</w:t>
            </w:r>
          </w:p>
        </w:tc>
      </w:tr>
      <w:tr w:rsidR="00A0251B" w:rsidRPr="00CC35F0" w14:paraId="66D8746F" w14:textId="77777777">
        <w:trPr>
          <w:gridAfter w:val="1"/>
          <w:wAfter w:w="9" w:type="dxa"/>
          <w:trHeight w:val="302"/>
        </w:trPr>
        <w:tc>
          <w:tcPr>
            <w:tcW w:w="3218" w:type="dxa"/>
            <w:shd w:val="clear" w:color="auto" w:fill="FFFFFF"/>
          </w:tcPr>
          <w:p w14:paraId="3A60163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урее у укупно нанесеном ђубриву од минералног азота (%)</w:t>
            </w:r>
          </w:p>
          <w:p w14:paraId="1341E67F" w14:textId="77777777" w:rsidR="00A0251B" w:rsidRPr="00CC35F0" w:rsidRDefault="00A0251B">
            <w:pPr>
              <w:shd w:val="clear" w:color="auto" w:fill="FFFFFF"/>
              <w:rPr>
                <w:rFonts w:ascii="Times New Roman" w:eastAsia="Times New Roman" w:hAnsi="Times New Roman"/>
                <w:sz w:val="24"/>
                <w:szCs w:val="24"/>
                <w:lang w:val="sr-Cyrl-CS"/>
              </w:rPr>
            </w:pPr>
          </w:p>
        </w:tc>
        <w:tc>
          <w:tcPr>
            <w:tcW w:w="1267" w:type="dxa"/>
            <w:shd w:val="clear" w:color="auto" w:fill="FFFFFF"/>
          </w:tcPr>
          <w:p w14:paraId="623462C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w:t>
            </w:r>
          </w:p>
        </w:tc>
        <w:tc>
          <w:tcPr>
            <w:tcW w:w="1454" w:type="dxa"/>
            <w:shd w:val="clear" w:color="auto" w:fill="FFFFFF"/>
          </w:tcPr>
          <w:p w14:paraId="0EBEB24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Годишња студија </w:t>
            </w:r>
            <w:r w:rsidRPr="005E124C">
              <w:rPr>
                <w:rFonts w:ascii="Times New Roman" w:eastAsia="Times New Roman" w:hAnsi="Times New Roman"/>
                <w:lang w:val="sr-Cyrl-CS"/>
              </w:rPr>
              <w:t>Саветодавне</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sz w:val="24"/>
                <w:szCs w:val="24"/>
                <w:lang w:val="sr-Cyrl-CS"/>
              </w:rPr>
              <w:lastRenderedPageBreak/>
              <w:t xml:space="preserve">службе о најбољим праксама </w:t>
            </w:r>
          </w:p>
        </w:tc>
        <w:tc>
          <w:tcPr>
            <w:tcW w:w="1037" w:type="dxa"/>
            <w:shd w:val="clear" w:color="auto" w:fill="FFFFFF"/>
            <w:vAlign w:val="center"/>
          </w:tcPr>
          <w:p w14:paraId="44C93D6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29,2</w:t>
            </w:r>
          </w:p>
        </w:tc>
        <w:tc>
          <w:tcPr>
            <w:tcW w:w="1123" w:type="dxa"/>
            <w:shd w:val="clear" w:color="auto" w:fill="FFFFFF"/>
            <w:vAlign w:val="center"/>
          </w:tcPr>
          <w:p w14:paraId="774597C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29,2</w:t>
            </w:r>
          </w:p>
        </w:tc>
        <w:tc>
          <w:tcPr>
            <w:tcW w:w="1548" w:type="dxa"/>
            <w:shd w:val="clear" w:color="auto" w:fill="FFFFFF"/>
            <w:vAlign w:val="center"/>
          </w:tcPr>
          <w:p w14:paraId="43DD3ED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28,6</w:t>
            </w:r>
          </w:p>
        </w:tc>
        <w:tc>
          <w:tcPr>
            <w:tcW w:w="1536" w:type="dxa"/>
            <w:shd w:val="clear" w:color="auto" w:fill="FFFFFF"/>
            <w:vAlign w:val="center"/>
          </w:tcPr>
          <w:p w14:paraId="19C137FE"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28,1</w:t>
            </w:r>
          </w:p>
        </w:tc>
        <w:tc>
          <w:tcPr>
            <w:tcW w:w="1572" w:type="dxa"/>
            <w:shd w:val="clear" w:color="auto" w:fill="FFFFFF"/>
            <w:vAlign w:val="center"/>
          </w:tcPr>
          <w:p w14:paraId="248DDC59"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27,5</w:t>
            </w:r>
          </w:p>
        </w:tc>
        <w:tc>
          <w:tcPr>
            <w:tcW w:w="1269" w:type="dxa"/>
            <w:shd w:val="clear" w:color="auto" w:fill="FFFFFF"/>
            <w:vAlign w:val="center"/>
          </w:tcPr>
          <w:p w14:paraId="714B0A56"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26,4</w:t>
            </w:r>
          </w:p>
        </w:tc>
      </w:tr>
      <w:tr w:rsidR="00A0251B" w:rsidRPr="00CC35F0" w14:paraId="045A105C" w14:textId="77777777">
        <w:trPr>
          <w:gridAfter w:val="1"/>
          <w:wAfter w:w="9" w:type="dxa"/>
          <w:trHeight w:val="302"/>
        </w:trPr>
        <w:tc>
          <w:tcPr>
            <w:tcW w:w="3218" w:type="dxa"/>
            <w:shd w:val="clear" w:color="auto" w:fill="FFFFFF"/>
          </w:tcPr>
          <w:p w14:paraId="18F7B57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амонијум-нитрата у ђубриву од минералног азота (%)</w:t>
            </w:r>
          </w:p>
        </w:tc>
        <w:tc>
          <w:tcPr>
            <w:tcW w:w="1267" w:type="dxa"/>
            <w:shd w:val="clear" w:color="auto" w:fill="FFFFFF"/>
          </w:tcPr>
          <w:p w14:paraId="71F89833"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454" w:type="dxa"/>
            <w:shd w:val="clear" w:color="auto" w:fill="FFFFFF"/>
          </w:tcPr>
          <w:p w14:paraId="68F3C8C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Годишња студија </w:t>
            </w:r>
            <w:r w:rsidRPr="005E124C">
              <w:rPr>
                <w:rFonts w:ascii="Times New Roman" w:eastAsia="Times New Roman" w:hAnsi="Times New Roman"/>
                <w:lang w:val="sr-Cyrl-CS"/>
              </w:rPr>
              <w:t>Саветодавне</w:t>
            </w:r>
            <w:r w:rsidRPr="00CC35F0">
              <w:rPr>
                <w:rFonts w:ascii="Times New Roman" w:eastAsia="Times New Roman" w:hAnsi="Times New Roman"/>
                <w:sz w:val="24"/>
                <w:szCs w:val="24"/>
                <w:lang w:val="sr-Cyrl-CS"/>
              </w:rPr>
              <w:t xml:space="preserve"> службе о најбољим праксама</w:t>
            </w:r>
          </w:p>
        </w:tc>
        <w:tc>
          <w:tcPr>
            <w:tcW w:w="1037" w:type="dxa"/>
            <w:shd w:val="clear" w:color="auto" w:fill="FFFFFF"/>
            <w:vAlign w:val="center"/>
          </w:tcPr>
          <w:p w14:paraId="6B6B261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50,2</w:t>
            </w:r>
          </w:p>
        </w:tc>
        <w:tc>
          <w:tcPr>
            <w:tcW w:w="1123" w:type="dxa"/>
            <w:shd w:val="clear" w:color="auto" w:fill="FFFFFF"/>
            <w:vAlign w:val="center"/>
          </w:tcPr>
          <w:p w14:paraId="08A0C3A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50,2</w:t>
            </w:r>
          </w:p>
        </w:tc>
        <w:tc>
          <w:tcPr>
            <w:tcW w:w="1548" w:type="dxa"/>
            <w:shd w:val="clear" w:color="auto" w:fill="FFFFFF"/>
            <w:vAlign w:val="center"/>
          </w:tcPr>
          <w:p w14:paraId="1A7EB736"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50,7</w:t>
            </w:r>
          </w:p>
        </w:tc>
        <w:tc>
          <w:tcPr>
            <w:tcW w:w="1536" w:type="dxa"/>
            <w:shd w:val="clear" w:color="auto" w:fill="FFFFFF"/>
            <w:vAlign w:val="center"/>
          </w:tcPr>
          <w:p w14:paraId="0A47486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51,3</w:t>
            </w:r>
          </w:p>
        </w:tc>
        <w:tc>
          <w:tcPr>
            <w:tcW w:w="1572" w:type="dxa"/>
            <w:shd w:val="clear" w:color="auto" w:fill="FFFFFF"/>
            <w:vAlign w:val="center"/>
          </w:tcPr>
          <w:p w14:paraId="6BB1F461"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51,8</w:t>
            </w:r>
          </w:p>
        </w:tc>
        <w:tc>
          <w:tcPr>
            <w:tcW w:w="1269" w:type="dxa"/>
            <w:shd w:val="clear" w:color="auto" w:fill="FFFFFF"/>
            <w:vAlign w:val="center"/>
          </w:tcPr>
          <w:p w14:paraId="24F92055"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53</w:t>
            </w:r>
          </w:p>
        </w:tc>
      </w:tr>
    </w:tbl>
    <w:p w14:paraId="0E3244BC" w14:textId="77777777" w:rsidR="00A0251B" w:rsidRPr="00CC35F0" w:rsidRDefault="00A0251B">
      <w:pPr>
        <w:rPr>
          <w:rFonts w:ascii="Times New Roman" w:eastAsia="Times New Roman" w:hAnsi="Times New Roman"/>
          <w:sz w:val="24"/>
          <w:szCs w:val="24"/>
          <w:lang w:val="sr-Cyrl-CS"/>
        </w:rPr>
      </w:pPr>
    </w:p>
    <w:tbl>
      <w:tblPr>
        <w:tblStyle w:val="affff1"/>
        <w:tblW w:w="13877"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46"/>
        <w:gridCol w:w="2123"/>
        <w:gridCol w:w="1701"/>
        <w:gridCol w:w="1701"/>
        <w:gridCol w:w="1701"/>
        <w:gridCol w:w="1701"/>
        <w:gridCol w:w="1704"/>
      </w:tblGrid>
      <w:tr w:rsidR="00A0251B" w:rsidRPr="00CC35F0" w14:paraId="492F9122" w14:textId="77777777">
        <w:trPr>
          <w:trHeight w:val="227"/>
        </w:trPr>
        <w:tc>
          <w:tcPr>
            <w:tcW w:w="3246" w:type="dxa"/>
            <w:vMerge w:val="restart"/>
            <w:shd w:val="clear" w:color="auto" w:fill="A8D08D"/>
          </w:tcPr>
          <w:p w14:paraId="3983935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07B7A562" w14:textId="77777777" w:rsidR="00A0251B" w:rsidRPr="00CC35F0" w:rsidRDefault="00A0251B">
            <w:pPr>
              <w:jc w:val="center"/>
              <w:rPr>
                <w:rFonts w:ascii="Times New Roman" w:eastAsia="Times New Roman" w:hAnsi="Times New Roman"/>
                <w:sz w:val="24"/>
                <w:szCs w:val="24"/>
                <w:lang w:val="sr-Cyrl-CS"/>
              </w:rPr>
            </w:pPr>
          </w:p>
        </w:tc>
        <w:tc>
          <w:tcPr>
            <w:tcW w:w="2123" w:type="dxa"/>
            <w:vMerge w:val="restart"/>
            <w:shd w:val="clear" w:color="auto" w:fill="A8D08D"/>
          </w:tcPr>
          <w:p w14:paraId="2B5045F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8508" w:type="dxa"/>
            <w:gridSpan w:val="5"/>
            <w:shd w:val="clear" w:color="auto" w:fill="A8D08D"/>
            <w:vAlign w:val="center"/>
          </w:tcPr>
          <w:p w14:paraId="4199ED4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0D006252" w14:textId="77777777">
        <w:trPr>
          <w:trHeight w:val="227"/>
        </w:trPr>
        <w:tc>
          <w:tcPr>
            <w:tcW w:w="3246" w:type="dxa"/>
            <w:vMerge/>
            <w:shd w:val="clear" w:color="auto" w:fill="A8D08D"/>
          </w:tcPr>
          <w:p w14:paraId="40DF99DF"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123" w:type="dxa"/>
            <w:vMerge/>
            <w:shd w:val="clear" w:color="auto" w:fill="A8D08D"/>
          </w:tcPr>
          <w:p w14:paraId="5D1ED5A7"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01" w:type="dxa"/>
            <w:shd w:val="clear" w:color="auto" w:fill="A8D08D"/>
            <w:vAlign w:val="center"/>
          </w:tcPr>
          <w:p w14:paraId="02F7591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701" w:type="dxa"/>
            <w:shd w:val="clear" w:color="auto" w:fill="A8D08D"/>
            <w:vAlign w:val="center"/>
          </w:tcPr>
          <w:p w14:paraId="6622612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701" w:type="dxa"/>
            <w:shd w:val="clear" w:color="auto" w:fill="A8D08D"/>
            <w:vAlign w:val="center"/>
          </w:tcPr>
          <w:p w14:paraId="4FF6418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701" w:type="dxa"/>
            <w:shd w:val="clear" w:color="auto" w:fill="A8D08D"/>
            <w:vAlign w:val="center"/>
          </w:tcPr>
          <w:p w14:paraId="353BDA0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704" w:type="dxa"/>
            <w:shd w:val="clear" w:color="auto" w:fill="A8D08D"/>
            <w:vAlign w:val="center"/>
          </w:tcPr>
          <w:p w14:paraId="5427915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08F9CBF8" w14:textId="77777777">
        <w:trPr>
          <w:trHeight w:val="398"/>
        </w:trPr>
        <w:tc>
          <w:tcPr>
            <w:tcW w:w="3246" w:type="dxa"/>
            <w:shd w:val="clear" w:color="auto" w:fill="FFFFFF"/>
          </w:tcPr>
          <w:p w14:paraId="62C8ACD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p w14:paraId="479BB82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2123" w:type="dxa"/>
            <w:shd w:val="clear" w:color="auto" w:fill="FFFFFF"/>
          </w:tcPr>
          <w:p w14:paraId="3BF3A5C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КДА </w:t>
            </w:r>
            <w:r w:rsidR="00101DF4" w:rsidRPr="00CC35F0">
              <w:rPr>
                <w:rStyle w:val="FootnoteReference"/>
                <w:rFonts w:eastAsia="Times New Roman"/>
                <w:szCs w:val="24"/>
                <w:lang w:val="sr-Cyrl-CS"/>
              </w:rPr>
              <w:footnoteReference w:id="99"/>
            </w:r>
          </w:p>
        </w:tc>
        <w:tc>
          <w:tcPr>
            <w:tcW w:w="1701" w:type="dxa"/>
            <w:shd w:val="clear" w:color="auto" w:fill="FFFFFF"/>
          </w:tcPr>
          <w:p w14:paraId="0D2B8A54" w14:textId="77777777" w:rsidR="00A0251B" w:rsidRPr="00CC35F0" w:rsidRDefault="00A0251B">
            <w:pPr>
              <w:rPr>
                <w:rFonts w:ascii="Times New Roman" w:eastAsia="Times New Roman" w:hAnsi="Times New Roman"/>
                <w:sz w:val="24"/>
                <w:szCs w:val="24"/>
                <w:lang w:val="sr-Cyrl-CS"/>
              </w:rPr>
            </w:pPr>
          </w:p>
        </w:tc>
        <w:tc>
          <w:tcPr>
            <w:tcW w:w="1701" w:type="dxa"/>
            <w:shd w:val="clear" w:color="auto" w:fill="FFFFFF"/>
          </w:tcPr>
          <w:p w14:paraId="5A66737C"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101DF4" w:rsidRPr="00CC35F0">
              <w:rPr>
                <w:rFonts w:ascii="Times New Roman" w:eastAsia="Times New Roman" w:hAnsi="Times New Roman"/>
                <w:sz w:val="24"/>
                <w:szCs w:val="24"/>
                <w:vertAlign w:val="superscript"/>
                <w:lang w:val="sr-Cyrl-CS"/>
              </w:rPr>
              <w:t>101</w:t>
            </w:r>
          </w:p>
        </w:tc>
        <w:tc>
          <w:tcPr>
            <w:tcW w:w="1701" w:type="dxa"/>
            <w:shd w:val="clear" w:color="auto" w:fill="FFFFFF"/>
          </w:tcPr>
          <w:p w14:paraId="27693404"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101DF4" w:rsidRPr="00CC35F0">
              <w:rPr>
                <w:rFonts w:ascii="Times New Roman" w:eastAsia="Times New Roman" w:hAnsi="Times New Roman"/>
                <w:sz w:val="24"/>
                <w:szCs w:val="24"/>
                <w:vertAlign w:val="superscript"/>
                <w:lang w:val="sr-Cyrl-CS"/>
              </w:rPr>
              <w:t>101</w:t>
            </w:r>
          </w:p>
        </w:tc>
        <w:tc>
          <w:tcPr>
            <w:tcW w:w="1701" w:type="dxa"/>
            <w:shd w:val="clear" w:color="auto" w:fill="FFFFFF"/>
          </w:tcPr>
          <w:p w14:paraId="09FD3A60"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101DF4" w:rsidRPr="00CC35F0">
              <w:rPr>
                <w:rFonts w:ascii="Times New Roman" w:eastAsia="Times New Roman" w:hAnsi="Times New Roman"/>
                <w:sz w:val="24"/>
                <w:szCs w:val="24"/>
                <w:vertAlign w:val="superscript"/>
                <w:lang w:val="sr-Cyrl-CS"/>
              </w:rPr>
              <w:t>101</w:t>
            </w:r>
          </w:p>
        </w:tc>
        <w:tc>
          <w:tcPr>
            <w:tcW w:w="1704" w:type="dxa"/>
            <w:shd w:val="clear" w:color="auto" w:fill="FFFFFF"/>
          </w:tcPr>
          <w:p w14:paraId="52B51BD6"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101DF4" w:rsidRPr="00CC35F0">
              <w:rPr>
                <w:rFonts w:ascii="Times New Roman" w:eastAsia="Times New Roman" w:hAnsi="Times New Roman"/>
                <w:sz w:val="24"/>
                <w:szCs w:val="24"/>
                <w:vertAlign w:val="superscript"/>
                <w:lang w:val="sr-Cyrl-CS"/>
              </w:rPr>
              <w:t>101</w:t>
            </w:r>
          </w:p>
        </w:tc>
      </w:tr>
    </w:tbl>
    <w:p w14:paraId="721299CB" w14:textId="77777777" w:rsidR="00A0251B" w:rsidRPr="00CC35F0" w:rsidRDefault="00A0251B">
      <w:pPr>
        <w:rPr>
          <w:rFonts w:ascii="Times New Roman" w:eastAsia="Times New Roman" w:hAnsi="Times New Roman"/>
          <w:sz w:val="24"/>
          <w:szCs w:val="24"/>
          <w:lang w:val="sr-Cyrl-CS"/>
        </w:rPr>
      </w:pPr>
    </w:p>
    <w:tbl>
      <w:tblPr>
        <w:tblStyle w:val="affff2"/>
        <w:tblW w:w="14291"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1734"/>
        <w:gridCol w:w="1765"/>
        <w:gridCol w:w="1441"/>
        <w:gridCol w:w="1427"/>
        <w:gridCol w:w="1605"/>
        <w:gridCol w:w="1565"/>
        <w:gridCol w:w="988"/>
        <w:gridCol w:w="1006"/>
        <w:gridCol w:w="920"/>
        <w:gridCol w:w="920"/>
        <w:gridCol w:w="920"/>
      </w:tblGrid>
      <w:tr w:rsidR="00A0251B" w:rsidRPr="00CC35F0" w14:paraId="343C974D" w14:textId="77777777">
        <w:trPr>
          <w:trHeight w:val="140"/>
        </w:trPr>
        <w:tc>
          <w:tcPr>
            <w:tcW w:w="1734"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EA3037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Назив активности:</w:t>
            </w:r>
          </w:p>
        </w:tc>
        <w:tc>
          <w:tcPr>
            <w:tcW w:w="17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5EC9F7A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44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52DA2D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42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2CC292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60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D52C4D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5B56042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0DEA5823" w14:textId="77777777" w:rsidR="00A0251B" w:rsidRPr="00CC35F0" w:rsidRDefault="00A0251B">
            <w:pPr>
              <w:jc w:val="center"/>
              <w:rPr>
                <w:rFonts w:ascii="Times New Roman" w:eastAsia="Times New Roman" w:hAnsi="Times New Roman"/>
                <w:sz w:val="24"/>
                <w:szCs w:val="24"/>
                <w:lang w:val="sr-Cyrl-CS"/>
              </w:rPr>
            </w:pPr>
          </w:p>
        </w:tc>
        <w:tc>
          <w:tcPr>
            <w:tcW w:w="4754" w:type="dxa"/>
            <w:gridSpan w:val="5"/>
            <w:tcBorders>
              <w:top w:val="single" w:sz="4" w:space="0" w:color="000000"/>
              <w:left w:val="single" w:sz="4" w:space="0" w:color="000000"/>
              <w:bottom w:val="single" w:sz="4" w:space="0" w:color="000000"/>
              <w:right w:val="single" w:sz="4" w:space="0" w:color="000000"/>
            </w:tcBorders>
            <w:shd w:val="clear" w:color="auto" w:fill="FFF2CC"/>
          </w:tcPr>
          <w:p w14:paraId="7243F5E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p>
        </w:tc>
      </w:tr>
      <w:tr w:rsidR="00A0251B" w:rsidRPr="00CC35F0" w14:paraId="532FB8D7" w14:textId="77777777" w:rsidTr="005D162C">
        <w:trPr>
          <w:trHeight w:val="386"/>
        </w:trPr>
        <w:tc>
          <w:tcPr>
            <w:tcW w:w="1734" w:type="dxa"/>
            <w:vMerge/>
            <w:tcBorders>
              <w:top w:val="single" w:sz="4" w:space="0" w:color="000000"/>
              <w:left w:val="single" w:sz="4" w:space="0" w:color="000000"/>
              <w:bottom w:val="single" w:sz="4" w:space="0" w:color="000000"/>
              <w:right w:val="single" w:sz="4" w:space="0" w:color="000000"/>
            </w:tcBorders>
            <w:shd w:val="clear" w:color="auto" w:fill="FFF2CC"/>
          </w:tcPr>
          <w:p w14:paraId="1385217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65" w:type="dxa"/>
            <w:vMerge/>
            <w:tcBorders>
              <w:top w:val="single" w:sz="4" w:space="0" w:color="000000"/>
              <w:left w:val="single" w:sz="4" w:space="0" w:color="000000"/>
              <w:bottom w:val="single" w:sz="4" w:space="0" w:color="000000"/>
              <w:right w:val="single" w:sz="4" w:space="0" w:color="000000"/>
            </w:tcBorders>
            <w:shd w:val="clear" w:color="auto" w:fill="FFF2CC"/>
          </w:tcPr>
          <w:p w14:paraId="7560B5E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41" w:type="dxa"/>
            <w:vMerge/>
            <w:tcBorders>
              <w:top w:val="single" w:sz="4" w:space="0" w:color="000000"/>
              <w:left w:val="single" w:sz="4" w:space="0" w:color="000000"/>
              <w:bottom w:val="single" w:sz="4" w:space="0" w:color="000000"/>
              <w:right w:val="single" w:sz="4" w:space="0" w:color="000000"/>
            </w:tcBorders>
            <w:shd w:val="clear" w:color="auto" w:fill="FFF2CC"/>
          </w:tcPr>
          <w:p w14:paraId="1A30490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7" w:type="dxa"/>
            <w:vMerge/>
            <w:tcBorders>
              <w:top w:val="single" w:sz="4" w:space="0" w:color="000000"/>
              <w:left w:val="single" w:sz="4" w:space="0" w:color="000000"/>
              <w:bottom w:val="single" w:sz="4" w:space="0" w:color="000000"/>
              <w:right w:val="single" w:sz="4" w:space="0" w:color="000000"/>
            </w:tcBorders>
            <w:shd w:val="clear" w:color="auto" w:fill="FFF2CC"/>
          </w:tcPr>
          <w:p w14:paraId="496F264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05" w:type="dxa"/>
            <w:vMerge/>
            <w:tcBorders>
              <w:top w:val="single" w:sz="4" w:space="0" w:color="000000"/>
              <w:left w:val="single" w:sz="4" w:space="0" w:color="000000"/>
              <w:bottom w:val="single" w:sz="4" w:space="0" w:color="000000"/>
              <w:right w:val="single" w:sz="4" w:space="0" w:color="000000"/>
            </w:tcBorders>
            <w:shd w:val="clear" w:color="auto" w:fill="FFF2CC"/>
          </w:tcPr>
          <w:p w14:paraId="481B5DB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5" w:type="dxa"/>
            <w:vMerge/>
            <w:tcBorders>
              <w:top w:val="single" w:sz="4" w:space="0" w:color="000000"/>
              <w:left w:val="single" w:sz="4" w:space="0" w:color="000000"/>
              <w:bottom w:val="single" w:sz="4" w:space="0" w:color="000000"/>
              <w:right w:val="single" w:sz="4" w:space="0" w:color="000000"/>
            </w:tcBorders>
            <w:shd w:val="clear" w:color="auto" w:fill="FFF2CC"/>
          </w:tcPr>
          <w:p w14:paraId="5CE7D222"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88" w:type="dxa"/>
            <w:tcBorders>
              <w:top w:val="single" w:sz="4" w:space="0" w:color="000000"/>
              <w:left w:val="single" w:sz="4" w:space="0" w:color="000000"/>
              <w:bottom w:val="single" w:sz="4" w:space="0" w:color="000000"/>
              <w:right w:val="single" w:sz="4" w:space="0" w:color="000000"/>
            </w:tcBorders>
            <w:shd w:val="clear" w:color="auto" w:fill="FFF2CC"/>
          </w:tcPr>
          <w:p w14:paraId="44753E3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006" w:type="dxa"/>
            <w:tcBorders>
              <w:top w:val="single" w:sz="4" w:space="0" w:color="000000"/>
              <w:left w:val="single" w:sz="4" w:space="0" w:color="000000"/>
              <w:bottom w:val="single" w:sz="4" w:space="0" w:color="000000"/>
              <w:right w:val="single" w:sz="4" w:space="0" w:color="000000"/>
            </w:tcBorders>
            <w:shd w:val="clear" w:color="auto" w:fill="FFF2CC"/>
          </w:tcPr>
          <w:p w14:paraId="60E091F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224D276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04ED260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18D8E0A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52668C78" w14:textId="77777777" w:rsidTr="005D162C">
        <w:trPr>
          <w:trHeight w:val="543"/>
        </w:trPr>
        <w:tc>
          <w:tcPr>
            <w:tcW w:w="1734" w:type="dxa"/>
            <w:tcBorders>
              <w:top w:val="single" w:sz="4" w:space="0" w:color="000000"/>
              <w:left w:val="single" w:sz="4" w:space="0" w:color="000000"/>
              <w:bottom w:val="single" w:sz="4" w:space="0" w:color="000000"/>
              <w:right w:val="single" w:sz="4" w:space="0" w:color="000000"/>
            </w:tcBorders>
          </w:tcPr>
          <w:p w14:paraId="68D2FD33"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1.3.2.1</w:t>
            </w:r>
            <w:r w:rsidRPr="00CC35F0">
              <w:rPr>
                <w:rFonts w:ascii="Times New Roman" w:eastAsia="Times New Roman" w:hAnsi="Times New Roman"/>
                <w:b/>
                <w:color w:val="000000"/>
                <w:sz w:val="24"/>
                <w:szCs w:val="24"/>
                <w:lang w:val="sr-Cyrl-CS"/>
              </w:rPr>
              <w:t xml:space="preserve"> </w:t>
            </w:r>
            <w:r w:rsidRPr="00CC35F0">
              <w:rPr>
                <w:rFonts w:ascii="Times New Roman" w:eastAsia="Times New Roman" w:hAnsi="Times New Roman"/>
                <w:color w:val="000000"/>
                <w:sz w:val="24"/>
                <w:szCs w:val="24"/>
                <w:lang w:val="sr-Cyrl-CS"/>
              </w:rPr>
              <w:t xml:space="preserve">Увођење најбоље праксе у складиштењу течног стајњака кроз </w:t>
            </w:r>
            <w:r w:rsidR="00166EA6">
              <w:rPr>
                <w:rFonts w:ascii="Times New Roman" w:eastAsia="Times New Roman" w:hAnsi="Times New Roman"/>
                <w:sz w:val="24"/>
                <w:szCs w:val="24"/>
                <w:lang w:val="sr-Cyrl-CS"/>
              </w:rPr>
              <w:lastRenderedPageBreak/>
              <w:t>хори</w:t>
            </w:r>
            <w:r w:rsidRPr="00CC35F0">
              <w:rPr>
                <w:rFonts w:ascii="Times New Roman" w:eastAsia="Times New Roman" w:hAnsi="Times New Roman"/>
                <w:sz w:val="24"/>
                <w:szCs w:val="24"/>
                <w:lang w:val="sr-Cyrl-CS"/>
              </w:rPr>
              <w:t xml:space="preserve">зонталне активности </w:t>
            </w:r>
          </w:p>
        </w:tc>
        <w:tc>
          <w:tcPr>
            <w:tcW w:w="1765" w:type="dxa"/>
            <w:tcBorders>
              <w:top w:val="single" w:sz="4" w:space="0" w:color="000000"/>
              <w:left w:val="single" w:sz="4" w:space="0" w:color="000000"/>
              <w:bottom w:val="single" w:sz="4" w:space="0" w:color="000000"/>
              <w:right w:val="single" w:sz="4" w:space="0" w:color="000000"/>
            </w:tcBorders>
          </w:tcPr>
          <w:p w14:paraId="0148795A"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lastRenderedPageBreak/>
              <w:t>Министарство пољопривреде, шумарства и водопривреде</w:t>
            </w:r>
          </w:p>
        </w:tc>
        <w:tc>
          <w:tcPr>
            <w:tcW w:w="1441" w:type="dxa"/>
            <w:tcBorders>
              <w:top w:val="single" w:sz="4" w:space="0" w:color="000000"/>
              <w:left w:val="single" w:sz="4" w:space="0" w:color="000000"/>
              <w:bottom w:val="single" w:sz="4" w:space="0" w:color="000000"/>
              <w:right w:val="single" w:sz="4" w:space="0" w:color="000000"/>
            </w:tcBorders>
          </w:tcPr>
          <w:p w14:paraId="546433C8" w14:textId="77777777" w:rsidR="00A0251B" w:rsidRPr="00CC35F0" w:rsidRDefault="00A0251B">
            <w:pPr>
              <w:jc w:val="center"/>
              <w:rPr>
                <w:rFonts w:ascii="Times New Roman" w:eastAsia="Times New Roman" w:hAnsi="Times New Roman"/>
                <w:sz w:val="24"/>
                <w:szCs w:val="24"/>
                <w:lang w:val="sr-Cyrl-CS"/>
              </w:rPr>
            </w:pPr>
          </w:p>
        </w:tc>
        <w:tc>
          <w:tcPr>
            <w:tcW w:w="1427" w:type="dxa"/>
            <w:tcBorders>
              <w:top w:val="single" w:sz="4" w:space="0" w:color="000000"/>
              <w:left w:val="single" w:sz="4" w:space="0" w:color="000000"/>
              <w:bottom w:val="single" w:sz="4" w:space="0" w:color="000000"/>
              <w:right w:val="single" w:sz="4" w:space="0" w:color="000000"/>
            </w:tcBorders>
          </w:tcPr>
          <w:p w14:paraId="2323617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IV квартал 2026</w:t>
            </w:r>
          </w:p>
        </w:tc>
        <w:tc>
          <w:tcPr>
            <w:tcW w:w="1605" w:type="dxa"/>
            <w:tcBorders>
              <w:top w:val="single" w:sz="4" w:space="0" w:color="000000"/>
              <w:left w:val="single" w:sz="4" w:space="0" w:color="000000"/>
              <w:bottom w:val="single" w:sz="4" w:space="0" w:color="000000"/>
              <w:right w:val="single" w:sz="4" w:space="0" w:color="000000"/>
            </w:tcBorders>
          </w:tcPr>
          <w:p w14:paraId="1F5DEC9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tc>
        <w:tc>
          <w:tcPr>
            <w:tcW w:w="1565" w:type="dxa"/>
            <w:tcBorders>
              <w:top w:val="single" w:sz="4" w:space="0" w:color="000000"/>
              <w:left w:val="single" w:sz="4" w:space="0" w:color="000000"/>
              <w:bottom w:val="single" w:sz="4" w:space="0" w:color="000000"/>
              <w:right w:val="single" w:sz="4" w:space="0" w:color="000000"/>
            </w:tcBorders>
          </w:tcPr>
          <w:p w14:paraId="71493936" w14:textId="77777777" w:rsidR="00A0251B" w:rsidRPr="00CC35F0" w:rsidRDefault="00A0251B">
            <w:pPr>
              <w:jc w:val="center"/>
              <w:rPr>
                <w:rFonts w:ascii="Times New Roman" w:eastAsia="Times New Roman" w:hAnsi="Times New Roman"/>
                <w:sz w:val="24"/>
                <w:szCs w:val="24"/>
                <w:lang w:val="sr-Cyrl-CS"/>
              </w:rPr>
            </w:pPr>
          </w:p>
        </w:tc>
        <w:tc>
          <w:tcPr>
            <w:tcW w:w="988" w:type="dxa"/>
            <w:tcBorders>
              <w:top w:val="single" w:sz="4" w:space="0" w:color="000000"/>
              <w:left w:val="single" w:sz="4" w:space="0" w:color="000000"/>
              <w:bottom w:val="single" w:sz="4" w:space="0" w:color="000000"/>
              <w:right w:val="single" w:sz="4" w:space="0" w:color="000000"/>
            </w:tcBorders>
          </w:tcPr>
          <w:p w14:paraId="2124B1D9" w14:textId="77777777" w:rsidR="00A0251B" w:rsidRPr="00CC35F0" w:rsidRDefault="00A0251B">
            <w:pPr>
              <w:jc w:val="center"/>
              <w:rPr>
                <w:rFonts w:ascii="Times New Roman" w:eastAsia="Times New Roman" w:hAnsi="Times New Roman"/>
                <w:sz w:val="24"/>
                <w:szCs w:val="24"/>
                <w:lang w:val="sr-Cyrl-CS"/>
              </w:rPr>
            </w:pPr>
          </w:p>
        </w:tc>
        <w:tc>
          <w:tcPr>
            <w:tcW w:w="1006" w:type="dxa"/>
            <w:tcBorders>
              <w:top w:val="single" w:sz="4" w:space="0" w:color="000000"/>
              <w:left w:val="single" w:sz="4" w:space="0" w:color="000000"/>
              <w:bottom w:val="single" w:sz="4" w:space="0" w:color="000000"/>
              <w:right w:val="single" w:sz="4" w:space="0" w:color="000000"/>
            </w:tcBorders>
          </w:tcPr>
          <w:p w14:paraId="17C79499" w14:textId="77777777" w:rsidR="00A0251B" w:rsidRPr="00CC35F0" w:rsidRDefault="000832CC" w:rsidP="005D162C">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footnoteReference w:id="100"/>
            </w:r>
          </w:p>
        </w:tc>
        <w:tc>
          <w:tcPr>
            <w:tcW w:w="920" w:type="dxa"/>
            <w:tcBorders>
              <w:top w:val="single" w:sz="4" w:space="0" w:color="000000"/>
              <w:left w:val="single" w:sz="4" w:space="0" w:color="000000"/>
              <w:bottom w:val="single" w:sz="4" w:space="0" w:color="000000"/>
              <w:right w:val="single" w:sz="4" w:space="0" w:color="000000"/>
            </w:tcBorders>
          </w:tcPr>
          <w:p w14:paraId="5E9C5EF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920" w:type="dxa"/>
            <w:tcBorders>
              <w:top w:val="single" w:sz="4" w:space="0" w:color="000000"/>
              <w:left w:val="single" w:sz="4" w:space="0" w:color="000000"/>
              <w:bottom w:val="single" w:sz="4" w:space="0" w:color="000000"/>
              <w:right w:val="single" w:sz="4" w:space="0" w:color="000000"/>
            </w:tcBorders>
          </w:tcPr>
          <w:p w14:paraId="2FF4EC9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c>
          <w:tcPr>
            <w:tcW w:w="920" w:type="dxa"/>
            <w:tcBorders>
              <w:top w:val="single" w:sz="4" w:space="0" w:color="000000"/>
              <w:left w:val="single" w:sz="4" w:space="0" w:color="000000"/>
              <w:bottom w:val="single" w:sz="4" w:space="0" w:color="000000"/>
              <w:right w:val="single" w:sz="4" w:space="0" w:color="000000"/>
            </w:tcBorders>
          </w:tcPr>
          <w:p w14:paraId="6225778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КДА</w:t>
            </w:r>
          </w:p>
        </w:tc>
      </w:tr>
      <w:tr w:rsidR="00A0251B" w:rsidRPr="00CC35F0" w14:paraId="41D4506C" w14:textId="77777777" w:rsidTr="005D162C">
        <w:trPr>
          <w:trHeight w:val="543"/>
        </w:trPr>
        <w:tc>
          <w:tcPr>
            <w:tcW w:w="1734" w:type="dxa"/>
            <w:tcBorders>
              <w:top w:val="single" w:sz="4" w:space="0" w:color="000000"/>
              <w:left w:val="single" w:sz="4" w:space="0" w:color="000000"/>
              <w:bottom w:val="single" w:sz="4" w:space="0" w:color="000000"/>
              <w:right w:val="single" w:sz="4" w:space="0" w:color="000000"/>
            </w:tcBorders>
            <w:vAlign w:val="center"/>
          </w:tcPr>
          <w:p w14:paraId="4327B40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1.3.2.2 </w:t>
            </w:r>
            <w:r w:rsidRPr="00CC35F0">
              <w:rPr>
                <w:rFonts w:ascii="Times New Roman" w:eastAsia="Times New Roman" w:hAnsi="Times New Roman"/>
                <w:color w:val="000000"/>
                <w:sz w:val="24"/>
                <w:szCs w:val="24"/>
                <w:lang w:val="sr-Cyrl-CS"/>
              </w:rPr>
              <w:t>Спровођење замене ђубрива на бази урее са ђубривима на бази амонијум-нитрата.</w:t>
            </w:r>
          </w:p>
        </w:tc>
        <w:tc>
          <w:tcPr>
            <w:tcW w:w="1765" w:type="dxa"/>
            <w:tcBorders>
              <w:top w:val="single" w:sz="4" w:space="0" w:color="000000"/>
              <w:left w:val="single" w:sz="4" w:space="0" w:color="000000"/>
              <w:bottom w:val="single" w:sz="4" w:space="0" w:color="000000"/>
              <w:right w:val="single" w:sz="4" w:space="0" w:color="000000"/>
            </w:tcBorders>
          </w:tcPr>
          <w:p w14:paraId="65335C7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p>
        </w:tc>
        <w:tc>
          <w:tcPr>
            <w:tcW w:w="1441" w:type="dxa"/>
            <w:tcBorders>
              <w:top w:val="single" w:sz="4" w:space="0" w:color="000000"/>
              <w:left w:val="single" w:sz="4" w:space="0" w:color="000000"/>
              <w:bottom w:val="single" w:sz="4" w:space="0" w:color="000000"/>
              <w:right w:val="single" w:sz="4" w:space="0" w:color="000000"/>
            </w:tcBorders>
          </w:tcPr>
          <w:p w14:paraId="7E6F4A32" w14:textId="77777777" w:rsidR="00A0251B" w:rsidRPr="00CC35F0" w:rsidRDefault="00A0251B">
            <w:pPr>
              <w:rPr>
                <w:rFonts w:ascii="Times New Roman" w:eastAsia="Times New Roman" w:hAnsi="Times New Roman"/>
                <w:sz w:val="24"/>
                <w:szCs w:val="24"/>
                <w:lang w:val="sr-Cyrl-CS"/>
              </w:rPr>
            </w:pPr>
          </w:p>
        </w:tc>
        <w:tc>
          <w:tcPr>
            <w:tcW w:w="1427" w:type="dxa"/>
            <w:tcBorders>
              <w:top w:val="single" w:sz="4" w:space="0" w:color="000000"/>
              <w:left w:val="single" w:sz="4" w:space="0" w:color="000000"/>
              <w:bottom w:val="single" w:sz="4" w:space="0" w:color="000000"/>
              <w:right w:val="single" w:sz="4" w:space="0" w:color="000000"/>
            </w:tcBorders>
          </w:tcPr>
          <w:p w14:paraId="0E7E61D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605" w:type="dxa"/>
            <w:tcBorders>
              <w:top w:val="single" w:sz="4" w:space="0" w:color="000000"/>
              <w:left w:val="single" w:sz="4" w:space="0" w:color="000000"/>
              <w:bottom w:val="single" w:sz="4" w:space="0" w:color="000000"/>
              <w:right w:val="single" w:sz="4" w:space="0" w:color="000000"/>
            </w:tcBorders>
          </w:tcPr>
          <w:p w14:paraId="217D455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p>
        </w:tc>
        <w:tc>
          <w:tcPr>
            <w:tcW w:w="1565" w:type="dxa"/>
            <w:tcBorders>
              <w:top w:val="single" w:sz="4" w:space="0" w:color="000000"/>
              <w:left w:val="single" w:sz="4" w:space="0" w:color="000000"/>
              <w:bottom w:val="single" w:sz="4" w:space="0" w:color="000000"/>
              <w:right w:val="single" w:sz="4" w:space="0" w:color="000000"/>
            </w:tcBorders>
          </w:tcPr>
          <w:p w14:paraId="5DD8C25C" w14:textId="77777777" w:rsidR="00A0251B" w:rsidRPr="00CC35F0" w:rsidRDefault="00A0251B">
            <w:pPr>
              <w:rPr>
                <w:rFonts w:ascii="Times New Roman" w:eastAsia="Times New Roman" w:hAnsi="Times New Roman"/>
                <w:sz w:val="24"/>
                <w:szCs w:val="24"/>
                <w:lang w:val="sr-Cyrl-CS"/>
              </w:rPr>
            </w:pPr>
          </w:p>
        </w:tc>
        <w:tc>
          <w:tcPr>
            <w:tcW w:w="988" w:type="dxa"/>
            <w:tcBorders>
              <w:top w:val="single" w:sz="4" w:space="0" w:color="000000"/>
              <w:left w:val="single" w:sz="4" w:space="0" w:color="000000"/>
              <w:bottom w:val="single" w:sz="4" w:space="0" w:color="000000"/>
              <w:right w:val="single" w:sz="4" w:space="0" w:color="000000"/>
            </w:tcBorders>
          </w:tcPr>
          <w:p w14:paraId="5FA53B6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06" w:type="dxa"/>
            <w:tcBorders>
              <w:top w:val="single" w:sz="4" w:space="0" w:color="000000"/>
              <w:left w:val="single" w:sz="4" w:space="0" w:color="000000"/>
              <w:bottom w:val="single" w:sz="4" w:space="0" w:color="000000"/>
              <w:right w:val="single" w:sz="4" w:space="0" w:color="000000"/>
            </w:tcBorders>
          </w:tcPr>
          <w:p w14:paraId="60E3F105"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23A2458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2352176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1F5959B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bl>
    <w:p w14:paraId="091E11E2" w14:textId="77777777" w:rsidR="00A0251B" w:rsidRPr="00CC35F0" w:rsidRDefault="00A0251B">
      <w:pPr>
        <w:rPr>
          <w:rFonts w:ascii="Times New Roman" w:eastAsia="Times New Roman" w:hAnsi="Times New Roman"/>
          <w:sz w:val="24"/>
          <w:szCs w:val="24"/>
          <w:lang w:val="sr-Cyrl-CS"/>
        </w:rPr>
      </w:pPr>
    </w:p>
    <w:tbl>
      <w:tblPr>
        <w:tblStyle w:val="affff3"/>
        <w:tblW w:w="14490"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2525"/>
        <w:gridCol w:w="2691"/>
        <w:gridCol w:w="1417"/>
        <w:gridCol w:w="44"/>
        <w:gridCol w:w="1345"/>
        <w:gridCol w:w="1212"/>
        <w:gridCol w:w="21"/>
        <w:gridCol w:w="1202"/>
        <w:gridCol w:w="1440"/>
        <w:gridCol w:w="1324"/>
        <w:gridCol w:w="1255"/>
        <w:gridCol w:w="14"/>
      </w:tblGrid>
      <w:tr w:rsidR="00A0251B" w:rsidRPr="00CC35F0" w14:paraId="70BE8E49" w14:textId="77777777">
        <w:trPr>
          <w:gridAfter w:val="1"/>
          <w:wAfter w:w="14" w:type="dxa"/>
          <w:trHeight w:val="168"/>
        </w:trPr>
        <w:tc>
          <w:tcPr>
            <w:tcW w:w="14476" w:type="dxa"/>
            <w:gridSpan w:val="11"/>
            <w:tcBorders>
              <w:top w:val="single" w:sz="4" w:space="0" w:color="000000"/>
              <w:left w:val="single" w:sz="4" w:space="0" w:color="000000"/>
              <w:bottom w:val="single" w:sz="4" w:space="0" w:color="000000"/>
              <w:right w:val="single" w:sz="4" w:space="0" w:color="000000"/>
            </w:tcBorders>
            <w:shd w:val="clear" w:color="auto" w:fill="F7CBAC"/>
          </w:tcPr>
          <w:p w14:paraId="61A0CBF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1.3.3: </w:t>
            </w:r>
            <w:r w:rsidRPr="00CC35F0">
              <w:rPr>
                <w:rFonts w:ascii="Times New Roman" w:eastAsia="Times New Roman" w:hAnsi="Times New Roman"/>
                <w:b/>
                <w:color w:val="000000"/>
                <w:sz w:val="24"/>
                <w:szCs w:val="24"/>
                <w:lang w:val="sr-Cyrl-CS"/>
              </w:rPr>
              <w:t xml:space="preserve">Увођење најбоље праксе приликом растурања и наношења чврстог стајњака на земљиште бржом инкорпорацијом стајњака у земљиште </w:t>
            </w:r>
          </w:p>
        </w:tc>
      </w:tr>
      <w:tr w:rsidR="00A0251B" w:rsidRPr="00CC35F0" w14:paraId="258CA8CA" w14:textId="77777777">
        <w:trPr>
          <w:gridAfter w:val="1"/>
          <w:wAfter w:w="14" w:type="dxa"/>
          <w:trHeight w:val="298"/>
        </w:trPr>
        <w:tc>
          <w:tcPr>
            <w:tcW w:w="14476" w:type="dxa"/>
            <w:gridSpan w:val="11"/>
            <w:tcBorders>
              <w:top w:val="single" w:sz="4" w:space="0" w:color="000000"/>
              <w:left w:val="single" w:sz="4" w:space="0" w:color="000000"/>
              <w:bottom w:val="single" w:sz="4" w:space="0" w:color="000000"/>
              <w:right w:val="single" w:sz="4" w:space="0" w:color="000000"/>
            </w:tcBorders>
            <w:shd w:val="clear" w:color="auto" w:fill="F7CBAC"/>
            <w:vAlign w:val="center"/>
          </w:tcPr>
          <w:p w14:paraId="59657D81"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Министарство пољопривреде, шумарства и водопривреде</w:t>
            </w:r>
          </w:p>
        </w:tc>
      </w:tr>
      <w:tr w:rsidR="00A0251B" w:rsidRPr="00CC35F0" w14:paraId="51C44059" w14:textId="77777777">
        <w:trPr>
          <w:gridAfter w:val="1"/>
          <w:wAfter w:w="14" w:type="dxa"/>
          <w:trHeight w:val="298"/>
        </w:trPr>
        <w:tc>
          <w:tcPr>
            <w:tcW w:w="6677" w:type="dxa"/>
            <w:gridSpan w:val="4"/>
            <w:tcBorders>
              <w:top w:val="single" w:sz="4" w:space="0" w:color="000000"/>
              <w:left w:val="single" w:sz="4" w:space="0" w:color="000000"/>
              <w:bottom w:val="single" w:sz="4" w:space="0" w:color="000000"/>
              <w:right w:val="single" w:sz="4" w:space="0" w:color="000000"/>
            </w:tcBorders>
            <w:shd w:val="clear" w:color="auto" w:fill="F7CBAC"/>
          </w:tcPr>
          <w:p w14:paraId="2034089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Период спровођења: 2023-2026</w:t>
            </w:r>
          </w:p>
        </w:tc>
        <w:tc>
          <w:tcPr>
            <w:tcW w:w="7799" w:type="dxa"/>
            <w:gridSpan w:val="7"/>
            <w:tcBorders>
              <w:top w:val="single" w:sz="4" w:space="0" w:color="000000"/>
              <w:left w:val="single" w:sz="4" w:space="0" w:color="000000"/>
              <w:bottom w:val="single" w:sz="4" w:space="0" w:color="000000"/>
              <w:right w:val="single" w:sz="4" w:space="0" w:color="000000"/>
            </w:tcBorders>
            <w:shd w:val="clear" w:color="auto" w:fill="F7CBAC"/>
          </w:tcPr>
          <w:p w14:paraId="0739DC4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Информативно - едукативна</w:t>
            </w:r>
          </w:p>
        </w:tc>
      </w:tr>
      <w:tr w:rsidR="00A0251B" w:rsidRPr="00CC35F0" w14:paraId="5944ED61" w14:textId="77777777">
        <w:trPr>
          <w:gridAfter w:val="1"/>
          <w:wAfter w:w="14" w:type="dxa"/>
          <w:trHeight w:val="298"/>
        </w:trPr>
        <w:tc>
          <w:tcPr>
            <w:tcW w:w="6677" w:type="dxa"/>
            <w:gridSpan w:val="4"/>
            <w:tcBorders>
              <w:top w:val="single" w:sz="4" w:space="0" w:color="000000"/>
              <w:left w:val="single" w:sz="4" w:space="0" w:color="000000"/>
              <w:bottom w:val="single" w:sz="4" w:space="0" w:color="000000"/>
              <w:right w:val="single" w:sz="4" w:space="0" w:color="000000"/>
            </w:tcBorders>
            <w:shd w:val="clear" w:color="auto" w:fill="F7CBAC"/>
          </w:tcPr>
          <w:p w14:paraId="70E564C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2557" w:type="dxa"/>
            <w:gridSpan w:val="2"/>
            <w:tcBorders>
              <w:top w:val="single" w:sz="4" w:space="0" w:color="000000"/>
              <w:left w:val="single" w:sz="4" w:space="0" w:color="000000"/>
              <w:bottom w:val="single" w:sz="4" w:space="0" w:color="000000"/>
              <w:right w:val="single" w:sz="4" w:space="0" w:color="000000"/>
            </w:tcBorders>
            <w:shd w:val="clear" w:color="auto" w:fill="F7CBAC"/>
          </w:tcPr>
          <w:p w14:paraId="2B582D5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НЕМА</w:t>
            </w:r>
          </w:p>
        </w:tc>
        <w:tc>
          <w:tcPr>
            <w:tcW w:w="5242" w:type="dxa"/>
            <w:gridSpan w:val="5"/>
            <w:tcBorders>
              <w:top w:val="single" w:sz="4" w:space="0" w:color="000000"/>
              <w:left w:val="single" w:sz="4" w:space="0" w:color="000000"/>
              <w:bottom w:val="single" w:sz="4" w:space="0" w:color="000000"/>
              <w:right w:val="single" w:sz="4" w:space="0" w:color="000000"/>
            </w:tcBorders>
            <w:shd w:val="clear" w:color="auto" w:fill="F7CBAC"/>
          </w:tcPr>
          <w:p w14:paraId="70CF3C30" w14:textId="77777777" w:rsidR="00A0251B" w:rsidRPr="00CC35F0" w:rsidRDefault="00A0251B">
            <w:pPr>
              <w:rPr>
                <w:rFonts w:ascii="Times New Roman" w:eastAsia="Times New Roman" w:hAnsi="Times New Roman"/>
                <w:sz w:val="24"/>
                <w:szCs w:val="24"/>
                <w:lang w:val="sr-Cyrl-CS"/>
              </w:rPr>
            </w:pPr>
          </w:p>
        </w:tc>
      </w:tr>
      <w:tr w:rsidR="00A0251B" w:rsidRPr="00CC35F0" w14:paraId="000AEC39" w14:textId="77777777">
        <w:trPr>
          <w:trHeight w:val="950"/>
        </w:trPr>
        <w:tc>
          <w:tcPr>
            <w:tcW w:w="2525" w:type="dxa"/>
            <w:tcBorders>
              <w:top w:val="single" w:sz="4" w:space="0" w:color="000000"/>
              <w:left w:val="single" w:sz="4" w:space="0" w:color="000000"/>
              <w:bottom w:val="single" w:sz="4" w:space="0" w:color="000000"/>
              <w:right w:val="single" w:sz="4" w:space="0" w:color="000000"/>
            </w:tcBorders>
            <w:shd w:val="clear" w:color="auto" w:fill="D9D9D9"/>
          </w:tcPr>
          <w:p w14:paraId="44538A7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53F3C41B" w14:textId="77777777" w:rsidR="00A0251B" w:rsidRPr="00CC35F0" w:rsidRDefault="00A0251B">
            <w:pPr>
              <w:jc w:val="center"/>
              <w:rPr>
                <w:rFonts w:ascii="Times New Roman" w:eastAsia="Times New Roman" w:hAnsi="Times New Roman"/>
                <w:sz w:val="24"/>
                <w:szCs w:val="24"/>
                <w:lang w:val="sr-Cyrl-CS"/>
              </w:rPr>
            </w:pPr>
          </w:p>
        </w:tc>
        <w:tc>
          <w:tcPr>
            <w:tcW w:w="2691" w:type="dxa"/>
            <w:tcBorders>
              <w:top w:val="single" w:sz="4" w:space="0" w:color="000000"/>
              <w:left w:val="single" w:sz="4" w:space="0" w:color="000000"/>
              <w:bottom w:val="single" w:sz="4" w:space="0" w:color="000000"/>
              <w:right w:val="single" w:sz="4" w:space="0" w:color="000000"/>
            </w:tcBorders>
            <w:shd w:val="clear" w:color="auto" w:fill="D9D9D9"/>
          </w:tcPr>
          <w:p w14:paraId="49B7279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17" w:type="dxa"/>
            <w:tcBorders>
              <w:top w:val="single" w:sz="4" w:space="0" w:color="000000"/>
              <w:left w:val="single" w:sz="4" w:space="0" w:color="000000"/>
              <w:bottom w:val="single" w:sz="4" w:space="0" w:color="000000"/>
              <w:right w:val="single" w:sz="4" w:space="0" w:color="000000"/>
            </w:tcBorders>
            <w:shd w:val="clear" w:color="auto" w:fill="D9D9D9"/>
          </w:tcPr>
          <w:p w14:paraId="12766EE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B036BA">
              <w:rPr>
                <w:rFonts w:ascii="Times New Roman" w:eastAsia="Times New Roman" w:hAnsi="Times New Roman"/>
                <w:sz w:val="20"/>
                <w:szCs w:val="20"/>
                <w:lang w:val="sr-Cyrl-CS"/>
              </w:rPr>
              <w:t>верификациј</w:t>
            </w:r>
            <w:r w:rsidRPr="00CC35F0">
              <w:rPr>
                <w:rFonts w:ascii="Times New Roman" w:eastAsia="Times New Roman" w:hAnsi="Times New Roman"/>
                <w:sz w:val="24"/>
                <w:szCs w:val="24"/>
                <w:lang w:val="sr-Cyrl-CS"/>
              </w:rPr>
              <w:t>е</w:t>
            </w:r>
          </w:p>
        </w:tc>
        <w:tc>
          <w:tcPr>
            <w:tcW w:w="1389" w:type="dxa"/>
            <w:gridSpan w:val="2"/>
            <w:tcBorders>
              <w:top w:val="single" w:sz="4" w:space="0" w:color="000000"/>
              <w:left w:val="single" w:sz="4" w:space="0" w:color="000000"/>
              <w:bottom w:val="single" w:sz="4" w:space="0" w:color="000000"/>
              <w:right w:val="single" w:sz="4" w:space="0" w:color="000000"/>
            </w:tcBorders>
            <w:shd w:val="clear" w:color="auto" w:fill="D9D9D9"/>
          </w:tcPr>
          <w:p w14:paraId="648A2DD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212" w:type="dxa"/>
            <w:tcBorders>
              <w:top w:val="single" w:sz="4" w:space="0" w:color="000000"/>
              <w:left w:val="single" w:sz="4" w:space="0" w:color="000000"/>
              <w:bottom w:val="single" w:sz="4" w:space="0" w:color="000000"/>
              <w:right w:val="single" w:sz="4" w:space="0" w:color="000000"/>
            </w:tcBorders>
            <w:shd w:val="clear" w:color="auto" w:fill="D9D9D9"/>
          </w:tcPr>
          <w:p w14:paraId="240EB18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223" w:type="dxa"/>
            <w:gridSpan w:val="2"/>
            <w:tcBorders>
              <w:top w:val="single" w:sz="4" w:space="0" w:color="000000"/>
              <w:left w:val="single" w:sz="4" w:space="0" w:color="000000"/>
              <w:bottom w:val="single" w:sz="4" w:space="0" w:color="000000"/>
              <w:right w:val="single" w:sz="4" w:space="0" w:color="000000"/>
            </w:tcBorders>
            <w:shd w:val="clear" w:color="auto" w:fill="D9D9D9"/>
          </w:tcPr>
          <w:p w14:paraId="62BE83D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Pr>
          <w:p w14:paraId="41D5384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324" w:type="dxa"/>
            <w:tcBorders>
              <w:top w:val="single" w:sz="4" w:space="0" w:color="000000"/>
              <w:left w:val="single" w:sz="4" w:space="0" w:color="000000"/>
              <w:bottom w:val="single" w:sz="4" w:space="0" w:color="000000"/>
              <w:right w:val="single" w:sz="4" w:space="0" w:color="000000"/>
            </w:tcBorders>
            <w:shd w:val="clear" w:color="auto" w:fill="D9D9D9"/>
          </w:tcPr>
          <w:p w14:paraId="2BDD063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269"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94325B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Циљана вредност у </w:t>
            </w:r>
            <w:r w:rsidRPr="00B036BA">
              <w:rPr>
                <w:rFonts w:ascii="Times New Roman" w:eastAsia="Times New Roman" w:hAnsi="Times New Roman"/>
                <w:sz w:val="20"/>
                <w:szCs w:val="20"/>
                <w:lang w:val="sr-Cyrl-CS"/>
              </w:rPr>
              <w:t>последњој</w:t>
            </w:r>
            <w:r w:rsidRPr="00CC35F0">
              <w:rPr>
                <w:rFonts w:ascii="Times New Roman" w:eastAsia="Times New Roman" w:hAnsi="Times New Roman"/>
                <w:sz w:val="24"/>
                <w:szCs w:val="24"/>
                <w:lang w:val="sr-Cyrl-CS"/>
              </w:rPr>
              <w:t xml:space="preserve"> години АП, 2026. године</w:t>
            </w:r>
          </w:p>
        </w:tc>
      </w:tr>
      <w:tr w:rsidR="00A0251B" w:rsidRPr="00CC35F0" w14:paraId="622C6C4F" w14:textId="77777777">
        <w:trPr>
          <w:trHeight w:val="302"/>
        </w:trPr>
        <w:tc>
          <w:tcPr>
            <w:tcW w:w="2525" w:type="dxa"/>
            <w:tcBorders>
              <w:top w:val="single" w:sz="4" w:space="0" w:color="000000"/>
              <w:left w:val="single" w:sz="4" w:space="0" w:color="000000"/>
              <w:bottom w:val="single" w:sz="4" w:space="0" w:color="000000"/>
              <w:right w:val="single" w:sz="4" w:space="0" w:color="000000"/>
            </w:tcBorders>
            <w:shd w:val="clear" w:color="auto" w:fill="FFFFFF"/>
          </w:tcPr>
          <w:p w14:paraId="3E14FB2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укупног чврстог стајњака са фарми свиња – инкорпорација у року од 12 сати</w:t>
            </w:r>
          </w:p>
        </w:tc>
        <w:tc>
          <w:tcPr>
            <w:tcW w:w="2691" w:type="dxa"/>
            <w:tcBorders>
              <w:top w:val="single" w:sz="4" w:space="0" w:color="000000"/>
              <w:left w:val="single" w:sz="4" w:space="0" w:color="000000"/>
              <w:bottom w:val="single" w:sz="4" w:space="0" w:color="000000"/>
              <w:right w:val="single" w:sz="4" w:space="0" w:color="000000"/>
            </w:tcBorders>
            <w:shd w:val="clear" w:color="auto" w:fill="FFFFFF"/>
          </w:tcPr>
          <w:p w14:paraId="45F40D11"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17" w:type="dxa"/>
            <w:vMerge w:val="restart"/>
            <w:shd w:val="clear" w:color="auto" w:fill="FFFFFF"/>
          </w:tcPr>
          <w:p w14:paraId="3EA61CFE" w14:textId="77777777" w:rsidR="00A0251B" w:rsidRPr="00CC35F0" w:rsidRDefault="00A0251B">
            <w:pPr>
              <w:shd w:val="clear" w:color="auto" w:fill="FFFFFF"/>
              <w:jc w:val="left"/>
              <w:rPr>
                <w:rFonts w:ascii="Times New Roman" w:eastAsia="Times New Roman" w:hAnsi="Times New Roman"/>
                <w:sz w:val="24"/>
                <w:szCs w:val="24"/>
                <w:lang w:val="sr-Cyrl-CS"/>
              </w:rPr>
            </w:pPr>
          </w:p>
          <w:p w14:paraId="05B3119F" w14:textId="77777777" w:rsidR="00A0251B" w:rsidRPr="00CC35F0" w:rsidRDefault="00A0251B">
            <w:pPr>
              <w:shd w:val="clear" w:color="auto" w:fill="FFFFFF"/>
              <w:jc w:val="left"/>
              <w:rPr>
                <w:rFonts w:ascii="Times New Roman" w:eastAsia="Times New Roman" w:hAnsi="Times New Roman"/>
                <w:sz w:val="24"/>
                <w:szCs w:val="24"/>
                <w:lang w:val="sr-Cyrl-CS"/>
              </w:rPr>
            </w:pPr>
          </w:p>
          <w:p w14:paraId="41B7AFF7" w14:textId="77777777" w:rsidR="00A0251B" w:rsidRPr="00CC35F0" w:rsidRDefault="00A0251B">
            <w:pPr>
              <w:shd w:val="clear" w:color="auto" w:fill="FFFFFF"/>
              <w:jc w:val="left"/>
              <w:rPr>
                <w:rFonts w:ascii="Times New Roman" w:eastAsia="Times New Roman" w:hAnsi="Times New Roman"/>
                <w:sz w:val="24"/>
                <w:szCs w:val="24"/>
                <w:lang w:val="sr-Cyrl-CS"/>
              </w:rPr>
            </w:pPr>
          </w:p>
          <w:p w14:paraId="3EE68134"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Годишња студија </w:t>
            </w:r>
            <w:r w:rsidRPr="00B036BA">
              <w:rPr>
                <w:rFonts w:ascii="Times New Roman" w:eastAsia="Times New Roman" w:hAnsi="Times New Roman"/>
                <w:lang w:val="sr-Cyrl-CS"/>
              </w:rPr>
              <w:t xml:space="preserve">Саветодавне </w:t>
            </w:r>
            <w:r w:rsidRPr="00CC35F0">
              <w:rPr>
                <w:rFonts w:ascii="Times New Roman" w:eastAsia="Times New Roman" w:hAnsi="Times New Roman"/>
                <w:sz w:val="24"/>
                <w:szCs w:val="24"/>
                <w:lang w:val="sr-Cyrl-CS"/>
              </w:rPr>
              <w:t xml:space="preserve">службе о </w:t>
            </w:r>
            <w:r w:rsidRPr="00CC35F0">
              <w:rPr>
                <w:rFonts w:ascii="Times New Roman" w:eastAsia="Times New Roman" w:hAnsi="Times New Roman"/>
                <w:sz w:val="24"/>
                <w:szCs w:val="24"/>
                <w:lang w:val="sr-Cyrl-CS"/>
              </w:rPr>
              <w:lastRenderedPageBreak/>
              <w:t>најбољим праксама</w:t>
            </w:r>
          </w:p>
        </w:tc>
        <w:tc>
          <w:tcPr>
            <w:tcW w:w="138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2BF7860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1,6</w:t>
            </w:r>
          </w:p>
        </w:tc>
        <w:tc>
          <w:tcPr>
            <w:tcW w:w="1212"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1DC8D3C"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1,6</w:t>
            </w:r>
          </w:p>
        </w:tc>
        <w:tc>
          <w:tcPr>
            <w:tcW w:w="1223"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15230B78"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w:t>
            </w: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C7BB7CF"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2,8</w:t>
            </w:r>
          </w:p>
        </w:tc>
        <w:tc>
          <w:tcPr>
            <w:tcW w:w="132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1476966"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w:t>
            </w:r>
          </w:p>
        </w:tc>
        <w:tc>
          <w:tcPr>
            <w:tcW w:w="126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1BA348CC"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w:t>
            </w:r>
          </w:p>
        </w:tc>
      </w:tr>
      <w:tr w:rsidR="00A0251B" w:rsidRPr="00CC35F0" w14:paraId="7D8E75FE" w14:textId="77777777">
        <w:trPr>
          <w:trHeight w:val="302"/>
        </w:trPr>
        <w:tc>
          <w:tcPr>
            <w:tcW w:w="2525" w:type="dxa"/>
            <w:tcBorders>
              <w:top w:val="single" w:sz="4" w:space="0" w:color="000000"/>
              <w:left w:val="single" w:sz="4" w:space="0" w:color="000000"/>
              <w:bottom w:val="single" w:sz="4" w:space="0" w:color="000000"/>
              <w:right w:val="single" w:sz="4" w:space="0" w:color="000000"/>
            </w:tcBorders>
            <w:shd w:val="clear" w:color="auto" w:fill="FFFFFF"/>
          </w:tcPr>
          <w:p w14:paraId="5D44075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Удео укупног чврстог стајњака са фарми свиња - </w:t>
            </w:r>
            <w:r w:rsidRPr="00CC35F0">
              <w:rPr>
                <w:rFonts w:ascii="Times New Roman" w:eastAsia="Times New Roman" w:hAnsi="Times New Roman"/>
                <w:sz w:val="24"/>
                <w:szCs w:val="24"/>
                <w:lang w:val="sr-Cyrl-CS"/>
              </w:rPr>
              <w:lastRenderedPageBreak/>
              <w:t>инкорпорација у року од 4 сата</w:t>
            </w:r>
          </w:p>
        </w:tc>
        <w:tc>
          <w:tcPr>
            <w:tcW w:w="2691" w:type="dxa"/>
            <w:tcBorders>
              <w:top w:val="single" w:sz="4" w:space="0" w:color="000000"/>
              <w:left w:val="single" w:sz="4" w:space="0" w:color="000000"/>
              <w:bottom w:val="single" w:sz="4" w:space="0" w:color="000000"/>
              <w:right w:val="single" w:sz="4" w:space="0" w:color="000000"/>
            </w:tcBorders>
            <w:shd w:val="clear" w:color="auto" w:fill="FFFFFF"/>
          </w:tcPr>
          <w:p w14:paraId="15DB4D8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 </w:t>
            </w:r>
          </w:p>
        </w:tc>
        <w:tc>
          <w:tcPr>
            <w:tcW w:w="1417" w:type="dxa"/>
            <w:vMerge/>
            <w:shd w:val="clear" w:color="auto" w:fill="FFFFFF"/>
          </w:tcPr>
          <w:p w14:paraId="19393C1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8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43C2D2E3"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7,7</w:t>
            </w:r>
          </w:p>
        </w:tc>
        <w:tc>
          <w:tcPr>
            <w:tcW w:w="1212"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24211F77"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7,7</w:t>
            </w:r>
          </w:p>
        </w:tc>
        <w:tc>
          <w:tcPr>
            <w:tcW w:w="1223"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25C0D94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725BF904"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10,3</w:t>
            </w:r>
          </w:p>
        </w:tc>
        <w:tc>
          <w:tcPr>
            <w:tcW w:w="132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D6CFD32"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w:t>
            </w:r>
          </w:p>
        </w:tc>
        <w:tc>
          <w:tcPr>
            <w:tcW w:w="126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693A52FC"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13,0</w:t>
            </w:r>
          </w:p>
        </w:tc>
      </w:tr>
      <w:tr w:rsidR="00A0251B" w:rsidRPr="00CC35F0" w14:paraId="24705D71" w14:textId="77777777">
        <w:trPr>
          <w:trHeight w:val="302"/>
        </w:trPr>
        <w:tc>
          <w:tcPr>
            <w:tcW w:w="2525" w:type="dxa"/>
            <w:tcBorders>
              <w:top w:val="single" w:sz="4" w:space="0" w:color="000000"/>
              <w:left w:val="single" w:sz="4" w:space="0" w:color="000000"/>
              <w:bottom w:val="single" w:sz="4" w:space="0" w:color="000000"/>
              <w:right w:val="single" w:sz="4" w:space="0" w:color="000000"/>
            </w:tcBorders>
            <w:shd w:val="clear" w:color="auto" w:fill="FFFFFF"/>
          </w:tcPr>
          <w:p w14:paraId="5D51996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укупног чврстог стајњака са фарми живине - инкорпорација живинског стајњака у року од 12 сати</w:t>
            </w:r>
          </w:p>
        </w:tc>
        <w:tc>
          <w:tcPr>
            <w:tcW w:w="2691" w:type="dxa"/>
            <w:tcBorders>
              <w:top w:val="single" w:sz="4" w:space="0" w:color="000000"/>
              <w:left w:val="single" w:sz="4" w:space="0" w:color="000000"/>
              <w:bottom w:val="single" w:sz="4" w:space="0" w:color="000000"/>
              <w:right w:val="single" w:sz="4" w:space="0" w:color="000000"/>
            </w:tcBorders>
            <w:shd w:val="clear" w:color="auto" w:fill="FFFFFF"/>
          </w:tcPr>
          <w:p w14:paraId="1E77795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17" w:type="dxa"/>
            <w:vMerge/>
            <w:shd w:val="clear" w:color="auto" w:fill="FFFFFF"/>
          </w:tcPr>
          <w:p w14:paraId="68778FF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8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4DDA025E"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5,7</w:t>
            </w:r>
          </w:p>
        </w:tc>
        <w:tc>
          <w:tcPr>
            <w:tcW w:w="1212"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F99A69E"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5,7</w:t>
            </w:r>
          </w:p>
        </w:tc>
        <w:tc>
          <w:tcPr>
            <w:tcW w:w="1223"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0499C668"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7,7</w:t>
            </w: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A5D307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9,6</w:t>
            </w:r>
          </w:p>
        </w:tc>
        <w:tc>
          <w:tcPr>
            <w:tcW w:w="132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4181C6C"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11,6</w:t>
            </w:r>
          </w:p>
        </w:tc>
        <w:tc>
          <w:tcPr>
            <w:tcW w:w="126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2C0705A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13,6</w:t>
            </w:r>
          </w:p>
        </w:tc>
      </w:tr>
      <w:tr w:rsidR="00A0251B" w:rsidRPr="00CC35F0" w14:paraId="4B7E6644" w14:textId="77777777">
        <w:trPr>
          <w:trHeight w:val="302"/>
        </w:trPr>
        <w:tc>
          <w:tcPr>
            <w:tcW w:w="2525" w:type="dxa"/>
            <w:tcBorders>
              <w:top w:val="single" w:sz="4" w:space="0" w:color="000000"/>
              <w:left w:val="single" w:sz="4" w:space="0" w:color="000000"/>
              <w:bottom w:val="single" w:sz="4" w:space="0" w:color="000000"/>
              <w:right w:val="single" w:sz="4" w:space="0" w:color="000000"/>
            </w:tcBorders>
            <w:shd w:val="clear" w:color="auto" w:fill="FFFFFF"/>
          </w:tcPr>
          <w:p w14:paraId="05BD6B0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укупног чврстог стајњака са фарми живине - инкорпорација живинског стајњака у року од 4 сата</w:t>
            </w:r>
          </w:p>
        </w:tc>
        <w:tc>
          <w:tcPr>
            <w:tcW w:w="2691" w:type="dxa"/>
            <w:tcBorders>
              <w:top w:val="single" w:sz="4" w:space="0" w:color="000000"/>
              <w:left w:val="single" w:sz="4" w:space="0" w:color="000000"/>
              <w:bottom w:val="single" w:sz="4" w:space="0" w:color="000000"/>
              <w:right w:val="single" w:sz="4" w:space="0" w:color="000000"/>
            </w:tcBorders>
            <w:shd w:val="clear" w:color="auto" w:fill="FFFFFF"/>
          </w:tcPr>
          <w:p w14:paraId="4EBECC9F"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17" w:type="dxa"/>
            <w:vMerge/>
            <w:shd w:val="clear" w:color="auto" w:fill="FFFFFF"/>
          </w:tcPr>
          <w:p w14:paraId="08BCBFA4"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8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4C109BD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7,7</w:t>
            </w:r>
          </w:p>
        </w:tc>
        <w:tc>
          <w:tcPr>
            <w:tcW w:w="1212"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436855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7,7</w:t>
            </w:r>
          </w:p>
        </w:tc>
        <w:tc>
          <w:tcPr>
            <w:tcW w:w="1223"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2AA5D0A4"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641F759"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10,3</w:t>
            </w:r>
          </w:p>
        </w:tc>
        <w:tc>
          <w:tcPr>
            <w:tcW w:w="132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BBAEE0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w:t>
            </w:r>
          </w:p>
        </w:tc>
        <w:tc>
          <w:tcPr>
            <w:tcW w:w="126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6D4A03BD"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13,0</w:t>
            </w:r>
          </w:p>
        </w:tc>
      </w:tr>
      <w:tr w:rsidR="00A0251B" w:rsidRPr="00CC35F0" w14:paraId="726C99A9" w14:textId="77777777">
        <w:trPr>
          <w:trHeight w:val="302"/>
        </w:trPr>
        <w:tc>
          <w:tcPr>
            <w:tcW w:w="2525" w:type="dxa"/>
            <w:tcBorders>
              <w:top w:val="single" w:sz="4" w:space="0" w:color="000000"/>
              <w:left w:val="single" w:sz="4" w:space="0" w:color="000000"/>
              <w:bottom w:val="single" w:sz="4" w:space="0" w:color="000000"/>
              <w:right w:val="single" w:sz="4" w:space="0" w:color="000000"/>
            </w:tcBorders>
            <w:shd w:val="clear" w:color="auto" w:fill="FFFFFF"/>
          </w:tcPr>
          <w:p w14:paraId="4B261B3D"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укупног сточног стајњака - инкорпорација у року од 24 сата</w:t>
            </w:r>
          </w:p>
        </w:tc>
        <w:tc>
          <w:tcPr>
            <w:tcW w:w="2691" w:type="dxa"/>
            <w:tcBorders>
              <w:top w:val="single" w:sz="4" w:space="0" w:color="000000"/>
              <w:left w:val="single" w:sz="4" w:space="0" w:color="000000"/>
              <w:bottom w:val="single" w:sz="4" w:space="0" w:color="000000"/>
              <w:right w:val="single" w:sz="4" w:space="0" w:color="000000"/>
            </w:tcBorders>
            <w:shd w:val="clear" w:color="auto" w:fill="FFFFFF"/>
          </w:tcPr>
          <w:p w14:paraId="0FEFD98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17" w:type="dxa"/>
            <w:vMerge/>
            <w:shd w:val="clear" w:color="auto" w:fill="FFFFFF"/>
          </w:tcPr>
          <w:p w14:paraId="7F785512"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8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4664959D"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7,7</w:t>
            </w:r>
          </w:p>
        </w:tc>
        <w:tc>
          <w:tcPr>
            <w:tcW w:w="1212"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1BCC8E77"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7,7</w:t>
            </w:r>
          </w:p>
        </w:tc>
        <w:tc>
          <w:tcPr>
            <w:tcW w:w="1223"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11822A53"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499E636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10,3</w:t>
            </w:r>
          </w:p>
        </w:tc>
        <w:tc>
          <w:tcPr>
            <w:tcW w:w="132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C57670A"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w:t>
            </w:r>
          </w:p>
        </w:tc>
        <w:tc>
          <w:tcPr>
            <w:tcW w:w="126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2018CC9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13,0</w:t>
            </w:r>
          </w:p>
        </w:tc>
      </w:tr>
      <w:tr w:rsidR="00A0251B" w:rsidRPr="00CC35F0" w14:paraId="6C3730D0" w14:textId="77777777">
        <w:trPr>
          <w:trHeight w:val="302"/>
        </w:trPr>
        <w:tc>
          <w:tcPr>
            <w:tcW w:w="2525" w:type="dxa"/>
            <w:tcBorders>
              <w:top w:val="single" w:sz="4" w:space="0" w:color="000000"/>
              <w:left w:val="single" w:sz="4" w:space="0" w:color="000000"/>
              <w:bottom w:val="single" w:sz="4" w:space="0" w:color="000000"/>
              <w:right w:val="single" w:sz="4" w:space="0" w:color="000000"/>
            </w:tcBorders>
            <w:shd w:val="clear" w:color="auto" w:fill="FFFFFF"/>
          </w:tcPr>
          <w:p w14:paraId="4B4FD11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укупног сточног стајњака - инкорпорација у року од 12 сати</w:t>
            </w:r>
          </w:p>
        </w:tc>
        <w:tc>
          <w:tcPr>
            <w:tcW w:w="2691" w:type="dxa"/>
            <w:tcBorders>
              <w:top w:val="single" w:sz="4" w:space="0" w:color="000000"/>
              <w:left w:val="single" w:sz="4" w:space="0" w:color="000000"/>
              <w:bottom w:val="single" w:sz="4" w:space="0" w:color="000000"/>
              <w:right w:val="single" w:sz="4" w:space="0" w:color="000000"/>
            </w:tcBorders>
            <w:shd w:val="clear" w:color="auto" w:fill="FFFFFF"/>
          </w:tcPr>
          <w:p w14:paraId="50146FF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17" w:type="dxa"/>
            <w:vMerge/>
            <w:shd w:val="clear" w:color="auto" w:fill="FFFFFF"/>
          </w:tcPr>
          <w:p w14:paraId="3B172035"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8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013B58D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w:t>
            </w:r>
          </w:p>
        </w:tc>
        <w:tc>
          <w:tcPr>
            <w:tcW w:w="1233"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5CCAE8F2"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w:t>
            </w:r>
          </w:p>
        </w:tc>
        <w:tc>
          <w:tcPr>
            <w:tcW w:w="1202"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F576D6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80CAD10"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w:t>
            </w:r>
          </w:p>
        </w:tc>
        <w:tc>
          <w:tcPr>
            <w:tcW w:w="132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6957EB8B"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w:t>
            </w:r>
          </w:p>
        </w:tc>
        <w:tc>
          <w:tcPr>
            <w:tcW w:w="126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6CF41E3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11,0</w:t>
            </w:r>
          </w:p>
        </w:tc>
      </w:tr>
      <w:tr w:rsidR="00A0251B" w:rsidRPr="00CC35F0" w14:paraId="4EB147B7" w14:textId="77777777">
        <w:trPr>
          <w:trHeight w:val="302"/>
        </w:trPr>
        <w:tc>
          <w:tcPr>
            <w:tcW w:w="2525" w:type="dxa"/>
            <w:tcBorders>
              <w:top w:val="single" w:sz="4" w:space="0" w:color="000000"/>
              <w:left w:val="single" w:sz="4" w:space="0" w:color="000000"/>
              <w:bottom w:val="single" w:sz="4" w:space="0" w:color="000000"/>
              <w:right w:val="single" w:sz="4" w:space="0" w:color="000000"/>
            </w:tcBorders>
            <w:shd w:val="clear" w:color="auto" w:fill="FFFFFF"/>
          </w:tcPr>
          <w:p w14:paraId="1C5894E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укупног сточног стајњака - инкорпорација у року од 4 сата</w:t>
            </w:r>
          </w:p>
        </w:tc>
        <w:tc>
          <w:tcPr>
            <w:tcW w:w="2691" w:type="dxa"/>
            <w:tcBorders>
              <w:top w:val="single" w:sz="4" w:space="0" w:color="000000"/>
              <w:left w:val="single" w:sz="4" w:space="0" w:color="000000"/>
              <w:bottom w:val="single" w:sz="4" w:space="0" w:color="000000"/>
              <w:right w:val="single" w:sz="4" w:space="0" w:color="000000"/>
            </w:tcBorders>
            <w:shd w:val="clear" w:color="auto" w:fill="FFFFFF"/>
          </w:tcPr>
          <w:p w14:paraId="0D540BD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17" w:type="dxa"/>
            <w:vMerge/>
            <w:shd w:val="clear" w:color="auto" w:fill="FFFFFF"/>
          </w:tcPr>
          <w:p w14:paraId="6C575FB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8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6EFEFDA9"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0,7</w:t>
            </w:r>
          </w:p>
        </w:tc>
        <w:tc>
          <w:tcPr>
            <w:tcW w:w="1233"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4756400B"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0,7</w:t>
            </w:r>
          </w:p>
        </w:tc>
        <w:tc>
          <w:tcPr>
            <w:tcW w:w="1202"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52E3C56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0717FCD9"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w:t>
            </w:r>
          </w:p>
        </w:tc>
        <w:tc>
          <w:tcPr>
            <w:tcW w:w="1324" w:type="dxa"/>
            <w:tcBorders>
              <w:top w:val="single" w:sz="4" w:space="0" w:color="000000"/>
              <w:left w:val="single" w:sz="4" w:space="0" w:color="000000"/>
              <w:bottom w:val="single" w:sz="4" w:space="0" w:color="000000"/>
              <w:right w:val="single" w:sz="4" w:space="0" w:color="000000"/>
            </w:tcBorders>
            <w:shd w:val="clear" w:color="auto" w:fill="FFFFFF"/>
            <w:vAlign w:val="bottom"/>
          </w:tcPr>
          <w:p w14:paraId="3E4BC5CF"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w:t>
            </w:r>
          </w:p>
        </w:tc>
        <w:tc>
          <w:tcPr>
            <w:tcW w:w="1269" w:type="dxa"/>
            <w:gridSpan w:val="2"/>
            <w:tcBorders>
              <w:top w:val="single" w:sz="4" w:space="0" w:color="000000"/>
              <w:left w:val="single" w:sz="4" w:space="0" w:color="000000"/>
              <w:bottom w:val="single" w:sz="4" w:space="0" w:color="000000"/>
              <w:right w:val="single" w:sz="4" w:space="0" w:color="000000"/>
            </w:tcBorders>
            <w:shd w:val="clear" w:color="auto" w:fill="FFFFFF"/>
            <w:vAlign w:val="bottom"/>
          </w:tcPr>
          <w:p w14:paraId="7BF059C8"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w:t>
            </w:r>
          </w:p>
        </w:tc>
      </w:tr>
    </w:tbl>
    <w:p w14:paraId="02190D47" w14:textId="77777777" w:rsidR="00A0251B" w:rsidRPr="00CC35F0" w:rsidRDefault="00A0251B">
      <w:pPr>
        <w:rPr>
          <w:rFonts w:ascii="Times New Roman" w:eastAsia="Times New Roman" w:hAnsi="Times New Roman"/>
          <w:sz w:val="24"/>
          <w:szCs w:val="24"/>
          <w:lang w:val="sr-Cyrl-CS"/>
        </w:rPr>
      </w:pPr>
    </w:p>
    <w:tbl>
      <w:tblPr>
        <w:tblStyle w:val="affff4"/>
        <w:tblW w:w="13866" w:type="dxa"/>
        <w:tblInd w:w="2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35"/>
        <w:gridCol w:w="2113"/>
        <w:gridCol w:w="1707"/>
        <w:gridCol w:w="1708"/>
        <w:gridCol w:w="1701"/>
        <w:gridCol w:w="1701"/>
        <w:gridCol w:w="1701"/>
      </w:tblGrid>
      <w:tr w:rsidR="00A0251B" w:rsidRPr="00CC35F0" w14:paraId="47E41568" w14:textId="77777777">
        <w:trPr>
          <w:trHeight w:val="227"/>
        </w:trPr>
        <w:tc>
          <w:tcPr>
            <w:tcW w:w="3236" w:type="dxa"/>
            <w:vMerge w:val="restart"/>
            <w:shd w:val="clear" w:color="auto" w:fill="A8D08D"/>
          </w:tcPr>
          <w:p w14:paraId="161F0F7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40A05A2A" w14:textId="77777777" w:rsidR="00A0251B" w:rsidRPr="00CC35F0" w:rsidRDefault="00A0251B">
            <w:pPr>
              <w:jc w:val="center"/>
              <w:rPr>
                <w:rFonts w:ascii="Times New Roman" w:eastAsia="Times New Roman" w:hAnsi="Times New Roman"/>
                <w:sz w:val="24"/>
                <w:szCs w:val="24"/>
                <w:lang w:val="sr-Cyrl-CS"/>
              </w:rPr>
            </w:pPr>
          </w:p>
        </w:tc>
        <w:tc>
          <w:tcPr>
            <w:tcW w:w="2113" w:type="dxa"/>
            <w:vMerge w:val="restart"/>
            <w:shd w:val="clear" w:color="auto" w:fill="A8D08D"/>
          </w:tcPr>
          <w:p w14:paraId="62AFCE4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8518" w:type="dxa"/>
            <w:gridSpan w:val="5"/>
            <w:shd w:val="clear" w:color="auto" w:fill="A8D08D"/>
            <w:vAlign w:val="center"/>
          </w:tcPr>
          <w:p w14:paraId="0D887B0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441C385E" w14:textId="77777777">
        <w:trPr>
          <w:trHeight w:val="227"/>
        </w:trPr>
        <w:tc>
          <w:tcPr>
            <w:tcW w:w="3236" w:type="dxa"/>
            <w:vMerge/>
            <w:shd w:val="clear" w:color="auto" w:fill="A8D08D"/>
          </w:tcPr>
          <w:p w14:paraId="1415FF2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113" w:type="dxa"/>
            <w:vMerge/>
            <w:shd w:val="clear" w:color="auto" w:fill="A8D08D"/>
          </w:tcPr>
          <w:p w14:paraId="2AEAB39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07" w:type="dxa"/>
            <w:shd w:val="clear" w:color="auto" w:fill="A8D08D"/>
            <w:vAlign w:val="center"/>
          </w:tcPr>
          <w:p w14:paraId="08F79C3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708" w:type="dxa"/>
            <w:shd w:val="clear" w:color="auto" w:fill="A8D08D"/>
            <w:vAlign w:val="center"/>
          </w:tcPr>
          <w:p w14:paraId="1E2FC77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701" w:type="dxa"/>
            <w:shd w:val="clear" w:color="auto" w:fill="A8D08D"/>
            <w:vAlign w:val="center"/>
          </w:tcPr>
          <w:p w14:paraId="2A03D48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701" w:type="dxa"/>
            <w:shd w:val="clear" w:color="auto" w:fill="A8D08D"/>
            <w:vAlign w:val="center"/>
          </w:tcPr>
          <w:p w14:paraId="6FFD370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701" w:type="dxa"/>
            <w:shd w:val="clear" w:color="auto" w:fill="A8D08D"/>
            <w:vAlign w:val="center"/>
          </w:tcPr>
          <w:p w14:paraId="6033F3C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536C43A1" w14:textId="77777777">
        <w:trPr>
          <w:trHeight w:val="398"/>
        </w:trPr>
        <w:tc>
          <w:tcPr>
            <w:tcW w:w="3236" w:type="dxa"/>
            <w:tcBorders>
              <w:top w:val="single" w:sz="4" w:space="0" w:color="000000"/>
              <w:left w:val="single" w:sz="4" w:space="0" w:color="000000"/>
              <w:bottom w:val="single" w:sz="4" w:space="0" w:color="000000"/>
              <w:right w:val="single" w:sz="4" w:space="0" w:color="000000"/>
            </w:tcBorders>
            <w:shd w:val="clear" w:color="auto" w:fill="FFFFFF"/>
          </w:tcPr>
          <w:p w14:paraId="09AB3988"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p w14:paraId="08CABF8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2113" w:type="dxa"/>
            <w:tcBorders>
              <w:top w:val="single" w:sz="4" w:space="0" w:color="000000"/>
              <w:left w:val="single" w:sz="4" w:space="0" w:color="000000"/>
              <w:bottom w:val="single" w:sz="4" w:space="0" w:color="000000"/>
              <w:right w:val="single" w:sz="4" w:space="0" w:color="000000"/>
            </w:tcBorders>
            <w:shd w:val="clear" w:color="auto" w:fill="FFFFFF"/>
          </w:tcPr>
          <w:p w14:paraId="6523069E"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101DF4" w:rsidRPr="00CC35F0">
              <w:rPr>
                <w:rFonts w:ascii="Times New Roman" w:eastAsia="Times New Roman" w:hAnsi="Times New Roman"/>
                <w:sz w:val="24"/>
                <w:szCs w:val="24"/>
                <w:vertAlign w:val="superscript"/>
                <w:lang w:val="sr-Cyrl-CS"/>
              </w:rPr>
              <w:t>101</w:t>
            </w:r>
          </w:p>
        </w:tc>
        <w:tc>
          <w:tcPr>
            <w:tcW w:w="1707" w:type="dxa"/>
            <w:tcBorders>
              <w:top w:val="single" w:sz="4" w:space="0" w:color="000000"/>
              <w:left w:val="single" w:sz="4" w:space="0" w:color="000000"/>
              <w:bottom w:val="single" w:sz="4" w:space="0" w:color="000000"/>
              <w:right w:val="single" w:sz="4" w:space="0" w:color="000000"/>
            </w:tcBorders>
            <w:shd w:val="clear" w:color="auto" w:fill="FFFFFF"/>
          </w:tcPr>
          <w:p w14:paraId="0BC1D469" w14:textId="77777777" w:rsidR="00A0251B" w:rsidRPr="00CC35F0" w:rsidRDefault="00A0251B">
            <w:pPr>
              <w:rPr>
                <w:rFonts w:ascii="Times New Roman" w:eastAsia="Times New Roman" w:hAnsi="Times New Roman"/>
                <w:sz w:val="24"/>
                <w:szCs w:val="24"/>
                <w:lang w:val="sr-Cyrl-CS"/>
              </w:rPr>
            </w:pPr>
          </w:p>
        </w:tc>
        <w:tc>
          <w:tcPr>
            <w:tcW w:w="1708" w:type="dxa"/>
            <w:tcBorders>
              <w:top w:val="single" w:sz="4" w:space="0" w:color="000000"/>
              <w:left w:val="single" w:sz="4" w:space="0" w:color="000000"/>
              <w:bottom w:val="single" w:sz="4" w:space="0" w:color="000000"/>
              <w:right w:val="single" w:sz="4" w:space="0" w:color="000000"/>
            </w:tcBorders>
            <w:shd w:val="clear" w:color="auto" w:fill="FFFFFF"/>
          </w:tcPr>
          <w:p w14:paraId="25FE8109"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101DF4" w:rsidRPr="00CC35F0">
              <w:rPr>
                <w:rFonts w:ascii="Times New Roman" w:eastAsia="Times New Roman" w:hAnsi="Times New Roman"/>
                <w:sz w:val="24"/>
                <w:szCs w:val="24"/>
                <w:vertAlign w:val="superscript"/>
                <w:lang w:val="sr-Cyrl-CS"/>
              </w:rPr>
              <w:t>101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2FA8F549"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101DF4" w:rsidRPr="00CC35F0">
              <w:rPr>
                <w:rFonts w:ascii="Times New Roman" w:eastAsia="Times New Roman" w:hAnsi="Times New Roman"/>
                <w:sz w:val="24"/>
                <w:szCs w:val="24"/>
                <w:vertAlign w:val="superscript"/>
                <w:lang w:val="sr-Cyrl-CS"/>
              </w:rPr>
              <w:t>101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7FD6C224"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101DF4" w:rsidRPr="00CC35F0">
              <w:rPr>
                <w:rFonts w:ascii="Times New Roman" w:eastAsia="Times New Roman" w:hAnsi="Times New Roman"/>
                <w:sz w:val="24"/>
                <w:szCs w:val="24"/>
                <w:vertAlign w:val="superscript"/>
                <w:lang w:val="sr-Cyrl-CS"/>
              </w:rPr>
              <w:t>101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6CE2CA00"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101DF4" w:rsidRPr="00CC35F0">
              <w:rPr>
                <w:rFonts w:ascii="Times New Roman" w:eastAsia="Times New Roman" w:hAnsi="Times New Roman"/>
                <w:sz w:val="24"/>
                <w:szCs w:val="24"/>
                <w:vertAlign w:val="superscript"/>
                <w:lang w:val="sr-Cyrl-CS"/>
              </w:rPr>
              <w:t>101</w:t>
            </w:r>
          </w:p>
        </w:tc>
      </w:tr>
    </w:tbl>
    <w:p w14:paraId="7B6B6B66" w14:textId="77777777" w:rsidR="00A0251B" w:rsidRPr="00CC35F0" w:rsidRDefault="00A0251B">
      <w:pPr>
        <w:rPr>
          <w:rFonts w:ascii="Times New Roman" w:eastAsia="Times New Roman" w:hAnsi="Times New Roman"/>
          <w:sz w:val="24"/>
          <w:szCs w:val="24"/>
          <w:lang w:val="sr-Cyrl-CS"/>
        </w:rPr>
      </w:pPr>
    </w:p>
    <w:tbl>
      <w:tblPr>
        <w:tblStyle w:val="affff5"/>
        <w:tblW w:w="14533"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1976"/>
        <w:gridCol w:w="1765"/>
        <w:gridCol w:w="1441"/>
        <w:gridCol w:w="1427"/>
        <w:gridCol w:w="1605"/>
        <w:gridCol w:w="1565"/>
        <w:gridCol w:w="926"/>
        <w:gridCol w:w="1068"/>
        <w:gridCol w:w="920"/>
        <w:gridCol w:w="920"/>
        <w:gridCol w:w="920"/>
      </w:tblGrid>
      <w:tr w:rsidR="00A0251B" w:rsidRPr="00CC35F0" w14:paraId="1E9D83BF" w14:textId="77777777">
        <w:trPr>
          <w:trHeight w:val="140"/>
        </w:trPr>
        <w:tc>
          <w:tcPr>
            <w:tcW w:w="1976"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6304282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Назив активности:</w:t>
            </w:r>
          </w:p>
        </w:tc>
        <w:tc>
          <w:tcPr>
            <w:tcW w:w="17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31865DE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44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ACE388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42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45C187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60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C23839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97D1DE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4FF25C6C" w14:textId="77777777" w:rsidR="00A0251B" w:rsidRPr="00CC35F0" w:rsidRDefault="00A0251B">
            <w:pPr>
              <w:jc w:val="center"/>
              <w:rPr>
                <w:rFonts w:ascii="Times New Roman" w:eastAsia="Times New Roman" w:hAnsi="Times New Roman"/>
                <w:sz w:val="24"/>
                <w:szCs w:val="24"/>
                <w:lang w:val="sr-Cyrl-CS"/>
              </w:rPr>
            </w:pPr>
          </w:p>
        </w:tc>
        <w:tc>
          <w:tcPr>
            <w:tcW w:w="4754" w:type="dxa"/>
            <w:gridSpan w:val="5"/>
            <w:tcBorders>
              <w:top w:val="single" w:sz="4" w:space="0" w:color="000000"/>
              <w:left w:val="single" w:sz="4" w:space="0" w:color="000000"/>
              <w:bottom w:val="single" w:sz="4" w:space="0" w:color="000000"/>
              <w:right w:val="single" w:sz="4" w:space="0" w:color="000000"/>
            </w:tcBorders>
            <w:shd w:val="clear" w:color="auto" w:fill="FFF2CC"/>
          </w:tcPr>
          <w:p w14:paraId="1FD08C2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p>
        </w:tc>
      </w:tr>
      <w:tr w:rsidR="00A0251B" w:rsidRPr="00CC35F0" w14:paraId="073CD56F" w14:textId="77777777" w:rsidTr="000832CC">
        <w:trPr>
          <w:trHeight w:val="386"/>
        </w:trPr>
        <w:tc>
          <w:tcPr>
            <w:tcW w:w="1976" w:type="dxa"/>
            <w:vMerge/>
            <w:tcBorders>
              <w:top w:val="single" w:sz="4" w:space="0" w:color="000000"/>
              <w:left w:val="single" w:sz="4" w:space="0" w:color="000000"/>
              <w:bottom w:val="single" w:sz="4" w:space="0" w:color="000000"/>
              <w:right w:val="single" w:sz="4" w:space="0" w:color="000000"/>
            </w:tcBorders>
            <w:shd w:val="clear" w:color="auto" w:fill="FFF2CC"/>
          </w:tcPr>
          <w:p w14:paraId="1BD3E61E"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65" w:type="dxa"/>
            <w:vMerge/>
            <w:tcBorders>
              <w:top w:val="single" w:sz="4" w:space="0" w:color="000000"/>
              <w:left w:val="single" w:sz="4" w:space="0" w:color="000000"/>
              <w:bottom w:val="single" w:sz="4" w:space="0" w:color="000000"/>
              <w:right w:val="single" w:sz="4" w:space="0" w:color="000000"/>
            </w:tcBorders>
            <w:shd w:val="clear" w:color="auto" w:fill="FFF2CC"/>
          </w:tcPr>
          <w:p w14:paraId="2B2FDB6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41" w:type="dxa"/>
            <w:vMerge/>
            <w:tcBorders>
              <w:top w:val="single" w:sz="4" w:space="0" w:color="000000"/>
              <w:left w:val="single" w:sz="4" w:space="0" w:color="000000"/>
              <w:bottom w:val="single" w:sz="4" w:space="0" w:color="000000"/>
              <w:right w:val="single" w:sz="4" w:space="0" w:color="000000"/>
            </w:tcBorders>
            <w:shd w:val="clear" w:color="auto" w:fill="FFF2CC"/>
          </w:tcPr>
          <w:p w14:paraId="6601A5D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7" w:type="dxa"/>
            <w:vMerge/>
            <w:tcBorders>
              <w:top w:val="single" w:sz="4" w:space="0" w:color="000000"/>
              <w:left w:val="single" w:sz="4" w:space="0" w:color="000000"/>
              <w:bottom w:val="single" w:sz="4" w:space="0" w:color="000000"/>
              <w:right w:val="single" w:sz="4" w:space="0" w:color="000000"/>
            </w:tcBorders>
            <w:shd w:val="clear" w:color="auto" w:fill="FFF2CC"/>
          </w:tcPr>
          <w:p w14:paraId="6844CAC7"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05" w:type="dxa"/>
            <w:vMerge/>
            <w:tcBorders>
              <w:top w:val="single" w:sz="4" w:space="0" w:color="000000"/>
              <w:left w:val="single" w:sz="4" w:space="0" w:color="000000"/>
              <w:bottom w:val="single" w:sz="4" w:space="0" w:color="000000"/>
              <w:right w:val="single" w:sz="4" w:space="0" w:color="000000"/>
            </w:tcBorders>
            <w:shd w:val="clear" w:color="auto" w:fill="FFF2CC"/>
          </w:tcPr>
          <w:p w14:paraId="322416A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5" w:type="dxa"/>
            <w:vMerge/>
            <w:tcBorders>
              <w:top w:val="single" w:sz="4" w:space="0" w:color="000000"/>
              <w:left w:val="single" w:sz="4" w:space="0" w:color="000000"/>
              <w:bottom w:val="single" w:sz="4" w:space="0" w:color="000000"/>
              <w:right w:val="single" w:sz="4" w:space="0" w:color="000000"/>
            </w:tcBorders>
            <w:shd w:val="clear" w:color="auto" w:fill="FFF2CC"/>
          </w:tcPr>
          <w:p w14:paraId="2D86B14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26" w:type="dxa"/>
            <w:tcBorders>
              <w:top w:val="single" w:sz="4" w:space="0" w:color="000000"/>
              <w:left w:val="single" w:sz="4" w:space="0" w:color="000000"/>
              <w:bottom w:val="single" w:sz="4" w:space="0" w:color="000000"/>
              <w:right w:val="single" w:sz="4" w:space="0" w:color="000000"/>
            </w:tcBorders>
            <w:shd w:val="clear" w:color="auto" w:fill="FFF2CC"/>
          </w:tcPr>
          <w:p w14:paraId="234BE71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068" w:type="dxa"/>
            <w:tcBorders>
              <w:top w:val="single" w:sz="4" w:space="0" w:color="000000"/>
              <w:left w:val="single" w:sz="4" w:space="0" w:color="000000"/>
              <w:bottom w:val="single" w:sz="4" w:space="0" w:color="000000"/>
              <w:right w:val="single" w:sz="4" w:space="0" w:color="000000"/>
            </w:tcBorders>
            <w:shd w:val="clear" w:color="auto" w:fill="FFF2CC"/>
          </w:tcPr>
          <w:p w14:paraId="31EDC96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0A536E8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3DC3CDD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1BBB9B2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79F8BE00" w14:textId="77777777" w:rsidTr="000832CC">
        <w:trPr>
          <w:trHeight w:val="543"/>
        </w:trPr>
        <w:tc>
          <w:tcPr>
            <w:tcW w:w="1976" w:type="dxa"/>
            <w:tcBorders>
              <w:top w:val="single" w:sz="4" w:space="0" w:color="000000"/>
              <w:left w:val="single" w:sz="4" w:space="0" w:color="000000"/>
              <w:bottom w:val="single" w:sz="4" w:space="0" w:color="000000"/>
              <w:right w:val="single" w:sz="4" w:space="0" w:color="000000"/>
            </w:tcBorders>
          </w:tcPr>
          <w:p w14:paraId="43D4ACC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1.3.3.1 Увођење најбоље праксе кроз  едукације</w:t>
            </w:r>
          </w:p>
        </w:tc>
        <w:tc>
          <w:tcPr>
            <w:tcW w:w="1765" w:type="dxa"/>
            <w:tcBorders>
              <w:top w:val="single" w:sz="4" w:space="0" w:color="000000"/>
              <w:left w:val="single" w:sz="4" w:space="0" w:color="000000"/>
              <w:bottom w:val="single" w:sz="4" w:space="0" w:color="000000"/>
              <w:right w:val="single" w:sz="4" w:space="0" w:color="000000"/>
            </w:tcBorders>
          </w:tcPr>
          <w:p w14:paraId="50F47979" w14:textId="77777777" w:rsidR="00A0251B" w:rsidRPr="00CC35F0" w:rsidRDefault="008D6506">
            <w:pPr>
              <w:jc w:val="left"/>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p>
        </w:tc>
        <w:tc>
          <w:tcPr>
            <w:tcW w:w="1441" w:type="dxa"/>
            <w:tcBorders>
              <w:top w:val="single" w:sz="4" w:space="0" w:color="000000"/>
              <w:left w:val="single" w:sz="4" w:space="0" w:color="000000"/>
              <w:bottom w:val="single" w:sz="4" w:space="0" w:color="000000"/>
              <w:right w:val="single" w:sz="4" w:space="0" w:color="000000"/>
            </w:tcBorders>
          </w:tcPr>
          <w:p w14:paraId="4DE4FF7B" w14:textId="77777777" w:rsidR="00A0251B" w:rsidRPr="00CC35F0" w:rsidRDefault="00A0251B">
            <w:pPr>
              <w:jc w:val="center"/>
              <w:rPr>
                <w:rFonts w:ascii="Times New Roman" w:eastAsia="Times New Roman" w:hAnsi="Times New Roman"/>
                <w:sz w:val="24"/>
                <w:szCs w:val="24"/>
                <w:lang w:val="sr-Cyrl-CS"/>
              </w:rPr>
            </w:pPr>
          </w:p>
        </w:tc>
        <w:tc>
          <w:tcPr>
            <w:tcW w:w="1427" w:type="dxa"/>
            <w:tcBorders>
              <w:top w:val="single" w:sz="4" w:space="0" w:color="000000"/>
              <w:left w:val="single" w:sz="4" w:space="0" w:color="000000"/>
              <w:bottom w:val="single" w:sz="4" w:space="0" w:color="000000"/>
              <w:right w:val="single" w:sz="4" w:space="0" w:color="000000"/>
            </w:tcBorders>
          </w:tcPr>
          <w:p w14:paraId="6529FA6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IV квартал 2026</w:t>
            </w:r>
          </w:p>
        </w:tc>
        <w:tc>
          <w:tcPr>
            <w:tcW w:w="1605" w:type="dxa"/>
            <w:tcBorders>
              <w:top w:val="single" w:sz="4" w:space="0" w:color="000000"/>
              <w:left w:val="single" w:sz="4" w:space="0" w:color="000000"/>
              <w:bottom w:val="single" w:sz="4" w:space="0" w:color="000000"/>
              <w:right w:val="single" w:sz="4" w:space="0" w:color="000000"/>
            </w:tcBorders>
          </w:tcPr>
          <w:p w14:paraId="16794B9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tc>
        <w:tc>
          <w:tcPr>
            <w:tcW w:w="1565" w:type="dxa"/>
            <w:tcBorders>
              <w:top w:val="single" w:sz="4" w:space="0" w:color="000000"/>
              <w:left w:val="single" w:sz="4" w:space="0" w:color="000000"/>
              <w:bottom w:val="single" w:sz="4" w:space="0" w:color="000000"/>
              <w:right w:val="single" w:sz="4" w:space="0" w:color="000000"/>
            </w:tcBorders>
          </w:tcPr>
          <w:p w14:paraId="4656B754" w14:textId="77777777" w:rsidR="00A0251B" w:rsidRPr="00CC35F0" w:rsidRDefault="00A0251B">
            <w:pPr>
              <w:jc w:val="center"/>
              <w:rPr>
                <w:rFonts w:ascii="Times New Roman" w:eastAsia="Times New Roman" w:hAnsi="Times New Roman"/>
                <w:sz w:val="24"/>
                <w:szCs w:val="24"/>
                <w:lang w:val="sr-Cyrl-CS"/>
              </w:rPr>
            </w:pPr>
          </w:p>
        </w:tc>
        <w:tc>
          <w:tcPr>
            <w:tcW w:w="926" w:type="dxa"/>
            <w:tcBorders>
              <w:top w:val="single" w:sz="4" w:space="0" w:color="000000"/>
              <w:left w:val="single" w:sz="4" w:space="0" w:color="000000"/>
              <w:bottom w:val="single" w:sz="4" w:space="0" w:color="000000"/>
              <w:right w:val="single" w:sz="4" w:space="0" w:color="000000"/>
            </w:tcBorders>
          </w:tcPr>
          <w:p w14:paraId="07C3DD92" w14:textId="77777777" w:rsidR="00A0251B" w:rsidRPr="00CC35F0" w:rsidRDefault="00A0251B">
            <w:pPr>
              <w:jc w:val="center"/>
              <w:rPr>
                <w:rFonts w:ascii="Times New Roman" w:eastAsia="Times New Roman" w:hAnsi="Times New Roman"/>
                <w:sz w:val="24"/>
                <w:szCs w:val="24"/>
                <w:highlight w:val="yellow"/>
                <w:lang w:val="sr-Cyrl-CS"/>
              </w:rPr>
            </w:pPr>
          </w:p>
        </w:tc>
        <w:tc>
          <w:tcPr>
            <w:tcW w:w="1068" w:type="dxa"/>
            <w:tcBorders>
              <w:top w:val="single" w:sz="4" w:space="0" w:color="000000"/>
              <w:left w:val="single" w:sz="4" w:space="0" w:color="000000"/>
              <w:bottom w:val="single" w:sz="4" w:space="0" w:color="000000"/>
              <w:right w:val="single" w:sz="4" w:space="0" w:color="000000"/>
            </w:tcBorders>
          </w:tcPr>
          <w:p w14:paraId="0017EB88" w14:textId="77777777" w:rsidR="00A0251B" w:rsidRPr="00CC35F0" w:rsidRDefault="000832CC">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footnoteReference w:id="101"/>
            </w:r>
          </w:p>
        </w:tc>
        <w:tc>
          <w:tcPr>
            <w:tcW w:w="920" w:type="dxa"/>
            <w:tcBorders>
              <w:top w:val="single" w:sz="4" w:space="0" w:color="000000"/>
              <w:left w:val="single" w:sz="4" w:space="0" w:color="000000"/>
              <w:bottom w:val="single" w:sz="4" w:space="0" w:color="000000"/>
              <w:right w:val="single" w:sz="4" w:space="0" w:color="000000"/>
            </w:tcBorders>
          </w:tcPr>
          <w:p w14:paraId="30B36A71" w14:textId="77777777" w:rsidR="00A0251B" w:rsidRPr="00CC35F0" w:rsidRDefault="008D6506">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КДА</w:t>
            </w:r>
          </w:p>
        </w:tc>
        <w:tc>
          <w:tcPr>
            <w:tcW w:w="920" w:type="dxa"/>
            <w:tcBorders>
              <w:top w:val="single" w:sz="4" w:space="0" w:color="000000"/>
              <w:left w:val="single" w:sz="4" w:space="0" w:color="000000"/>
              <w:bottom w:val="single" w:sz="4" w:space="0" w:color="000000"/>
              <w:right w:val="single" w:sz="4" w:space="0" w:color="000000"/>
            </w:tcBorders>
          </w:tcPr>
          <w:p w14:paraId="6E074711" w14:textId="77777777" w:rsidR="00A0251B" w:rsidRPr="00CC35F0" w:rsidRDefault="008D6506">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КДА</w:t>
            </w:r>
          </w:p>
        </w:tc>
        <w:tc>
          <w:tcPr>
            <w:tcW w:w="920" w:type="dxa"/>
            <w:tcBorders>
              <w:top w:val="single" w:sz="4" w:space="0" w:color="000000"/>
              <w:left w:val="single" w:sz="4" w:space="0" w:color="000000"/>
              <w:bottom w:val="single" w:sz="4" w:space="0" w:color="000000"/>
              <w:right w:val="single" w:sz="4" w:space="0" w:color="000000"/>
            </w:tcBorders>
          </w:tcPr>
          <w:p w14:paraId="283E52BC" w14:textId="77777777" w:rsidR="00A0251B" w:rsidRPr="00CC35F0" w:rsidRDefault="008D6506">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КДА</w:t>
            </w:r>
          </w:p>
        </w:tc>
      </w:tr>
      <w:tr w:rsidR="00A0251B" w:rsidRPr="00CC35F0" w14:paraId="26470C8B" w14:textId="77777777" w:rsidTr="000832CC">
        <w:trPr>
          <w:trHeight w:val="543"/>
        </w:trPr>
        <w:tc>
          <w:tcPr>
            <w:tcW w:w="1976" w:type="dxa"/>
            <w:tcBorders>
              <w:top w:val="single" w:sz="4" w:space="0" w:color="000000"/>
              <w:left w:val="single" w:sz="4" w:space="0" w:color="000000"/>
              <w:bottom w:val="single" w:sz="4" w:space="0" w:color="000000"/>
              <w:right w:val="single" w:sz="4" w:space="0" w:color="000000"/>
            </w:tcBorders>
            <w:shd w:val="clear" w:color="auto" w:fill="auto"/>
          </w:tcPr>
          <w:p w14:paraId="569DFFA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1.3.3.2 Имплементирати праксу наношења чврстог стајњака на земљиште бржом инкорпорацијом стајњака у земљиште</w:t>
            </w:r>
            <w:r w:rsidRPr="00CC35F0">
              <w:rPr>
                <w:rFonts w:ascii="Times New Roman" w:eastAsia="Times New Roman" w:hAnsi="Times New Roman"/>
                <w:b/>
                <w:color w:val="000000"/>
                <w:sz w:val="24"/>
                <w:szCs w:val="24"/>
                <w:lang w:val="sr-Cyrl-CS"/>
              </w:rPr>
              <w:t>.</w:t>
            </w:r>
          </w:p>
        </w:tc>
        <w:tc>
          <w:tcPr>
            <w:tcW w:w="1765" w:type="dxa"/>
            <w:tcBorders>
              <w:top w:val="single" w:sz="4" w:space="0" w:color="000000"/>
              <w:left w:val="single" w:sz="4" w:space="0" w:color="000000"/>
              <w:bottom w:val="single" w:sz="4" w:space="0" w:color="000000"/>
              <w:right w:val="single" w:sz="4" w:space="0" w:color="000000"/>
            </w:tcBorders>
          </w:tcPr>
          <w:p w14:paraId="0666B5D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p>
        </w:tc>
        <w:tc>
          <w:tcPr>
            <w:tcW w:w="1441" w:type="dxa"/>
            <w:tcBorders>
              <w:top w:val="single" w:sz="4" w:space="0" w:color="000000"/>
              <w:left w:val="single" w:sz="4" w:space="0" w:color="000000"/>
              <w:bottom w:val="single" w:sz="4" w:space="0" w:color="000000"/>
              <w:right w:val="single" w:sz="4" w:space="0" w:color="000000"/>
            </w:tcBorders>
          </w:tcPr>
          <w:p w14:paraId="2D59D337" w14:textId="77777777" w:rsidR="00A0251B" w:rsidRPr="00CC35F0" w:rsidRDefault="00A0251B">
            <w:pPr>
              <w:rPr>
                <w:rFonts w:ascii="Times New Roman" w:eastAsia="Times New Roman" w:hAnsi="Times New Roman"/>
                <w:sz w:val="24"/>
                <w:szCs w:val="24"/>
                <w:lang w:val="sr-Cyrl-CS"/>
              </w:rPr>
            </w:pPr>
          </w:p>
        </w:tc>
        <w:tc>
          <w:tcPr>
            <w:tcW w:w="1427" w:type="dxa"/>
            <w:tcBorders>
              <w:top w:val="single" w:sz="4" w:space="0" w:color="000000"/>
              <w:left w:val="single" w:sz="4" w:space="0" w:color="000000"/>
              <w:bottom w:val="single" w:sz="4" w:space="0" w:color="000000"/>
              <w:right w:val="single" w:sz="4" w:space="0" w:color="000000"/>
            </w:tcBorders>
          </w:tcPr>
          <w:p w14:paraId="6A08B8F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605" w:type="dxa"/>
            <w:tcBorders>
              <w:top w:val="single" w:sz="4" w:space="0" w:color="000000"/>
              <w:left w:val="single" w:sz="4" w:space="0" w:color="000000"/>
              <w:bottom w:val="single" w:sz="4" w:space="0" w:color="000000"/>
              <w:right w:val="single" w:sz="4" w:space="0" w:color="000000"/>
            </w:tcBorders>
          </w:tcPr>
          <w:p w14:paraId="6BAD1A0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p>
        </w:tc>
        <w:tc>
          <w:tcPr>
            <w:tcW w:w="1565" w:type="dxa"/>
            <w:tcBorders>
              <w:top w:val="single" w:sz="4" w:space="0" w:color="000000"/>
              <w:left w:val="single" w:sz="4" w:space="0" w:color="000000"/>
              <w:bottom w:val="single" w:sz="4" w:space="0" w:color="000000"/>
              <w:right w:val="single" w:sz="4" w:space="0" w:color="000000"/>
            </w:tcBorders>
          </w:tcPr>
          <w:p w14:paraId="6ACD2648" w14:textId="77777777" w:rsidR="00A0251B" w:rsidRPr="00CC35F0" w:rsidRDefault="00A0251B">
            <w:pPr>
              <w:rPr>
                <w:rFonts w:ascii="Times New Roman" w:eastAsia="Times New Roman" w:hAnsi="Times New Roman"/>
                <w:sz w:val="24"/>
                <w:szCs w:val="24"/>
                <w:lang w:val="sr-Cyrl-CS"/>
              </w:rPr>
            </w:pPr>
          </w:p>
        </w:tc>
        <w:tc>
          <w:tcPr>
            <w:tcW w:w="926" w:type="dxa"/>
            <w:tcBorders>
              <w:top w:val="single" w:sz="4" w:space="0" w:color="000000"/>
              <w:left w:val="single" w:sz="4" w:space="0" w:color="000000"/>
              <w:bottom w:val="single" w:sz="4" w:space="0" w:color="000000"/>
              <w:right w:val="single" w:sz="4" w:space="0" w:color="000000"/>
            </w:tcBorders>
          </w:tcPr>
          <w:p w14:paraId="5B4295F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68" w:type="dxa"/>
            <w:tcBorders>
              <w:top w:val="single" w:sz="4" w:space="0" w:color="000000"/>
              <w:left w:val="single" w:sz="4" w:space="0" w:color="000000"/>
              <w:bottom w:val="single" w:sz="4" w:space="0" w:color="000000"/>
              <w:right w:val="single" w:sz="4" w:space="0" w:color="000000"/>
            </w:tcBorders>
          </w:tcPr>
          <w:p w14:paraId="247FD74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5773BC7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0E1278C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75B11A3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bl>
    <w:p w14:paraId="0EB8E746" w14:textId="77777777" w:rsidR="00A0251B" w:rsidRPr="00CC35F0" w:rsidRDefault="00A0251B">
      <w:pPr>
        <w:rPr>
          <w:rFonts w:ascii="Times New Roman" w:eastAsia="Times New Roman" w:hAnsi="Times New Roman"/>
          <w:sz w:val="24"/>
          <w:szCs w:val="24"/>
          <w:lang w:val="sr-Cyrl-CS"/>
        </w:rPr>
      </w:pPr>
    </w:p>
    <w:tbl>
      <w:tblPr>
        <w:tblStyle w:val="affff6"/>
        <w:tblW w:w="1406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8"/>
        <w:gridCol w:w="1167"/>
        <w:gridCol w:w="1402"/>
        <w:gridCol w:w="1440"/>
        <w:gridCol w:w="1233"/>
        <w:gridCol w:w="1225"/>
        <w:gridCol w:w="1536"/>
        <w:gridCol w:w="1572"/>
        <w:gridCol w:w="1272"/>
      </w:tblGrid>
      <w:tr w:rsidR="00A0251B" w:rsidRPr="00CC35F0" w14:paraId="4D2F9391" w14:textId="77777777">
        <w:trPr>
          <w:trHeight w:val="168"/>
        </w:trPr>
        <w:tc>
          <w:tcPr>
            <w:tcW w:w="14065" w:type="dxa"/>
            <w:gridSpan w:val="9"/>
            <w:tcBorders>
              <w:top w:val="single" w:sz="4" w:space="0" w:color="000000"/>
              <w:left w:val="single" w:sz="4" w:space="0" w:color="000000"/>
              <w:bottom w:val="single" w:sz="4" w:space="0" w:color="000000"/>
              <w:right w:val="single" w:sz="4" w:space="0" w:color="000000"/>
            </w:tcBorders>
            <w:shd w:val="clear" w:color="auto" w:fill="F7CBAC"/>
          </w:tcPr>
          <w:p w14:paraId="668D137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1.3.4: </w:t>
            </w:r>
            <w:r w:rsidRPr="00CC35F0">
              <w:rPr>
                <w:rFonts w:ascii="Times New Roman" w:eastAsia="Times New Roman" w:hAnsi="Times New Roman"/>
                <w:b/>
                <w:color w:val="000000"/>
                <w:sz w:val="24"/>
                <w:szCs w:val="24"/>
                <w:lang w:val="sr-Cyrl-CS"/>
              </w:rPr>
              <w:t>Увођење најбоље праксе у активности растурања течног стајњака са фарми свиња и говеда</w:t>
            </w:r>
          </w:p>
        </w:tc>
      </w:tr>
      <w:tr w:rsidR="00A0251B" w:rsidRPr="00CC35F0" w14:paraId="0044A039" w14:textId="77777777">
        <w:trPr>
          <w:trHeight w:val="298"/>
        </w:trPr>
        <w:tc>
          <w:tcPr>
            <w:tcW w:w="14065" w:type="dxa"/>
            <w:gridSpan w:val="9"/>
            <w:tcBorders>
              <w:top w:val="single" w:sz="4" w:space="0" w:color="000000"/>
              <w:left w:val="single" w:sz="4" w:space="0" w:color="000000"/>
              <w:bottom w:val="single" w:sz="4" w:space="0" w:color="000000"/>
              <w:right w:val="single" w:sz="4" w:space="0" w:color="000000"/>
            </w:tcBorders>
            <w:shd w:val="clear" w:color="auto" w:fill="F7CBAC"/>
            <w:vAlign w:val="center"/>
          </w:tcPr>
          <w:p w14:paraId="353D0063"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Министарство пољопривреде, шумарства и водопривреде</w:t>
            </w:r>
          </w:p>
        </w:tc>
      </w:tr>
      <w:tr w:rsidR="00A0251B" w:rsidRPr="00CC35F0" w14:paraId="61A67ED5" w14:textId="77777777">
        <w:trPr>
          <w:trHeight w:val="298"/>
        </w:trPr>
        <w:tc>
          <w:tcPr>
            <w:tcW w:w="5787" w:type="dxa"/>
            <w:gridSpan w:val="3"/>
            <w:tcBorders>
              <w:top w:val="single" w:sz="4" w:space="0" w:color="000000"/>
              <w:left w:val="single" w:sz="4" w:space="0" w:color="000000"/>
              <w:bottom w:val="single" w:sz="4" w:space="0" w:color="000000"/>
              <w:right w:val="single" w:sz="4" w:space="0" w:color="000000"/>
            </w:tcBorders>
            <w:shd w:val="clear" w:color="auto" w:fill="F7CBAC"/>
          </w:tcPr>
          <w:p w14:paraId="63C35E68"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Период спровођења: 2023 </w:t>
            </w:r>
            <w:r w:rsidR="005D162C"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2026</w:t>
            </w:r>
            <w:r w:rsidR="005D162C" w:rsidRPr="00CC35F0">
              <w:rPr>
                <w:rFonts w:ascii="Times New Roman" w:eastAsia="Times New Roman" w:hAnsi="Times New Roman"/>
                <w:sz w:val="24"/>
                <w:szCs w:val="24"/>
                <w:vertAlign w:val="superscript"/>
                <w:lang w:val="sr-Cyrl-CS"/>
              </w:rPr>
              <w:t>#</w:t>
            </w:r>
          </w:p>
        </w:tc>
        <w:tc>
          <w:tcPr>
            <w:tcW w:w="8278" w:type="dxa"/>
            <w:gridSpan w:val="6"/>
            <w:tcBorders>
              <w:top w:val="single" w:sz="4" w:space="0" w:color="000000"/>
              <w:left w:val="single" w:sz="4" w:space="0" w:color="000000"/>
              <w:bottom w:val="single" w:sz="4" w:space="0" w:color="000000"/>
              <w:right w:val="single" w:sz="4" w:space="0" w:color="000000"/>
            </w:tcBorders>
            <w:shd w:val="clear" w:color="auto" w:fill="F7CBAC"/>
          </w:tcPr>
          <w:p w14:paraId="5909A25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Информативно - едукативна</w:t>
            </w:r>
          </w:p>
        </w:tc>
      </w:tr>
      <w:tr w:rsidR="00A0251B" w:rsidRPr="00CC35F0" w14:paraId="77C59A2A" w14:textId="77777777">
        <w:trPr>
          <w:trHeight w:val="298"/>
        </w:trPr>
        <w:tc>
          <w:tcPr>
            <w:tcW w:w="5787" w:type="dxa"/>
            <w:gridSpan w:val="3"/>
            <w:tcBorders>
              <w:top w:val="single" w:sz="4" w:space="0" w:color="000000"/>
              <w:left w:val="single" w:sz="4" w:space="0" w:color="000000"/>
              <w:bottom w:val="single" w:sz="4" w:space="0" w:color="000000"/>
              <w:right w:val="single" w:sz="4" w:space="0" w:color="000000"/>
            </w:tcBorders>
            <w:shd w:val="clear" w:color="auto" w:fill="F7CBAC"/>
          </w:tcPr>
          <w:p w14:paraId="4B5CA24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8278" w:type="dxa"/>
            <w:gridSpan w:val="6"/>
            <w:tcBorders>
              <w:top w:val="single" w:sz="4" w:space="0" w:color="000000"/>
              <w:left w:val="single" w:sz="4" w:space="0" w:color="000000"/>
              <w:bottom w:val="single" w:sz="4" w:space="0" w:color="000000"/>
              <w:right w:val="single" w:sz="4" w:space="0" w:color="000000"/>
            </w:tcBorders>
            <w:shd w:val="clear" w:color="auto" w:fill="F7CBAC"/>
          </w:tcPr>
          <w:p w14:paraId="3BCB0D2F"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НЕМА</w:t>
            </w:r>
          </w:p>
        </w:tc>
      </w:tr>
      <w:tr w:rsidR="00A0251B" w:rsidRPr="00CC35F0" w14:paraId="7A3BBBE2" w14:textId="77777777">
        <w:trPr>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72B8322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1F689D12" w14:textId="77777777" w:rsidR="00A0251B" w:rsidRPr="00CC35F0" w:rsidRDefault="00A0251B">
            <w:pPr>
              <w:jc w:val="center"/>
              <w:rPr>
                <w:rFonts w:ascii="Times New Roman" w:eastAsia="Times New Roman" w:hAnsi="Times New Roman"/>
                <w:sz w:val="24"/>
                <w:szCs w:val="24"/>
                <w:lang w:val="sr-Cyrl-CS"/>
              </w:rPr>
            </w:pPr>
          </w:p>
        </w:tc>
        <w:tc>
          <w:tcPr>
            <w:tcW w:w="1167" w:type="dxa"/>
            <w:tcBorders>
              <w:top w:val="single" w:sz="4" w:space="0" w:color="000000"/>
              <w:left w:val="single" w:sz="4" w:space="0" w:color="000000"/>
              <w:bottom w:val="single" w:sz="4" w:space="0" w:color="000000"/>
              <w:right w:val="single" w:sz="4" w:space="0" w:color="000000"/>
            </w:tcBorders>
            <w:shd w:val="clear" w:color="auto" w:fill="D9D9D9"/>
          </w:tcPr>
          <w:p w14:paraId="0B5E771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02" w:type="dxa"/>
            <w:tcBorders>
              <w:top w:val="single" w:sz="4" w:space="0" w:color="000000"/>
              <w:left w:val="single" w:sz="4" w:space="0" w:color="000000"/>
              <w:bottom w:val="single" w:sz="4" w:space="0" w:color="000000"/>
              <w:right w:val="single" w:sz="4" w:space="0" w:color="000000"/>
            </w:tcBorders>
            <w:shd w:val="clear" w:color="auto" w:fill="D9D9D9"/>
          </w:tcPr>
          <w:p w14:paraId="420C302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B036BA">
              <w:rPr>
                <w:rFonts w:ascii="Times New Roman" w:eastAsia="Times New Roman" w:hAnsi="Times New Roman"/>
                <w:sz w:val="20"/>
                <w:szCs w:val="20"/>
                <w:lang w:val="sr-Cyrl-CS"/>
              </w:rPr>
              <w:t>верификације</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Pr>
          <w:p w14:paraId="68A0573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233" w:type="dxa"/>
            <w:tcBorders>
              <w:top w:val="single" w:sz="4" w:space="0" w:color="000000"/>
              <w:left w:val="single" w:sz="4" w:space="0" w:color="000000"/>
              <w:bottom w:val="single" w:sz="4" w:space="0" w:color="000000"/>
              <w:right w:val="single" w:sz="4" w:space="0" w:color="000000"/>
            </w:tcBorders>
            <w:shd w:val="clear" w:color="auto" w:fill="D9D9D9"/>
          </w:tcPr>
          <w:p w14:paraId="6A3E5C9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225" w:type="dxa"/>
            <w:tcBorders>
              <w:top w:val="single" w:sz="4" w:space="0" w:color="000000"/>
              <w:left w:val="single" w:sz="4" w:space="0" w:color="000000"/>
              <w:bottom w:val="single" w:sz="4" w:space="0" w:color="000000"/>
              <w:right w:val="single" w:sz="4" w:space="0" w:color="000000"/>
            </w:tcBorders>
            <w:shd w:val="clear" w:color="auto" w:fill="D9D9D9"/>
          </w:tcPr>
          <w:p w14:paraId="757268D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6" w:type="dxa"/>
            <w:tcBorders>
              <w:top w:val="single" w:sz="4" w:space="0" w:color="000000"/>
              <w:left w:val="single" w:sz="4" w:space="0" w:color="000000"/>
              <w:bottom w:val="single" w:sz="4" w:space="0" w:color="000000"/>
              <w:right w:val="single" w:sz="4" w:space="0" w:color="000000"/>
            </w:tcBorders>
            <w:shd w:val="clear" w:color="auto" w:fill="D9D9D9"/>
          </w:tcPr>
          <w:p w14:paraId="412BE59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72" w:type="dxa"/>
            <w:tcBorders>
              <w:top w:val="single" w:sz="4" w:space="0" w:color="000000"/>
              <w:left w:val="single" w:sz="4" w:space="0" w:color="000000"/>
              <w:bottom w:val="single" w:sz="4" w:space="0" w:color="000000"/>
              <w:right w:val="single" w:sz="4" w:space="0" w:color="000000"/>
            </w:tcBorders>
            <w:shd w:val="clear" w:color="auto" w:fill="D9D9D9"/>
          </w:tcPr>
          <w:p w14:paraId="4C14307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272" w:type="dxa"/>
            <w:tcBorders>
              <w:top w:val="single" w:sz="4" w:space="0" w:color="000000"/>
              <w:left w:val="single" w:sz="4" w:space="0" w:color="000000"/>
              <w:bottom w:val="single" w:sz="4" w:space="0" w:color="000000"/>
              <w:right w:val="single" w:sz="4" w:space="0" w:color="000000"/>
            </w:tcBorders>
            <w:shd w:val="clear" w:color="auto" w:fill="D9D9D9"/>
          </w:tcPr>
          <w:p w14:paraId="3D94382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Циљана вредност у </w:t>
            </w:r>
            <w:r w:rsidRPr="00B036BA">
              <w:rPr>
                <w:rFonts w:ascii="Times New Roman" w:eastAsia="Times New Roman" w:hAnsi="Times New Roman"/>
                <w:lang w:val="sr-Cyrl-CS"/>
              </w:rPr>
              <w:t xml:space="preserve">последњој </w:t>
            </w:r>
            <w:r w:rsidRPr="00CC35F0">
              <w:rPr>
                <w:rFonts w:ascii="Times New Roman" w:eastAsia="Times New Roman" w:hAnsi="Times New Roman"/>
                <w:sz w:val="24"/>
                <w:szCs w:val="24"/>
                <w:lang w:val="sr-Cyrl-CS"/>
              </w:rPr>
              <w:t xml:space="preserve">години </w:t>
            </w:r>
            <w:r w:rsidRPr="00CC35F0">
              <w:rPr>
                <w:rFonts w:ascii="Times New Roman" w:eastAsia="Times New Roman" w:hAnsi="Times New Roman"/>
                <w:sz w:val="24"/>
                <w:szCs w:val="24"/>
                <w:lang w:val="sr-Cyrl-CS"/>
              </w:rPr>
              <w:lastRenderedPageBreak/>
              <w:t>АП, 2026. године</w:t>
            </w:r>
          </w:p>
        </w:tc>
      </w:tr>
      <w:tr w:rsidR="00A0251B" w:rsidRPr="00CC35F0" w14:paraId="5B538067"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A3CD61"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 xml:space="preserve">Удео укупног течног свињског стајњака – Инјектирање </w:t>
            </w:r>
          </w:p>
        </w:tc>
        <w:tc>
          <w:tcPr>
            <w:tcW w:w="11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0ADAE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02" w:type="dxa"/>
            <w:vMerge w:val="restart"/>
            <w:shd w:val="clear" w:color="auto" w:fill="FFFFFF"/>
          </w:tcPr>
          <w:p w14:paraId="467BBF02" w14:textId="77777777" w:rsidR="00A0251B" w:rsidRPr="00CC35F0" w:rsidRDefault="00A0251B">
            <w:pPr>
              <w:shd w:val="clear" w:color="auto" w:fill="FFFFFF"/>
              <w:jc w:val="left"/>
              <w:rPr>
                <w:rFonts w:ascii="Times New Roman" w:eastAsia="Times New Roman" w:hAnsi="Times New Roman"/>
                <w:sz w:val="24"/>
                <w:szCs w:val="24"/>
                <w:lang w:val="sr-Cyrl-CS"/>
              </w:rPr>
            </w:pPr>
          </w:p>
          <w:p w14:paraId="145B7E54" w14:textId="77777777" w:rsidR="00A0251B" w:rsidRPr="00CC35F0" w:rsidRDefault="00A0251B">
            <w:pPr>
              <w:shd w:val="clear" w:color="auto" w:fill="FFFFFF"/>
              <w:jc w:val="left"/>
              <w:rPr>
                <w:rFonts w:ascii="Times New Roman" w:eastAsia="Times New Roman" w:hAnsi="Times New Roman"/>
                <w:sz w:val="24"/>
                <w:szCs w:val="24"/>
                <w:lang w:val="sr-Cyrl-CS"/>
              </w:rPr>
            </w:pPr>
          </w:p>
          <w:p w14:paraId="150A24C0" w14:textId="77777777" w:rsidR="00A0251B" w:rsidRPr="00CC35F0" w:rsidRDefault="00A0251B">
            <w:pPr>
              <w:shd w:val="clear" w:color="auto" w:fill="FFFFFF"/>
              <w:jc w:val="left"/>
              <w:rPr>
                <w:rFonts w:ascii="Times New Roman" w:eastAsia="Times New Roman" w:hAnsi="Times New Roman"/>
                <w:sz w:val="24"/>
                <w:szCs w:val="24"/>
                <w:lang w:val="sr-Cyrl-CS"/>
              </w:rPr>
            </w:pPr>
          </w:p>
          <w:p w14:paraId="4130911F"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Годишња студија </w:t>
            </w:r>
            <w:r w:rsidRPr="00B036BA">
              <w:rPr>
                <w:rFonts w:ascii="Times New Roman" w:eastAsia="Times New Roman" w:hAnsi="Times New Roman"/>
                <w:lang w:val="sr-Cyrl-CS"/>
              </w:rPr>
              <w:t xml:space="preserve">Саветодавне </w:t>
            </w:r>
            <w:r w:rsidRPr="00CC35F0">
              <w:rPr>
                <w:rFonts w:ascii="Times New Roman" w:eastAsia="Times New Roman" w:hAnsi="Times New Roman"/>
                <w:sz w:val="24"/>
                <w:szCs w:val="24"/>
                <w:lang w:val="sr-Cyrl-CS"/>
              </w:rPr>
              <w:t>службе о најбољим праксама</w:t>
            </w: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3C3504"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w:t>
            </w:r>
          </w:p>
        </w:tc>
        <w:tc>
          <w:tcPr>
            <w:tcW w:w="12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CAC3BA"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C3985A"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12,0</w:t>
            </w:r>
          </w:p>
        </w:tc>
        <w:tc>
          <w:tcPr>
            <w:tcW w:w="153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B8901B"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14,3</w:t>
            </w:r>
          </w:p>
        </w:tc>
        <w:tc>
          <w:tcPr>
            <w:tcW w:w="15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7D4CBA"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16,7</w:t>
            </w:r>
          </w:p>
        </w:tc>
        <w:tc>
          <w:tcPr>
            <w:tcW w:w="12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F54B39"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19,0</w:t>
            </w:r>
          </w:p>
        </w:tc>
      </w:tr>
      <w:tr w:rsidR="00A0251B" w:rsidRPr="00CC35F0" w14:paraId="143D3362"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71E030"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укупног течног свињског стајњака – Црево и прикључни систем у року од 4 сата</w:t>
            </w:r>
          </w:p>
        </w:tc>
        <w:tc>
          <w:tcPr>
            <w:tcW w:w="11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B2531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02" w:type="dxa"/>
            <w:vMerge/>
            <w:shd w:val="clear" w:color="auto" w:fill="FFFFFF"/>
          </w:tcPr>
          <w:p w14:paraId="4829DE3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3F97F0"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w:t>
            </w:r>
          </w:p>
        </w:tc>
        <w:tc>
          <w:tcPr>
            <w:tcW w:w="12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B49A7E"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97B87B"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w:t>
            </w:r>
          </w:p>
        </w:tc>
        <w:tc>
          <w:tcPr>
            <w:tcW w:w="153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8CFEF4"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w:t>
            </w:r>
          </w:p>
        </w:tc>
        <w:tc>
          <w:tcPr>
            <w:tcW w:w="15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1DC04B"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w:t>
            </w:r>
          </w:p>
        </w:tc>
        <w:tc>
          <w:tcPr>
            <w:tcW w:w="12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66B512"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5,8</w:t>
            </w:r>
          </w:p>
        </w:tc>
      </w:tr>
      <w:tr w:rsidR="00A0251B" w:rsidRPr="00CC35F0" w14:paraId="0039757F"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E8E0C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укупног течног свињског стајњака – Црево и прикључни систем у року од 12 сати</w:t>
            </w:r>
          </w:p>
        </w:tc>
        <w:tc>
          <w:tcPr>
            <w:tcW w:w="11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0462F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02" w:type="dxa"/>
            <w:vMerge/>
            <w:shd w:val="clear" w:color="auto" w:fill="FFFFFF"/>
          </w:tcPr>
          <w:p w14:paraId="7A55D022"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1E94D9"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0,7</w:t>
            </w:r>
          </w:p>
        </w:tc>
        <w:tc>
          <w:tcPr>
            <w:tcW w:w="12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41234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0,7</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F2F120"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w:t>
            </w:r>
          </w:p>
        </w:tc>
        <w:tc>
          <w:tcPr>
            <w:tcW w:w="153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19110B"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w:t>
            </w:r>
          </w:p>
        </w:tc>
        <w:tc>
          <w:tcPr>
            <w:tcW w:w="15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AFCA96"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w:t>
            </w:r>
          </w:p>
        </w:tc>
        <w:tc>
          <w:tcPr>
            <w:tcW w:w="12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FB8C12"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w:t>
            </w:r>
          </w:p>
        </w:tc>
      </w:tr>
      <w:tr w:rsidR="00A0251B" w:rsidRPr="00CC35F0" w14:paraId="5E993D16"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5D4348"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Удео укупног течног сточног стајњака – Инјектирање </w:t>
            </w:r>
          </w:p>
        </w:tc>
        <w:tc>
          <w:tcPr>
            <w:tcW w:w="11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EAF93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02" w:type="dxa"/>
            <w:vMerge/>
            <w:shd w:val="clear" w:color="auto" w:fill="FFFFFF"/>
          </w:tcPr>
          <w:p w14:paraId="4466EBC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70DBE2"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w:t>
            </w:r>
          </w:p>
        </w:tc>
        <w:tc>
          <w:tcPr>
            <w:tcW w:w="12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B040B8"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AFC7F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w:t>
            </w:r>
          </w:p>
        </w:tc>
        <w:tc>
          <w:tcPr>
            <w:tcW w:w="153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96D83F"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w:t>
            </w:r>
          </w:p>
        </w:tc>
        <w:tc>
          <w:tcPr>
            <w:tcW w:w="15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F2C55A"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w:t>
            </w:r>
          </w:p>
        </w:tc>
        <w:tc>
          <w:tcPr>
            <w:tcW w:w="12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89C6B7"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11,0</w:t>
            </w:r>
          </w:p>
        </w:tc>
      </w:tr>
      <w:tr w:rsidR="00A0251B" w:rsidRPr="00CC35F0" w14:paraId="2FE17A4A"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C96755"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Удео укупног течног сточног стајњака – Црево и прикључни систем у року од 4 сата </w:t>
            </w:r>
          </w:p>
        </w:tc>
        <w:tc>
          <w:tcPr>
            <w:tcW w:w="11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E08C3"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02" w:type="dxa"/>
            <w:vMerge/>
            <w:shd w:val="clear" w:color="auto" w:fill="FFFFFF"/>
          </w:tcPr>
          <w:p w14:paraId="17F2F55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BBA010"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6,3</w:t>
            </w:r>
          </w:p>
        </w:tc>
        <w:tc>
          <w:tcPr>
            <w:tcW w:w="12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F8774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6,3</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03D299"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w:t>
            </w:r>
          </w:p>
        </w:tc>
        <w:tc>
          <w:tcPr>
            <w:tcW w:w="153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B33D8F"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7,7</w:t>
            </w:r>
          </w:p>
        </w:tc>
        <w:tc>
          <w:tcPr>
            <w:tcW w:w="15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4D41BB"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8,3</w:t>
            </w:r>
          </w:p>
        </w:tc>
        <w:tc>
          <w:tcPr>
            <w:tcW w:w="12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DF9846"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w:t>
            </w:r>
          </w:p>
        </w:tc>
      </w:tr>
      <w:tr w:rsidR="00A0251B" w:rsidRPr="00CC35F0" w14:paraId="5EE5CA82"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1D3FF2"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Удео укупног течног сточног стајњака – Црево и прикључни систем у року од 12 </w:t>
            </w:r>
          </w:p>
        </w:tc>
        <w:tc>
          <w:tcPr>
            <w:tcW w:w="11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2B29AB"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02" w:type="dxa"/>
            <w:vMerge/>
            <w:shd w:val="clear" w:color="auto" w:fill="FFFFFF"/>
          </w:tcPr>
          <w:p w14:paraId="33EA374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56599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6,3</w:t>
            </w:r>
          </w:p>
        </w:tc>
        <w:tc>
          <w:tcPr>
            <w:tcW w:w="12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B77FF8"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6,3</w:t>
            </w:r>
          </w:p>
        </w:tc>
        <w:tc>
          <w:tcPr>
            <w:tcW w:w="12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B53AF0"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w:t>
            </w:r>
          </w:p>
        </w:tc>
        <w:tc>
          <w:tcPr>
            <w:tcW w:w="153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A2EE1D"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7,7</w:t>
            </w:r>
          </w:p>
        </w:tc>
        <w:tc>
          <w:tcPr>
            <w:tcW w:w="15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95C227"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8,3</w:t>
            </w:r>
          </w:p>
        </w:tc>
        <w:tc>
          <w:tcPr>
            <w:tcW w:w="127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461023"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w:t>
            </w:r>
          </w:p>
        </w:tc>
      </w:tr>
    </w:tbl>
    <w:p w14:paraId="3096B51E" w14:textId="77777777" w:rsidR="00A0251B" w:rsidRPr="00CC35F0" w:rsidRDefault="00A0251B">
      <w:pPr>
        <w:rPr>
          <w:rFonts w:ascii="Times New Roman" w:eastAsia="Times New Roman" w:hAnsi="Times New Roman"/>
          <w:sz w:val="24"/>
          <w:szCs w:val="24"/>
          <w:lang w:val="sr-Cyrl-CS"/>
        </w:rPr>
      </w:pPr>
    </w:p>
    <w:p w14:paraId="20AF1C36" w14:textId="77777777" w:rsidR="00A0251B" w:rsidRDefault="00A0251B">
      <w:pPr>
        <w:rPr>
          <w:rFonts w:ascii="Times New Roman" w:eastAsia="Times New Roman" w:hAnsi="Times New Roman"/>
          <w:sz w:val="24"/>
          <w:szCs w:val="24"/>
          <w:lang w:val="sr-Cyrl-CS"/>
        </w:rPr>
      </w:pPr>
    </w:p>
    <w:p w14:paraId="78DA1510" w14:textId="77777777" w:rsidR="00B036BA" w:rsidRDefault="00B036BA">
      <w:pPr>
        <w:rPr>
          <w:rFonts w:ascii="Times New Roman" w:eastAsia="Times New Roman" w:hAnsi="Times New Roman"/>
          <w:sz w:val="24"/>
          <w:szCs w:val="24"/>
          <w:lang w:val="sr-Cyrl-CS"/>
        </w:rPr>
      </w:pPr>
    </w:p>
    <w:p w14:paraId="6166F1A9" w14:textId="77777777" w:rsidR="00B036BA" w:rsidRDefault="00B036BA">
      <w:pPr>
        <w:rPr>
          <w:rFonts w:ascii="Times New Roman" w:eastAsia="Times New Roman" w:hAnsi="Times New Roman"/>
          <w:sz w:val="24"/>
          <w:szCs w:val="24"/>
          <w:lang w:val="sr-Cyrl-CS"/>
        </w:rPr>
      </w:pPr>
    </w:p>
    <w:p w14:paraId="4551BB22" w14:textId="77777777" w:rsidR="00B036BA" w:rsidRPr="00CC35F0" w:rsidRDefault="00B036BA">
      <w:pPr>
        <w:rPr>
          <w:rFonts w:ascii="Times New Roman" w:eastAsia="Times New Roman" w:hAnsi="Times New Roman"/>
          <w:sz w:val="24"/>
          <w:szCs w:val="24"/>
          <w:lang w:val="sr-Cyrl-CS"/>
        </w:rPr>
      </w:pPr>
    </w:p>
    <w:p w14:paraId="6B84DFEA" w14:textId="77777777" w:rsidR="00A0251B" w:rsidRPr="00CC35F0" w:rsidRDefault="00A0251B">
      <w:pPr>
        <w:rPr>
          <w:rFonts w:ascii="Times New Roman" w:eastAsia="Times New Roman" w:hAnsi="Times New Roman"/>
          <w:sz w:val="24"/>
          <w:szCs w:val="24"/>
          <w:lang w:val="sr-Cyrl-CS"/>
        </w:rPr>
      </w:pPr>
    </w:p>
    <w:tbl>
      <w:tblPr>
        <w:tblStyle w:val="affff7"/>
        <w:tblW w:w="13831" w:type="dxa"/>
        <w:tblInd w:w="2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36"/>
        <w:gridCol w:w="2113"/>
        <w:gridCol w:w="1617"/>
        <w:gridCol w:w="1643"/>
        <w:gridCol w:w="1701"/>
        <w:gridCol w:w="1701"/>
        <w:gridCol w:w="1820"/>
      </w:tblGrid>
      <w:tr w:rsidR="00A0251B" w:rsidRPr="00CC35F0" w14:paraId="319055C7" w14:textId="77777777">
        <w:trPr>
          <w:trHeight w:val="227"/>
        </w:trPr>
        <w:tc>
          <w:tcPr>
            <w:tcW w:w="3236" w:type="dxa"/>
            <w:vMerge w:val="restart"/>
            <w:shd w:val="clear" w:color="auto" w:fill="A8D08D"/>
          </w:tcPr>
          <w:p w14:paraId="638F08A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Извор финансирања мера</w:t>
            </w:r>
          </w:p>
          <w:p w14:paraId="014C8149" w14:textId="77777777" w:rsidR="00A0251B" w:rsidRPr="00CC35F0" w:rsidRDefault="00A0251B">
            <w:pPr>
              <w:jc w:val="center"/>
              <w:rPr>
                <w:rFonts w:ascii="Times New Roman" w:eastAsia="Times New Roman" w:hAnsi="Times New Roman"/>
                <w:sz w:val="24"/>
                <w:szCs w:val="24"/>
                <w:lang w:val="sr-Cyrl-CS"/>
              </w:rPr>
            </w:pPr>
          </w:p>
        </w:tc>
        <w:tc>
          <w:tcPr>
            <w:tcW w:w="2113" w:type="dxa"/>
            <w:vMerge w:val="restart"/>
            <w:shd w:val="clear" w:color="auto" w:fill="A8D08D"/>
          </w:tcPr>
          <w:p w14:paraId="6F0875F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8482" w:type="dxa"/>
            <w:gridSpan w:val="5"/>
            <w:shd w:val="clear" w:color="auto" w:fill="A8D08D"/>
            <w:vAlign w:val="center"/>
          </w:tcPr>
          <w:p w14:paraId="32A2FB5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17BD4731" w14:textId="77777777">
        <w:trPr>
          <w:trHeight w:val="227"/>
        </w:trPr>
        <w:tc>
          <w:tcPr>
            <w:tcW w:w="3236" w:type="dxa"/>
            <w:vMerge/>
            <w:shd w:val="clear" w:color="auto" w:fill="A8D08D"/>
          </w:tcPr>
          <w:p w14:paraId="093776B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113" w:type="dxa"/>
            <w:vMerge/>
            <w:shd w:val="clear" w:color="auto" w:fill="A8D08D"/>
          </w:tcPr>
          <w:p w14:paraId="2FD2A9B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17" w:type="dxa"/>
            <w:shd w:val="clear" w:color="auto" w:fill="A8D08D"/>
            <w:vAlign w:val="center"/>
          </w:tcPr>
          <w:p w14:paraId="3FC4C94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643" w:type="dxa"/>
            <w:shd w:val="clear" w:color="auto" w:fill="A8D08D"/>
            <w:vAlign w:val="center"/>
          </w:tcPr>
          <w:p w14:paraId="7B69E0A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701" w:type="dxa"/>
            <w:shd w:val="clear" w:color="auto" w:fill="A8D08D"/>
            <w:vAlign w:val="center"/>
          </w:tcPr>
          <w:p w14:paraId="27DBAA2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701" w:type="dxa"/>
            <w:shd w:val="clear" w:color="auto" w:fill="A8D08D"/>
            <w:vAlign w:val="center"/>
          </w:tcPr>
          <w:p w14:paraId="311A707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820" w:type="dxa"/>
            <w:shd w:val="clear" w:color="auto" w:fill="A8D08D"/>
            <w:vAlign w:val="center"/>
          </w:tcPr>
          <w:p w14:paraId="5E59026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4BD416D6" w14:textId="77777777">
        <w:trPr>
          <w:trHeight w:val="398"/>
        </w:trPr>
        <w:tc>
          <w:tcPr>
            <w:tcW w:w="3236" w:type="dxa"/>
            <w:tcBorders>
              <w:top w:val="single" w:sz="4" w:space="0" w:color="000000"/>
              <w:left w:val="single" w:sz="4" w:space="0" w:color="000000"/>
              <w:bottom w:val="single" w:sz="4" w:space="0" w:color="000000"/>
              <w:right w:val="single" w:sz="4" w:space="0" w:color="000000"/>
            </w:tcBorders>
            <w:shd w:val="clear" w:color="auto" w:fill="FFFFFF"/>
          </w:tcPr>
          <w:p w14:paraId="5360D14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p w14:paraId="44489C2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2113" w:type="dxa"/>
            <w:tcBorders>
              <w:top w:val="single" w:sz="4" w:space="0" w:color="000000"/>
              <w:left w:val="single" w:sz="4" w:space="0" w:color="000000"/>
              <w:bottom w:val="single" w:sz="4" w:space="0" w:color="000000"/>
              <w:right w:val="single" w:sz="4" w:space="0" w:color="000000"/>
            </w:tcBorders>
            <w:shd w:val="clear" w:color="auto" w:fill="FFFFFF"/>
          </w:tcPr>
          <w:p w14:paraId="309A7EF2"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B079C6" w:rsidRPr="00CC35F0">
              <w:rPr>
                <w:rFonts w:ascii="Times New Roman" w:eastAsia="Times New Roman" w:hAnsi="Times New Roman"/>
                <w:sz w:val="24"/>
                <w:szCs w:val="24"/>
                <w:vertAlign w:val="superscript"/>
                <w:lang w:val="sr-Cyrl-CS"/>
              </w:rPr>
              <w:t>101</w:t>
            </w:r>
          </w:p>
        </w:tc>
        <w:tc>
          <w:tcPr>
            <w:tcW w:w="1617" w:type="dxa"/>
            <w:tcBorders>
              <w:top w:val="single" w:sz="4" w:space="0" w:color="000000"/>
              <w:left w:val="single" w:sz="4" w:space="0" w:color="000000"/>
              <w:bottom w:val="single" w:sz="4" w:space="0" w:color="000000"/>
              <w:right w:val="single" w:sz="4" w:space="0" w:color="000000"/>
            </w:tcBorders>
            <w:shd w:val="clear" w:color="auto" w:fill="FFFFFF"/>
          </w:tcPr>
          <w:p w14:paraId="3204E567" w14:textId="77777777" w:rsidR="00A0251B" w:rsidRPr="00CC35F0" w:rsidRDefault="00A0251B">
            <w:pPr>
              <w:rPr>
                <w:rFonts w:ascii="Times New Roman" w:eastAsia="Times New Roman" w:hAnsi="Times New Roman"/>
                <w:sz w:val="24"/>
                <w:szCs w:val="24"/>
                <w:lang w:val="sr-Cyrl-CS"/>
              </w:rPr>
            </w:pPr>
          </w:p>
        </w:tc>
        <w:tc>
          <w:tcPr>
            <w:tcW w:w="1643" w:type="dxa"/>
            <w:tcBorders>
              <w:top w:val="single" w:sz="4" w:space="0" w:color="000000"/>
              <w:left w:val="single" w:sz="4" w:space="0" w:color="000000"/>
              <w:bottom w:val="single" w:sz="4" w:space="0" w:color="000000"/>
              <w:right w:val="single" w:sz="4" w:space="0" w:color="000000"/>
            </w:tcBorders>
            <w:shd w:val="clear" w:color="auto" w:fill="FFFFFF"/>
          </w:tcPr>
          <w:p w14:paraId="00E171F2"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B079C6" w:rsidRPr="00CC35F0">
              <w:rPr>
                <w:rFonts w:ascii="Times New Roman" w:eastAsia="Times New Roman" w:hAnsi="Times New Roman"/>
                <w:sz w:val="24"/>
                <w:szCs w:val="24"/>
                <w:vertAlign w:val="superscript"/>
                <w:lang w:val="sr-Cyrl-CS"/>
              </w:rPr>
              <w:t>101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63DCF600"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B079C6" w:rsidRPr="00CC35F0">
              <w:rPr>
                <w:rFonts w:ascii="Times New Roman" w:eastAsia="Times New Roman" w:hAnsi="Times New Roman"/>
                <w:sz w:val="24"/>
                <w:szCs w:val="24"/>
                <w:vertAlign w:val="superscript"/>
                <w:lang w:val="sr-Cyrl-CS"/>
              </w:rPr>
              <w:t>101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14:paraId="2ED65AD5"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B079C6" w:rsidRPr="00CC35F0">
              <w:rPr>
                <w:rFonts w:ascii="Times New Roman" w:eastAsia="Times New Roman" w:hAnsi="Times New Roman"/>
                <w:sz w:val="24"/>
                <w:szCs w:val="24"/>
                <w:vertAlign w:val="superscript"/>
                <w:lang w:val="sr-Cyrl-CS"/>
              </w:rPr>
              <w:t>101</w:t>
            </w:r>
          </w:p>
        </w:tc>
        <w:tc>
          <w:tcPr>
            <w:tcW w:w="1820" w:type="dxa"/>
            <w:tcBorders>
              <w:top w:val="single" w:sz="4" w:space="0" w:color="000000"/>
              <w:left w:val="single" w:sz="4" w:space="0" w:color="000000"/>
              <w:bottom w:val="single" w:sz="4" w:space="0" w:color="000000"/>
              <w:right w:val="single" w:sz="4" w:space="0" w:color="000000"/>
            </w:tcBorders>
            <w:shd w:val="clear" w:color="auto" w:fill="FFFFFF"/>
          </w:tcPr>
          <w:p w14:paraId="706773D8"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КДА </w:t>
            </w:r>
            <w:r w:rsidR="00B079C6" w:rsidRPr="00CC35F0">
              <w:rPr>
                <w:rFonts w:ascii="Times New Roman" w:eastAsia="Times New Roman" w:hAnsi="Times New Roman"/>
                <w:sz w:val="24"/>
                <w:szCs w:val="24"/>
                <w:vertAlign w:val="superscript"/>
                <w:lang w:val="sr-Cyrl-CS"/>
              </w:rPr>
              <w:t>101</w:t>
            </w:r>
          </w:p>
        </w:tc>
      </w:tr>
    </w:tbl>
    <w:p w14:paraId="227CE2D7" w14:textId="77777777" w:rsidR="00A0251B" w:rsidRPr="00CC35F0" w:rsidRDefault="00A0251B">
      <w:pPr>
        <w:rPr>
          <w:rFonts w:ascii="Times New Roman" w:eastAsia="Times New Roman" w:hAnsi="Times New Roman"/>
          <w:sz w:val="24"/>
          <w:szCs w:val="24"/>
          <w:lang w:val="sr-Cyrl-CS"/>
        </w:rPr>
      </w:pPr>
    </w:p>
    <w:tbl>
      <w:tblPr>
        <w:tblStyle w:val="affff8"/>
        <w:tblW w:w="1439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1839"/>
        <w:gridCol w:w="1765"/>
        <w:gridCol w:w="1441"/>
        <w:gridCol w:w="1427"/>
        <w:gridCol w:w="1605"/>
        <w:gridCol w:w="1565"/>
        <w:gridCol w:w="973"/>
        <w:gridCol w:w="1021"/>
        <w:gridCol w:w="920"/>
        <w:gridCol w:w="920"/>
        <w:gridCol w:w="920"/>
      </w:tblGrid>
      <w:tr w:rsidR="00A0251B" w:rsidRPr="00CC35F0" w14:paraId="014ECF2A" w14:textId="77777777">
        <w:trPr>
          <w:trHeight w:val="140"/>
        </w:trPr>
        <w:tc>
          <w:tcPr>
            <w:tcW w:w="1839"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C17167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Назив активности:</w:t>
            </w:r>
          </w:p>
        </w:tc>
        <w:tc>
          <w:tcPr>
            <w:tcW w:w="17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CC4B9B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44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215014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42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ADE3D2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Рок за завршетак спровођења активности</w:t>
            </w:r>
          </w:p>
        </w:tc>
        <w:tc>
          <w:tcPr>
            <w:tcW w:w="160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ADC1A7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w:t>
            </w:r>
          </w:p>
        </w:tc>
        <w:tc>
          <w:tcPr>
            <w:tcW w:w="1565"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58EF39C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p w14:paraId="6C87F070" w14:textId="77777777" w:rsidR="00A0251B" w:rsidRPr="00CC35F0" w:rsidRDefault="00A0251B">
            <w:pPr>
              <w:jc w:val="center"/>
              <w:rPr>
                <w:rFonts w:ascii="Times New Roman" w:eastAsia="Times New Roman" w:hAnsi="Times New Roman"/>
                <w:sz w:val="24"/>
                <w:szCs w:val="24"/>
                <w:lang w:val="sr-Cyrl-CS"/>
              </w:rPr>
            </w:pPr>
          </w:p>
        </w:tc>
        <w:tc>
          <w:tcPr>
            <w:tcW w:w="4754" w:type="dxa"/>
            <w:gridSpan w:val="5"/>
            <w:tcBorders>
              <w:top w:val="single" w:sz="4" w:space="0" w:color="000000"/>
              <w:left w:val="single" w:sz="4" w:space="0" w:color="000000"/>
              <w:bottom w:val="single" w:sz="4" w:space="0" w:color="000000"/>
              <w:right w:val="single" w:sz="4" w:space="0" w:color="000000"/>
            </w:tcBorders>
            <w:shd w:val="clear" w:color="auto" w:fill="FFF2CC"/>
          </w:tcPr>
          <w:p w14:paraId="361FE98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p>
        </w:tc>
      </w:tr>
      <w:tr w:rsidR="00A0251B" w:rsidRPr="00CC35F0" w14:paraId="69BEBDA7" w14:textId="77777777" w:rsidTr="000832CC">
        <w:trPr>
          <w:trHeight w:val="386"/>
        </w:trPr>
        <w:tc>
          <w:tcPr>
            <w:tcW w:w="1839" w:type="dxa"/>
            <w:vMerge/>
            <w:tcBorders>
              <w:top w:val="single" w:sz="4" w:space="0" w:color="000000"/>
              <w:left w:val="single" w:sz="4" w:space="0" w:color="000000"/>
              <w:bottom w:val="single" w:sz="4" w:space="0" w:color="000000"/>
              <w:right w:val="single" w:sz="4" w:space="0" w:color="000000"/>
            </w:tcBorders>
            <w:shd w:val="clear" w:color="auto" w:fill="FFF2CC"/>
          </w:tcPr>
          <w:p w14:paraId="476E400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65" w:type="dxa"/>
            <w:vMerge/>
            <w:tcBorders>
              <w:top w:val="single" w:sz="4" w:space="0" w:color="000000"/>
              <w:left w:val="single" w:sz="4" w:space="0" w:color="000000"/>
              <w:bottom w:val="single" w:sz="4" w:space="0" w:color="000000"/>
              <w:right w:val="single" w:sz="4" w:space="0" w:color="000000"/>
            </w:tcBorders>
            <w:shd w:val="clear" w:color="auto" w:fill="FFF2CC"/>
          </w:tcPr>
          <w:p w14:paraId="6B9BD244"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41" w:type="dxa"/>
            <w:vMerge/>
            <w:tcBorders>
              <w:top w:val="single" w:sz="4" w:space="0" w:color="000000"/>
              <w:left w:val="single" w:sz="4" w:space="0" w:color="000000"/>
              <w:bottom w:val="single" w:sz="4" w:space="0" w:color="000000"/>
              <w:right w:val="single" w:sz="4" w:space="0" w:color="000000"/>
            </w:tcBorders>
            <w:shd w:val="clear" w:color="auto" w:fill="FFF2CC"/>
          </w:tcPr>
          <w:p w14:paraId="53DE7210"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7" w:type="dxa"/>
            <w:vMerge/>
            <w:tcBorders>
              <w:top w:val="single" w:sz="4" w:space="0" w:color="000000"/>
              <w:left w:val="single" w:sz="4" w:space="0" w:color="000000"/>
              <w:bottom w:val="single" w:sz="4" w:space="0" w:color="000000"/>
              <w:right w:val="single" w:sz="4" w:space="0" w:color="000000"/>
            </w:tcBorders>
            <w:shd w:val="clear" w:color="auto" w:fill="FFF2CC"/>
          </w:tcPr>
          <w:p w14:paraId="17CAB74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05" w:type="dxa"/>
            <w:vMerge/>
            <w:tcBorders>
              <w:top w:val="single" w:sz="4" w:space="0" w:color="000000"/>
              <w:left w:val="single" w:sz="4" w:space="0" w:color="000000"/>
              <w:bottom w:val="single" w:sz="4" w:space="0" w:color="000000"/>
              <w:right w:val="single" w:sz="4" w:space="0" w:color="000000"/>
            </w:tcBorders>
            <w:shd w:val="clear" w:color="auto" w:fill="FFF2CC"/>
          </w:tcPr>
          <w:p w14:paraId="56E665C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5" w:type="dxa"/>
            <w:vMerge/>
            <w:tcBorders>
              <w:top w:val="single" w:sz="4" w:space="0" w:color="000000"/>
              <w:left w:val="single" w:sz="4" w:space="0" w:color="000000"/>
              <w:bottom w:val="single" w:sz="4" w:space="0" w:color="000000"/>
              <w:right w:val="single" w:sz="4" w:space="0" w:color="000000"/>
            </w:tcBorders>
            <w:shd w:val="clear" w:color="auto" w:fill="FFF2CC"/>
          </w:tcPr>
          <w:p w14:paraId="5FDC541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73" w:type="dxa"/>
            <w:tcBorders>
              <w:top w:val="single" w:sz="4" w:space="0" w:color="000000"/>
              <w:left w:val="single" w:sz="4" w:space="0" w:color="000000"/>
              <w:bottom w:val="single" w:sz="4" w:space="0" w:color="000000"/>
              <w:right w:val="single" w:sz="4" w:space="0" w:color="000000"/>
            </w:tcBorders>
            <w:shd w:val="clear" w:color="auto" w:fill="FFF2CC"/>
          </w:tcPr>
          <w:p w14:paraId="229308C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021" w:type="dxa"/>
            <w:tcBorders>
              <w:top w:val="single" w:sz="4" w:space="0" w:color="000000"/>
              <w:left w:val="single" w:sz="4" w:space="0" w:color="000000"/>
              <w:bottom w:val="single" w:sz="4" w:space="0" w:color="000000"/>
              <w:right w:val="single" w:sz="4" w:space="0" w:color="000000"/>
            </w:tcBorders>
            <w:shd w:val="clear" w:color="auto" w:fill="FFF2CC"/>
          </w:tcPr>
          <w:p w14:paraId="7DC41E3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67C7399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60F8E5A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920" w:type="dxa"/>
            <w:tcBorders>
              <w:top w:val="single" w:sz="4" w:space="0" w:color="000000"/>
              <w:left w:val="single" w:sz="4" w:space="0" w:color="000000"/>
              <w:bottom w:val="single" w:sz="4" w:space="0" w:color="000000"/>
              <w:right w:val="single" w:sz="4" w:space="0" w:color="000000"/>
            </w:tcBorders>
            <w:shd w:val="clear" w:color="auto" w:fill="FFF2CC"/>
          </w:tcPr>
          <w:p w14:paraId="478F911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18D1ABE4" w14:textId="77777777" w:rsidTr="000832CC">
        <w:trPr>
          <w:trHeight w:val="543"/>
        </w:trPr>
        <w:tc>
          <w:tcPr>
            <w:tcW w:w="1839" w:type="dxa"/>
            <w:tcBorders>
              <w:top w:val="single" w:sz="4" w:space="0" w:color="000000"/>
              <w:left w:val="single" w:sz="4" w:space="0" w:color="000000"/>
              <w:bottom w:val="single" w:sz="4" w:space="0" w:color="000000"/>
              <w:right w:val="single" w:sz="4" w:space="0" w:color="000000"/>
            </w:tcBorders>
          </w:tcPr>
          <w:p w14:paraId="557EB1BE"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1.3.4.1  Увођење најбоље праксе кроз едукације фармера</w:t>
            </w:r>
          </w:p>
        </w:tc>
        <w:tc>
          <w:tcPr>
            <w:tcW w:w="1765" w:type="dxa"/>
            <w:tcBorders>
              <w:top w:val="single" w:sz="4" w:space="0" w:color="000000"/>
              <w:left w:val="single" w:sz="4" w:space="0" w:color="000000"/>
              <w:bottom w:val="single" w:sz="4" w:space="0" w:color="000000"/>
              <w:right w:val="single" w:sz="4" w:space="0" w:color="000000"/>
            </w:tcBorders>
          </w:tcPr>
          <w:p w14:paraId="7875AC7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p>
        </w:tc>
        <w:tc>
          <w:tcPr>
            <w:tcW w:w="1441" w:type="dxa"/>
            <w:tcBorders>
              <w:top w:val="single" w:sz="4" w:space="0" w:color="000000"/>
              <w:left w:val="single" w:sz="4" w:space="0" w:color="000000"/>
              <w:bottom w:val="single" w:sz="4" w:space="0" w:color="000000"/>
              <w:right w:val="single" w:sz="4" w:space="0" w:color="000000"/>
            </w:tcBorders>
          </w:tcPr>
          <w:p w14:paraId="55659D3B" w14:textId="77777777" w:rsidR="00A0251B" w:rsidRPr="00CC35F0" w:rsidRDefault="00A0251B">
            <w:pPr>
              <w:jc w:val="center"/>
              <w:rPr>
                <w:rFonts w:ascii="Times New Roman" w:eastAsia="Times New Roman" w:hAnsi="Times New Roman"/>
                <w:sz w:val="24"/>
                <w:szCs w:val="24"/>
                <w:lang w:val="sr-Cyrl-CS"/>
              </w:rPr>
            </w:pPr>
          </w:p>
        </w:tc>
        <w:tc>
          <w:tcPr>
            <w:tcW w:w="1427" w:type="dxa"/>
            <w:tcBorders>
              <w:top w:val="single" w:sz="4" w:space="0" w:color="000000"/>
              <w:left w:val="single" w:sz="4" w:space="0" w:color="000000"/>
              <w:bottom w:val="single" w:sz="4" w:space="0" w:color="000000"/>
              <w:right w:val="single" w:sz="4" w:space="0" w:color="000000"/>
            </w:tcBorders>
          </w:tcPr>
          <w:p w14:paraId="364DB82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IV квартал 2026</w:t>
            </w:r>
          </w:p>
        </w:tc>
        <w:tc>
          <w:tcPr>
            <w:tcW w:w="1605" w:type="dxa"/>
            <w:tcBorders>
              <w:top w:val="single" w:sz="4" w:space="0" w:color="000000"/>
              <w:left w:val="single" w:sz="4" w:space="0" w:color="000000"/>
              <w:bottom w:val="single" w:sz="4" w:space="0" w:color="000000"/>
              <w:right w:val="single" w:sz="4" w:space="0" w:color="000000"/>
            </w:tcBorders>
          </w:tcPr>
          <w:p w14:paraId="5E9F64B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tc>
        <w:tc>
          <w:tcPr>
            <w:tcW w:w="1565" w:type="dxa"/>
            <w:tcBorders>
              <w:top w:val="single" w:sz="4" w:space="0" w:color="000000"/>
              <w:left w:val="single" w:sz="4" w:space="0" w:color="000000"/>
              <w:bottom w:val="single" w:sz="4" w:space="0" w:color="000000"/>
              <w:right w:val="single" w:sz="4" w:space="0" w:color="000000"/>
            </w:tcBorders>
          </w:tcPr>
          <w:p w14:paraId="23E7E6E6" w14:textId="77777777" w:rsidR="00A0251B" w:rsidRPr="00CC35F0" w:rsidRDefault="00A0251B">
            <w:pPr>
              <w:jc w:val="center"/>
              <w:rPr>
                <w:rFonts w:ascii="Times New Roman" w:eastAsia="Times New Roman" w:hAnsi="Times New Roman"/>
                <w:sz w:val="24"/>
                <w:szCs w:val="24"/>
                <w:lang w:val="sr-Cyrl-CS"/>
              </w:rPr>
            </w:pPr>
          </w:p>
        </w:tc>
        <w:tc>
          <w:tcPr>
            <w:tcW w:w="973" w:type="dxa"/>
            <w:tcBorders>
              <w:top w:val="single" w:sz="4" w:space="0" w:color="000000"/>
              <w:left w:val="single" w:sz="4" w:space="0" w:color="000000"/>
              <w:bottom w:val="single" w:sz="4" w:space="0" w:color="000000"/>
              <w:right w:val="single" w:sz="4" w:space="0" w:color="000000"/>
            </w:tcBorders>
          </w:tcPr>
          <w:p w14:paraId="1291C94B" w14:textId="77777777" w:rsidR="00A0251B" w:rsidRPr="00CC35F0" w:rsidRDefault="00A0251B">
            <w:pPr>
              <w:jc w:val="center"/>
              <w:rPr>
                <w:rFonts w:ascii="Times New Roman" w:eastAsia="Times New Roman" w:hAnsi="Times New Roman"/>
                <w:sz w:val="24"/>
                <w:szCs w:val="24"/>
                <w:highlight w:val="yellow"/>
                <w:lang w:val="sr-Cyrl-CS"/>
              </w:rPr>
            </w:pPr>
          </w:p>
        </w:tc>
        <w:tc>
          <w:tcPr>
            <w:tcW w:w="1021" w:type="dxa"/>
            <w:tcBorders>
              <w:top w:val="single" w:sz="4" w:space="0" w:color="000000"/>
              <w:left w:val="single" w:sz="4" w:space="0" w:color="000000"/>
              <w:bottom w:val="single" w:sz="4" w:space="0" w:color="000000"/>
              <w:right w:val="single" w:sz="4" w:space="0" w:color="000000"/>
            </w:tcBorders>
          </w:tcPr>
          <w:p w14:paraId="7DE3FD83" w14:textId="77777777" w:rsidR="00A0251B" w:rsidRPr="00CC35F0" w:rsidRDefault="000832CC">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КДА</w:t>
            </w:r>
            <w:r w:rsidRPr="00CC35F0">
              <w:rPr>
                <w:rFonts w:ascii="Times New Roman" w:eastAsia="Times New Roman" w:hAnsi="Times New Roman"/>
                <w:sz w:val="24"/>
                <w:szCs w:val="24"/>
                <w:vertAlign w:val="superscript"/>
                <w:lang w:val="sr-Cyrl-CS"/>
              </w:rPr>
              <w:footnoteReference w:id="102"/>
            </w:r>
          </w:p>
        </w:tc>
        <w:tc>
          <w:tcPr>
            <w:tcW w:w="920" w:type="dxa"/>
            <w:tcBorders>
              <w:top w:val="single" w:sz="4" w:space="0" w:color="000000"/>
              <w:left w:val="single" w:sz="4" w:space="0" w:color="000000"/>
              <w:bottom w:val="single" w:sz="4" w:space="0" w:color="000000"/>
              <w:right w:val="single" w:sz="4" w:space="0" w:color="000000"/>
            </w:tcBorders>
          </w:tcPr>
          <w:p w14:paraId="2E817E6E" w14:textId="77777777" w:rsidR="00A0251B" w:rsidRPr="00CC35F0" w:rsidRDefault="008D6506">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КДА</w:t>
            </w:r>
          </w:p>
        </w:tc>
        <w:tc>
          <w:tcPr>
            <w:tcW w:w="920" w:type="dxa"/>
            <w:tcBorders>
              <w:top w:val="single" w:sz="4" w:space="0" w:color="000000"/>
              <w:left w:val="single" w:sz="4" w:space="0" w:color="000000"/>
              <w:bottom w:val="single" w:sz="4" w:space="0" w:color="000000"/>
              <w:right w:val="single" w:sz="4" w:space="0" w:color="000000"/>
            </w:tcBorders>
          </w:tcPr>
          <w:p w14:paraId="38DC14E8" w14:textId="77777777" w:rsidR="00A0251B" w:rsidRPr="00CC35F0" w:rsidRDefault="008D6506">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КДА</w:t>
            </w:r>
          </w:p>
        </w:tc>
        <w:tc>
          <w:tcPr>
            <w:tcW w:w="920" w:type="dxa"/>
            <w:tcBorders>
              <w:top w:val="single" w:sz="4" w:space="0" w:color="000000"/>
              <w:left w:val="single" w:sz="4" w:space="0" w:color="000000"/>
              <w:bottom w:val="single" w:sz="4" w:space="0" w:color="000000"/>
              <w:right w:val="single" w:sz="4" w:space="0" w:color="000000"/>
            </w:tcBorders>
          </w:tcPr>
          <w:p w14:paraId="6E1AE50A" w14:textId="77777777" w:rsidR="00A0251B" w:rsidRPr="00CC35F0" w:rsidRDefault="008D6506">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КДА</w:t>
            </w:r>
          </w:p>
        </w:tc>
      </w:tr>
      <w:tr w:rsidR="00A0251B" w:rsidRPr="00CC35F0" w14:paraId="5B4794CA" w14:textId="77777777" w:rsidTr="000832CC">
        <w:trPr>
          <w:trHeight w:val="543"/>
        </w:trPr>
        <w:tc>
          <w:tcPr>
            <w:tcW w:w="1839" w:type="dxa"/>
            <w:tcBorders>
              <w:top w:val="single" w:sz="4" w:space="0" w:color="000000"/>
              <w:left w:val="single" w:sz="4" w:space="0" w:color="000000"/>
              <w:bottom w:val="single" w:sz="4" w:space="0" w:color="000000"/>
              <w:right w:val="single" w:sz="4" w:space="0" w:color="000000"/>
            </w:tcBorders>
            <w:shd w:val="clear" w:color="auto" w:fill="auto"/>
          </w:tcPr>
          <w:p w14:paraId="3EBC1C06"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color w:val="000000"/>
                <w:sz w:val="24"/>
                <w:szCs w:val="24"/>
                <w:lang w:val="sr-Cyrl-CS"/>
              </w:rPr>
              <w:t>1.3.4.2 Спровођење најбоље праксе у растурању течног стајњака са фарми свиња и говеда кроз унапређење пољопривредне механизације (инјектори и црева за растурање стајњака).</w:t>
            </w:r>
            <w:r w:rsidR="005D162C" w:rsidRPr="00CC35F0">
              <w:rPr>
                <w:rFonts w:ascii="Times New Roman" w:eastAsia="Times New Roman" w:hAnsi="Times New Roman"/>
                <w:color w:val="000000"/>
                <w:sz w:val="24"/>
                <w:szCs w:val="24"/>
                <w:vertAlign w:val="superscript"/>
                <w:lang w:val="sr-Cyrl-CS"/>
              </w:rPr>
              <w:t>#</w:t>
            </w:r>
          </w:p>
        </w:tc>
        <w:tc>
          <w:tcPr>
            <w:tcW w:w="1765" w:type="dxa"/>
            <w:tcBorders>
              <w:top w:val="single" w:sz="4" w:space="0" w:color="000000"/>
              <w:left w:val="single" w:sz="4" w:space="0" w:color="000000"/>
              <w:bottom w:val="single" w:sz="4" w:space="0" w:color="000000"/>
              <w:right w:val="single" w:sz="4" w:space="0" w:color="000000"/>
            </w:tcBorders>
          </w:tcPr>
          <w:p w14:paraId="518BF5F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Министарство пољопривреде, шумарства и водопривреде</w:t>
            </w:r>
          </w:p>
        </w:tc>
        <w:tc>
          <w:tcPr>
            <w:tcW w:w="1441" w:type="dxa"/>
            <w:tcBorders>
              <w:top w:val="single" w:sz="4" w:space="0" w:color="000000"/>
              <w:left w:val="single" w:sz="4" w:space="0" w:color="000000"/>
              <w:bottom w:val="single" w:sz="4" w:space="0" w:color="000000"/>
              <w:right w:val="single" w:sz="4" w:space="0" w:color="000000"/>
            </w:tcBorders>
          </w:tcPr>
          <w:p w14:paraId="01689C4B" w14:textId="77777777" w:rsidR="00A0251B" w:rsidRPr="00CC35F0" w:rsidRDefault="00A0251B">
            <w:pPr>
              <w:jc w:val="center"/>
              <w:rPr>
                <w:rFonts w:ascii="Times New Roman" w:eastAsia="Times New Roman" w:hAnsi="Times New Roman"/>
                <w:sz w:val="24"/>
                <w:szCs w:val="24"/>
                <w:lang w:val="sr-Cyrl-CS"/>
              </w:rPr>
            </w:pPr>
          </w:p>
        </w:tc>
        <w:tc>
          <w:tcPr>
            <w:tcW w:w="1427" w:type="dxa"/>
            <w:tcBorders>
              <w:top w:val="single" w:sz="4" w:space="0" w:color="000000"/>
              <w:left w:val="single" w:sz="4" w:space="0" w:color="000000"/>
              <w:bottom w:val="single" w:sz="4" w:space="0" w:color="000000"/>
              <w:right w:val="single" w:sz="4" w:space="0" w:color="000000"/>
            </w:tcBorders>
          </w:tcPr>
          <w:p w14:paraId="2540914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IV квартал 2026</w:t>
            </w:r>
          </w:p>
        </w:tc>
        <w:tc>
          <w:tcPr>
            <w:tcW w:w="1605" w:type="dxa"/>
            <w:tcBorders>
              <w:top w:val="single" w:sz="4" w:space="0" w:color="000000"/>
              <w:left w:val="single" w:sz="4" w:space="0" w:color="000000"/>
              <w:bottom w:val="single" w:sz="4" w:space="0" w:color="000000"/>
              <w:right w:val="single" w:sz="4" w:space="0" w:color="000000"/>
            </w:tcBorders>
          </w:tcPr>
          <w:p w14:paraId="39116AA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p>
        </w:tc>
        <w:tc>
          <w:tcPr>
            <w:tcW w:w="1565" w:type="dxa"/>
            <w:tcBorders>
              <w:top w:val="single" w:sz="4" w:space="0" w:color="000000"/>
              <w:left w:val="single" w:sz="4" w:space="0" w:color="000000"/>
              <w:bottom w:val="single" w:sz="4" w:space="0" w:color="000000"/>
              <w:right w:val="single" w:sz="4" w:space="0" w:color="000000"/>
            </w:tcBorders>
          </w:tcPr>
          <w:p w14:paraId="6C35F15B" w14:textId="77777777" w:rsidR="00A0251B" w:rsidRPr="00CC35F0" w:rsidRDefault="00A0251B">
            <w:pPr>
              <w:jc w:val="center"/>
              <w:rPr>
                <w:rFonts w:ascii="Times New Roman" w:eastAsia="Times New Roman" w:hAnsi="Times New Roman"/>
                <w:sz w:val="24"/>
                <w:szCs w:val="24"/>
                <w:lang w:val="sr-Cyrl-CS"/>
              </w:rPr>
            </w:pPr>
          </w:p>
        </w:tc>
        <w:tc>
          <w:tcPr>
            <w:tcW w:w="973" w:type="dxa"/>
            <w:tcBorders>
              <w:top w:val="single" w:sz="4" w:space="0" w:color="000000"/>
              <w:left w:val="single" w:sz="4" w:space="0" w:color="000000"/>
              <w:bottom w:val="single" w:sz="4" w:space="0" w:color="000000"/>
              <w:right w:val="single" w:sz="4" w:space="0" w:color="000000"/>
            </w:tcBorders>
          </w:tcPr>
          <w:p w14:paraId="6C79204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021" w:type="dxa"/>
            <w:tcBorders>
              <w:top w:val="single" w:sz="4" w:space="0" w:color="000000"/>
              <w:left w:val="single" w:sz="4" w:space="0" w:color="000000"/>
              <w:bottom w:val="single" w:sz="4" w:space="0" w:color="000000"/>
              <w:right w:val="single" w:sz="4" w:space="0" w:color="000000"/>
            </w:tcBorders>
          </w:tcPr>
          <w:p w14:paraId="7DD907B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0A098D9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2B897D7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920" w:type="dxa"/>
            <w:tcBorders>
              <w:top w:val="single" w:sz="4" w:space="0" w:color="000000"/>
              <w:left w:val="single" w:sz="4" w:space="0" w:color="000000"/>
              <w:bottom w:val="single" w:sz="4" w:space="0" w:color="000000"/>
              <w:right w:val="single" w:sz="4" w:space="0" w:color="000000"/>
            </w:tcBorders>
          </w:tcPr>
          <w:p w14:paraId="549E62F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bl>
    <w:p w14:paraId="6423FB46" w14:textId="77777777" w:rsidR="00A0251B" w:rsidRPr="00CC35F0" w:rsidRDefault="00A0251B">
      <w:pPr>
        <w:rPr>
          <w:rFonts w:ascii="Times New Roman" w:eastAsia="Times New Roman" w:hAnsi="Times New Roman"/>
          <w:sz w:val="24"/>
          <w:szCs w:val="24"/>
          <w:lang w:val="sr-Cyrl-CS"/>
        </w:rPr>
      </w:pPr>
    </w:p>
    <w:p w14:paraId="536B89DD" w14:textId="77777777" w:rsidR="00A0251B" w:rsidRPr="00CC35F0" w:rsidRDefault="00A0251B">
      <w:pPr>
        <w:rPr>
          <w:rFonts w:ascii="Times New Roman" w:eastAsia="Times New Roman" w:hAnsi="Times New Roman"/>
          <w:sz w:val="24"/>
          <w:szCs w:val="24"/>
          <w:lang w:val="sr-Cyrl-CS"/>
        </w:rPr>
      </w:pPr>
    </w:p>
    <w:tbl>
      <w:tblPr>
        <w:tblStyle w:val="affff9"/>
        <w:tblW w:w="1406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8"/>
        <w:gridCol w:w="1077"/>
        <w:gridCol w:w="1492"/>
        <w:gridCol w:w="1530"/>
        <w:gridCol w:w="1198"/>
        <w:gridCol w:w="1170"/>
        <w:gridCol w:w="1536"/>
        <w:gridCol w:w="1572"/>
        <w:gridCol w:w="1272"/>
      </w:tblGrid>
      <w:tr w:rsidR="00A0251B" w:rsidRPr="00CC35F0" w14:paraId="6B10C4CD" w14:textId="77777777">
        <w:trPr>
          <w:trHeight w:val="168"/>
        </w:trPr>
        <w:tc>
          <w:tcPr>
            <w:tcW w:w="14065" w:type="dxa"/>
            <w:gridSpan w:val="9"/>
            <w:tcBorders>
              <w:top w:val="single" w:sz="4" w:space="0" w:color="000000"/>
              <w:left w:val="single" w:sz="4" w:space="0" w:color="000000"/>
              <w:bottom w:val="single" w:sz="4" w:space="0" w:color="000000"/>
              <w:right w:val="single" w:sz="4" w:space="0" w:color="000000"/>
            </w:tcBorders>
            <w:shd w:val="clear" w:color="auto" w:fill="F7CBAC"/>
          </w:tcPr>
          <w:p w14:paraId="5F94D08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1.3.5 : </w:t>
            </w:r>
            <w:r w:rsidRPr="00CC35F0">
              <w:rPr>
                <w:rFonts w:ascii="Times New Roman" w:eastAsia="Times New Roman" w:hAnsi="Times New Roman"/>
                <w:b/>
                <w:color w:val="000000"/>
                <w:sz w:val="24"/>
                <w:szCs w:val="24"/>
                <w:lang w:val="sr-Cyrl-CS"/>
              </w:rPr>
              <w:t>Ограничавање спаљивања остатака из пољопривреде (0% 2030. године)</w:t>
            </w:r>
          </w:p>
        </w:tc>
      </w:tr>
      <w:tr w:rsidR="00A0251B" w:rsidRPr="00CC35F0" w14:paraId="1F6B11BE" w14:textId="77777777">
        <w:trPr>
          <w:trHeight w:val="298"/>
        </w:trPr>
        <w:tc>
          <w:tcPr>
            <w:tcW w:w="14065" w:type="dxa"/>
            <w:gridSpan w:val="9"/>
            <w:tcBorders>
              <w:top w:val="single" w:sz="4" w:space="0" w:color="000000"/>
              <w:left w:val="single" w:sz="4" w:space="0" w:color="000000"/>
              <w:bottom w:val="single" w:sz="4" w:space="0" w:color="000000"/>
              <w:right w:val="single" w:sz="4" w:space="0" w:color="000000"/>
            </w:tcBorders>
            <w:shd w:val="clear" w:color="auto" w:fill="F7CBAC"/>
            <w:vAlign w:val="center"/>
          </w:tcPr>
          <w:p w14:paraId="7D5ACCAD"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Министарство пољопривреде, шумарства и водопривреде</w:t>
            </w:r>
          </w:p>
        </w:tc>
      </w:tr>
      <w:tr w:rsidR="00A0251B" w:rsidRPr="00CC35F0" w14:paraId="10E85245" w14:textId="77777777">
        <w:trPr>
          <w:trHeight w:val="298"/>
        </w:trPr>
        <w:tc>
          <w:tcPr>
            <w:tcW w:w="5787" w:type="dxa"/>
            <w:gridSpan w:val="3"/>
            <w:tcBorders>
              <w:top w:val="single" w:sz="4" w:space="0" w:color="000000"/>
              <w:left w:val="single" w:sz="4" w:space="0" w:color="000000"/>
              <w:bottom w:val="single" w:sz="4" w:space="0" w:color="000000"/>
              <w:right w:val="single" w:sz="4" w:space="0" w:color="000000"/>
            </w:tcBorders>
            <w:shd w:val="clear" w:color="auto" w:fill="F7CBAC"/>
          </w:tcPr>
          <w:p w14:paraId="69947A77"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Период спровођења: 2023 </w:t>
            </w:r>
            <w:r w:rsidR="005D162C" w:rsidRPr="00CC35F0">
              <w:rPr>
                <w:rFonts w:ascii="Times New Roman" w:eastAsia="Times New Roman" w:hAnsi="Times New Roman"/>
                <w:sz w:val="24"/>
                <w:szCs w:val="24"/>
                <w:lang w:val="sr-Cyrl-CS"/>
              </w:rPr>
              <w:t>–</w:t>
            </w:r>
            <w:r w:rsidRPr="00CC35F0">
              <w:rPr>
                <w:rFonts w:ascii="Times New Roman" w:eastAsia="Times New Roman" w:hAnsi="Times New Roman"/>
                <w:sz w:val="24"/>
                <w:szCs w:val="24"/>
                <w:lang w:val="sr-Cyrl-CS"/>
              </w:rPr>
              <w:t xml:space="preserve"> 2026</w:t>
            </w:r>
            <w:r w:rsidR="005D162C" w:rsidRPr="00CC35F0">
              <w:rPr>
                <w:rFonts w:ascii="Times New Roman" w:eastAsia="Times New Roman" w:hAnsi="Times New Roman"/>
                <w:sz w:val="24"/>
                <w:szCs w:val="24"/>
                <w:vertAlign w:val="superscript"/>
                <w:lang w:val="sr-Cyrl-CS"/>
              </w:rPr>
              <w:t>#</w:t>
            </w:r>
          </w:p>
        </w:tc>
        <w:tc>
          <w:tcPr>
            <w:tcW w:w="8278" w:type="dxa"/>
            <w:gridSpan w:val="6"/>
            <w:tcBorders>
              <w:top w:val="single" w:sz="4" w:space="0" w:color="000000"/>
              <w:left w:val="single" w:sz="4" w:space="0" w:color="000000"/>
              <w:bottom w:val="single" w:sz="4" w:space="0" w:color="000000"/>
              <w:right w:val="single" w:sz="4" w:space="0" w:color="000000"/>
            </w:tcBorders>
            <w:shd w:val="clear" w:color="auto" w:fill="F7CBAC"/>
          </w:tcPr>
          <w:p w14:paraId="002B1C4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Регулаторна</w:t>
            </w:r>
          </w:p>
        </w:tc>
      </w:tr>
      <w:tr w:rsidR="00A0251B" w:rsidRPr="00CC35F0" w14:paraId="5456FE8F" w14:textId="77777777">
        <w:trPr>
          <w:trHeight w:val="298"/>
        </w:trPr>
        <w:tc>
          <w:tcPr>
            <w:tcW w:w="5787" w:type="dxa"/>
            <w:gridSpan w:val="3"/>
            <w:tcBorders>
              <w:top w:val="single" w:sz="4" w:space="0" w:color="000000"/>
              <w:left w:val="single" w:sz="4" w:space="0" w:color="000000"/>
              <w:bottom w:val="single" w:sz="4" w:space="0" w:color="000000"/>
              <w:right w:val="single" w:sz="4" w:space="0" w:color="000000"/>
            </w:tcBorders>
            <w:shd w:val="clear" w:color="auto" w:fill="F7CBAC"/>
          </w:tcPr>
          <w:p w14:paraId="3BA8D45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w:t>
            </w:r>
          </w:p>
        </w:tc>
        <w:tc>
          <w:tcPr>
            <w:tcW w:w="8278" w:type="dxa"/>
            <w:gridSpan w:val="6"/>
            <w:tcBorders>
              <w:top w:val="single" w:sz="4" w:space="0" w:color="000000"/>
              <w:left w:val="single" w:sz="4" w:space="0" w:color="000000"/>
              <w:bottom w:val="single" w:sz="4" w:space="0" w:color="000000"/>
              <w:right w:val="single" w:sz="4" w:space="0" w:color="000000"/>
            </w:tcBorders>
            <w:shd w:val="clear" w:color="auto" w:fill="F7CBAC"/>
          </w:tcPr>
          <w:p w14:paraId="56E618EC" w14:textId="77777777" w:rsidR="00A0251B" w:rsidRPr="00CC35F0" w:rsidRDefault="00A0251B">
            <w:pPr>
              <w:rPr>
                <w:rFonts w:ascii="Times New Roman" w:eastAsia="Times New Roman" w:hAnsi="Times New Roman"/>
                <w:sz w:val="24"/>
                <w:szCs w:val="24"/>
                <w:lang w:val="sr-Cyrl-CS"/>
              </w:rPr>
            </w:pPr>
          </w:p>
        </w:tc>
      </w:tr>
      <w:tr w:rsidR="00A0251B" w:rsidRPr="00CC35F0" w14:paraId="5A5E03B1" w14:textId="77777777">
        <w:trPr>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2870923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01A5E86E" w14:textId="77777777" w:rsidR="00A0251B" w:rsidRPr="00CC35F0" w:rsidRDefault="00A0251B">
            <w:pPr>
              <w:jc w:val="center"/>
              <w:rPr>
                <w:rFonts w:ascii="Times New Roman" w:eastAsia="Times New Roman" w:hAnsi="Times New Roman"/>
                <w:sz w:val="24"/>
                <w:szCs w:val="24"/>
                <w:lang w:val="sr-Cyrl-CS"/>
              </w:rPr>
            </w:pPr>
          </w:p>
        </w:tc>
        <w:tc>
          <w:tcPr>
            <w:tcW w:w="1077" w:type="dxa"/>
            <w:tcBorders>
              <w:top w:val="single" w:sz="4" w:space="0" w:color="000000"/>
              <w:left w:val="single" w:sz="4" w:space="0" w:color="000000"/>
              <w:bottom w:val="single" w:sz="4" w:space="0" w:color="000000"/>
              <w:right w:val="single" w:sz="4" w:space="0" w:color="000000"/>
            </w:tcBorders>
            <w:shd w:val="clear" w:color="auto" w:fill="D9D9D9"/>
          </w:tcPr>
          <w:p w14:paraId="54D26A06" w14:textId="77777777" w:rsidR="00A0251B" w:rsidRPr="00CC35F0" w:rsidRDefault="008D6506">
            <w:pPr>
              <w:jc w:val="center"/>
              <w:rPr>
                <w:rFonts w:ascii="Times New Roman" w:eastAsia="Times New Roman" w:hAnsi="Times New Roman"/>
                <w:sz w:val="24"/>
                <w:szCs w:val="24"/>
                <w:lang w:val="sr-Cyrl-CS"/>
              </w:rPr>
            </w:pPr>
            <w:r w:rsidRPr="00E41AFB">
              <w:rPr>
                <w:rFonts w:ascii="Times New Roman" w:eastAsia="Times New Roman" w:hAnsi="Times New Roman"/>
                <w:sz w:val="21"/>
                <w:szCs w:val="21"/>
                <w:lang w:val="sr-Cyrl-CS"/>
              </w:rPr>
              <w:t>Јединица</w:t>
            </w:r>
            <w:r w:rsidRPr="00CC35F0">
              <w:rPr>
                <w:rFonts w:ascii="Times New Roman" w:eastAsia="Times New Roman" w:hAnsi="Times New Roman"/>
                <w:sz w:val="24"/>
                <w:szCs w:val="24"/>
                <w:lang w:val="sr-Cyrl-CS"/>
              </w:rPr>
              <w:t xml:space="preserve"> мере</w:t>
            </w:r>
          </w:p>
        </w:tc>
        <w:tc>
          <w:tcPr>
            <w:tcW w:w="1492" w:type="dxa"/>
            <w:tcBorders>
              <w:top w:val="single" w:sz="4" w:space="0" w:color="000000"/>
              <w:left w:val="single" w:sz="4" w:space="0" w:color="000000"/>
              <w:bottom w:val="single" w:sz="4" w:space="0" w:color="000000"/>
              <w:right w:val="single" w:sz="4" w:space="0" w:color="000000"/>
            </w:tcBorders>
            <w:shd w:val="clear" w:color="auto" w:fill="D9D9D9"/>
          </w:tcPr>
          <w:p w14:paraId="273A4C8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E41AFB">
              <w:rPr>
                <w:rFonts w:ascii="Times New Roman" w:eastAsia="Times New Roman" w:hAnsi="Times New Roman"/>
                <w:sz w:val="20"/>
                <w:szCs w:val="20"/>
                <w:lang w:val="sr-Cyrl-CS"/>
              </w:rPr>
              <w:t>верификације</w:t>
            </w:r>
          </w:p>
        </w:tc>
        <w:tc>
          <w:tcPr>
            <w:tcW w:w="1530" w:type="dxa"/>
            <w:tcBorders>
              <w:top w:val="single" w:sz="4" w:space="0" w:color="000000"/>
              <w:left w:val="single" w:sz="4" w:space="0" w:color="000000"/>
              <w:bottom w:val="single" w:sz="4" w:space="0" w:color="000000"/>
              <w:right w:val="single" w:sz="4" w:space="0" w:color="000000"/>
            </w:tcBorders>
            <w:shd w:val="clear" w:color="auto" w:fill="D9D9D9"/>
          </w:tcPr>
          <w:p w14:paraId="029604D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Почетна вредност 2015. године</w:t>
            </w:r>
          </w:p>
        </w:tc>
        <w:tc>
          <w:tcPr>
            <w:tcW w:w="1198" w:type="dxa"/>
            <w:tcBorders>
              <w:top w:val="single" w:sz="4" w:space="0" w:color="000000"/>
              <w:left w:val="single" w:sz="4" w:space="0" w:color="000000"/>
              <w:bottom w:val="single" w:sz="4" w:space="0" w:color="000000"/>
              <w:right w:val="single" w:sz="4" w:space="0" w:color="000000"/>
            </w:tcBorders>
            <w:shd w:val="clear" w:color="auto" w:fill="D9D9D9"/>
          </w:tcPr>
          <w:p w14:paraId="5044C8B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170" w:type="dxa"/>
            <w:tcBorders>
              <w:top w:val="single" w:sz="4" w:space="0" w:color="000000"/>
              <w:left w:val="single" w:sz="4" w:space="0" w:color="000000"/>
              <w:bottom w:val="single" w:sz="4" w:space="0" w:color="000000"/>
              <w:right w:val="single" w:sz="4" w:space="0" w:color="000000"/>
            </w:tcBorders>
            <w:shd w:val="clear" w:color="auto" w:fill="D9D9D9"/>
          </w:tcPr>
          <w:p w14:paraId="79D4935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6" w:type="dxa"/>
            <w:tcBorders>
              <w:top w:val="single" w:sz="4" w:space="0" w:color="000000"/>
              <w:left w:val="single" w:sz="4" w:space="0" w:color="000000"/>
              <w:bottom w:val="single" w:sz="4" w:space="0" w:color="000000"/>
              <w:right w:val="single" w:sz="4" w:space="0" w:color="000000"/>
            </w:tcBorders>
            <w:shd w:val="clear" w:color="auto" w:fill="D9D9D9"/>
          </w:tcPr>
          <w:p w14:paraId="6B26057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72" w:type="dxa"/>
            <w:tcBorders>
              <w:top w:val="single" w:sz="4" w:space="0" w:color="000000"/>
              <w:left w:val="single" w:sz="4" w:space="0" w:color="000000"/>
              <w:bottom w:val="single" w:sz="4" w:space="0" w:color="000000"/>
              <w:right w:val="single" w:sz="4" w:space="0" w:color="000000"/>
            </w:tcBorders>
            <w:shd w:val="clear" w:color="auto" w:fill="D9D9D9"/>
          </w:tcPr>
          <w:p w14:paraId="2CAC865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272" w:type="dxa"/>
            <w:tcBorders>
              <w:top w:val="single" w:sz="4" w:space="0" w:color="000000"/>
              <w:left w:val="single" w:sz="4" w:space="0" w:color="000000"/>
              <w:bottom w:val="single" w:sz="4" w:space="0" w:color="000000"/>
              <w:right w:val="single" w:sz="4" w:space="0" w:color="000000"/>
            </w:tcBorders>
            <w:shd w:val="clear" w:color="auto" w:fill="D9D9D9"/>
          </w:tcPr>
          <w:p w14:paraId="71AB796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Циљана вредност у </w:t>
            </w:r>
            <w:r w:rsidRPr="00E41AFB">
              <w:rPr>
                <w:rFonts w:ascii="Times New Roman" w:eastAsia="Times New Roman" w:hAnsi="Times New Roman"/>
                <w:lang w:val="sr-Cyrl-CS"/>
              </w:rPr>
              <w:t xml:space="preserve">последњој </w:t>
            </w:r>
            <w:r w:rsidRPr="00CC35F0">
              <w:rPr>
                <w:rFonts w:ascii="Times New Roman" w:eastAsia="Times New Roman" w:hAnsi="Times New Roman"/>
                <w:sz w:val="24"/>
                <w:szCs w:val="24"/>
                <w:lang w:val="sr-Cyrl-CS"/>
              </w:rPr>
              <w:t>години АП, 2026. године</w:t>
            </w:r>
          </w:p>
        </w:tc>
      </w:tr>
      <w:tr w:rsidR="00A0251B" w:rsidRPr="00CC35F0" w14:paraId="547BF632"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63C08706"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укупно спаљених остатака од кукуруза</w:t>
            </w:r>
          </w:p>
        </w:tc>
        <w:tc>
          <w:tcPr>
            <w:tcW w:w="1077" w:type="dxa"/>
            <w:tcBorders>
              <w:top w:val="single" w:sz="4" w:space="0" w:color="000000"/>
              <w:left w:val="single" w:sz="4" w:space="0" w:color="000000"/>
              <w:bottom w:val="single" w:sz="4" w:space="0" w:color="000000"/>
              <w:right w:val="single" w:sz="4" w:space="0" w:color="000000"/>
            </w:tcBorders>
            <w:shd w:val="clear" w:color="auto" w:fill="FFFFFF"/>
          </w:tcPr>
          <w:p w14:paraId="6C08D655"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Pr>
          <w:p w14:paraId="2A135CF6"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Пољопривредна инспекција</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43E21A5D"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17,0</w:t>
            </w:r>
          </w:p>
        </w:tc>
        <w:tc>
          <w:tcPr>
            <w:tcW w:w="1198" w:type="dxa"/>
            <w:tcBorders>
              <w:top w:val="single" w:sz="4" w:space="0" w:color="000000"/>
              <w:left w:val="single" w:sz="4" w:space="0" w:color="000000"/>
              <w:bottom w:val="single" w:sz="4" w:space="0" w:color="000000"/>
              <w:right w:val="single" w:sz="4" w:space="0" w:color="000000"/>
            </w:tcBorders>
            <w:shd w:val="clear" w:color="auto" w:fill="FFFFFF"/>
          </w:tcPr>
          <w:p w14:paraId="541A492F"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17,0</w:t>
            </w:r>
          </w:p>
        </w:tc>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0F768364"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w:t>
            </w:r>
          </w:p>
        </w:tc>
        <w:tc>
          <w:tcPr>
            <w:tcW w:w="1536" w:type="dxa"/>
            <w:tcBorders>
              <w:top w:val="single" w:sz="4" w:space="0" w:color="000000"/>
              <w:left w:val="single" w:sz="4" w:space="0" w:color="000000"/>
              <w:bottom w:val="single" w:sz="4" w:space="0" w:color="000000"/>
              <w:right w:val="single" w:sz="4" w:space="0" w:color="000000"/>
            </w:tcBorders>
            <w:shd w:val="clear" w:color="auto" w:fill="FFFFFF"/>
          </w:tcPr>
          <w:p w14:paraId="509B5BB5"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w:t>
            </w:r>
          </w:p>
        </w:tc>
        <w:tc>
          <w:tcPr>
            <w:tcW w:w="1572" w:type="dxa"/>
            <w:tcBorders>
              <w:top w:val="single" w:sz="4" w:space="0" w:color="000000"/>
              <w:left w:val="single" w:sz="4" w:space="0" w:color="000000"/>
              <w:bottom w:val="single" w:sz="4" w:space="0" w:color="000000"/>
              <w:right w:val="single" w:sz="4" w:space="0" w:color="000000"/>
            </w:tcBorders>
            <w:shd w:val="clear" w:color="auto" w:fill="FFFFFF"/>
          </w:tcPr>
          <w:p w14:paraId="731A1A6C"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9,8</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4B74A21C"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7,9</w:t>
            </w:r>
          </w:p>
        </w:tc>
      </w:tr>
      <w:tr w:rsidR="00A0251B" w:rsidRPr="00CC35F0" w14:paraId="68E4948B"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32A0B6D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Удео укупно спаљених остатака од пшенице</w:t>
            </w:r>
          </w:p>
        </w:tc>
        <w:tc>
          <w:tcPr>
            <w:tcW w:w="1077" w:type="dxa"/>
            <w:tcBorders>
              <w:top w:val="single" w:sz="4" w:space="0" w:color="000000"/>
              <w:left w:val="single" w:sz="4" w:space="0" w:color="000000"/>
              <w:bottom w:val="single" w:sz="4" w:space="0" w:color="000000"/>
              <w:right w:val="single" w:sz="4" w:space="0" w:color="000000"/>
            </w:tcBorders>
            <w:shd w:val="clear" w:color="auto" w:fill="FFFFFF"/>
          </w:tcPr>
          <w:p w14:paraId="5A92B49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92" w:type="dxa"/>
            <w:tcBorders>
              <w:top w:val="single" w:sz="4" w:space="0" w:color="000000"/>
              <w:left w:val="single" w:sz="4" w:space="0" w:color="000000"/>
              <w:bottom w:val="single" w:sz="4" w:space="0" w:color="000000"/>
              <w:right w:val="single" w:sz="4" w:space="0" w:color="000000"/>
            </w:tcBorders>
            <w:shd w:val="clear" w:color="auto" w:fill="FFFFFF"/>
          </w:tcPr>
          <w:p w14:paraId="4927BD75"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Пољопривредна инспекција</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cPr>
          <w:p w14:paraId="149C03DA"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9,1</w:t>
            </w:r>
          </w:p>
        </w:tc>
        <w:tc>
          <w:tcPr>
            <w:tcW w:w="1198" w:type="dxa"/>
            <w:tcBorders>
              <w:top w:val="single" w:sz="4" w:space="0" w:color="000000"/>
              <w:left w:val="single" w:sz="4" w:space="0" w:color="000000"/>
              <w:bottom w:val="single" w:sz="4" w:space="0" w:color="000000"/>
              <w:right w:val="single" w:sz="4" w:space="0" w:color="000000"/>
            </w:tcBorders>
            <w:shd w:val="clear" w:color="auto" w:fill="FFFFFF"/>
          </w:tcPr>
          <w:p w14:paraId="404C8D93"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9,1</w:t>
            </w:r>
          </w:p>
        </w:tc>
        <w:tc>
          <w:tcPr>
            <w:tcW w:w="1170" w:type="dxa"/>
            <w:tcBorders>
              <w:top w:val="single" w:sz="4" w:space="0" w:color="000000"/>
              <w:left w:val="single" w:sz="4" w:space="0" w:color="000000"/>
              <w:bottom w:val="single" w:sz="4" w:space="0" w:color="000000"/>
              <w:right w:val="single" w:sz="4" w:space="0" w:color="000000"/>
            </w:tcBorders>
            <w:shd w:val="clear" w:color="auto" w:fill="FFFFFF"/>
          </w:tcPr>
          <w:p w14:paraId="53E00FE6"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w:t>
            </w:r>
          </w:p>
        </w:tc>
        <w:tc>
          <w:tcPr>
            <w:tcW w:w="1536" w:type="dxa"/>
            <w:tcBorders>
              <w:top w:val="single" w:sz="4" w:space="0" w:color="000000"/>
              <w:left w:val="single" w:sz="4" w:space="0" w:color="000000"/>
              <w:bottom w:val="single" w:sz="4" w:space="0" w:color="000000"/>
              <w:right w:val="single" w:sz="4" w:space="0" w:color="000000"/>
            </w:tcBorders>
            <w:shd w:val="clear" w:color="auto" w:fill="FFFFFF"/>
          </w:tcPr>
          <w:p w14:paraId="55CEE00B"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w:t>
            </w:r>
          </w:p>
        </w:tc>
        <w:tc>
          <w:tcPr>
            <w:tcW w:w="1572" w:type="dxa"/>
            <w:tcBorders>
              <w:top w:val="single" w:sz="4" w:space="0" w:color="000000"/>
              <w:left w:val="single" w:sz="4" w:space="0" w:color="000000"/>
              <w:bottom w:val="single" w:sz="4" w:space="0" w:color="000000"/>
              <w:right w:val="single" w:sz="4" w:space="0" w:color="000000"/>
            </w:tcBorders>
            <w:shd w:val="clear" w:color="auto" w:fill="FFFFFF"/>
          </w:tcPr>
          <w:p w14:paraId="7C75D8A3"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5,2</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5004F2D4" w14:textId="77777777" w:rsidR="00A0251B" w:rsidRPr="00CC35F0" w:rsidRDefault="008D6506">
            <w:pPr>
              <w:shd w:val="clear" w:color="auto" w:fill="FFFFFF"/>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4,2</w:t>
            </w:r>
          </w:p>
        </w:tc>
      </w:tr>
    </w:tbl>
    <w:p w14:paraId="2423770F" w14:textId="77777777" w:rsidR="00A0251B" w:rsidRPr="00CC35F0" w:rsidRDefault="00A0251B">
      <w:pPr>
        <w:rPr>
          <w:rFonts w:ascii="Times New Roman" w:eastAsia="Times New Roman" w:hAnsi="Times New Roman"/>
          <w:sz w:val="24"/>
          <w:szCs w:val="24"/>
          <w:lang w:val="sr-Cyrl-CS"/>
        </w:rPr>
      </w:pPr>
    </w:p>
    <w:tbl>
      <w:tblPr>
        <w:tblStyle w:val="affffa"/>
        <w:tblW w:w="13583" w:type="dxa"/>
        <w:tblInd w:w="2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5"/>
        <w:gridCol w:w="2340"/>
        <w:gridCol w:w="1417"/>
        <w:gridCol w:w="1643"/>
        <w:gridCol w:w="1620"/>
        <w:gridCol w:w="1646"/>
        <w:gridCol w:w="1702"/>
      </w:tblGrid>
      <w:tr w:rsidR="00A0251B" w:rsidRPr="00CC35F0" w14:paraId="37C27931" w14:textId="77777777">
        <w:trPr>
          <w:trHeight w:val="227"/>
        </w:trPr>
        <w:tc>
          <w:tcPr>
            <w:tcW w:w="3215" w:type="dxa"/>
            <w:vMerge w:val="restart"/>
            <w:shd w:val="clear" w:color="auto" w:fill="A8D08D"/>
          </w:tcPr>
          <w:p w14:paraId="7F9B36C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0090DF83" w14:textId="77777777" w:rsidR="00A0251B" w:rsidRPr="00CC35F0" w:rsidRDefault="00A0251B">
            <w:pPr>
              <w:jc w:val="center"/>
              <w:rPr>
                <w:rFonts w:ascii="Times New Roman" w:eastAsia="Times New Roman" w:hAnsi="Times New Roman"/>
                <w:sz w:val="24"/>
                <w:szCs w:val="24"/>
                <w:lang w:val="sr-Cyrl-CS"/>
              </w:rPr>
            </w:pPr>
          </w:p>
        </w:tc>
        <w:tc>
          <w:tcPr>
            <w:tcW w:w="2340" w:type="dxa"/>
            <w:vMerge w:val="restart"/>
            <w:shd w:val="clear" w:color="auto" w:fill="A8D08D"/>
          </w:tcPr>
          <w:p w14:paraId="50DB640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8028" w:type="dxa"/>
            <w:gridSpan w:val="5"/>
            <w:shd w:val="clear" w:color="auto" w:fill="A8D08D"/>
            <w:vAlign w:val="center"/>
          </w:tcPr>
          <w:p w14:paraId="0B9A412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2A2DEEC1" w14:textId="77777777">
        <w:trPr>
          <w:trHeight w:val="227"/>
        </w:trPr>
        <w:tc>
          <w:tcPr>
            <w:tcW w:w="3215" w:type="dxa"/>
            <w:vMerge/>
            <w:shd w:val="clear" w:color="auto" w:fill="A8D08D"/>
          </w:tcPr>
          <w:p w14:paraId="3AB02897"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340" w:type="dxa"/>
            <w:vMerge/>
            <w:shd w:val="clear" w:color="auto" w:fill="A8D08D"/>
          </w:tcPr>
          <w:p w14:paraId="1311EFE4"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17" w:type="dxa"/>
            <w:shd w:val="clear" w:color="auto" w:fill="A8D08D"/>
            <w:vAlign w:val="center"/>
          </w:tcPr>
          <w:p w14:paraId="322CB8C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643" w:type="dxa"/>
            <w:shd w:val="clear" w:color="auto" w:fill="A8D08D"/>
            <w:vAlign w:val="center"/>
          </w:tcPr>
          <w:p w14:paraId="78BA421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620" w:type="dxa"/>
            <w:shd w:val="clear" w:color="auto" w:fill="A8D08D"/>
            <w:vAlign w:val="center"/>
          </w:tcPr>
          <w:p w14:paraId="1C85B62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646" w:type="dxa"/>
            <w:shd w:val="clear" w:color="auto" w:fill="A8D08D"/>
            <w:vAlign w:val="center"/>
          </w:tcPr>
          <w:p w14:paraId="50AAF67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702" w:type="dxa"/>
            <w:shd w:val="clear" w:color="auto" w:fill="A8D08D"/>
            <w:vAlign w:val="center"/>
          </w:tcPr>
          <w:p w14:paraId="49BE722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35FBE7B0" w14:textId="77777777">
        <w:trPr>
          <w:trHeight w:val="398"/>
        </w:trPr>
        <w:tc>
          <w:tcPr>
            <w:tcW w:w="3215" w:type="dxa"/>
            <w:tcBorders>
              <w:top w:val="single" w:sz="4" w:space="0" w:color="000000"/>
              <w:left w:val="single" w:sz="4" w:space="0" w:color="000000"/>
              <w:bottom w:val="single" w:sz="4" w:space="0" w:color="000000"/>
              <w:right w:val="single" w:sz="4" w:space="0" w:color="000000"/>
            </w:tcBorders>
            <w:shd w:val="clear" w:color="auto" w:fill="FFFFFF"/>
          </w:tcPr>
          <w:p w14:paraId="3F2D188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 РС</w:t>
            </w:r>
          </w:p>
          <w:p w14:paraId="40122E7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w:t>
            </w:r>
          </w:p>
        </w:tc>
        <w:tc>
          <w:tcPr>
            <w:tcW w:w="2340" w:type="dxa"/>
            <w:tcBorders>
              <w:top w:val="single" w:sz="4" w:space="0" w:color="000000"/>
              <w:left w:val="single" w:sz="4" w:space="0" w:color="000000"/>
              <w:bottom w:val="single" w:sz="4" w:space="0" w:color="000000"/>
              <w:right w:val="single" w:sz="4" w:space="0" w:color="000000"/>
            </w:tcBorders>
            <w:shd w:val="clear" w:color="auto" w:fill="FFFFFF"/>
          </w:tcPr>
          <w:p w14:paraId="148E1D2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0102-420-0003-423</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Pr>
          <w:p w14:paraId="2B01D775" w14:textId="77777777" w:rsidR="00A0251B" w:rsidRPr="00CC35F0" w:rsidRDefault="00A0251B">
            <w:pPr>
              <w:jc w:val="right"/>
              <w:rPr>
                <w:rFonts w:ascii="Times New Roman" w:eastAsia="Times New Roman" w:hAnsi="Times New Roman"/>
                <w:sz w:val="24"/>
                <w:szCs w:val="24"/>
                <w:lang w:val="sr-Cyrl-CS"/>
              </w:rPr>
            </w:pPr>
          </w:p>
        </w:tc>
        <w:tc>
          <w:tcPr>
            <w:tcW w:w="1643" w:type="dxa"/>
            <w:tcBorders>
              <w:top w:val="single" w:sz="4" w:space="0" w:color="000000"/>
              <w:left w:val="single" w:sz="4" w:space="0" w:color="000000"/>
              <w:bottom w:val="single" w:sz="4" w:space="0" w:color="000000"/>
              <w:right w:val="single" w:sz="4" w:space="0" w:color="000000"/>
            </w:tcBorders>
            <w:shd w:val="clear" w:color="auto" w:fill="FFFFFF"/>
          </w:tcPr>
          <w:p w14:paraId="00B37F5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Pr>
          <w:p w14:paraId="012A072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w:t>
            </w:r>
          </w:p>
        </w:tc>
        <w:tc>
          <w:tcPr>
            <w:tcW w:w="1646" w:type="dxa"/>
            <w:tcBorders>
              <w:top w:val="single" w:sz="4" w:space="0" w:color="000000"/>
              <w:left w:val="single" w:sz="4" w:space="0" w:color="000000"/>
              <w:bottom w:val="single" w:sz="4" w:space="0" w:color="000000"/>
              <w:right w:val="single" w:sz="4" w:space="0" w:color="000000"/>
            </w:tcBorders>
            <w:shd w:val="clear" w:color="auto" w:fill="FFFFFF"/>
          </w:tcPr>
          <w:p w14:paraId="44611A0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Pr>
          <w:p w14:paraId="5C2FEF4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4.700*</w:t>
            </w:r>
          </w:p>
        </w:tc>
      </w:tr>
    </w:tbl>
    <w:p w14:paraId="1BF423CE" w14:textId="77777777" w:rsidR="00A0251B" w:rsidRPr="00CC35F0" w:rsidRDefault="00A0251B">
      <w:pPr>
        <w:rPr>
          <w:rFonts w:ascii="Times New Roman" w:eastAsia="Times New Roman" w:hAnsi="Times New Roman"/>
          <w:sz w:val="24"/>
          <w:szCs w:val="24"/>
          <w:lang w:val="sr-Cyrl-CS"/>
        </w:rPr>
      </w:pPr>
    </w:p>
    <w:tbl>
      <w:tblPr>
        <w:tblStyle w:val="affffb"/>
        <w:tblW w:w="14541"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2022"/>
        <w:gridCol w:w="1718"/>
        <w:gridCol w:w="1828"/>
        <w:gridCol w:w="1391"/>
        <w:gridCol w:w="1563"/>
        <w:gridCol w:w="1524"/>
        <w:gridCol w:w="899"/>
        <w:gridCol w:w="899"/>
        <w:gridCol w:w="899"/>
        <w:gridCol w:w="899"/>
        <w:gridCol w:w="899"/>
      </w:tblGrid>
      <w:tr w:rsidR="00A0251B" w:rsidRPr="00CC35F0" w14:paraId="6CCDF0D6" w14:textId="77777777">
        <w:trPr>
          <w:trHeight w:val="140"/>
        </w:trPr>
        <w:tc>
          <w:tcPr>
            <w:tcW w:w="2022"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00E59A6" w14:textId="77777777" w:rsidR="00A0251B" w:rsidRPr="00CC35F0" w:rsidRDefault="00B036BA">
            <w:pPr>
              <w:jc w:val="center"/>
              <w:rPr>
                <w:rFonts w:ascii="Times New Roman" w:eastAsia="Times New Roman" w:hAnsi="Times New Roman"/>
                <w:sz w:val="24"/>
                <w:szCs w:val="24"/>
                <w:lang w:val="sr-Cyrl-CS"/>
              </w:rPr>
            </w:pPr>
            <w:r>
              <w:rPr>
                <w:rFonts w:ascii="Times New Roman" w:eastAsia="Times New Roman" w:hAnsi="Times New Roman"/>
                <w:sz w:val="24"/>
                <w:szCs w:val="24"/>
                <w:lang w:val="sr-Cyrl-CS"/>
              </w:rPr>
              <w:t xml:space="preserve">Назив активности </w:t>
            </w:r>
          </w:p>
        </w:tc>
        <w:tc>
          <w:tcPr>
            <w:tcW w:w="171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191F78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82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17D258D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39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7BA7840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Рок за завршетак </w:t>
            </w:r>
            <w:r w:rsidRPr="00004D66">
              <w:rPr>
                <w:rFonts w:ascii="Times New Roman" w:eastAsia="Times New Roman" w:hAnsi="Times New Roman"/>
                <w:lang w:val="sr-Cyrl-CS"/>
              </w:rPr>
              <w:t xml:space="preserve">спровођења </w:t>
            </w:r>
            <w:r w:rsidRPr="00CC35F0">
              <w:rPr>
                <w:rFonts w:ascii="Times New Roman" w:eastAsia="Times New Roman" w:hAnsi="Times New Roman"/>
                <w:sz w:val="24"/>
                <w:szCs w:val="24"/>
                <w:lang w:val="sr-Cyrl-CS"/>
              </w:rPr>
              <w:t>активности</w:t>
            </w:r>
          </w:p>
        </w:tc>
        <w:tc>
          <w:tcPr>
            <w:tcW w:w="1563"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647FE7E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004D66">
              <w:rPr>
                <w:rFonts w:ascii="Times New Roman" w:eastAsia="Times New Roman" w:hAnsi="Times New Roman"/>
                <w:lang w:val="sr-Cyrl-CS"/>
              </w:rPr>
              <w:t>финансирања</w:t>
            </w:r>
          </w:p>
        </w:tc>
        <w:tc>
          <w:tcPr>
            <w:tcW w:w="1524"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19F0D5D9"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Веза са </w:t>
            </w:r>
            <w:r w:rsidRPr="00004D66">
              <w:rPr>
                <w:rFonts w:ascii="Times New Roman" w:eastAsia="Times New Roman" w:hAnsi="Times New Roman"/>
                <w:lang w:val="sr-Cyrl-CS"/>
              </w:rPr>
              <w:t>програмским</w:t>
            </w:r>
            <w:r w:rsidRPr="00CC35F0">
              <w:rPr>
                <w:rFonts w:ascii="Times New Roman" w:eastAsia="Times New Roman" w:hAnsi="Times New Roman"/>
                <w:sz w:val="24"/>
                <w:szCs w:val="24"/>
                <w:lang w:val="sr-Cyrl-CS"/>
              </w:rPr>
              <w:t xml:space="preserve"> буџетом</w:t>
            </w:r>
          </w:p>
          <w:p w14:paraId="4748B781" w14:textId="77777777" w:rsidR="00A0251B" w:rsidRPr="00CC35F0" w:rsidRDefault="00A0251B">
            <w:pPr>
              <w:jc w:val="center"/>
              <w:rPr>
                <w:rFonts w:ascii="Times New Roman" w:eastAsia="Times New Roman" w:hAnsi="Times New Roman"/>
                <w:sz w:val="24"/>
                <w:szCs w:val="24"/>
                <w:lang w:val="sr-Cyrl-CS"/>
              </w:rPr>
            </w:pPr>
          </w:p>
        </w:tc>
        <w:tc>
          <w:tcPr>
            <w:tcW w:w="4495" w:type="dxa"/>
            <w:gridSpan w:val="5"/>
            <w:tcBorders>
              <w:top w:val="single" w:sz="4" w:space="0" w:color="000000"/>
              <w:left w:val="single" w:sz="4" w:space="0" w:color="000000"/>
              <w:bottom w:val="single" w:sz="4" w:space="0" w:color="000000"/>
              <w:right w:val="single" w:sz="4" w:space="0" w:color="000000"/>
            </w:tcBorders>
            <w:shd w:val="clear" w:color="auto" w:fill="FFF2CC"/>
          </w:tcPr>
          <w:p w14:paraId="4BB4A941" w14:textId="77777777" w:rsidR="00A0251B" w:rsidRPr="00CC35F0" w:rsidRDefault="008D6506">
            <w:pPr>
              <w:jc w:val="cente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005D162C" w:rsidRPr="00CC35F0">
              <w:rPr>
                <w:rFonts w:ascii="Times New Roman" w:eastAsia="Times New Roman" w:hAnsi="Times New Roman"/>
                <w:sz w:val="24"/>
                <w:szCs w:val="24"/>
                <w:vertAlign w:val="superscript"/>
                <w:lang w:val="sr-Cyrl-CS"/>
              </w:rPr>
              <w:t>82</w:t>
            </w:r>
          </w:p>
        </w:tc>
      </w:tr>
      <w:tr w:rsidR="00A0251B" w:rsidRPr="00CC35F0" w14:paraId="0B0822E5" w14:textId="77777777">
        <w:trPr>
          <w:trHeight w:val="386"/>
        </w:trPr>
        <w:tc>
          <w:tcPr>
            <w:tcW w:w="2022" w:type="dxa"/>
            <w:vMerge/>
            <w:tcBorders>
              <w:top w:val="single" w:sz="4" w:space="0" w:color="000000"/>
              <w:left w:val="single" w:sz="4" w:space="0" w:color="000000"/>
              <w:bottom w:val="single" w:sz="4" w:space="0" w:color="000000"/>
              <w:right w:val="single" w:sz="4" w:space="0" w:color="000000"/>
            </w:tcBorders>
            <w:shd w:val="clear" w:color="auto" w:fill="FFF2CC"/>
          </w:tcPr>
          <w:p w14:paraId="339D33D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718" w:type="dxa"/>
            <w:vMerge/>
            <w:tcBorders>
              <w:top w:val="single" w:sz="4" w:space="0" w:color="000000"/>
              <w:left w:val="single" w:sz="4" w:space="0" w:color="000000"/>
              <w:bottom w:val="single" w:sz="4" w:space="0" w:color="000000"/>
              <w:right w:val="single" w:sz="4" w:space="0" w:color="000000"/>
            </w:tcBorders>
            <w:shd w:val="clear" w:color="auto" w:fill="FFF2CC"/>
          </w:tcPr>
          <w:p w14:paraId="30DB4AF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828" w:type="dxa"/>
            <w:vMerge/>
            <w:tcBorders>
              <w:top w:val="single" w:sz="4" w:space="0" w:color="000000"/>
              <w:left w:val="single" w:sz="4" w:space="0" w:color="000000"/>
              <w:bottom w:val="single" w:sz="4" w:space="0" w:color="000000"/>
              <w:right w:val="single" w:sz="4" w:space="0" w:color="000000"/>
            </w:tcBorders>
            <w:shd w:val="clear" w:color="auto" w:fill="FFF2CC"/>
          </w:tcPr>
          <w:p w14:paraId="67D81A4E"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391" w:type="dxa"/>
            <w:vMerge/>
            <w:tcBorders>
              <w:top w:val="single" w:sz="4" w:space="0" w:color="000000"/>
              <w:left w:val="single" w:sz="4" w:space="0" w:color="000000"/>
              <w:bottom w:val="single" w:sz="4" w:space="0" w:color="000000"/>
              <w:right w:val="single" w:sz="4" w:space="0" w:color="000000"/>
            </w:tcBorders>
            <w:shd w:val="clear" w:color="auto" w:fill="FFF2CC"/>
          </w:tcPr>
          <w:p w14:paraId="6876191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63" w:type="dxa"/>
            <w:vMerge/>
            <w:tcBorders>
              <w:top w:val="single" w:sz="4" w:space="0" w:color="000000"/>
              <w:left w:val="single" w:sz="4" w:space="0" w:color="000000"/>
              <w:bottom w:val="single" w:sz="4" w:space="0" w:color="000000"/>
              <w:right w:val="single" w:sz="4" w:space="0" w:color="000000"/>
            </w:tcBorders>
            <w:shd w:val="clear" w:color="auto" w:fill="FFF2CC"/>
          </w:tcPr>
          <w:p w14:paraId="15ADAA1A"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24" w:type="dxa"/>
            <w:vMerge/>
            <w:tcBorders>
              <w:top w:val="single" w:sz="4" w:space="0" w:color="000000"/>
              <w:left w:val="single" w:sz="4" w:space="0" w:color="000000"/>
              <w:bottom w:val="single" w:sz="4" w:space="0" w:color="000000"/>
              <w:right w:val="single" w:sz="4" w:space="0" w:color="000000"/>
            </w:tcBorders>
            <w:shd w:val="clear" w:color="auto" w:fill="FFF2CC"/>
          </w:tcPr>
          <w:p w14:paraId="42636F0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899" w:type="dxa"/>
            <w:tcBorders>
              <w:top w:val="single" w:sz="4" w:space="0" w:color="000000"/>
              <w:left w:val="single" w:sz="4" w:space="0" w:color="000000"/>
              <w:bottom w:val="single" w:sz="4" w:space="0" w:color="000000"/>
              <w:right w:val="single" w:sz="4" w:space="0" w:color="000000"/>
            </w:tcBorders>
            <w:shd w:val="clear" w:color="auto" w:fill="FFF2CC"/>
          </w:tcPr>
          <w:p w14:paraId="7BA63EB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2022. </w:t>
            </w:r>
            <w:r w:rsidRPr="00004D66">
              <w:rPr>
                <w:rFonts w:ascii="Times New Roman" w:eastAsia="Times New Roman" w:hAnsi="Times New Roman"/>
                <w:lang w:val="sr-Cyrl-CS"/>
              </w:rPr>
              <w:t>године</w:t>
            </w:r>
          </w:p>
        </w:tc>
        <w:tc>
          <w:tcPr>
            <w:tcW w:w="899" w:type="dxa"/>
            <w:tcBorders>
              <w:top w:val="single" w:sz="4" w:space="0" w:color="000000"/>
              <w:left w:val="single" w:sz="4" w:space="0" w:color="000000"/>
              <w:bottom w:val="single" w:sz="4" w:space="0" w:color="000000"/>
              <w:right w:val="single" w:sz="4" w:space="0" w:color="000000"/>
            </w:tcBorders>
            <w:shd w:val="clear" w:color="auto" w:fill="FFF2CC"/>
          </w:tcPr>
          <w:p w14:paraId="33C206D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2023. </w:t>
            </w:r>
            <w:r w:rsidRPr="00004D66">
              <w:rPr>
                <w:rFonts w:ascii="Times New Roman" w:eastAsia="Times New Roman" w:hAnsi="Times New Roman"/>
                <w:lang w:val="sr-Cyrl-CS"/>
              </w:rPr>
              <w:t>године</w:t>
            </w:r>
          </w:p>
        </w:tc>
        <w:tc>
          <w:tcPr>
            <w:tcW w:w="899" w:type="dxa"/>
            <w:tcBorders>
              <w:top w:val="single" w:sz="4" w:space="0" w:color="000000"/>
              <w:left w:val="single" w:sz="4" w:space="0" w:color="000000"/>
              <w:bottom w:val="single" w:sz="4" w:space="0" w:color="000000"/>
              <w:right w:val="single" w:sz="4" w:space="0" w:color="000000"/>
            </w:tcBorders>
            <w:shd w:val="clear" w:color="auto" w:fill="FFF2CC"/>
          </w:tcPr>
          <w:p w14:paraId="358E58A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2024. </w:t>
            </w:r>
            <w:r w:rsidRPr="00004D66">
              <w:rPr>
                <w:rFonts w:ascii="Times New Roman" w:eastAsia="Times New Roman" w:hAnsi="Times New Roman"/>
                <w:lang w:val="sr-Cyrl-CS"/>
              </w:rPr>
              <w:t>године</w:t>
            </w:r>
          </w:p>
        </w:tc>
        <w:tc>
          <w:tcPr>
            <w:tcW w:w="899" w:type="dxa"/>
            <w:tcBorders>
              <w:top w:val="single" w:sz="4" w:space="0" w:color="000000"/>
              <w:left w:val="single" w:sz="4" w:space="0" w:color="000000"/>
              <w:bottom w:val="single" w:sz="4" w:space="0" w:color="000000"/>
              <w:right w:val="single" w:sz="4" w:space="0" w:color="000000"/>
            </w:tcBorders>
            <w:shd w:val="clear" w:color="auto" w:fill="FFF2CC"/>
          </w:tcPr>
          <w:p w14:paraId="30EAD42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2025. </w:t>
            </w:r>
            <w:r w:rsidRPr="00004D66">
              <w:rPr>
                <w:rFonts w:ascii="Times New Roman" w:eastAsia="Times New Roman" w:hAnsi="Times New Roman"/>
                <w:lang w:val="sr-Cyrl-CS"/>
              </w:rPr>
              <w:t>године</w:t>
            </w:r>
          </w:p>
        </w:tc>
        <w:tc>
          <w:tcPr>
            <w:tcW w:w="899" w:type="dxa"/>
            <w:tcBorders>
              <w:top w:val="single" w:sz="4" w:space="0" w:color="000000"/>
              <w:left w:val="single" w:sz="4" w:space="0" w:color="000000"/>
              <w:bottom w:val="single" w:sz="4" w:space="0" w:color="000000"/>
              <w:right w:val="single" w:sz="4" w:space="0" w:color="000000"/>
            </w:tcBorders>
            <w:shd w:val="clear" w:color="auto" w:fill="FFF2CC"/>
          </w:tcPr>
          <w:p w14:paraId="3BD8E64E"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2026. </w:t>
            </w:r>
            <w:r w:rsidRPr="00004D66">
              <w:rPr>
                <w:rFonts w:ascii="Times New Roman" w:eastAsia="Times New Roman" w:hAnsi="Times New Roman"/>
                <w:lang w:val="sr-Cyrl-CS"/>
              </w:rPr>
              <w:t>године</w:t>
            </w:r>
          </w:p>
        </w:tc>
      </w:tr>
      <w:tr w:rsidR="00A0251B" w:rsidRPr="00CC35F0" w14:paraId="40D2A768" w14:textId="77777777">
        <w:trPr>
          <w:trHeight w:val="543"/>
        </w:trPr>
        <w:tc>
          <w:tcPr>
            <w:tcW w:w="2022" w:type="dxa"/>
            <w:tcBorders>
              <w:top w:val="single" w:sz="4" w:space="0" w:color="000000"/>
              <w:left w:val="single" w:sz="4" w:space="0" w:color="000000"/>
              <w:bottom w:val="single" w:sz="4" w:space="0" w:color="000000"/>
              <w:right w:val="single" w:sz="4" w:space="0" w:color="000000"/>
            </w:tcBorders>
          </w:tcPr>
          <w:p w14:paraId="522F5586"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lastRenderedPageBreak/>
              <w:t>1.3.5.1 Информисање о и ширење Националног кодекса добре пољопривредне праксе и развој кампања за подизање свести о утицају спаљивања остатака из пољопривреде на квалитет ваздуха и о мерама за смањење спаљивања на отвореном кроз више догађаја (1 у Србији од 2023. године), израда и ширење промотивних материјала летака, видео записа:(5), интернет страница (1)</w:t>
            </w:r>
            <w:r w:rsidR="005D162C" w:rsidRPr="00CC35F0">
              <w:rPr>
                <w:rFonts w:ascii="Times New Roman" w:eastAsia="Times New Roman" w:hAnsi="Times New Roman"/>
                <w:sz w:val="24"/>
                <w:szCs w:val="24"/>
                <w:vertAlign w:val="superscript"/>
                <w:lang w:val="sr-Cyrl-CS"/>
              </w:rPr>
              <w:t>#</w:t>
            </w:r>
          </w:p>
        </w:tc>
        <w:tc>
          <w:tcPr>
            <w:tcW w:w="1718" w:type="dxa"/>
            <w:tcBorders>
              <w:top w:val="single" w:sz="4" w:space="0" w:color="000000"/>
              <w:left w:val="single" w:sz="4" w:space="0" w:color="000000"/>
              <w:bottom w:val="single" w:sz="4" w:space="0" w:color="000000"/>
              <w:right w:val="single" w:sz="4" w:space="0" w:color="000000"/>
            </w:tcBorders>
          </w:tcPr>
          <w:p w14:paraId="7CF0E79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Министарство </w:t>
            </w:r>
            <w:r w:rsidRPr="00B036BA">
              <w:rPr>
                <w:rFonts w:ascii="Times New Roman" w:eastAsia="Times New Roman" w:hAnsi="Times New Roman"/>
                <w:color w:val="000000"/>
                <w:lang w:val="sr-Cyrl-CS"/>
              </w:rPr>
              <w:t>пољопривреде,</w:t>
            </w:r>
            <w:r w:rsidRPr="00CC35F0">
              <w:rPr>
                <w:rFonts w:ascii="Times New Roman" w:eastAsia="Times New Roman" w:hAnsi="Times New Roman"/>
                <w:color w:val="000000"/>
                <w:sz w:val="24"/>
                <w:szCs w:val="24"/>
                <w:lang w:val="sr-Cyrl-CS"/>
              </w:rPr>
              <w:t xml:space="preserve"> шумарства и водопривреде</w:t>
            </w:r>
          </w:p>
        </w:tc>
        <w:tc>
          <w:tcPr>
            <w:tcW w:w="1828" w:type="dxa"/>
            <w:tcBorders>
              <w:top w:val="single" w:sz="4" w:space="0" w:color="000000"/>
              <w:left w:val="single" w:sz="4" w:space="0" w:color="000000"/>
              <w:bottom w:val="single" w:sz="4" w:space="0" w:color="000000"/>
              <w:right w:val="single" w:sz="4" w:space="0" w:color="000000"/>
            </w:tcBorders>
          </w:tcPr>
          <w:p w14:paraId="40F0A97A" w14:textId="77777777" w:rsidR="00A0251B" w:rsidRPr="00CC35F0" w:rsidRDefault="008D6506">
            <w:pPr>
              <w:rPr>
                <w:rFonts w:ascii="Times New Roman" w:eastAsia="Times New Roman" w:hAnsi="Times New Roman"/>
                <w:sz w:val="24"/>
                <w:szCs w:val="24"/>
                <w:lang w:val="sr-Cyrl-CS"/>
              </w:rPr>
            </w:pPr>
            <w:r w:rsidRPr="00B036BA">
              <w:rPr>
                <w:rFonts w:ascii="Times New Roman" w:eastAsia="Times New Roman" w:hAnsi="Times New Roman"/>
                <w:color w:val="000000"/>
                <w:lang w:val="sr-Cyrl-CS"/>
              </w:rPr>
              <w:t>Пољопривредне</w:t>
            </w:r>
            <w:r w:rsidRPr="00CC35F0">
              <w:rPr>
                <w:rFonts w:ascii="Times New Roman" w:eastAsia="Times New Roman" w:hAnsi="Times New Roman"/>
                <w:color w:val="000000"/>
                <w:sz w:val="24"/>
                <w:szCs w:val="24"/>
                <w:lang w:val="sr-Cyrl-CS"/>
              </w:rPr>
              <w:t xml:space="preserve"> </w:t>
            </w:r>
            <w:r w:rsidR="00847036" w:rsidRPr="00CC35F0">
              <w:rPr>
                <w:rFonts w:ascii="Times New Roman" w:eastAsia="Times New Roman" w:hAnsi="Times New Roman"/>
                <w:color w:val="000000"/>
                <w:sz w:val="24"/>
                <w:szCs w:val="24"/>
                <w:lang w:val="sr-Cyrl-CS"/>
              </w:rPr>
              <w:t xml:space="preserve">стручне и </w:t>
            </w:r>
            <w:r w:rsidRPr="00CC35F0">
              <w:rPr>
                <w:rFonts w:ascii="Times New Roman" w:eastAsia="Times New Roman" w:hAnsi="Times New Roman"/>
                <w:color w:val="000000"/>
                <w:sz w:val="24"/>
                <w:szCs w:val="24"/>
                <w:lang w:val="sr-Cyrl-CS"/>
              </w:rPr>
              <w:t>саветодавне службе</w:t>
            </w:r>
          </w:p>
        </w:tc>
        <w:tc>
          <w:tcPr>
            <w:tcW w:w="1391" w:type="dxa"/>
            <w:tcBorders>
              <w:top w:val="single" w:sz="4" w:space="0" w:color="000000"/>
              <w:left w:val="single" w:sz="4" w:space="0" w:color="000000"/>
              <w:bottom w:val="single" w:sz="4" w:space="0" w:color="000000"/>
              <w:right w:val="single" w:sz="4" w:space="0" w:color="000000"/>
            </w:tcBorders>
          </w:tcPr>
          <w:p w14:paraId="6BA2744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563" w:type="dxa"/>
            <w:tcBorders>
              <w:top w:val="single" w:sz="4" w:space="0" w:color="000000"/>
              <w:left w:val="single" w:sz="4" w:space="0" w:color="000000"/>
              <w:bottom w:val="single" w:sz="4" w:space="0" w:color="000000"/>
              <w:right w:val="single" w:sz="4" w:space="0" w:color="000000"/>
            </w:tcBorders>
          </w:tcPr>
          <w:p w14:paraId="5253A22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524" w:type="dxa"/>
            <w:tcBorders>
              <w:top w:val="single" w:sz="4" w:space="0" w:color="000000"/>
              <w:left w:val="single" w:sz="4" w:space="0" w:color="000000"/>
              <w:bottom w:val="single" w:sz="4" w:space="0" w:color="000000"/>
              <w:right w:val="single" w:sz="4" w:space="0" w:color="000000"/>
            </w:tcBorders>
          </w:tcPr>
          <w:p w14:paraId="6D80B4C4" w14:textId="77777777" w:rsidR="00A0251B" w:rsidRPr="00CC35F0" w:rsidRDefault="008D6506">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0102-420-0003-423</w:t>
            </w:r>
          </w:p>
        </w:tc>
        <w:tc>
          <w:tcPr>
            <w:tcW w:w="899" w:type="dxa"/>
            <w:tcBorders>
              <w:top w:val="single" w:sz="4" w:space="0" w:color="000000"/>
              <w:left w:val="single" w:sz="4" w:space="0" w:color="000000"/>
              <w:bottom w:val="single" w:sz="4" w:space="0" w:color="000000"/>
              <w:right w:val="single" w:sz="4" w:space="0" w:color="000000"/>
            </w:tcBorders>
          </w:tcPr>
          <w:p w14:paraId="7DA3B40B" w14:textId="77777777" w:rsidR="00A0251B" w:rsidRPr="00CC35F0" w:rsidRDefault="00A0251B">
            <w:pPr>
              <w:jc w:val="right"/>
              <w:rPr>
                <w:rFonts w:ascii="Times New Roman" w:eastAsia="Times New Roman" w:hAnsi="Times New Roman"/>
                <w:sz w:val="24"/>
                <w:szCs w:val="24"/>
                <w:lang w:val="sr-Cyrl-CS"/>
              </w:rPr>
            </w:pPr>
          </w:p>
        </w:tc>
        <w:tc>
          <w:tcPr>
            <w:tcW w:w="899" w:type="dxa"/>
            <w:tcBorders>
              <w:top w:val="single" w:sz="4" w:space="0" w:color="000000"/>
              <w:left w:val="single" w:sz="4" w:space="0" w:color="000000"/>
              <w:bottom w:val="single" w:sz="4" w:space="0" w:color="000000"/>
              <w:right w:val="single" w:sz="4" w:space="0" w:color="000000"/>
            </w:tcBorders>
          </w:tcPr>
          <w:p w14:paraId="0C3EF91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2.644</w:t>
            </w:r>
          </w:p>
        </w:tc>
        <w:tc>
          <w:tcPr>
            <w:tcW w:w="899" w:type="dxa"/>
            <w:tcBorders>
              <w:top w:val="single" w:sz="4" w:space="0" w:color="000000"/>
              <w:left w:val="single" w:sz="4" w:space="0" w:color="000000"/>
              <w:bottom w:val="single" w:sz="4" w:space="0" w:color="000000"/>
              <w:right w:val="single" w:sz="4" w:space="0" w:color="000000"/>
            </w:tcBorders>
          </w:tcPr>
          <w:p w14:paraId="66E7B5C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2.644</w:t>
            </w:r>
          </w:p>
        </w:tc>
        <w:tc>
          <w:tcPr>
            <w:tcW w:w="899" w:type="dxa"/>
            <w:tcBorders>
              <w:top w:val="single" w:sz="4" w:space="0" w:color="000000"/>
              <w:left w:val="single" w:sz="4" w:space="0" w:color="000000"/>
              <w:bottom w:val="single" w:sz="4" w:space="0" w:color="000000"/>
              <w:right w:val="single" w:sz="4" w:space="0" w:color="000000"/>
            </w:tcBorders>
          </w:tcPr>
          <w:p w14:paraId="6234C6B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2.644</w:t>
            </w:r>
          </w:p>
        </w:tc>
        <w:tc>
          <w:tcPr>
            <w:tcW w:w="899" w:type="dxa"/>
            <w:tcBorders>
              <w:top w:val="single" w:sz="4" w:space="0" w:color="000000"/>
              <w:left w:val="single" w:sz="4" w:space="0" w:color="000000"/>
              <w:bottom w:val="single" w:sz="4" w:space="0" w:color="000000"/>
              <w:right w:val="single" w:sz="4" w:space="0" w:color="000000"/>
            </w:tcBorders>
          </w:tcPr>
          <w:p w14:paraId="1DB8424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2.644</w:t>
            </w:r>
          </w:p>
        </w:tc>
      </w:tr>
      <w:tr w:rsidR="00A0251B" w:rsidRPr="00CC35F0" w14:paraId="6D7912D9" w14:textId="77777777">
        <w:trPr>
          <w:trHeight w:val="543"/>
        </w:trPr>
        <w:tc>
          <w:tcPr>
            <w:tcW w:w="2022" w:type="dxa"/>
            <w:tcBorders>
              <w:top w:val="single" w:sz="4" w:space="0" w:color="000000"/>
              <w:left w:val="single" w:sz="4" w:space="0" w:color="000000"/>
              <w:bottom w:val="single" w:sz="4" w:space="0" w:color="000000"/>
              <w:right w:val="single" w:sz="4" w:space="0" w:color="000000"/>
            </w:tcBorders>
            <w:shd w:val="clear" w:color="auto" w:fill="auto"/>
          </w:tcPr>
          <w:p w14:paraId="6C6D1AEB"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1.3.5.2 Ограничење спаљивања пољопривредних остатака на </w:t>
            </w:r>
            <w:r w:rsidRPr="00CC35F0">
              <w:rPr>
                <w:rFonts w:ascii="Times New Roman" w:eastAsia="Times New Roman" w:hAnsi="Times New Roman"/>
                <w:sz w:val="24"/>
                <w:szCs w:val="24"/>
                <w:lang w:val="sr-Cyrl-CS"/>
              </w:rPr>
              <w:lastRenderedPageBreak/>
              <w:t>отвореном улагањима у пољопривредну механизацију како би се остаци из пољопривреде инкорпорирали у земљиште.</w:t>
            </w:r>
            <w:r w:rsidR="005D162C" w:rsidRPr="00CC35F0">
              <w:rPr>
                <w:rFonts w:ascii="Times New Roman" w:eastAsia="Times New Roman" w:hAnsi="Times New Roman"/>
                <w:sz w:val="24"/>
                <w:szCs w:val="24"/>
                <w:vertAlign w:val="superscript"/>
                <w:lang w:val="sr-Cyrl-CS"/>
              </w:rPr>
              <w:t>#</w:t>
            </w:r>
          </w:p>
        </w:tc>
        <w:tc>
          <w:tcPr>
            <w:tcW w:w="1718" w:type="dxa"/>
            <w:tcBorders>
              <w:top w:val="single" w:sz="4" w:space="0" w:color="000000"/>
              <w:left w:val="single" w:sz="4" w:space="0" w:color="000000"/>
              <w:bottom w:val="single" w:sz="4" w:space="0" w:color="000000"/>
              <w:right w:val="single" w:sz="4" w:space="0" w:color="000000"/>
            </w:tcBorders>
          </w:tcPr>
          <w:p w14:paraId="30AE96EB"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xml:space="preserve">Министарство </w:t>
            </w:r>
            <w:r w:rsidRPr="00B036BA">
              <w:rPr>
                <w:rFonts w:ascii="Times New Roman" w:eastAsia="Times New Roman" w:hAnsi="Times New Roman"/>
                <w:color w:val="000000"/>
                <w:lang w:val="sr-Cyrl-CS"/>
              </w:rPr>
              <w:t>пољопривреде,</w:t>
            </w:r>
            <w:r w:rsidRPr="00CC35F0">
              <w:rPr>
                <w:rFonts w:ascii="Times New Roman" w:eastAsia="Times New Roman" w:hAnsi="Times New Roman"/>
                <w:color w:val="000000"/>
                <w:sz w:val="24"/>
                <w:szCs w:val="24"/>
                <w:lang w:val="sr-Cyrl-CS"/>
              </w:rPr>
              <w:t xml:space="preserve"> шумарства и водопривреде</w:t>
            </w:r>
          </w:p>
        </w:tc>
        <w:tc>
          <w:tcPr>
            <w:tcW w:w="1828" w:type="dxa"/>
            <w:tcBorders>
              <w:top w:val="single" w:sz="4" w:space="0" w:color="000000"/>
              <w:left w:val="single" w:sz="4" w:space="0" w:color="000000"/>
              <w:bottom w:val="single" w:sz="4" w:space="0" w:color="000000"/>
              <w:right w:val="single" w:sz="4" w:space="0" w:color="000000"/>
            </w:tcBorders>
          </w:tcPr>
          <w:p w14:paraId="34E07E6D" w14:textId="77777777" w:rsidR="00A0251B" w:rsidRPr="00CC35F0" w:rsidRDefault="00A0251B">
            <w:pPr>
              <w:rPr>
                <w:rFonts w:ascii="Times New Roman" w:eastAsia="Times New Roman" w:hAnsi="Times New Roman"/>
                <w:color w:val="000000"/>
                <w:sz w:val="24"/>
                <w:szCs w:val="24"/>
                <w:lang w:val="sr-Cyrl-CS"/>
              </w:rPr>
            </w:pPr>
          </w:p>
        </w:tc>
        <w:tc>
          <w:tcPr>
            <w:tcW w:w="1391" w:type="dxa"/>
            <w:tcBorders>
              <w:top w:val="single" w:sz="4" w:space="0" w:color="000000"/>
              <w:left w:val="single" w:sz="4" w:space="0" w:color="000000"/>
              <w:bottom w:val="single" w:sz="4" w:space="0" w:color="000000"/>
              <w:right w:val="single" w:sz="4" w:space="0" w:color="000000"/>
            </w:tcBorders>
          </w:tcPr>
          <w:p w14:paraId="235EF94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563" w:type="dxa"/>
            <w:tcBorders>
              <w:top w:val="single" w:sz="4" w:space="0" w:color="000000"/>
              <w:left w:val="single" w:sz="4" w:space="0" w:color="000000"/>
              <w:bottom w:val="single" w:sz="4" w:space="0" w:color="000000"/>
              <w:right w:val="single" w:sz="4" w:space="0" w:color="000000"/>
            </w:tcBorders>
          </w:tcPr>
          <w:p w14:paraId="0D8D34C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Инвеститори</w:t>
            </w:r>
          </w:p>
        </w:tc>
        <w:tc>
          <w:tcPr>
            <w:tcW w:w="1524" w:type="dxa"/>
            <w:tcBorders>
              <w:top w:val="single" w:sz="4" w:space="0" w:color="000000"/>
              <w:left w:val="single" w:sz="4" w:space="0" w:color="000000"/>
              <w:bottom w:val="single" w:sz="4" w:space="0" w:color="000000"/>
              <w:right w:val="single" w:sz="4" w:space="0" w:color="000000"/>
            </w:tcBorders>
          </w:tcPr>
          <w:p w14:paraId="7D2E0A3B" w14:textId="77777777" w:rsidR="00A0251B" w:rsidRPr="00CC35F0" w:rsidRDefault="00A0251B">
            <w:pPr>
              <w:rPr>
                <w:rFonts w:ascii="Times New Roman" w:eastAsia="Times New Roman" w:hAnsi="Times New Roman"/>
                <w:sz w:val="24"/>
                <w:szCs w:val="24"/>
                <w:lang w:val="sr-Cyrl-CS"/>
              </w:rPr>
            </w:pPr>
          </w:p>
        </w:tc>
        <w:tc>
          <w:tcPr>
            <w:tcW w:w="899" w:type="dxa"/>
            <w:tcBorders>
              <w:top w:val="single" w:sz="4" w:space="0" w:color="000000"/>
              <w:left w:val="single" w:sz="4" w:space="0" w:color="000000"/>
              <w:bottom w:val="single" w:sz="4" w:space="0" w:color="000000"/>
              <w:right w:val="single" w:sz="4" w:space="0" w:color="000000"/>
            </w:tcBorders>
          </w:tcPr>
          <w:p w14:paraId="6A4B812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99" w:type="dxa"/>
            <w:tcBorders>
              <w:top w:val="single" w:sz="4" w:space="0" w:color="000000"/>
              <w:left w:val="single" w:sz="4" w:space="0" w:color="000000"/>
              <w:bottom w:val="single" w:sz="4" w:space="0" w:color="000000"/>
              <w:right w:val="single" w:sz="4" w:space="0" w:color="000000"/>
            </w:tcBorders>
          </w:tcPr>
          <w:p w14:paraId="6DA5A70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99" w:type="dxa"/>
            <w:tcBorders>
              <w:top w:val="single" w:sz="4" w:space="0" w:color="000000"/>
              <w:left w:val="single" w:sz="4" w:space="0" w:color="000000"/>
              <w:bottom w:val="single" w:sz="4" w:space="0" w:color="000000"/>
              <w:right w:val="single" w:sz="4" w:space="0" w:color="000000"/>
            </w:tcBorders>
          </w:tcPr>
          <w:p w14:paraId="0705A1C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99" w:type="dxa"/>
            <w:tcBorders>
              <w:top w:val="single" w:sz="4" w:space="0" w:color="000000"/>
              <w:left w:val="single" w:sz="4" w:space="0" w:color="000000"/>
              <w:bottom w:val="single" w:sz="4" w:space="0" w:color="000000"/>
              <w:right w:val="single" w:sz="4" w:space="0" w:color="000000"/>
            </w:tcBorders>
          </w:tcPr>
          <w:p w14:paraId="7E1CB21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899" w:type="dxa"/>
            <w:tcBorders>
              <w:top w:val="single" w:sz="4" w:space="0" w:color="000000"/>
              <w:left w:val="single" w:sz="4" w:space="0" w:color="000000"/>
              <w:bottom w:val="single" w:sz="4" w:space="0" w:color="000000"/>
              <w:right w:val="single" w:sz="4" w:space="0" w:color="000000"/>
            </w:tcBorders>
          </w:tcPr>
          <w:p w14:paraId="2DE9629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6F513587" w14:textId="77777777">
        <w:trPr>
          <w:trHeight w:val="140"/>
        </w:trPr>
        <w:tc>
          <w:tcPr>
            <w:tcW w:w="2022" w:type="dxa"/>
            <w:tcBorders>
              <w:top w:val="single" w:sz="4" w:space="0" w:color="000000"/>
              <w:left w:val="single" w:sz="4" w:space="0" w:color="000000"/>
              <w:bottom w:val="single" w:sz="4" w:space="0" w:color="000000"/>
              <w:right w:val="single" w:sz="4" w:space="0" w:color="000000"/>
            </w:tcBorders>
          </w:tcPr>
          <w:p w14:paraId="58D50BA9" w14:textId="77777777" w:rsidR="00A0251B" w:rsidRPr="00CC35F0" w:rsidRDefault="008D6506">
            <w:pP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 xml:space="preserve">1.3.5.3 Јачање техничких капацитета </w:t>
            </w:r>
            <w:r w:rsidRPr="00B036BA">
              <w:rPr>
                <w:rFonts w:ascii="Times New Roman" w:eastAsia="Times New Roman" w:hAnsi="Times New Roman"/>
                <w:lang w:val="sr-Cyrl-CS"/>
              </w:rPr>
              <w:t>пољопривредника</w:t>
            </w:r>
            <w:r w:rsidRPr="00CC35F0">
              <w:rPr>
                <w:rFonts w:ascii="Times New Roman" w:eastAsia="Times New Roman" w:hAnsi="Times New Roman"/>
                <w:sz w:val="24"/>
                <w:szCs w:val="24"/>
                <w:lang w:val="sr-Cyrl-CS"/>
              </w:rPr>
              <w:t xml:space="preserve"> у погледу најбоље праксе у жетви и о другим најбољим праксама, посебна обука за </w:t>
            </w:r>
            <w:r w:rsidRPr="00B036BA">
              <w:rPr>
                <w:rFonts w:ascii="Times New Roman" w:eastAsia="Times New Roman" w:hAnsi="Times New Roman"/>
                <w:lang w:val="sr-Cyrl-CS"/>
              </w:rPr>
              <w:t>пољопривреднике</w:t>
            </w:r>
            <w:r w:rsidRPr="00CC35F0">
              <w:rPr>
                <w:rFonts w:ascii="Times New Roman" w:eastAsia="Times New Roman" w:hAnsi="Times New Roman"/>
                <w:sz w:val="24"/>
                <w:szCs w:val="24"/>
                <w:lang w:val="sr-Cyrl-CS"/>
              </w:rPr>
              <w:t xml:space="preserve"> (2 годишње од 2024. године).</w:t>
            </w:r>
            <w:r w:rsidR="005D162C" w:rsidRPr="00CC35F0">
              <w:rPr>
                <w:rFonts w:ascii="Times New Roman" w:eastAsia="Times New Roman" w:hAnsi="Times New Roman"/>
                <w:sz w:val="24"/>
                <w:szCs w:val="24"/>
                <w:vertAlign w:val="superscript"/>
                <w:lang w:val="sr-Cyrl-CS"/>
              </w:rPr>
              <w:t>#</w:t>
            </w:r>
          </w:p>
        </w:tc>
        <w:tc>
          <w:tcPr>
            <w:tcW w:w="1718" w:type="dxa"/>
            <w:tcBorders>
              <w:top w:val="single" w:sz="4" w:space="0" w:color="000000"/>
              <w:left w:val="single" w:sz="4" w:space="0" w:color="000000"/>
              <w:bottom w:val="single" w:sz="4" w:space="0" w:color="000000"/>
              <w:right w:val="single" w:sz="4" w:space="0" w:color="000000"/>
            </w:tcBorders>
          </w:tcPr>
          <w:p w14:paraId="002D43EA" w14:textId="77777777" w:rsidR="00A0251B" w:rsidRPr="00CC35F0" w:rsidRDefault="008D6506">
            <w:pPr>
              <w:rPr>
                <w:rFonts w:ascii="Times New Roman" w:eastAsia="Times New Roman" w:hAnsi="Times New Roman"/>
                <w:sz w:val="24"/>
                <w:szCs w:val="24"/>
                <w:lang w:val="sr-Cyrl-CS"/>
              </w:rPr>
            </w:pPr>
            <w:r w:rsidRPr="00B036BA">
              <w:rPr>
                <w:rFonts w:ascii="Times New Roman" w:eastAsia="Times New Roman" w:hAnsi="Times New Roman"/>
                <w:color w:val="000000"/>
                <w:lang w:val="sr-Cyrl-CS"/>
              </w:rPr>
              <w:t>Министарство пољопривреде,</w:t>
            </w:r>
            <w:r w:rsidRPr="00CC35F0">
              <w:rPr>
                <w:rFonts w:ascii="Times New Roman" w:eastAsia="Times New Roman" w:hAnsi="Times New Roman"/>
                <w:color w:val="000000"/>
                <w:sz w:val="24"/>
                <w:szCs w:val="24"/>
                <w:lang w:val="sr-Cyrl-CS"/>
              </w:rPr>
              <w:t xml:space="preserve"> шумарства и водопривреде</w:t>
            </w:r>
          </w:p>
        </w:tc>
        <w:tc>
          <w:tcPr>
            <w:tcW w:w="1828" w:type="dxa"/>
            <w:tcBorders>
              <w:top w:val="single" w:sz="4" w:space="0" w:color="000000"/>
              <w:left w:val="single" w:sz="4" w:space="0" w:color="000000"/>
              <w:bottom w:val="single" w:sz="4" w:space="0" w:color="000000"/>
              <w:right w:val="single" w:sz="4" w:space="0" w:color="000000"/>
            </w:tcBorders>
          </w:tcPr>
          <w:p w14:paraId="6393229A" w14:textId="77777777" w:rsidR="00A0251B" w:rsidRPr="00CC35F0" w:rsidRDefault="008D6506">
            <w:pPr>
              <w:jc w:val="center"/>
              <w:rPr>
                <w:rFonts w:ascii="Times New Roman" w:eastAsia="Times New Roman" w:hAnsi="Times New Roman"/>
                <w:sz w:val="24"/>
                <w:szCs w:val="24"/>
                <w:lang w:val="sr-Cyrl-CS"/>
              </w:rPr>
            </w:pPr>
            <w:r w:rsidRPr="00B036BA">
              <w:rPr>
                <w:rFonts w:ascii="Times New Roman" w:eastAsia="Times New Roman" w:hAnsi="Times New Roman"/>
                <w:color w:val="000000"/>
                <w:lang w:val="sr-Cyrl-CS"/>
              </w:rPr>
              <w:t xml:space="preserve">Пољопривредне </w:t>
            </w:r>
            <w:r w:rsidR="00847036" w:rsidRPr="00CC35F0">
              <w:rPr>
                <w:rFonts w:ascii="Times New Roman" w:eastAsia="Times New Roman" w:hAnsi="Times New Roman"/>
                <w:color w:val="000000"/>
                <w:sz w:val="24"/>
                <w:szCs w:val="24"/>
                <w:lang w:val="sr-Cyrl-CS"/>
              </w:rPr>
              <w:t xml:space="preserve">стручне и </w:t>
            </w:r>
            <w:r w:rsidRPr="00CC35F0">
              <w:rPr>
                <w:rFonts w:ascii="Times New Roman" w:eastAsia="Times New Roman" w:hAnsi="Times New Roman"/>
                <w:color w:val="000000"/>
                <w:sz w:val="24"/>
                <w:szCs w:val="24"/>
                <w:lang w:val="sr-Cyrl-CS"/>
              </w:rPr>
              <w:t>саветодавне службе</w:t>
            </w:r>
          </w:p>
        </w:tc>
        <w:tc>
          <w:tcPr>
            <w:tcW w:w="1391" w:type="dxa"/>
            <w:tcBorders>
              <w:top w:val="single" w:sz="4" w:space="0" w:color="000000"/>
              <w:left w:val="single" w:sz="4" w:space="0" w:color="000000"/>
              <w:bottom w:val="single" w:sz="4" w:space="0" w:color="000000"/>
              <w:right w:val="single" w:sz="4" w:space="0" w:color="000000"/>
            </w:tcBorders>
          </w:tcPr>
          <w:p w14:paraId="1EA3497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563" w:type="dxa"/>
            <w:tcBorders>
              <w:top w:val="single" w:sz="4" w:space="0" w:color="000000"/>
              <w:left w:val="single" w:sz="4" w:space="0" w:color="000000"/>
              <w:bottom w:val="single" w:sz="4" w:space="0" w:color="000000"/>
              <w:right w:val="single" w:sz="4" w:space="0" w:color="000000"/>
            </w:tcBorders>
          </w:tcPr>
          <w:p w14:paraId="7945073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буџет</w:t>
            </w:r>
          </w:p>
        </w:tc>
        <w:tc>
          <w:tcPr>
            <w:tcW w:w="1524" w:type="dxa"/>
            <w:tcBorders>
              <w:top w:val="single" w:sz="4" w:space="0" w:color="000000"/>
              <w:left w:val="single" w:sz="4" w:space="0" w:color="000000"/>
              <w:bottom w:val="single" w:sz="4" w:space="0" w:color="000000"/>
              <w:right w:val="single" w:sz="4" w:space="0" w:color="000000"/>
            </w:tcBorders>
          </w:tcPr>
          <w:p w14:paraId="68334F7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0102-420-0003-423</w:t>
            </w:r>
          </w:p>
        </w:tc>
        <w:tc>
          <w:tcPr>
            <w:tcW w:w="899" w:type="dxa"/>
            <w:tcBorders>
              <w:top w:val="single" w:sz="4" w:space="0" w:color="000000"/>
              <w:left w:val="single" w:sz="4" w:space="0" w:color="000000"/>
              <w:bottom w:val="single" w:sz="4" w:space="0" w:color="000000"/>
              <w:right w:val="single" w:sz="4" w:space="0" w:color="000000"/>
            </w:tcBorders>
          </w:tcPr>
          <w:p w14:paraId="137BFA12" w14:textId="77777777" w:rsidR="00A0251B" w:rsidRPr="00CC35F0" w:rsidRDefault="00A0251B">
            <w:pPr>
              <w:jc w:val="right"/>
              <w:rPr>
                <w:rFonts w:ascii="Times New Roman" w:eastAsia="Times New Roman" w:hAnsi="Times New Roman"/>
                <w:sz w:val="24"/>
                <w:szCs w:val="24"/>
                <w:lang w:val="sr-Cyrl-CS"/>
              </w:rPr>
            </w:pPr>
          </w:p>
        </w:tc>
        <w:tc>
          <w:tcPr>
            <w:tcW w:w="899" w:type="dxa"/>
            <w:tcBorders>
              <w:top w:val="single" w:sz="4" w:space="0" w:color="000000"/>
              <w:left w:val="single" w:sz="4" w:space="0" w:color="000000"/>
              <w:bottom w:val="single" w:sz="4" w:space="0" w:color="000000"/>
              <w:right w:val="single" w:sz="4" w:space="0" w:color="000000"/>
            </w:tcBorders>
          </w:tcPr>
          <w:p w14:paraId="163551B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2.056</w:t>
            </w:r>
          </w:p>
        </w:tc>
        <w:tc>
          <w:tcPr>
            <w:tcW w:w="899" w:type="dxa"/>
            <w:tcBorders>
              <w:top w:val="single" w:sz="4" w:space="0" w:color="000000"/>
              <w:left w:val="single" w:sz="4" w:space="0" w:color="000000"/>
              <w:bottom w:val="single" w:sz="4" w:space="0" w:color="000000"/>
              <w:right w:val="single" w:sz="4" w:space="0" w:color="000000"/>
            </w:tcBorders>
          </w:tcPr>
          <w:p w14:paraId="168CB6C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2.056</w:t>
            </w:r>
          </w:p>
        </w:tc>
        <w:tc>
          <w:tcPr>
            <w:tcW w:w="899" w:type="dxa"/>
            <w:tcBorders>
              <w:top w:val="single" w:sz="4" w:space="0" w:color="000000"/>
              <w:left w:val="single" w:sz="4" w:space="0" w:color="000000"/>
              <w:bottom w:val="single" w:sz="4" w:space="0" w:color="000000"/>
              <w:right w:val="single" w:sz="4" w:space="0" w:color="000000"/>
            </w:tcBorders>
          </w:tcPr>
          <w:p w14:paraId="2F4C5C8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2.056</w:t>
            </w:r>
          </w:p>
        </w:tc>
        <w:tc>
          <w:tcPr>
            <w:tcW w:w="899" w:type="dxa"/>
            <w:tcBorders>
              <w:top w:val="single" w:sz="4" w:space="0" w:color="000000"/>
              <w:left w:val="single" w:sz="4" w:space="0" w:color="000000"/>
              <w:bottom w:val="single" w:sz="4" w:space="0" w:color="000000"/>
              <w:right w:val="single" w:sz="4" w:space="0" w:color="000000"/>
            </w:tcBorders>
          </w:tcPr>
          <w:p w14:paraId="1F85E93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2.056</w:t>
            </w:r>
          </w:p>
        </w:tc>
      </w:tr>
    </w:tbl>
    <w:p w14:paraId="197F659F" w14:textId="77777777" w:rsidR="00A0251B" w:rsidRPr="00CC35F0" w:rsidRDefault="00A0251B">
      <w:pPr>
        <w:rPr>
          <w:rFonts w:ascii="Times New Roman" w:eastAsia="Times New Roman" w:hAnsi="Times New Roman"/>
          <w:sz w:val="24"/>
          <w:szCs w:val="24"/>
          <w:lang w:val="sr-Cyrl-CS"/>
        </w:rPr>
      </w:pPr>
    </w:p>
    <w:tbl>
      <w:tblPr>
        <w:tblStyle w:val="affffc"/>
        <w:tblW w:w="13845"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2955"/>
        <w:gridCol w:w="1350"/>
        <w:gridCol w:w="1440"/>
        <w:gridCol w:w="1083"/>
        <w:gridCol w:w="1167"/>
        <w:gridCol w:w="1440"/>
        <w:gridCol w:w="1443"/>
        <w:gridCol w:w="1426"/>
        <w:gridCol w:w="1534"/>
        <w:gridCol w:w="7"/>
      </w:tblGrid>
      <w:tr w:rsidR="00A0251B" w:rsidRPr="00CC35F0" w14:paraId="509A923A" w14:textId="77777777">
        <w:trPr>
          <w:gridAfter w:val="1"/>
          <w:wAfter w:w="7" w:type="dxa"/>
          <w:trHeight w:val="320"/>
        </w:trPr>
        <w:tc>
          <w:tcPr>
            <w:tcW w:w="13838" w:type="dxa"/>
            <w:gridSpan w:val="9"/>
            <w:tcBorders>
              <w:top w:val="single" w:sz="4" w:space="0" w:color="000000"/>
              <w:left w:val="single" w:sz="4" w:space="0" w:color="000000"/>
              <w:bottom w:val="single" w:sz="4" w:space="0" w:color="000000"/>
              <w:right w:val="single" w:sz="4" w:space="0" w:color="000000"/>
            </w:tcBorders>
            <w:shd w:val="clear" w:color="auto" w:fill="B4C6E7"/>
          </w:tcPr>
          <w:p w14:paraId="476A35B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b/>
                <w:sz w:val="24"/>
                <w:szCs w:val="24"/>
                <w:lang w:val="sr-Cyrl-CS"/>
              </w:rPr>
              <w:t xml:space="preserve">Посебни циљ 1.4 : </w:t>
            </w:r>
            <w:r w:rsidRPr="00CC35F0">
              <w:rPr>
                <w:rFonts w:ascii="Times New Roman" w:eastAsia="Times New Roman" w:hAnsi="Times New Roman"/>
                <w:b/>
                <w:i/>
                <w:sz w:val="24"/>
                <w:szCs w:val="24"/>
                <w:lang w:val="sr-Cyrl-CS"/>
              </w:rPr>
              <w:t>Промоција преласка на чист ваздух за све</w:t>
            </w:r>
          </w:p>
        </w:tc>
      </w:tr>
      <w:tr w:rsidR="00A0251B" w:rsidRPr="00CC35F0" w14:paraId="7D5455E5" w14:textId="77777777">
        <w:trPr>
          <w:gridAfter w:val="1"/>
          <w:wAfter w:w="7" w:type="dxa"/>
          <w:trHeight w:val="320"/>
        </w:trPr>
        <w:tc>
          <w:tcPr>
            <w:tcW w:w="13838" w:type="dxa"/>
            <w:gridSpan w:val="9"/>
            <w:tcBorders>
              <w:top w:val="single" w:sz="4" w:space="0" w:color="000000"/>
              <w:left w:val="single" w:sz="4" w:space="0" w:color="000000"/>
              <w:bottom w:val="single" w:sz="4" w:space="0" w:color="000000"/>
              <w:right w:val="single" w:sz="4" w:space="0" w:color="000000"/>
            </w:tcBorders>
            <w:shd w:val="clear" w:color="auto" w:fill="B4C6E7"/>
            <w:vAlign w:val="center"/>
          </w:tcPr>
          <w:p w14:paraId="54E8AD7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222222"/>
                <w:sz w:val="24"/>
                <w:szCs w:val="24"/>
                <w:lang w:val="sr-Cyrl-CS"/>
              </w:rPr>
              <w:t xml:space="preserve">Институција надлежна за мониторинг и контролу спровођења: </w:t>
            </w:r>
            <w:r w:rsidRPr="00CC35F0">
              <w:rPr>
                <w:rFonts w:ascii="Times New Roman" w:eastAsia="Times New Roman" w:hAnsi="Times New Roman"/>
                <w:sz w:val="24"/>
                <w:szCs w:val="24"/>
                <w:lang w:val="sr-Cyrl-CS"/>
              </w:rPr>
              <w:t>МЗЖС</w:t>
            </w:r>
          </w:p>
        </w:tc>
      </w:tr>
      <w:tr w:rsidR="00A0251B" w:rsidRPr="00CC35F0" w14:paraId="3B7E6CCC" w14:textId="77777777">
        <w:trPr>
          <w:trHeight w:val="575"/>
        </w:trPr>
        <w:tc>
          <w:tcPr>
            <w:tcW w:w="2955" w:type="dxa"/>
            <w:tcBorders>
              <w:top w:val="single" w:sz="4" w:space="0" w:color="000000"/>
              <w:left w:val="single" w:sz="4" w:space="0" w:color="000000"/>
              <w:bottom w:val="single" w:sz="4" w:space="0" w:color="000000"/>
              <w:right w:val="single" w:sz="4" w:space="0" w:color="000000"/>
            </w:tcBorders>
            <w:shd w:val="clear" w:color="auto" w:fill="D9D9D9"/>
          </w:tcPr>
          <w:p w14:paraId="277028F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посебног циља (</w:t>
            </w:r>
            <w:r w:rsidRPr="00CC35F0">
              <w:rPr>
                <w:rFonts w:ascii="Times New Roman" w:eastAsia="Times New Roman" w:hAnsi="Times New Roman"/>
                <w:i/>
                <w:sz w:val="24"/>
                <w:szCs w:val="24"/>
                <w:lang w:val="sr-Cyrl-CS"/>
              </w:rPr>
              <w:t>показатељ исхода</w:t>
            </w:r>
            <w:r w:rsidRPr="00CC35F0">
              <w:rPr>
                <w:rFonts w:ascii="Times New Roman" w:eastAsia="Times New Roman" w:hAnsi="Times New Roman"/>
                <w:sz w:val="24"/>
                <w:szCs w:val="24"/>
                <w:lang w:val="sr-Cyrl-CS"/>
              </w:rPr>
              <w:t>)</w:t>
            </w:r>
          </w:p>
        </w:tc>
        <w:tc>
          <w:tcPr>
            <w:tcW w:w="1350" w:type="dxa"/>
            <w:tcBorders>
              <w:top w:val="single" w:sz="4" w:space="0" w:color="000000"/>
              <w:left w:val="single" w:sz="4" w:space="0" w:color="000000"/>
              <w:bottom w:val="single" w:sz="4" w:space="0" w:color="000000"/>
              <w:right w:val="single" w:sz="4" w:space="0" w:color="000000"/>
            </w:tcBorders>
            <w:shd w:val="clear" w:color="auto" w:fill="D9D9D9"/>
          </w:tcPr>
          <w:p w14:paraId="14DFEEB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Pr>
          <w:p w14:paraId="6DD670D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B036BA">
              <w:rPr>
                <w:rFonts w:ascii="Times New Roman" w:eastAsia="Times New Roman" w:hAnsi="Times New Roman"/>
                <w:sz w:val="20"/>
                <w:szCs w:val="20"/>
                <w:lang w:val="sr-Cyrl-CS"/>
              </w:rPr>
              <w:t>верификације</w:t>
            </w:r>
          </w:p>
        </w:tc>
        <w:tc>
          <w:tcPr>
            <w:tcW w:w="1083" w:type="dxa"/>
            <w:tcBorders>
              <w:top w:val="single" w:sz="4" w:space="0" w:color="000000"/>
              <w:left w:val="single" w:sz="4" w:space="0" w:color="000000"/>
              <w:bottom w:val="single" w:sz="4" w:space="0" w:color="000000"/>
              <w:right w:val="single" w:sz="4" w:space="0" w:color="000000"/>
            </w:tcBorders>
            <w:shd w:val="clear" w:color="auto" w:fill="D9D9D9"/>
          </w:tcPr>
          <w:p w14:paraId="56B30FE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Почетна </w:t>
            </w:r>
            <w:r w:rsidRPr="00B036BA">
              <w:rPr>
                <w:rFonts w:ascii="Times New Roman" w:eastAsia="Times New Roman" w:hAnsi="Times New Roman"/>
                <w:sz w:val="20"/>
                <w:szCs w:val="20"/>
                <w:lang w:val="sr-Cyrl-CS"/>
              </w:rPr>
              <w:t>вредност</w:t>
            </w:r>
            <w:r w:rsidRPr="00CC35F0">
              <w:rPr>
                <w:rFonts w:ascii="Times New Roman" w:eastAsia="Times New Roman" w:hAnsi="Times New Roman"/>
                <w:sz w:val="24"/>
                <w:szCs w:val="24"/>
                <w:lang w:val="sr-Cyrl-CS"/>
              </w:rPr>
              <w:t xml:space="preserve"> 2015. године</w:t>
            </w:r>
          </w:p>
        </w:tc>
        <w:tc>
          <w:tcPr>
            <w:tcW w:w="1167" w:type="dxa"/>
            <w:tcBorders>
              <w:top w:val="single" w:sz="4" w:space="0" w:color="000000"/>
              <w:left w:val="single" w:sz="4" w:space="0" w:color="000000"/>
              <w:bottom w:val="single" w:sz="4" w:space="0" w:color="000000"/>
              <w:right w:val="single" w:sz="4" w:space="0" w:color="000000"/>
            </w:tcBorders>
            <w:shd w:val="clear" w:color="auto" w:fill="D9D9D9"/>
          </w:tcPr>
          <w:p w14:paraId="2E7665F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2022. година</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Pr>
          <w:p w14:paraId="0F31918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443" w:type="dxa"/>
            <w:tcBorders>
              <w:top w:val="single" w:sz="4" w:space="0" w:color="000000"/>
              <w:left w:val="single" w:sz="4" w:space="0" w:color="000000"/>
              <w:bottom w:val="single" w:sz="4" w:space="0" w:color="000000"/>
              <w:right w:val="single" w:sz="4" w:space="0" w:color="000000"/>
            </w:tcBorders>
            <w:shd w:val="clear" w:color="auto" w:fill="D9D9D9"/>
          </w:tcPr>
          <w:p w14:paraId="7BA91D7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426" w:type="dxa"/>
            <w:tcBorders>
              <w:top w:val="single" w:sz="4" w:space="0" w:color="000000"/>
              <w:left w:val="single" w:sz="4" w:space="0" w:color="000000"/>
              <w:bottom w:val="single" w:sz="4" w:space="0" w:color="000000"/>
              <w:right w:val="single" w:sz="4" w:space="0" w:color="000000"/>
            </w:tcBorders>
            <w:shd w:val="clear" w:color="auto" w:fill="D9D9D9"/>
          </w:tcPr>
          <w:p w14:paraId="21DB6EB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54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A3417B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у последњој години АП, 2026. године</w:t>
            </w:r>
          </w:p>
        </w:tc>
      </w:tr>
      <w:tr w:rsidR="00A0251B" w:rsidRPr="00CC35F0" w14:paraId="63A084F6" w14:textId="77777777">
        <w:trPr>
          <w:trHeight w:val="254"/>
        </w:trPr>
        <w:tc>
          <w:tcPr>
            <w:tcW w:w="29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20934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Спроведене активности на подизању свести код заинтересованих страна у </w:t>
            </w:r>
            <w:r w:rsidRPr="00CC35F0">
              <w:rPr>
                <w:rFonts w:ascii="Times New Roman" w:eastAsia="Times New Roman" w:hAnsi="Times New Roman"/>
                <w:sz w:val="24"/>
                <w:szCs w:val="24"/>
                <w:lang w:val="sr-Cyrl-CS"/>
              </w:rPr>
              <w:lastRenderedPageBreak/>
              <w:t xml:space="preserve">вези са  загађењем ваздуха и његовим потенцијалним утицајима на друштво </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08BE8AA6"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Да/Не</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0D9A7F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i/>
                <w:color w:val="000000"/>
                <w:sz w:val="24"/>
                <w:szCs w:val="24"/>
                <w:lang w:val="sr-Cyrl-CS"/>
              </w:rPr>
              <w:t xml:space="preserve">Активности Плана </w:t>
            </w:r>
            <w:r w:rsidRPr="00B036BA">
              <w:rPr>
                <w:rFonts w:ascii="Times New Roman" w:eastAsia="Times New Roman" w:hAnsi="Times New Roman"/>
                <w:i/>
                <w:color w:val="000000"/>
                <w:lang w:val="sr-Cyrl-CS"/>
              </w:rPr>
              <w:t>мониторинга</w:t>
            </w:r>
            <w:r w:rsidRPr="00CC35F0">
              <w:rPr>
                <w:rFonts w:ascii="Times New Roman" w:eastAsia="Times New Roman" w:hAnsi="Times New Roman"/>
                <w:i/>
                <w:color w:val="000000"/>
                <w:sz w:val="24"/>
                <w:szCs w:val="24"/>
                <w:lang w:val="sr-Cyrl-CS"/>
              </w:rPr>
              <w:t xml:space="preserve"> и процене </w:t>
            </w:r>
            <w:r w:rsidRPr="00CC35F0">
              <w:rPr>
                <w:rFonts w:ascii="Times New Roman" w:eastAsia="Times New Roman" w:hAnsi="Times New Roman"/>
                <w:i/>
                <w:color w:val="000000"/>
                <w:sz w:val="24"/>
                <w:szCs w:val="24"/>
                <w:lang w:val="sr-Cyrl-CS"/>
              </w:rPr>
              <w:lastRenderedPageBreak/>
              <w:t>подизања свести</w:t>
            </w:r>
          </w:p>
        </w:tc>
        <w:tc>
          <w:tcPr>
            <w:tcW w:w="1083" w:type="dxa"/>
            <w:tcBorders>
              <w:top w:val="single" w:sz="4" w:space="0" w:color="000000"/>
              <w:left w:val="single" w:sz="4" w:space="0" w:color="000000"/>
              <w:bottom w:val="single" w:sz="4" w:space="0" w:color="000000"/>
              <w:right w:val="single" w:sz="4" w:space="0" w:color="000000"/>
            </w:tcBorders>
            <w:shd w:val="clear" w:color="auto" w:fill="FFFFFF"/>
          </w:tcPr>
          <w:p w14:paraId="090EA32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не</w:t>
            </w:r>
          </w:p>
        </w:tc>
        <w:tc>
          <w:tcPr>
            <w:tcW w:w="1167" w:type="dxa"/>
            <w:tcBorders>
              <w:top w:val="single" w:sz="4" w:space="0" w:color="000000"/>
              <w:left w:val="single" w:sz="4" w:space="0" w:color="000000"/>
              <w:bottom w:val="single" w:sz="4" w:space="0" w:color="000000"/>
              <w:right w:val="single" w:sz="4" w:space="0" w:color="000000"/>
            </w:tcBorders>
            <w:shd w:val="clear" w:color="auto" w:fill="FFFFFF"/>
          </w:tcPr>
          <w:p w14:paraId="1194D307"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не</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5706333"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tc>
        <w:tc>
          <w:tcPr>
            <w:tcW w:w="1443" w:type="dxa"/>
            <w:tcBorders>
              <w:top w:val="single" w:sz="4" w:space="0" w:color="000000"/>
              <w:left w:val="single" w:sz="4" w:space="0" w:color="000000"/>
              <w:bottom w:val="single" w:sz="4" w:space="0" w:color="000000"/>
              <w:right w:val="single" w:sz="4" w:space="0" w:color="000000"/>
            </w:tcBorders>
            <w:shd w:val="clear" w:color="auto" w:fill="FFFFFF"/>
          </w:tcPr>
          <w:p w14:paraId="139A6316"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tc>
        <w:tc>
          <w:tcPr>
            <w:tcW w:w="1426" w:type="dxa"/>
            <w:tcBorders>
              <w:top w:val="single" w:sz="4" w:space="0" w:color="000000"/>
              <w:left w:val="single" w:sz="4" w:space="0" w:color="000000"/>
              <w:bottom w:val="single" w:sz="4" w:space="0" w:color="000000"/>
              <w:right w:val="single" w:sz="4" w:space="0" w:color="000000"/>
            </w:tcBorders>
            <w:shd w:val="clear" w:color="auto" w:fill="FFFFFF"/>
          </w:tcPr>
          <w:p w14:paraId="24D8086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tc>
        <w:tc>
          <w:tcPr>
            <w:tcW w:w="1541" w:type="dxa"/>
            <w:gridSpan w:val="2"/>
            <w:tcBorders>
              <w:top w:val="single" w:sz="4" w:space="0" w:color="000000"/>
              <w:left w:val="single" w:sz="4" w:space="0" w:color="000000"/>
              <w:bottom w:val="single" w:sz="4" w:space="0" w:color="000000"/>
              <w:right w:val="single" w:sz="4" w:space="0" w:color="000000"/>
            </w:tcBorders>
            <w:shd w:val="clear" w:color="auto" w:fill="FFFFFF"/>
          </w:tcPr>
          <w:p w14:paraId="0EC62C5C"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w:t>
            </w:r>
          </w:p>
        </w:tc>
      </w:tr>
      <w:tr w:rsidR="00A0251B" w:rsidRPr="00CC35F0" w14:paraId="66122D29" w14:textId="77777777">
        <w:trPr>
          <w:trHeight w:val="254"/>
        </w:trPr>
        <w:tc>
          <w:tcPr>
            <w:tcW w:w="29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19AC68"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Удео домаћинстава обавештеног о правилној употреби огревног дрвета у </w:t>
            </w:r>
            <w:r w:rsidRPr="00CC35F0">
              <w:rPr>
                <w:rFonts w:ascii="Times New Roman" w:eastAsia="Times New Roman" w:hAnsi="Times New Roman"/>
                <w:color w:val="000000"/>
                <w:sz w:val="24"/>
                <w:szCs w:val="24"/>
                <w:lang w:val="sr-Cyrl-CS"/>
              </w:rPr>
              <w:t>малим грејним телима</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13F7DFDC"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2753B8BD"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i/>
                <w:color w:val="000000"/>
                <w:sz w:val="24"/>
                <w:szCs w:val="24"/>
                <w:lang w:val="sr-Cyrl-CS"/>
              </w:rPr>
              <w:t>Активности Плана мониторинга и процене подизања свести</w:t>
            </w:r>
          </w:p>
        </w:tc>
        <w:tc>
          <w:tcPr>
            <w:tcW w:w="1083" w:type="dxa"/>
            <w:tcBorders>
              <w:top w:val="single" w:sz="4" w:space="0" w:color="000000"/>
              <w:left w:val="single" w:sz="4" w:space="0" w:color="000000"/>
              <w:bottom w:val="single" w:sz="4" w:space="0" w:color="000000"/>
              <w:right w:val="single" w:sz="4" w:space="0" w:color="000000"/>
            </w:tcBorders>
            <w:shd w:val="clear" w:color="auto" w:fill="FFFFFF"/>
          </w:tcPr>
          <w:p w14:paraId="51E2FEE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167" w:type="dxa"/>
            <w:tcBorders>
              <w:top w:val="single" w:sz="4" w:space="0" w:color="000000"/>
              <w:left w:val="single" w:sz="4" w:space="0" w:color="000000"/>
              <w:bottom w:val="single" w:sz="4" w:space="0" w:color="000000"/>
              <w:right w:val="single" w:sz="4" w:space="0" w:color="000000"/>
            </w:tcBorders>
            <w:shd w:val="clear" w:color="auto" w:fill="FFFFFF"/>
          </w:tcPr>
          <w:p w14:paraId="0C58DDE0"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448F93"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w:t>
            </w:r>
          </w:p>
        </w:tc>
        <w:tc>
          <w:tcPr>
            <w:tcW w:w="1443" w:type="dxa"/>
            <w:tcBorders>
              <w:top w:val="single" w:sz="4" w:space="0" w:color="000000"/>
              <w:left w:val="single" w:sz="4" w:space="0" w:color="000000"/>
              <w:bottom w:val="single" w:sz="4" w:space="0" w:color="000000"/>
              <w:right w:val="single" w:sz="4" w:space="0" w:color="000000"/>
            </w:tcBorders>
            <w:shd w:val="clear" w:color="auto" w:fill="FFFFFF"/>
          </w:tcPr>
          <w:p w14:paraId="0944D2E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w:t>
            </w:r>
          </w:p>
        </w:tc>
        <w:tc>
          <w:tcPr>
            <w:tcW w:w="1426" w:type="dxa"/>
            <w:tcBorders>
              <w:top w:val="single" w:sz="4" w:space="0" w:color="000000"/>
              <w:left w:val="single" w:sz="4" w:space="0" w:color="000000"/>
              <w:bottom w:val="single" w:sz="4" w:space="0" w:color="000000"/>
              <w:right w:val="single" w:sz="4" w:space="0" w:color="000000"/>
            </w:tcBorders>
            <w:shd w:val="clear" w:color="auto" w:fill="FFFFFF"/>
          </w:tcPr>
          <w:p w14:paraId="305B6286"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50</w:t>
            </w:r>
          </w:p>
        </w:tc>
        <w:tc>
          <w:tcPr>
            <w:tcW w:w="1541" w:type="dxa"/>
            <w:gridSpan w:val="2"/>
            <w:tcBorders>
              <w:top w:val="single" w:sz="4" w:space="0" w:color="000000"/>
              <w:left w:val="single" w:sz="4" w:space="0" w:color="000000"/>
              <w:bottom w:val="single" w:sz="4" w:space="0" w:color="000000"/>
              <w:right w:val="single" w:sz="4" w:space="0" w:color="000000"/>
            </w:tcBorders>
            <w:shd w:val="clear" w:color="auto" w:fill="FFFFFF"/>
          </w:tcPr>
          <w:p w14:paraId="3CDF8586"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w:t>
            </w:r>
          </w:p>
        </w:tc>
      </w:tr>
      <w:tr w:rsidR="00A0251B" w:rsidRPr="00CC35F0" w14:paraId="523E68E2" w14:textId="77777777">
        <w:trPr>
          <w:trHeight w:val="254"/>
        </w:trPr>
        <w:tc>
          <w:tcPr>
            <w:tcW w:w="29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5B62AC" w14:textId="77777777" w:rsidR="00A0251B" w:rsidRPr="00CC35F0" w:rsidRDefault="008D6506">
            <w:pPr>
              <w:shd w:val="clear" w:color="auto" w:fill="FFFFFF"/>
              <w:rPr>
                <w:rFonts w:ascii="Times New Roman" w:eastAsia="Times New Roman" w:hAnsi="Times New Roman"/>
                <w:color w:val="000000"/>
                <w:sz w:val="24"/>
                <w:szCs w:val="24"/>
                <w:lang w:val="sr-Cyrl-CS"/>
              </w:rPr>
            </w:pPr>
            <w:r w:rsidRPr="00CC35F0">
              <w:rPr>
                <w:rFonts w:ascii="Times New Roman" w:eastAsia="Times New Roman" w:hAnsi="Times New Roman"/>
                <w:sz w:val="24"/>
                <w:szCs w:val="24"/>
                <w:lang w:val="sr-Cyrl-CS"/>
              </w:rPr>
              <w:t xml:space="preserve">Удео зона и агломерација које је посетио мобилни демонстрациони центар (или </w:t>
            </w:r>
            <w:r w:rsidRPr="00CC35F0">
              <w:rPr>
                <w:rFonts w:ascii="Times New Roman" w:eastAsia="Times New Roman" w:hAnsi="Times New Roman"/>
                <w:color w:val="000000"/>
                <w:sz w:val="24"/>
                <w:szCs w:val="24"/>
                <w:lang w:val="sr-Cyrl-CS"/>
              </w:rPr>
              <w:t>еквивалентни демонстрациони концепт)</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Pr>
          <w:p w14:paraId="66E54616"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04BE9F86" w14:textId="77777777" w:rsidR="00A0251B" w:rsidRPr="00CC35F0" w:rsidRDefault="008D6506">
            <w:pPr>
              <w:jc w:val="center"/>
              <w:rPr>
                <w:rFonts w:ascii="Times New Roman" w:eastAsia="Times New Roman" w:hAnsi="Times New Roman"/>
                <w:color w:val="000000"/>
                <w:sz w:val="24"/>
                <w:szCs w:val="24"/>
                <w:lang w:val="sr-Cyrl-CS"/>
              </w:rPr>
            </w:pPr>
            <w:r w:rsidRPr="00CC35F0">
              <w:rPr>
                <w:rFonts w:ascii="Times New Roman" w:eastAsia="Times New Roman" w:hAnsi="Times New Roman"/>
                <w:i/>
                <w:color w:val="000000"/>
                <w:sz w:val="24"/>
                <w:szCs w:val="24"/>
                <w:lang w:val="sr-Cyrl-CS"/>
              </w:rPr>
              <w:t>Активности Плана мониторинга и процене подизања свести</w:t>
            </w:r>
          </w:p>
        </w:tc>
        <w:tc>
          <w:tcPr>
            <w:tcW w:w="1083" w:type="dxa"/>
            <w:tcBorders>
              <w:top w:val="single" w:sz="4" w:space="0" w:color="000000"/>
              <w:left w:val="single" w:sz="4" w:space="0" w:color="000000"/>
              <w:bottom w:val="single" w:sz="4" w:space="0" w:color="000000"/>
              <w:right w:val="single" w:sz="4" w:space="0" w:color="000000"/>
            </w:tcBorders>
            <w:shd w:val="clear" w:color="auto" w:fill="FFFFFF"/>
          </w:tcPr>
          <w:p w14:paraId="1FFA8FE1"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167" w:type="dxa"/>
            <w:tcBorders>
              <w:top w:val="single" w:sz="4" w:space="0" w:color="000000"/>
              <w:left w:val="single" w:sz="4" w:space="0" w:color="000000"/>
              <w:bottom w:val="single" w:sz="4" w:space="0" w:color="000000"/>
              <w:right w:val="single" w:sz="4" w:space="0" w:color="000000"/>
            </w:tcBorders>
            <w:shd w:val="clear" w:color="auto" w:fill="FFFFFF"/>
          </w:tcPr>
          <w:p w14:paraId="6A6E670E"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2874666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443" w:type="dxa"/>
            <w:tcBorders>
              <w:top w:val="single" w:sz="4" w:space="0" w:color="000000"/>
              <w:left w:val="single" w:sz="4" w:space="0" w:color="000000"/>
              <w:bottom w:val="single" w:sz="4" w:space="0" w:color="000000"/>
              <w:right w:val="single" w:sz="4" w:space="0" w:color="000000"/>
            </w:tcBorders>
            <w:shd w:val="clear" w:color="auto" w:fill="FFFFFF"/>
          </w:tcPr>
          <w:p w14:paraId="1488F029"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w:t>
            </w:r>
          </w:p>
        </w:tc>
        <w:tc>
          <w:tcPr>
            <w:tcW w:w="1426" w:type="dxa"/>
            <w:tcBorders>
              <w:top w:val="single" w:sz="4" w:space="0" w:color="000000"/>
              <w:left w:val="single" w:sz="4" w:space="0" w:color="000000"/>
              <w:bottom w:val="single" w:sz="4" w:space="0" w:color="000000"/>
              <w:right w:val="single" w:sz="4" w:space="0" w:color="000000"/>
            </w:tcBorders>
            <w:shd w:val="clear" w:color="auto" w:fill="FFFFFF"/>
          </w:tcPr>
          <w:p w14:paraId="64720299"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50</w:t>
            </w:r>
          </w:p>
        </w:tc>
        <w:tc>
          <w:tcPr>
            <w:tcW w:w="1541" w:type="dxa"/>
            <w:gridSpan w:val="2"/>
            <w:tcBorders>
              <w:top w:val="single" w:sz="4" w:space="0" w:color="000000"/>
              <w:left w:val="single" w:sz="4" w:space="0" w:color="000000"/>
              <w:bottom w:val="single" w:sz="4" w:space="0" w:color="000000"/>
              <w:right w:val="single" w:sz="4" w:space="0" w:color="000000"/>
            </w:tcBorders>
            <w:shd w:val="clear" w:color="auto" w:fill="FFFFFF"/>
          </w:tcPr>
          <w:p w14:paraId="04DAA025" w14:textId="77777777" w:rsidR="00A0251B" w:rsidRPr="00CC35F0" w:rsidRDefault="008D6506">
            <w:pPr>
              <w:shd w:val="clear" w:color="auto" w:fill="FFFFFF"/>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w:t>
            </w:r>
          </w:p>
        </w:tc>
      </w:tr>
    </w:tbl>
    <w:p w14:paraId="3F4A7DD8" w14:textId="77777777" w:rsidR="00A0251B" w:rsidRPr="00CC35F0" w:rsidRDefault="00A0251B">
      <w:pPr>
        <w:rPr>
          <w:rFonts w:ascii="Times New Roman" w:eastAsia="Times New Roman" w:hAnsi="Times New Roman"/>
          <w:sz w:val="24"/>
          <w:szCs w:val="24"/>
          <w:lang w:val="sr-Cyrl-CS"/>
        </w:rPr>
      </w:pPr>
    </w:p>
    <w:p w14:paraId="27CA95D8" w14:textId="77777777" w:rsidR="00A0251B" w:rsidRPr="00CC35F0" w:rsidRDefault="00A0251B">
      <w:pPr>
        <w:rPr>
          <w:rFonts w:ascii="Times New Roman" w:eastAsia="Times New Roman" w:hAnsi="Times New Roman"/>
          <w:sz w:val="24"/>
          <w:szCs w:val="24"/>
          <w:lang w:val="sr-Cyrl-CS"/>
        </w:rPr>
      </w:pPr>
    </w:p>
    <w:p w14:paraId="21E35929" w14:textId="77777777" w:rsidR="00A0251B" w:rsidRPr="00CC35F0" w:rsidRDefault="00A0251B">
      <w:pPr>
        <w:rPr>
          <w:rFonts w:ascii="Times New Roman" w:eastAsia="Times New Roman" w:hAnsi="Times New Roman"/>
          <w:sz w:val="24"/>
          <w:szCs w:val="24"/>
          <w:lang w:val="sr-Cyrl-CS"/>
        </w:rPr>
      </w:pPr>
    </w:p>
    <w:tbl>
      <w:tblPr>
        <w:tblStyle w:val="affffd"/>
        <w:tblW w:w="13920" w:type="dxa"/>
        <w:tblInd w:w="1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218"/>
        <w:gridCol w:w="1257"/>
        <w:gridCol w:w="1440"/>
        <w:gridCol w:w="1060"/>
        <w:gridCol w:w="1100"/>
        <w:gridCol w:w="1468"/>
        <w:gridCol w:w="1536"/>
        <w:gridCol w:w="1572"/>
        <w:gridCol w:w="1269"/>
      </w:tblGrid>
      <w:tr w:rsidR="00A0251B" w:rsidRPr="00CC35F0" w14:paraId="1AA92B1F" w14:textId="77777777">
        <w:trPr>
          <w:trHeight w:val="168"/>
        </w:trPr>
        <w:tc>
          <w:tcPr>
            <w:tcW w:w="13920" w:type="dxa"/>
            <w:gridSpan w:val="9"/>
            <w:tcBorders>
              <w:top w:val="single" w:sz="4" w:space="0" w:color="000000"/>
              <w:left w:val="single" w:sz="4" w:space="0" w:color="000000"/>
              <w:bottom w:val="single" w:sz="4" w:space="0" w:color="000000"/>
              <w:right w:val="single" w:sz="4" w:space="0" w:color="000000"/>
            </w:tcBorders>
            <w:shd w:val="clear" w:color="auto" w:fill="F7CBAC"/>
          </w:tcPr>
          <w:p w14:paraId="29E03DA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Мера 1.4.1 : </w:t>
            </w:r>
            <w:r w:rsidRPr="00CC35F0">
              <w:rPr>
                <w:rFonts w:ascii="Times New Roman" w:eastAsia="Times New Roman" w:hAnsi="Times New Roman"/>
                <w:b/>
                <w:sz w:val="24"/>
                <w:szCs w:val="24"/>
                <w:lang w:val="sr-Cyrl-CS"/>
              </w:rPr>
              <w:t xml:space="preserve">Едукација о заштити и квалитету ваздуха, обука за спровођење најбоље праксе и подизање свести </w:t>
            </w:r>
          </w:p>
        </w:tc>
      </w:tr>
      <w:tr w:rsidR="00A0251B" w:rsidRPr="00CC35F0" w14:paraId="6FFD5274" w14:textId="77777777">
        <w:trPr>
          <w:trHeight w:val="298"/>
        </w:trPr>
        <w:tc>
          <w:tcPr>
            <w:tcW w:w="13920" w:type="dxa"/>
            <w:gridSpan w:val="9"/>
            <w:tcBorders>
              <w:top w:val="single" w:sz="4" w:space="0" w:color="000000"/>
              <w:left w:val="single" w:sz="4" w:space="0" w:color="000000"/>
              <w:bottom w:val="single" w:sz="4" w:space="0" w:color="000000"/>
              <w:right w:val="single" w:sz="4" w:space="0" w:color="000000"/>
            </w:tcBorders>
            <w:shd w:val="clear" w:color="auto" w:fill="F7CBAC"/>
            <w:vAlign w:val="center"/>
          </w:tcPr>
          <w:p w14:paraId="66E811BC" w14:textId="77777777" w:rsidR="00A0251B" w:rsidRPr="00CC35F0" w:rsidRDefault="008D6506">
            <w:pPr>
              <w:rPr>
                <w:rFonts w:ascii="Times New Roman" w:eastAsia="Times New Roman" w:hAnsi="Times New Roman"/>
                <w:i/>
                <w:sz w:val="24"/>
                <w:szCs w:val="24"/>
                <w:lang w:val="sr-Cyrl-CS"/>
              </w:rPr>
            </w:pPr>
            <w:r w:rsidRPr="00CC35F0">
              <w:rPr>
                <w:rFonts w:ascii="Times New Roman" w:eastAsia="Times New Roman" w:hAnsi="Times New Roman"/>
                <w:i/>
                <w:color w:val="222222"/>
                <w:sz w:val="24"/>
                <w:szCs w:val="24"/>
                <w:lang w:val="sr-Cyrl-CS"/>
              </w:rPr>
              <w:t>Институција надлежна за спровођење:</w:t>
            </w:r>
            <w:r w:rsidRPr="00CC35F0">
              <w:rPr>
                <w:rFonts w:ascii="Times New Roman" w:eastAsia="Times New Roman" w:hAnsi="Times New Roman"/>
                <w:color w:val="000000"/>
                <w:sz w:val="24"/>
                <w:szCs w:val="24"/>
                <w:lang w:val="sr-Cyrl-CS"/>
              </w:rPr>
              <w:t xml:space="preserve"> МЗЖС</w:t>
            </w:r>
          </w:p>
        </w:tc>
      </w:tr>
      <w:tr w:rsidR="00A0251B" w:rsidRPr="00CC35F0" w14:paraId="0286880B" w14:textId="77777777">
        <w:trPr>
          <w:trHeight w:val="298"/>
        </w:trPr>
        <w:tc>
          <w:tcPr>
            <w:tcW w:w="5915" w:type="dxa"/>
            <w:gridSpan w:val="3"/>
            <w:tcBorders>
              <w:top w:val="single" w:sz="4" w:space="0" w:color="000000"/>
              <w:left w:val="single" w:sz="4" w:space="0" w:color="000000"/>
              <w:bottom w:val="single" w:sz="4" w:space="0" w:color="000000"/>
              <w:right w:val="single" w:sz="4" w:space="0" w:color="000000"/>
            </w:tcBorders>
            <w:shd w:val="clear" w:color="auto" w:fill="F7CBAC"/>
          </w:tcPr>
          <w:p w14:paraId="6451215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Период спровођења: 2023 - 2026</w:t>
            </w:r>
          </w:p>
        </w:tc>
        <w:tc>
          <w:tcPr>
            <w:tcW w:w="8005" w:type="dxa"/>
            <w:gridSpan w:val="6"/>
            <w:tcBorders>
              <w:top w:val="single" w:sz="4" w:space="0" w:color="000000"/>
              <w:left w:val="single" w:sz="4" w:space="0" w:color="000000"/>
              <w:bottom w:val="single" w:sz="4" w:space="0" w:color="000000"/>
              <w:right w:val="single" w:sz="4" w:space="0" w:color="000000"/>
            </w:tcBorders>
            <w:shd w:val="clear" w:color="auto" w:fill="F7CBAC"/>
          </w:tcPr>
          <w:p w14:paraId="177870A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Врста мере : Информативно - едукативна</w:t>
            </w:r>
          </w:p>
        </w:tc>
      </w:tr>
      <w:tr w:rsidR="00A0251B" w:rsidRPr="00CC35F0" w14:paraId="422A4E4E" w14:textId="77777777">
        <w:trPr>
          <w:trHeight w:val="298"/>
        </w:trPr>
        <w:tc>
          <w:tcPr>
            <w:tcW w:w="5915" w:type="dxa"/>
            <w:gridSpan w:val="3"/>
            <w:tcBorders>
              <w:top w:val="single" w:sz="4" w:space="0" w:color="000000"/>
              <w:left w:val="single" w:sz="4" w:space="0" w:color="000000"/>
              <w:bottom w:val="single" w:sz="4" w:space="0" w:color="000000"/>
              <w:right w:val="single" w:sz="4" w:space="0" w:color="000000"/>
            </w:tcBorders>
            <w:shd w:val="clear" w:color="auto" w:fill="F7CBAC"/>
          </w:tcPr>
          <w:p w14:paraId="7E1DCB8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Прописи које треба изменити/донети за спровођење мере :</w:t>
            </w:r>
          </w:p>
        </w:tc>
        <w:tc>
          <w:tcPr>
            <w:tcW w:w="8005" w:type="dxa"/>
            <w:gridSpan w:val="6"/>
            <w:tcBorders>
              <w:top w:val="single" w:sz="4" w:space="0" w:color="000000"/>
              <w:left w:val="single" w:sz="4" w:space="0" w:color="000000"/>
              <w:bottom w:val="single" w:sz="4" w:space="0" w:color="000000"/>
              <w:right w:val="single" w:sz="4" w:space="0" w:color="000000"/>
            </w:tcBorders>
            <w:shd w:val="clear" w:color="auto" w:fill="F7CBAC"/>
            <w:vAlign w:val="center"/>
          </w:tcPr>
          <w:p w14:paraId="58153F4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NA</w:t>
            </w:r>
          </w:p>
        </w:tc>
      </w:tr>
      <w:tr w:rsidR="00A0251B" w:rsidRPr="00CC35F0" w14:paraId="4DA65CB5" w14:textId="77777777">
        <w:trPr>
          <w:trHeight w:val="950"/>
        </w:trPr>
        <w:tc>
          <w:tcPr>
            <w:tcW w:w="3218" w:type="dxa"/>
            <w:tcBorders>
              <w:top w:val="single" w:sz="4" w:space="0" w:color="000000"/>
              <w:left w:val="single" w:sz="4" w:space="0" w:color="000000"/>
              <w:bottom w:val="single" w:sz="4" w:space="0" w:color="000000"/>
              <w:right w:val="single" w:sz="4" w:space="0" w:color="000000"/>
            </w:tcBorders>
            <w:shd w:val="clear" w:color="auto" w:fill="D9D9D9"/>
          </w:tcPr>
          <w:p w14:paraId="6C0ADE4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Показатељ(и) на нивоу мере (</w:t>
            </w:r>
            <w:r w:rsidRPr="00CC35F0">
              <w:rPr>
                <w:rFonts w:ascii="Times New Roman" w:eastAsia="Times New Roman" w:hAnsi="Times New Roman"/>
                <w:i/>
                <w:sz w:val="24"/>
                <w:szCs w:val="24"/>
                <w:lang w:val="sr-Cyrl-CS"/>
              </w:rPr>
              <w:t>показатељ резултата</w:t>
            </w:r>
            <w:r w:rsidRPr="00CC35F0">
              <w:rPr>
                <w:rFonts w:ascii="Times New Roman" w:eastAsia="Times New Roman" w:hAnsi="Times New Roman"/>
                <w:sz w:val="24"/>
                <w:szCs w:val="24"/>
                <w:lang w:val="sr-Cyrl-CS"/>
              </w:rPr>
              <w:t>)</w:t>
            </w:r>
          </w:p>
          <w:p w14:paraId="77FF1340" w14:textId="77777777" w:rsidR="00A0251B" w:rsidRPr="00CC35F0" w:rsidRDefault="00A0251B">
            <w:pPr>
              <w:jc w:val="center"/>
              <w:rPr>
                <w:rFonts w:ascii="Times New Roman" w:eastAsia="Times New Roman" w:hAnsi="Times New Roman"/>
                <w:sz w:val="24"/>
                <w:szCs w:val="24"/>
                <w:lang w:val="sr-Cyrl-CS"/>
              </w:rPr>
            </w:pPr>
          </w:p>
        </w:tc>
        <w:tc>
          <w:tcPr>
            <w:tcW w:w="1257" w:type="dxa"/>
            <w:tcBorders>
              <w:top w:val="single" w:sz="4" w:space="0" w:color="000000"/>
              <w:left w:val="single" w:sz="4" w:space="0" w:color="000000"/>
              <w:bottom w:val="single" w:sz="4" w:space="0" w:color="000000"/>
              <w:right w:val="single" w:sz="4" w:space="0" w:color="000000"/>
            </w:tcBorders>
            <w:shd w:val="clear" w:color="auto" w:fill="D9D9D9"/>
          </w:tcPr>
          <w:p w14:paraId="0F92720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Јединица мере</w:t>
            </w:r>
          </w:p>
        </w:tc>
        <w:tc>
          <w:tcPr>
            <w:tcW w:w="1440" w:type="dxa"/>
            <w:tcBorders>
              <w:top w:val="single" w:sz="4" w:space="0" w:color="000000"/>
              <w:left w:val="single" w:sz="4" w:space="0" w:color="000000"/>
              <w:bottom w:val="single" w:sz="4" w:space="0" w:color="000000"/>
              <w:right w:val="single" w:sz="4" w:space="0" w:color="000000"/>
            </w:tcBorders>
            <w:shd w:val="clear" w:color="auto" w:fill="D9D9D9"/>
          </w:tcPr>
          <w:p w14:paraId="002CCF5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B036BA">
              <w:rPr>
                <w:rFonts w:ascii="Times New Roman" w:eastAsia="Times New Roman" w:hAnsi="Times New Roman"/>
                <w:sz w:val="20"/>
                <w:szCs w:val="20"/>
                <w:lang w:val="sr-Cyrl-CS"/>
              </w:rPr>
              <w:t>верификације</w:t>
            </w:r>
          </w:p>
        </w:tc>
        <w:tc>
          <w:tcPr>
            <w:tcW w:w="1060" w:type="dxa"/>
            <w:tcBorders>
              <w:top w:val="single" w:sz="4" w:space="0" w:color="000000"/>
              <w:left w:val="single" w:sz="4" w:space="0" w:color="000000"/>
              <w:bottom w:val="single" w:sz="4" w:space="0" w:color="000000"/>
              <w:right w:val="single" w:sz="4" w:space="0" w:color="000000"/>
            </w:tcBorders>
            <w:shd w:val="clear" w:color="auto" w:fill="D9D9D9"/>
          </w:tcPr>
          <w:p w14:paraId="521BAFF9" w14:textId="77777777" w:rsidR="00A0251B" w:rsidRPr="00CC35F0" w:rsidRDefault="008D6506">
            <w:pPr>
              <w:jc w:val="center"/>
              <w:rPr>
                <w:rFonts w:ascii="Times New Roman" w:eastAsia="Times New Roman" w:hAnsi="Times New Roman"/>
                <w:sz w:val="24"/>
                <w:szCs w:val="24"/>
                <w:lang w:val="sr-Cyrl-CS"/>
              </w:rPr>
            </w:pPr>
            <w:r w:rsidRPr="00B036BA">
              <w:rPr>
                <w:rFonts w:ascii="Times New Roman" w:eastAsia="Times New Roman" w:hAnsi="Times New Roman"/>
                <w:lang w:val="sr-Cyrl-CS"/>
              </w:rPr>
              <w:t xml:space="preserve">Почетна </w:t>
            </w:r>
            <w:r w:rsidRPr="00B036BA">
              <w:rPr>
                <w:rFonts w:ascii="Times New Roman" w:eastAsia="Times New Roman" w:hAnsi="Times New Roman"/>
                <w:sz w:val="21"/>
                <w:szCs w:val="21"/>
                <w:lang w:val="sr-Cyrl-CS"/>
              </w:rPr>
              <w:t>вредност</w:t>
            </w:r>
            <w:r w:rsidRPr="00CC35F0">
              <w:rPr>
                <w:rFonts w:ascii="Times New Roman" w:eastAsia="Times New Roman" w:hAnsi="Times New Roman"/>
                <w:sz w:val="24"/>
                <w:szCs w:val="24"/>
                <w:lang w:val="sr-Cyrl-CS"/>
              </w:rPr>
              <w:t xml:space="preserve"> 2015. године</w:t>
            </w:r>
          </w:p>
        </w:tc>
        <w:tc>
          <w:tcPr>
            <w:tcW w:w="1100" w:type="dxa"/>
            <w:tcBorders>
              <w:top w:val="single" w:sz="4" w:space="0" w:color="000000"/>
              <w:left w:val="single" w:sz="4" w:space="0" w:color="000000"/>
              <w:bottom w:val="single" w:sz="4" w:space="0" w:color="000000"/>
              <w:right w:val="single" w:sz="4" w:space="0" w:color="000000"/>
            </w:tcBorders>
            <w:shd w:val="clear" w:color="auto" w:fill="D9D9D9"/>
          </w:tcPr>
          <w:p w14:paraId="0B3ABC1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Циљана </w:t>
            </w:r>
            <w:r w:rsidRPr="00B036BA">
              <w:rPr>
                <w:rFonts w:ascii="Times New Roman" w:eastAsia="Times New Roman" w:hAnsi="Times New Roman"/>
                <w:lang w:val="sr-Cyrl-CS"/>
              </w:rPr>
              <w:t xml:space="preserve">вредност </w:t>
            </w:r>
            <w:r w:rsidRPr="00CC35F0">
              <w:rPr>
                <w:rFonts w:ascii="Times New Roman" w:eastAsia="Times New Roman" w:hAnsi="Times New Roman"/>
                <w:sz w:val="24"/>
                <w:szCs w:val="24"/>
                <w:lang w:val="sr-Cyrl-CS"/>
              </w:rPr>
              <w:t>2022. година</w:t>
            </w:r>
          </w:p>
        </w:tc>
        <w:tc>
          <w:tcPr>
            <w:tcW w:w="1468" w:type="dxa"/>
            <w:tcBorders>
              <w:top w:val="single" w:sz="4" w:space="0" w:color="000000"/>
              <w:left w:val="single" w:sz="4" w:space="0" w:color="000000"/>
              <w:bottom w:val="single" w:sz="4" w:space="0" w:color="000000"/>
              <w:right w:val="single" w:sz="4" w:space="0" w:color="000000"/>
            </w:tcBorders>
            <w:shd w:val="clear" w:color="auto" w:fill="D9D9D9"/>
          </w:tcPr>
          <w:p w14:paraId="674EEEB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2023. године</w:t>
            </w:r>
          </w:p>
        </w:tc>
        <w:tc>
          <w:tcPr>
            <w:tcW w:w="1536" w:type="dxa"/>
            <w:tcBorders>
              <w:top w:val="single" w:sz="4" w:space="0" w:color="000000"/>
              <w:left w:val="single" w:sz="4" w:space="0" w:color="000000"/>
              <w:bottom w:val="single" w:sz="4" w:space="0" w:color="000000"/>
              <w:right w:val="single" w:sz="4" w:space="0" w:color="000000"/>
            </w:tcBorders>
            <w:shd w:val="clear" w:color="auto" w:fill="D9D9D9"/>
          </w:tcPr>
          <w:p w14:paraId="5A29927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2024. године</w:t>
            </w:r>
          </w:p>
        </w:tc>
        <w:tc>
          <w:tcPr>
            <w:tcW w:w="1572" w:type="dxa"/>
            <w:tcBorders>
              <w:top w:val="single" w:sz="4" w:space="0" w:color="000000"/>
              <w:left w:val="single" w:sz="4" w:space="0" w:color="000000"/>
              <w:bottom w:val="single" w:sz="4" w:space="0" w:color="000000"/>
              <w:right w:val="single" w:sz="4" w:space="0" w:color="000000"/>
            </w:tcBorders>
            <w:shd w:val="clear" w:color="auto" w:fill="D9D9D9"/>
          </w:tcPr>
          <w:p w14:paraId="07E4B5D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Циљана вредност 2025. године</w:t>
            </w:r>
          </w:p>
        </w:tc>
        <w:tc>
          <w:tcPr>
            <w:tcW w:w="1269" w:type="dxa"/>
            <w:tcBorders>
              <w:top w:val="single" w:sz="4" w:space="0" w:color="000000"/>
              <w:left w:val="single" w:sz="4" w:space="0" w:color="000000"/>
              <w:bottom w:val="single" w:sz="4" w:space="0" w:color="000000"/>
              <w:right w:val="single" w:sz="4" w:space="0" w:color="000000"/>
            </w:tcBorders>
            <w:shd w:val="clear" w:color="auto" w:fill="D9D9D9"/>
          </w:tcPr>
          <w:p w14:paraId="6C211EC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Циљана вредност у </w:t>
            </w:r>
            <w:r w:rsidRPr="00B036BA">
              <w:rPr>
                <w:rFonts w:ascii="Times New Roman" w:eastAsia="Times New Roman" w:hAnsi="Times New Roman"/>
                <w:lang w:val="sr-Cyrl-CS"/>
              </w:rPr>
              <w:t>последњој</w:t>
            </w:r>
            <w:r w:rsidRPr="00CC35F0">
              <w:rPr>
                <w:rFonts w:ascii="Times New Roman" w:eastAsia="Times New Roman" w:hAnsi="Times New Roman"/>
                <w:sz w:val="24"/>
                <w:szCs w:val="24"/>
                <w:lang w:val="sr-Cyrl-CS"/>
              </w:rPr>
              <w:t xml:space="preserve"> години </w:t>
            </w:r>
            <w:r w:rsidRPr="00CC35F0">
              <w:rPr>
                <w:rFonts w:ascii="Times New Roman" w:eastAsia="Times New Roman" w:hAnsi="Times New Roman"/>
                <w:sz w:val="24"/>
                <w:szCs w:val="24"/>
                <w:lang w:val="sr-Cyrl-CS"/>
              </w:rPr>
              <w:lastRenderedPageBreak/>
              <w:t>АП, 2026. године</w:t>
            </w:r>
          </w:p>
        </w:tc>
      </w:tr>
      <w:tr w:rsidR="00A0251B" w:rsidRPr="00CC35F0" w14:paraId="07A285D5" w14:textId="77777777">
        <w:trPr>
          <w:trHeight w:val="302"/>
        </w:trPr>
        <w:tc>
          <w:tcPr>
            <w:tcW w:w="3218" w:type="dxa"/>
            <w:tcBorders>
              <w:top w:val="single" w:sz="4" w:space="0" w:color="000000"/>
              <w:left w:val="single" w:sz="4" w:space="0" w:color="000000"/>
              <w:bottom w:val="single" w:sz="4" w:space="0" w:color="000000"/>
              <w:right w:val="single" w:sz="4" w:space="0" w:color="000000"/>
            </w:tcBorders>
            <w:shd w:val="clear" w:color="auto" w:fill="FFFFFF"/>
          </w:tcPr>
          <w:p w14:paraId="023F7063"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Припремљена препорука о утицајима на здравље, информисано 80% домаћинстава и проширено знање о правилној употреби уређаја који као енергент користе чврсто гориво</w:t>
            </w:r>
          </w:p>
        </w:tc>
        <w:tc>
          <w:tcPr>
            <w:tcW w:w="1257" w:type="dxa"/>
            <w:tcBorders>
              <w:top w:val="single" w:sz="4" w:space="0" w:color="000000"/>
              <w:left w:val="single" w:sz="4" w:space="0" w:color="000000"/>
              <w:bottom w:val="single" w:sz="4" w:space="0" w:color="000000"/>
              <w:right w:val="single" w:sz="4" w:space="0" w:color="000000"/>
            </w:tcBorders>
            <w:shd w:val="clear" w:color="auto" w:fill="FFFFFF"/>
          </w:tcPr>
          <w:p w14:paraId="56C7374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ДА/НЕ</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3A0197A"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МЗЖС</w:t>
            </w:r>
          </w:p>
        </w:tc>
        <w:tc>
          <w:tcPr>
            <w:tcW w:w="10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FE2BC6" w14:textId="77777777" w:rsidR="00A0251B" w:rsidRPr="00B036BA" w:rsidRDefault="008D6506">
            <w:pPr>
              <w:jc w:val="center"/>
              <w:rPr>
                <w:rFonts w:ascii="Times New Roman" w:eastAsia="Times New Roman" w:hAnsi="Times New Roman"/>
                <w:vertAlign w:val="superscript"/>
                <w:lang w:val="sr-Cyrl-CS"/>
              </w:rPr>
            </w:pPr>
            <w:r w:rsidRPr="00CC35F0">
              <w:rPr>
                <w:rFonts w:ascii="Times New Roman" w:eastAsia="Times New Roman" w:hAnsi="Times New Roman"/>
                <w:sz w:val="24"/>
                <w:szCs w:val="24"/>
                <w:lang w:val="sr-Cyrl-CS"/>
              </w:rPr>
              <w:t xml:space="preserve">Нема </w:t>
            </w:r>
            <w:r w:rsidRPr="00B036BA">
              <w:rPr>
                <w:rFonts w:ascii="Times New Roman" w:eastAsia="Times New Roman" w:hAnsi="Times New Roman"/>
                <w:lang w:val="sr-Cyrl-CS"/>
              </w:rPr>
              <w:t>података</w:t>
            </w:r>
          </w:p>
          <w:p w14:paraId="74E20539" w14:textId="77777777" w:rsidR="00A0251B" w:rsidRPr="00CC35F0" w:rsidRDefault="00A0251B">
            <w:pPr>
              <w:shd w:val="clear" w:color="auto" w:fill="FFFFFF"/>
              <w:jc w:val="center"/>
              <w:rPr>
                <w:rFonts w:ascii="Times New Roman" w:eastAsia="Times New Roman" w:hAnsi="Times New Roman"/>
                <w:sz w:val="24"/>
                <w:szCs w:val="24"/>
                <w:lang w:val="sr-Cyrl-CS"/>
              </w:rPr>
            </w:pPr>
          </w:p>
        </w:tc>
        <w:tc>
          <w:tcPr>
            <w:tcW w:w="1100" w:type="dxa"/>
            <w:tcBorders>
              <w:top w:val="single" w:sz="4" w:space="0" w:color="000000"/>
              <w:left w:val="single" w:sz="4" w:space="0" w:color="000000"/>
              <w:bottom w:val="single" w:sz="4" w:space="0" w:color="000000"/>
              <w:right w:val="single" w:sz="4" w:space="0" w:color="000000"/>
            </w:tcBorders>
            <w:shd w:val="clear" w:color="auto" w:fill="FFFFFF"/>
          </w:tcPr>
          <w:p w14:paraId="1DEF41B0" w14:textId="77777777" w:rsidR="00A0251B" w:rsidRPr="00CC35F0" w:rsidRDefault="008D6506">
            <w:pPr>
              <w:shd w:val="clear" w:color="auto" w:fill="FFFFFF"/>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 xml:space="preserve">- </w:t>
            </w:r>
          </w:p>
        </w:tc>
        <w:tc>
          <w:tcPr>
            <w:tcW w:w="1468" w:type="dxa"/>
            <w:tcBorders>
              <w:top w:val="single" w:sz="4" w:space="0" w:color="000000"/>
              <w:left w:val="single" w:sz="4" w:space="0" w:color="000000"/>
              <w:bottom w:val="single" w:sz="4" w:space="0" w:color="000000"/>
              <w:right w:val="single" w:sz="4" w:space="0" w:color="000000"/>
            </w:tcBorders>
            <w:shd w:val="clear" w:color="auto" w:fill="FFFFFF"/>
          </w:tcPr>
          <w:p w14:paraId="7EB7B8A7"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536" w:type="dxa"/>
            <w:tcBorders>
              <w:top w:val="single" w:sz="4" w:space="0" w:color="000000"/>
              <w:left w:val="single" w:sz="4" w:space="0" w:color="000000"/>
              <w:bottom w:val="single" w:sz="4" w:space="0" w:color="000000"/>
              <w:right w:val="single" w:sz="4" w:space="0" w:color="000000"/>
            </w:tcBorders>
            <w:shd w:val="clear" w:color="auto" w:fill="FFFFFF"/>
          </w:tcPr>
          <w:p w14:paraId="6933D5F4" w14:textId="77777777" w:rsidR="00A0251B" w:rsidRPr="00CC35F0" w:rsidRDefault="008D6506">
            <w:pPr>
              <w:shd w:val="clear" w:color="auto" w:fill="FFFFFF"/>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tc>
        <w:tc>
          <w:tcPr>
            <w:tcW w:w="1572" w:type="dxa"/>
            <w:tcBorders>
              <w:top w:val="single" w:sz="4" w:space="0" w:color="000000"/>
              <w:left w:val="single" w:sz="4" w:space="0" w:color="000000"/>
              <w:bottom w:val="single" w:sz="4" w:space="0" w:color="000000"/>
              <w:right w:val="single" w:sz="4" w:space="0" w:color="000000"/>
            </w:tcBorders>
            <w:shd w:val="clear" w:color="auto" w:fill="FFFFFF"/>
          </w:tcPr>
          <w:p w14:paraId="04A3D214" w14:textId="77777777" w:rsidR="00A0251B" w:rsidRPr="00CC35F0" w:rsidRDefault="008D6506">
            <w:pPr>
              <w:shd w:val="clear" w:color="auto" w:fill="FFFFFF"/>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ДА</w:t>
            </w:r>
          </w:p>
        </w:tc>
        <w:tc>
          <w:tcPr>
            <w:tcW w:w="1269" w:type="dxa"/>
            <w:tcBorders>
              <w:top w:val="single" w:sz="4" w:space="0" w:color="000000"/>
              <w:left w:val="single" w:sz="4" w:space="0" w:color="000000"/>
              <w:bottom w:val="single" w:sz="4" w:space="0" w:color="000000"/>
              <w:right w:val="single" w:sz="4" w:space="0" w:color="000000"/>
            </w:tcBorders>
            <w:shd w:val="clear" w:color="auto" w:fill="FFFFFF"/>
          </w:tcPr>
          <w:p w14:paraId="1BBEF3FA" w14:textId="77777777" w:rsidR="00A0251B" w:rsidRPr="00CC35F0" w:rsidRDefault="008D6506">
            <w:pPr>
              <w:shd w:val="clear" w:color="auto" w:fill="FFFFFF"/>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ДА</w:t>
            </w:r>
          </w:p>
        </w:tc>
      </w:tr>
    </w:tbl>
    <w:p w14:paraId="00F4DEDA" w14:textId="77777777" w:rsidR="00A0251B" w:rsidRPr="00CC35F0" w:rsidRDefault="00A0251B">
      <w:pPr>
        <w:rPr>
          <w:rFonts w:ascii="Times New Roman" w:eastAsia="Times New Roman" w:hAnsi="Times New Roman"/>
          <w:sz w:val="24"/>
          <w:szCs w:val="24"/>
          <w:lang w:val="sr-Cyrl-CS"/>
        </w:rPr>
      </w:pPr>
    </w:p>
    <w:tbl>
      <w:tblPr>
        <w:tblStyle w:val="affffe"/>
        <w:tblW w:w="13725" w:type="dxa"/>
        <w:tblInd w:w="20"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674"/>
        <w:gridCol w:w="2784"/>
        <w:gridCol w:w="1527"/>
        <w:gridCol w:w="1486"/>
        <w:gridCol w:w="1405"/>
        <w:gridCol w:w="1339"/>
        <w:gridCol w:w="1510"/>
      </w:tblGrid>
      <w:tr w:rsidR="00A0251B" w:rsidRPr="00CC35F0" w14:paraId="7784CC42" w14:textId="77777777">
        <w:trPr>
          <w:trHeight w:val="227"/>
        </w:trPr>
        <w:tc>
          <w:tcPr>
            <w:tcW w:w="3674" w:type="dxa"/>
            <w:vMerge w:val="restart"/>
            <w:shd w:val="clear" w:color="auto" w:fill="A8D08D"/>
          </w:tcPr>
          <w:p w14:paraId="4D15F39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Извор финансирања мера</w:t>
            </w:r>
          </w:p>
          <w:p w14:paraId="5E2EA9A4" w14:textId="77777777" w:rsidR="00A0251B" w:rsidRPr="00CC35F0" w:rsidRDefault="00A0251B">
            <w:pPr>
              <w:jc w:val="center"/>
              <w:rPr>
                <w:rFonts w:ascii="Times New Roman" w:eastAsia="Times New Roman" w:hAnsi="Times New Roman"/>
                <w:sz w:val="24"/>
                <w:szCs w:val="24"/>
                <w:lang w:val="sr-Cyrl-CS"/>
              </w:rPr>
            </w:pPr>
          </w:p>
        </w:tc>
        <w:tc>
          <w:tcPr>
            <w:tcW w:w="2784" w:type="dxa"/>
            <w:vMerge w:val="restart"/>
            <w:shd w:val="clear" w:color="auto" w:fill="A8D08D"/>
          </w:tcPr>
          <w:p w14:paraId="3F2EF05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Веза са програмским буџетом</w:t>
            </w:r>
          </w:p>
        </w:tc>
        <w:tc>
          <w:tcPr>
            <w:tcW w:w="7267" w:type="dxa"/>
            <w:gridSpan w:val="5"/>
            <w:shd w:val="clear" w:color="auto" w:fill="A8D08D"/>
            <w:vAlign w:val="center"/>
          </w:tcPr>
          <w:p w14:paraId="06C610F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Укупна процењена финансијска средства у 000 динара</w:t>
            </w:r>
          </w:p>
        </w:tc>
      </w:tr>
      <w:tr w:rsidR="00A0251B" w:rsidRPr="00CC35F0" w14:paraId="46795211" w14:textId="77777777">
        <w:trPr>
          <w:trHeight w:val="227"/>
        </w:trPr>
        <w:tc>
          <w:tcPr>
            <w:tcW w:w="3674" w:type="dxa"/>
            <w:vMerge/>
            <w:shd w:val="clear" w:color="auto" w:fill="A8D08D"/>
          </w:tcPr>
          <w:p w14:paraId="3C9CF09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2784" w:type="dxa"/>
            <w:vMerge/>
            <w:shd w:val="clear" w:color="auto" w:fill="A8D08D"/>
          </w:tcPr>
          <w:p w14:paraId="6BC6D15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27" w:type="dxa"/>
            <w:shd w:val="clear" w:color="auto" w:fill="A8D08D"/>
            <w:vAlign w:val="center"/>
          </w:tcPr>
          <w:p w14:paraId="455A7D9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2022. године</w:t>
            </w:r>
          </w:p>
        </w:tc>
        <w:tc>
          <w:tcPr>
            <w:tcW w:w="1486" w:type="dxa"/>
            <w:shd w:val="clear" w:color="auto" w:fill="A8D08D"/>
            <w:vAlign w:val="center"/>
          </w:tcPr>
          <w:p w14:paraId="3B916C5D"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2023. године</w:t>
            </w:r>
          </w:p>
        </w:tc>
        <w:tc>
          <w:tcPr>
            <w:tcW w:w="1405" w:type="dxa"/>
            <w:shd w:val="clear" w:color="auto" w:fill="A8D08D"/>
            <w:vAlign w:val="center"/>
          </w:tcPr>
          <w:p w14:paraId="54F7097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2024. године</w:t>
            </w:r>
          </w:p>
        </w:tc>
        <w:tc>
          <w:tcPr>
            <w:tcW w:w="1339" w:type="dxa"/>
            <w:shd w:val="clear" w:color="auto" w:fill="A8D08D"/>
            <w:vAlign w:val="center"/>
          </w:tcPr>
          <w:p w14:paraId="24323634"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 године</w:t>
            </w:r>
          </w:p>
        </w:tc>
        <w:tc>
          <w:tcPr>
            <w:tcW w:w="1510" w:type="dxa"/>
            <w:shd w:val="clear" w:color="auto" w:fill="A8D08D"/>
            <w:vAlign w:val="center"/>
          </w:tcPr>
          <w:p w14:paraId="35562FEC"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2026. године</w:t>
            </w:r>
          </w:p>
        </w:tc>
      </w:tr>
      <w:tr w:rsidR="00A0251B" w:rsidRPr="00CC35F0" w14:paraId="32332A4F" w14:textId="77777777">
        <w:trPr>
          <w:trHeight w:val="398"/>
        </w:trPr>
        <w:tc>
          <w:tcPr>
            <w:tcW w:w="3674" w:type="dxa"/>
            <w:tcBorders>
              <w:top w:val="single" w:sz="4" w:space="0" w:color="000000"/>
              <w:left w:val="single" w:sz="4" w:space="0" w:color="000000"/>
              <w:bottom w:val="single" w:sz="4" w:space="0" w:color="000000"/>
              <w:right w:val="single" w:sz="4" w:space="0" w:color="000000"/>
            </w:tcBorders>
            <w:shd w:val="clear" w:color="auto" w:fill="FFFFFF"/>
          </w:tcPr>
          <w:p w14:paraId="374E2E24"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Финансијска помоћ ЕУ/донатори</w:t>
            </w:r>
          </w:p>
        </w:tc>
        <w:tc>
          <w:tcPr>
            <w:tcW w:w="2784" w:type="dxa"/>
            <w:tcBorders>
              <w:top w:val="single" w:sz="4" w:space="0" w:color="000000"/>
              <w:left w:val="single" w:sz="4" w:space="0" w:color="000000"/>
              <w:bottom w:val="single" w:sz="4" w:space="0" w:color="000000"/>
              <w:right w:val="single" w:sz="4" w:space="0" w:color="000000"/>
            </w:tcBorders>
            <w:shd w:val="clear" w:color="auto" w:fill="FFFFFF"/>
          </w:tcPr>
          <w:p w14:paraId="4D4CFE5C"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C6DCC0" w14:textId="77777777" w:rsidR="00A0251B" w:rsidRPr="00CC35F0" w:rsidRDefault="00A0251B">
            <w:pPr>
              <w:jc w:val="right"/>
              <w:rPr>
                <w:rFonts w:ascii="Times New Roman" w:eastAsia="Times New Roman" w:hAnsi="Times New Roman"/>
                <w:sz w:val="24"/>
                <w:szCs w:val="24"/>
                <w:lang w:val="sr-Cyrl-CS"/>
              </w:rPr>
            </w:pPr>
          </w:p>
        </w:tc>
        <w:tc>
          <w:tcPr>
            <w:tcW w:w="14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0F769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c>
          <w:tcPr>
            <w:tcW w:w="140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4615B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41.125*</w:t>
            </w:r>
          </w:p>
        </w:tc>
        <w:tc>
          <w:tcPr>
            <w:tcW w:w="133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BCD03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41.125*</w:t>
            </w:r>
          </w:p>
        </w:tc>
        <w:tc>
          <w:tcPr>
            <w:tcW w:w="15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8BF49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r>
    </w:tbl>
    <w:p w14:paraId="6FEAF04A" w14:textId="77777777" w:rsidR="00A0251B" w:rsidRPr="00CC35F0" w:rsidRDefault="00A0251B">
      <w:pPr>
        <w:rPr>
          <w:rFonts w:ascii="Times New Roman" w:eastAsia="Times New Roman" w:hAnsi="Times New Roman"/>
          <w:sz w:val="24"/>
          <w:szCs w:val="24"/>
          <w:lang w:val="sr-Cyrl-CS"/>
        </w:rPr>
      </w:pPr>
    </w:p>
    <w:tbl>
      <w:tblPr>
        <w:tblStyle w:val="afffff"/>
        <w:tblW w:w="14541"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1997"/>
        <w:gridCol w:w="1691"/>
        <w:gridCol w:w="1691"/>
        <w:gridCol w:w="1421"/>
        <w:gridCol w:w="1598"/>
        <w:gridCol w:w="1558"/>
        <w:gridCol w:w="917"/>
        <w:gridCol w:w="917"/>
        <w:gridCol w:w="917"/>
        <w:gridCol w:w="917"/>
        <w:gridCol w:w="917"/>
      </w:tblGrid>
      <w:tr w:rsidR="00A0251B" w:rsidRPr="00CC35F0" w14:paraId="1BCB25B1" w14:textId="77777777">
        <w:trPr>
          <w:trHeight w:val="140"/>
        </w:trPr>
        <w:tc>
          <w:tcPr>
            <w:tcW w:w="1997"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23112DB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Назив активности:</w:t>
            </w:r>
          </w:p>
        </w:tc>
        <w:tc>
          <w:tcPr>
            <w:tcW w:w="169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6512748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Орган који спроводи активност</w:t>
            </w:r>
          </w:p>
        </w:tc>
        <w:tc>
          <w:tcPr>
            <w:tcW w:w="169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100C623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Партнерски органи у спровођењу активности</w:t>
            </w:r>
          </w:p>
        </w:tc>
        <w:tc>
          <w:tcPr>
            <w:tcW w:w="1421"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46209A4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Рок за завршетак </w:t>
            </w:r>
            <w:r w:rsidRPr="00B036BA">
              <w:rPr>
                <w:rFonts w:ascii="Times New Roman" w:eastAsia="Times New Roman" w:hAnsi="Times New Roman"/>
                <w:lang w:val="sr-Cyrl-CS"/>
              </w:rPr>
              <w:t xml:space="preserve">спровођења </w:t>
            </w:r>
            <w:r w:rsidRPr="00CC35F0">
              <w:rPr>
                <w:rFonts w:ascii="Times New Roman" w:eastAsia="Times New Roman" w:hAnsi="Times New Roman"/>
                <w:sz w:val="24"/>
                <w:szCs w:val="24"/>
                <w:lang w:val="sr-Cyrl-CS"/>
              </w:rPr>
              <w:t>активности</w:t>
            </w:r>
          </w:p>
        </w:tc>
        <w:tc>
          <w:tcPr>
            <w:tcW w:w="159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6BCBFF9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Извор </w:t>
            </w:r>
            <w:r w:rsidRPr="00B036BA">
              <w:rPr>
                <w:rFonts w:ascii="Times New Roman" w:eastAsia="Times New Roman" w:hAnsi="Times New Roman"/>
                <w:lang w:val="sr-Cyrl-CS"/>
              </w:rPr>
              <w:t>финансирања</w:t>
            </w:r>
          </w:p>
        </w:tc>
        <w:tc>
          <w:tcPr>
            <w:tcW w:w="1558" w:type="dxa"/>
            <w:vMerge w:val="restart"/>
            <w:tcBorders>
              <w:top w:val="single" w:sz="4" w:space="0" w:color="000000"/>
              <w:left w:val="single" w:sz="4" w:space="0" w:color="000000"/>
              <w:bottom w:val="single" w:sz="4" w:space="0" w:color="000000"/>
              <w:right w:val="single" w:sz="4" w:space="0" w:color="000000"/>
            </w:tcBorders>
            <w:shd w:val="clear" w:color="auto" w:fill="FFF2CC"/>
          </w:tcPr>
          <w:p w14:paraId="0C18531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Веза са </w:t>
            </w:r>
            <w:r w:rsidRPr="00B036BA">
              <w:rPr>
                <w:rFonts w:ascii="Times New Roman" w:eastAsia="Times New Roman" w:hAnsi="Times New Roman"/>
                <w:lang w:val="sr-Cyrl-CS"/>
              </w:rPr>
              <w:t xml:space="preserve">програмским </w:t>
            </w:r>
            <w:r w:rsidRPr="00CC35F0">
              <w:rPr>
                <w:rFonts w:ascii="Times New Roman" w:eastAsia="Times New Roman" w:hAnsi="Times New Roman"/>
                <w:sz w:val="24"/>
                <w:szCs w:val="24"/>
                <w:lang w:val="sr-Cyrl-CS"/>
              </w:rPr>
              <w:t>буџетом</w:t>
            </w:r>
          </w:p>
          <w:p w14:paraId="1C38651C" w14:textId="77777777" w:rsidR="00A0251B" w:rsidRPr="00CC35F0" w:rsidRDefault="00A0251B">
            <w:pPr>
              <w:jc w:val="center"/>
              <w:rPr>
                <w:rFonts w:ascii="Times New Roman" w:eastAsia="Times New Roman" w:hAnsi="Times New Roman"/>
                <w:sz w:val="24"/>
                <w:szCs w:val="24"/>
                <w:lang w:val="sr-Cyrl-CS"/>
              </w:rPr>
            </w:pPr>
          </w:p>
        </w:tc>
        <w:tc>
          <w:tcPr>
            <w:tcW w:w="4585" w:type="dxa"/>
            <w:gridSpan w:val="5"/>
            <w:tcBorders>
              <w:top w:val="single" w:sz="4" w:space="0" w:color="000000"/>
              <w:left w:val="single" w:sz="4" w:space="0" w:color="000000"/>
              <w:bottom w:val="single" w:sz="4" w:space="0" w:color="000000"/>
              <w:right w:val="single" w:sz="4" w:space="0" w:color="000000"/>
            </w:tcBorders>
            <w:shd w:val="clear" w:color="auto" w:fill="FFF2CC"/>
          </w:tcPr>
          <w:p w14:paraId="3A8BAF26" w14:textId="77777777" w:rsidR="00A0251B" w:rsidRPr="00CC35F0" w:rsidRDefault="008D6506">
            <w:pPr>
              <w:jc w:val="center"/>
              <w:rPr>
                <w:rFonts w:ascii="Times New Roman" w:eastAsia="Times New Roman" w:hAnsi="Times New Roman"/>
                <w:sz w:val="24"/>
                <w:szCs w:val="24"/>
                <w:vertAlign w:val="superscript"/>
                <w:lang w:val="sr-Cyrl-CS"/>
              </w:rPr>
            </w:pPr>
            <w:r w:rsidRPr="00CC35F0">
              <w:rPr>
                <w:rFonts w:ascii="Times New Roman" w:eastAsia="Times New Roman" w:hAnsi="Times New Roman"/>
                <w:sz w:val="24"/>
                <w:szCs w:val="24"/>
                <w:lang w:val="sr-Cyrl-CS"/>
              </w:rPr>
              <w:t>Укупна процењена финансијска средства по изворима у 000 динара</w:t>
            </w:r>
            <w:r w:rsidR="002D379A" w:rsidRPr="00CC35F0">
              <w:rPr>
                <w:rFonts w:ascii="Times New Roman" w:eastAsia="Times New Roman" w:hAnsi="Times New Roman"/>
                <w:sz w:val="24"/>
                <w:szCs w:val="24"/>
                <w:vertAlign w:val="superscript"/>
                <w:lang w:val="sr-Cyrl-CS"/>
              </w:rPr>
              <w:t>82</w:t>
            </w:r>
          </w:p>
        </w:tc>
      </w:tr>
      <w:tr w:rsidR="00A0251B" w:rsidRPr="00CC35F0" w14:paraId="52D38996" w14:textId="77777777">
        <w:trPr>
          <w:trHeight w:val="386"/>
        </w:trPr>
        <w:tc>
          <w:tcPr>
            <w:tcW w:w="1997" w:type="dxa"/>
            <w:vMerge/>
            <w:tcBorders>
              <w:top w:val="single" w:sz="4" w:space="0" w:color="000000"/>
              <w:left w:val="single" w:sz="4" w:space="0" w:color="000000"/>
              <w:bottom w:val="single" w:sz="4" w:space="0" w:color="000000"/>
              <w:right w:val="single" w:sz="4" w:space="0" w:color="000000"/>
            </w:tcBorders>
            <w:shd w:val="clear" w:color="auto" w:fill="FFF2CC"/>
          </w:tcPr>
          <w:p w14:paraId="5B71A575"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91" w:type="dxa"/>
            <w:vMerge/>
            <w:tcBorders>
              <w:top w:val="single" w:sz="4" w:space="0" w:color="000000"/>
              <w:left w:val="single" w:sz="4" w:space="0" w:color="000000"/>
              <w:bottom w:val="single" w:sz="4" w:space="0" w:color="000000"/>
              <w:right w:val="single" w:sz="4" w:space="0" w:color="000000"/>
            </w:tcBorders>
            <w:shd w:val="clear" w:color="auto" w:fill="FFF2CC"/>
          </w:tcPr>
          <w:p w14:paraId="31E54F26"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691" w:type="dxa"/>
            <w:vMerge/>
            <w:tcBorders>
              <w:top w:val="single" w:sz="4" w:space="0" w:color="000000"/>
              <w:left w:val="single" w:sz="4" w:space="0" w:color="000000"/>
              <w:bottom w:val="single" w:sz="4" w:space="0" w:color="000000"/>
              <w:right w:val="single" w:sz="4" w:space="0" w:color="000000"/>
            </w:tcBorders>
            <w:shd w:val="clear" w:color="auto" w:fill="FFF2CC"/>
          </w:tcPr>
          <w:p w14:paraId="451A2FE2"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1" w:type="dxa"/>
            <w:vMerge/>
            <w:tcBorders>
              <w:top w:val="single" w:sz="4" w:space="0" w:color="000000"/>
              <w:left w:val="single" w:sz="4" w:space="0" w:color="000000"/>
              <w:bottom w:val="single" w:sz="4" w:space="0" w:color="000000"/>
              <w:right w:val="single" w:sz="4" w:space="0" w:color="000000"/>
            </w:tcBorders>
            <w:shd w:val="clear" w:color="auto" w:fill="FFF2CC"/>
          </w:tcPr>
          <w:p w14:paraId="18ABCB1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98" w:type="dxa"/>
            <w:vMerge/>
            <w:tcBorders>
              <w:top w:val="single" w:sz="4" w:space="0" w:color="000000"/>
              <w:left w:val="single" w:sz="4" w:space="0" w:color="000000"/>
              <w:bottom w:val="single" w:sz="4" w:space="0" w:color="000000"/>
              <w:right w:val="single" w:sz="4" w:space="0" w:color="000000"/>
            </w:tcBorders>
            <w:shd w:val="clear" w:color="auto" w:fill="FFF2CC"/>
          </w:tcPr>
          <w:p w14:paraId="119B10F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58" w:type="dxa"/>
            <w:vMerge/>
            <w:tcBorders>
              <w:top w:val="single" w:sz="4" w:space="0" w:color="000000"/>
              <w:left w:val="single" w:sz="4" w:space="0" w:color="000000"/>
              <w:bottom w:val="single" w:sz="4" w:space="0" w:color="000000"/>
              <w:right w:val="single" w:sz="4" w:space="0" w:color="000000"/>
            </w:tcBorders>
            <w:shd w:val="clear" w:color="auto" w:fill="FFF2CC"/>
          </w:tcPr>
          <w:p w14:paraId="04E6A4E2"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17" w:type="dxa"/>
            <w:tcBorders>
              <w:top w:val="single" w:sz="4" w:space="0" w:color="000000"/>
              <w:left w:val="single" w:sz="4" w:space="0" w:color="000000"/>
              <w:bottom w:val="single" w:sz="4" w:space="0" w:color="000000"/>
              <w:right w:val="single" w:sz="4" w:space="0" w:color="000000"/>
            </w:tcBorders>
            <w:shd w:val="clear" w:color="auto" w:fill="FFF2CC"/>
          </w:tcPr>
          <w:p w14:paraId="1F501AB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2022. </w:t>
            </w:r>
            <w:r w:rsidRPr="00B036BA">
              <w:rPr>
                <w:rFonts w:ascii="Times New Roman" w:eastAsia="Times New Roman" w:hAnsi="Times New Roman"/>
                <w:lang w:val="sr-Cyrl-CS"/>
              </w:rPr>
              <w:t>године</w:t>
            </w:r>
          </w:p>
        </w:tc>
        <w:tc>
          <w:tcPr>
            <w:tcW w:w="917" w:type="dxa"/>
            <w:tcBorders>
              <w:top w:val="single" w:sz="4" w:space="0" w:color="000000"/>
              <w:left w:val="single" w:sz="4" w:space="0" w:color="000000"/>
              <w:bottom w:val="single" w:sz="4" w:space="0" w:color="000000"/>
              <w:right w:val="single" w:sz="4" w:space="0" w:color="000000"/>
            </w:tcBorders>
            <w:shd w:val="clear" w:color="auto" w:fill="FFF2CC"/>
          </w:tcPr>
          <w:p w14:paraId="5F1DA330"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2023. </w:t>
            </w:r>
            <w:r w:rsidRPr="00B036BA">
              <w:rPr>
                <w:rFonts w:ascii="Times New Roman" w:eastAsia="Times New Roman" w:hAnsi="Times New Roman"/>
                <w:lang w:val="sr-Cyrl-CS"/>
              </w:rPr>
              <w:t>године</w:t>
            </w:r>
          </w:p>
        </w:tc>
        <w:tc>
          <w:tcPr>
            <w:tcW w:w="917" w:type="dxa"/>
            <w:tcBorders>
              <w:top w:val="single" w:sz="4" w:space="0" w:color="000000"/>
              <w:left w:val="single" w:sz="4" w:space="0" w:color="000000"/>
              <w:bottom w:val="single" w:sz="4" w:space="0" w:color="000000"/>
              <w:right w:val="single" w:sz="4" w:space="0" w:color="000000"/>
            </w:tcBorders>
            <w:shd w:val="clear" w:color="auto" w:fill="FFF2CC"/>
          </w:tcPr>
          <w:p w14:paraId="0F0A57EF"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2024. </w:t>
            </w:r>
            <w:r w:rsidRPr="00B036BA">
              <w:rPr>
                <w:rFonts w:ascii="Times New Roman" w:eastAsia="Times New Roman" w:hAnsi="Times New Roman"/>
                <w:lang w:val="sr-Cyrl-CS"/>
              </w:rPr>
              <w:t>године</w:t>
            </w:r>
          </w:p>
        </w:tc>
        <w:tc>
          <w:tcPr>
            <w:tcW w:w="917" w:type="dxa"/>
            <w:tcBorders>
              <w:top w:val="single" w:sz="4" w:space="0" w:color="000000"/>
              <w:left w:val="single" w:sz="4" w:space="0" w:color="000000"/>
              <w:bottom w:val="single" w:sz="4" w:space="0" w:color="000000"/>
              <w:right w:val="single" w:sz="4" w:space="0" w:color="000000"/>
            </w:tcBorders>
            <w:shd w:val="clear" w:color="auto" w:fill="FFF2CC"/>
          </w:tcPr>
          <w:p w14:paraId="1ADC2A1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2025. </w:t>
            </w:r>
            <w:r w:rsidRPr="00B036BA">
              <w:rPr>
                <w:rFonts w:ascii="Times New Roman" w:eastAsia="Times New Roman" w:hAnsi="Times New Roman"/>
                <w:lang w:val="sr-Cyrl-CS"/>
              </w:rPr>
              <w:t>године</w:t>
            </w:r>
          </w:p>
        </w:tc>
        <w:tc>
          <w:tcPr>
            <w:tcW w:w="917" w:type="dxa"/>
            <w:tcBorders>
              <w:top w:val="single" w:sz="4" w:space="0" w:color="000000"/>
              <w:left w:val="single" w:sz="4" w:space="0" w:color="000000"/>
              <w:bottom w:val="single" w:sz="4" w:space="0" w:color="000000"/>
              <w:right w:val="single" w:sz="4" w:space="0" w:color="000000"/>
            </w:tcBorders>
            <w:shd w:val="clear" w:color="auto" w:fill="FFF2CC"/>
          </w:tcPr>
          <w:p w14:paraId="0B478C06"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2026. </w:t>
            </w:r>
            <w:r w:rsidRPr="00B036BA">
              <w:rPr>
                <w:rFonts w:ascii="Times New Roman" w:eastAsia="Times New Roman" w:hAnsi="Times New Roman"/>
                <w:lang w:val="sr-Cyrl-CS"/>
              </w:rPr>
              <w:t>године</w:t>
            </w:r>
          </w:p>
        </w:tc>
      </w:tr>
      <w:tr w:rsidR="00A0251B" w:rsidRPr="00CC35F0" w14:paraId="514ED24F" w14:textId="77777777">
        <w:trPr>
          <w:trHeight w:val="543"/>
        </w:trPr>
        <w:tc>
          <w:tcPr>
            <w:tcW w:w="1997" w:type="dxa"/>
            <w:tcBorders>
              <w:top w:val="single" w:sz="4" w:space="0" w:color="000000"/>
              <w:left w:val="single" w:sz="4" w:space="0" w:color="000000"/>
              <w:bottom w:val="single" w:sz="4" w:space="0" w:color="000000"/>
              <w:right w:val="single" w:sz="4" w:space="0" w:color="000000"/>
            </w:tcBorders>
          </w:tcPr>
          <w:p w14:paraId="18521D4E"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1.4.1.1 Едукација: реализација пројеката </w:t>
            </w:r>
            <w:r w:rsidR="002A1E41">
              <w:rPr>
                <w:rFonts w:ascii="Times New Roman" w:eastAsia="Times New Roman" w:hAnsi="Times New Roman"/>
                <w:sz w:val="24"/>
                <w:szCs w:val="24"/>
                <w:lang w:val="sr-Cyrl-CS"/>
              </w:rPr>
              <w:t>о заштити животне с</w:t>
            </w:r>
            <w:r w:rsidRPr="00CC35F0">
              <w:rPr>
                <w:rFonts w:ascii="Times New Roman" w:eastAsia="Times New Roman" w:hAnsi="Times New Roman"/>
                <w:sz w:val="24"/>
                <w:szCs w:val="24"/>
                <w:lang w:val="sr-Cyrl-CS"/>
              </w:rPr>
              <w:t>редине и квалитету ваздуха и улога деце у њеном очувању.</w:t>
            </w:r>
          </w:p>
        </w:tc>
        <w:tc>
          <w:tcPr>
            <w:tcW w:w="1691" w:type="dxa"/>
            <w:tcBorders>
              <w:top w:val="single" w:sz="4" w:space="0" w:color="000000"/>
              <w:left w:val="single" w:sz="4" w:space="0" w:color="000000"/>
              <w:bottom w:val="single" w:sz="4" w:space="0" w:color="000000"/>
              <w:right w:val="single" w:sz="4" w:space="0" w:color="000000"/>
            </w:tcBorders>
          </w:tcPr>
          <w:p w14:paraId="213AFCB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 xml:space="preserve">Министарство просвете </w:t>
            </w:r>
          </w:p>
        </w:tc>
        <w:tc>
          <w:tcPr>
            <w:tcW w:w="1691" w:type="dxa"/>
            <w:vMerge w:val="restart"/>
            <w:tcBorders>
              <w:top w:val="single" w:sz="4" w:space="0" w:color="000000"/>
              <w:left w:val="single" w:sz="4" w:space="0" w:color="000000"/>
              <w:right w:val="single" w:sz="4" w:space="0" w:color="000000"/>
            </w:tcBorders>
          </w:tcPr>
          <w:p w14:paraId="6EFD1DD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color w:val="000000"/>
                <w:sz w:val="24"/>
                <w:szCs w:val="24"/>
                <w:lang w:val="sr-Cyrl-CS"/>
              </w:rPr>
              <w:t>МЗЖС, Министарство здравља, Јединице локалне</w:t>
            </w:r>
            <w:r w:rsidR="00A627E1" w:rsidRPr="00CC35F0">
              <w:rPr>
                <w:rFonts w:ascii="Times New Roman" w:eastAsia="Times New Roman" w:hAnsi="Times New Roman"/>
                <w:color w:val="000000"/>
                <w:sz w:val="24"/>
                <w:szCs w:val="24"/>
                <w:lang w:val="sr-Cyrl-CS"/>
              </w:rPr>
              <w:t xml:space="preserve"> самоуправе, АП</w:t>
            </w:r>
            <w:r w:rsidRPr="00CC35F0">
              <w:rPr>
                <w:rFonts w:ascii="Times New Roman" w:eastAsia="Times New Roman" w:hAnsi="Times New Roman"/>
                <w:color w:val="000000"/>
                <w:sz w:val="24"/>
                <w:szCs w:val="24"/>
                <w:lang w:val="sr-Cyrl-CS"/>
              </w:rPr>
              <w:t xml:space="preserve"> Војводина,  АЗЖС, </w:t>
            </w:r>
            <w:r w:rsidRPr="00CC35F0">
              <w:rPr>
                <w:rFonts w:ascii="Times New Roman" w:eastAsia="Times New Roman" w:hAnsi="Times New Roman"/>
                <w:sz w:val="24"/>
                <w:szCs w:val="24"/>
                <w:lang w:val="sr-Cyrl-CS"/>
              </w:rPr>
              <w:t xml:space="preserve">Привредна </w:t>
            </w:r>
            <w:r w:rsidRPr="00CC35F0">
              <w:rPr>
                <w:rFonts w:ascii="Times New Roman" w:eastAsia="Times New Roman" w:hAnsi="Times New Roman"/>
                <w:sz w:val="24"/>
                <w:szCs w:val="24"/>
                <w:lang w:val="sr-Cyrl-CS"/>
              </w:rPr>
              <w:lastRenderedPageBreak/>
              <w:t>комора Србије, истраживачке институције</w:t>
            </w:r>
          </w:p>
        </w:tc>
        <w:tc>
          <w:tcPr>
            <w:tcW w:w="1421" w:type="dxa"/>
            <w:tcBorders>
              <w:top w:val="single" w:sz="4" w:space="0" w:color="000000"/>
              <w:left w:val="single" w:sz="4" w:space="0" w:color="000000"/>
              <w:bottom w:val="single" w:sz="4" w:space="0" w:color="000000"/>
              <w:right w:val="single" w:sz="4" w:space="0" w:color="000000"/>
            </w:tcBorders>
          </w:tcPr>
          <w:p w14:paraId="7F6DBD01"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IV квартал 2025</w:t>
            </w:r>
          </w:p>
        </w:tc>
        <w:tc>
          <w:tcPr>
            <w:tcW w:w="1598" w:type="dxa"/>
            <w:tcBorders>
              <w:top w:val="single" w:sz="4" w:space="0" w:color="000000"/>
              <w:left w:val="single" w:sz="4" w:space="0" w:color="000000"/>
              <w:bottom w:val="single" w:sz="4" w:space="0" w:color="000000"/>
              <w:right w:val="single" w:sz="4" w:space="0" w:color="000000"/>
            </w:tcBorders>
          </w:tcPr>
          <w:p w14:paraId="2FF8C6B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58" w:type="dxa"/>
            <w:tcBorders>
              <w:top w:val="single" w:sz="4" w:space="0" w:color="000000"/>
              <w:left w:val="single" w:sz="4" w:space="0" w:color="000000"/>
              <w:bottom w:val="single" w:sz="4" w:space="0" w:color="000000"/>
              <w:right w:val="single" w:sz="4" w:space="0" w:color="000000"/>
            </w:tcBorders>
          </w:tcPr>
          <w:p w14:paraId="75EC8EAE" w14:textId="77777777" w:rsidR="00A0251B" w:rsidRPr="00CC35F0" w:rsidRDefault="008D6506">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w:t>
            </w:r>
          </w:p>
        </w:tc>
        <w:tc>
          <w:tcPr>
            <w:tcW w:w="917" w:type="dxa"/>
            <w:tcBorders>
              <w:top w:val="single" w:sz="4" w:space="0" w:color="000000"/>
              <w:left w:val="single" w:sz="4" w:space="0" w:color="000000"/>
              <w:bottom w:val="single" w:sz="4" w:space="0" w:color="000000"/>
              <w:right w:val="single" w:sz="4" w:space="0" w:color="000000"/>
            </w:tcBorders>
          </w:tcPr>
          <w:p w14:paraId="0F2AA37F" w14:textId="77777777" w:rsidR="00A0251B" w:rsidRPr="00CC35F0" w:rsidRDefault="00A0251B">
            <w:pPr>
              <w:jc w:val="right"/>
              <w:rPr>
                <w:rFonts w:ascii="Times New Roman" w:eastAsia="Times New Roman" w:hAnsi="Times New Roman"/>
                <w:sz w:val="24"/>
                <w:szCs w:val="24"/>
                <w:lang w:val="sr-Cyrl-CS"/>
              </w:rPr>
            </w:pPr>
          </w:p>
        </w:tc>
        <w:tc>
          <w:tcPr>
            <w:tcW w:w="917" w:type="dxa"/>
            <w:tcBorders>
              <w:top w:val="single" w:sz="4" w:space="0" w:color="000000"/>
              <w:left w:val="single" w:sz="4" w:space="0" w:color="000000"/>
              <w:bottom w:val="single" w:sz="4" w:space="0" w:color="000000"/>
              <w:right w:val="single" w:sz="4" w:space="0" w:color="000000"/>
            </w:tcBorders>
          </w:tcPr>
          <w:p w14:paraId="71CF0365" w14:textId="77777777" w:rsidR="00A0251B" w:rsidRPr="00CC35F0" w:rsidRDefault="00A0251B">
            <w:pPr>
              <w:jc w:val="right"/>
              <w:rPr>
                <w:rFonts w:ascii="Times New Roman" w:eastAsia="Times New Roman" w:hAnsi="Times New Roman"/>
                <w:sz w:val="24"/>
                <w:szCs w:val="24"/>
                <w:lang w:val="sr-Cyrl-CS"/>
              </w:rPr>
            </w:pPr>
          </w:p>
        </w:tc>
        <w:tc>
          <w:tcPr>
            <w:tcW w:w="917" w:type="dxa"/>
            <w:tcBorders>
              <w:top w:val="single" w:sz="4" w:space="0" w:color="000000"/>
              <w:left w:val="single" w:sz="4" w:space="0" w:color="000000"/>
              <w:bottom w:val="single" w:sz="4" w:space="0" w:color="000000"/>
              <w:right w:val="single" w:sz="4" w:space="0" w:color="000000"/>
            </w:tcBorders>
          </w:tcPr>
          <w:p w14:paraId="2DC225B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29.375</w:t>
            </w:r>
          </w:p>
        </w:tc>
        <w:tc>
          <w:tcPr>
            <w:tcW w:w="917" w:type="dxa"/>
            <w:tcBorders>
              <w:top w:val="single" w:sz="4" w:space="0" w:color="000000"/>
              <w:left w:val="single" w:sz="4" w:space="0" w:color="000000"/>
              <w:bottom w:val="single" w:sz="4" w:space="0" w:color="000000"/>
              <w:right w:val="single" w:sz="4" w:space="0" w:color="000000"/>
            </w:tcBorders>
          </w:tcPr>
          <w:p w14:paraId="0C2E9AC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29.375</w:t>
            </w:r>
          </w:p>
        </w:tc>
        <w:tc>
          <w:tcPr>
            <w:tcW w:w="917" w:type="dxa"/>
            <w:tcBorders>
              <w:top w:val="single" w:sz="4" w:space="0" w:color="000000"/>
              <w:left w:val="single" w:sz="4" w:space="0" w:color="000000"/>
              <w:bottom w:val="single" w:sz="4" w:space="0" w:color="000000"/>
              <w:right w:val="single" w:sz="4" w:space="0" w:color="000000"/>
            </w:tcBorders>
          </w:tcPr>
          <w:p w14:paraId="72F58DD3" w14:textId="77777777" w:rsidR="00A0251B" w:rsidRPr="00CC35F0" w:rsidRDefault="00A0251B">
            <w:pPr>
              <w:jc w:val="right"/>
              <w:rPr>
                <w:rFonts w:ascii="Times New Roman" w:eastAsia="Times New Roman" w:hAnsi="Times New Roman"/>
                <w:sz w:val="24"/>
                <w:szCs w:val="24"/>
                <w:lang w:val="sr-Cyrl-CS"/>
              </w:rPr>
            </w:pPr>
          </w:p>
        </w:tc>
      </w:tr>
      <w:tr w:rsidR="00A0251B" w:rsidRPr="00CC35F0" w14:paraId="2ACFB1C5" w14:textId="77777777">
        <w:trPr>
          <w:trHeight w:val="543"/>
        </w:trPr>
        <w:tc>
          <w:tcPr>
            <w:tcW w:w="1997" w:type="dxa"/>
            <w:tcBorders>
              <w:top w:val="single" w:sz="4" w:space="0" w:color="000000"/>
              <w:left w:val="single" w:sz="4" w:space="0" w:color="000000"/>
              <w:bottom w:val="single" w:sz="4" w:space="0" w:color="000000"/>
              <w:right w:val="single" w:sz="4" w:space="0" w:color="000000"/>
            </w:tcBorders>
          </w:tcPr>
          <w:p w14:paraId="57E707E0" w14:textId="77777777" w:rsidR="00A0251B" w:rsidRPr="00CC35F0" w:rsidRDefault="008D6506">
            <w:pP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1.4.1.2. Изградња капацитета, кампање за подизање свести и саветовање домаћинстава о правилној употреби уређаја на чврста горива, процена садржаја влаге у дрвној биомаси</w:t>
            </w:r>
          </w:p>
        </w:tc>
        <w:tc>
          <w:tcPr>
            <w:tcW w:w="1691" w:type="dxa"/>
            <w:tcBorders>
              <w:top w:val="single" w:sz="4" w:space="0" w:color="000000"/>
              <w:left w:val="single" w:sz="4" w:space="0" w:color="000000"/>
              <w:bottom w:val="single" w:sz="4" w:space="0" w:color="000000"/>
              <w:right w:val="single" w:sz="4" w:space="0" w:color="000000"/>
            </w:tcBorders>
          </w:tcPr>
          <w:p w14:paraId="5525FAC9" w14:textId="77777777" w:rsidR="00A0251B" w:rsidRPr="00CC35F0" w:rsidRDefault="008D6506">
            <w:pPr>
              <w:rPr>
                <w:rFonts w:ascii="Times New Roman" w:eastAsia="Times New Roman" w:hAnsi="Times New Roman"/>
                <w:sz w:val="24"/>
                <w:szCs w:val="24"/>
                <w:lang w:val="sr-Cyrl-CS"/>
              </w:rPr>
            </w:pPr>
            <w:r w:rsidRPr="00B036BA">
              <w:rPr>
                <w:rFonts w:ascii="Times New Roman" w:eastAsia="Times New Roman" w:hAnsi="Times New Roman"/>
                <w:color w:val="000000"/>
                <w:lang w:val="sr-Cyrl-CS"/>
              </w:rPr>
              <w:t>Министарство</w:t>
            </w:r>
            <w:r w:rsidRPr="00CC35F0">
              <w:rPr>
                <w:rFonts w:ascii="Times New Roman" w:eastAsia="Times New Roman" w:hAnsi="Times New Roman"/>
                <w:color w:val="000000"/>
                <w:sz w:val="24"/>
                <w:szCs w:val="24"/>
                <w:lang w:val="sr-Cyrl-CS"/>
              </w:rPr>
              <w:t xml:space="preserve"> рударства и енергетике</w:t>
            </w:r>
          </w:p>
        </w:tc>
        <w:tc>
          <w:tcPr>
            <w:tcW w:w="1691" w:type="dxa"/>
            <w:vMerge/>
            <w:tcBorders>
              <w:top w:val="single" w:sz="4" w:space="0" w:color="000000"/>
              <w:left w:val="single" w:sz="4" w:space="0" w:color="000000"/>
              <w:right w:val="single" w:sz="4" w:space="0" w:color="000000"/>
            </w:tcBorders>
          </w:tcPr>
          <w:p w14:paraId="2D12C5C4"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1" w:type="dxa"/>
            <w:vMerge w:val="restart"/>
            <w:tcBorders>
              <w:top w:val="single" w:sz="4" w:space="0" w:color="000000"/>
              <w:left w:val="single" w:sz="4" w:space="0" w:color="000000"/>
              <w:right w:val="single" w:sz="4" w:space="0" w:color="000000"/>
            </w:tcBorders>
          </w:tcPr>
          <w:p w14:paraId="4439B46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IV квартал 2026</w:t>
            </w:r>
          </w:p>
        </w:tc>
        <w:tc>
          <w:tcPr>
            <w:tcW w:w="1598" w:type="dxa"/>
            <w:vMerge w:val="restart"/>
            <w:tcBorders>
              <w:top w:val="single" w:sz="4" w:space="0" w:color="000000"/>
              <w:left w:val="single" w:sz="4" w:space="0" w:color="000000"/>
              <w:right w:val="single" w:sz="4" w:space="0" w:color="000000"/>
            </w:tcBorders>
          </w:tcPr>
          <w:p w14:paraId="74CA1F0A"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донаторска средства</w:t>
            </w:r>
          </w:p>
        </w:tc>
        <w:tc>
          <w:tcPr>
            <w:tcW w:w="1558" w:type="dxa"/>
            <w:vMerge w:val="restart"/>
            <w:tcBorders>
              <w:top w:val="single" w:sz="4" w:space="0" w:color="000000"/>
              <w:left w:val="single" w:sz="4" w:space="0" w:color="000000"/>
              <w:right w:val="single" w:sz="4" w:space="0" w:color="000000"/>
            </w:tcBorders>
          </w:tcPr>
          <w:p w14:paraId="0915C41D" w14:textId="77777777" w:rsidR="00A0251B" w:rsidRPr="00CC35F0" w:rsidRDefault="008D6506">
            <w:pPr>
              <w:jc w:val="center"/>
              <w:rPr>
                <w:rFonts w:ascii="Times New Roman" w:eastAsia="Times New Roman" w:hAnsi="Times New Roman"/>
                <w:sz w:val="24"/>
                <w:szCs w:val="24"/>
                <w:highlight w:val="yellow"/>
                <w:lang w:val="sr-Cyrl-CS"/>
              </w:rPr>
            </w:pPr>
            <w:r w:rsidRPr="00CC35F0">
              <w:rPr>
                <w:rFonts w:ascii="Times New Roman" w:eastAsia="Times New Roman" w:hAnsi="Times New Roman"/>
                <w:sz w:val="24"/>
                <w:szCs w:val="24"/>
                <w:lang w:val="sr-Cyrl-CS"/>
              </w:rPr>
              <w:t>[….]</w:t>
            </w:r>
          </w:p>
        </w:tc>
        <w:tc>
          <w:tcPr>
            <w:tcW w:w="917" w:type="dxa"/>
            <w:vMerge w:val="restart"/>
            <w:tcBorders>
              <w:top w:val="single" w:sz="4" w:space="0" w:color="000000"/>
              <w:left w:val="single" w:sz="4" w:space="0" w:color="000000"/>
              <w:right w:val="single" w:sz="4" w:space="0" w:color="000000"/>
            </w:tcBorders>
          </w:tcPr>
          <w:p w14:paraId="23113B38" w14:textId="77777777" w:rsidR="00A0251B" w:rsidRPr="00CC35F0" w:rsidRDefault="00A0251B">
            <w:pPr>
              <w:jc w:val="right"/>
              <w:rPr>
                <w:rFonts w:ascii="Times New Roman" w:eastAsia="Times New Roman" w:hAnsi="Times New Roman"/>
                <w:sz w:val="24"/>
                <w:szCs w:val="24"/>
                <w:lang w:val="sr-Cyrl-CS"/>
              </w:rPr>
            </w:pPr>
          </w:p>
        </w:tc>
        <w:tc>
          <w:tcPr>
            <w:tcW w:w="917" w:type="dxa"/>
            <w:vMerge w:val="restart"/>
            <w:tcBorders>
              <w:top w:val="single" w:sz="4" w:space="0" w:color="000000"/>
              <w:left w:val="single" w:sz="4" w:space="0" w:color="000000"/>
              <w:right w:val="single" w:sz="4" w:space="0" w:color="000000"/>
            </w:tcBorders>
          </w:tcPr>
          <w:p w14:paraId="67198D0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c>
          <w:tcPr>
            <w:tcW w:w="917" w:type="dxa"/>
            <w:vMerge w:val="restart"/>
            <w:tcBorders>
              <w:top w:val="single" w:sz="4" w:space="0" w:color="000000"/>
              <w:left w:val="single" w:sz="4" w:space="0" w:color="000000"/>
              <w:right w:val="single" w:sz="4" w:space="0" w:color="000000"/>
            </w:tcBorders>
          </w:tcPr>
          <w:p w14:paraId="5A448D3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c>
          <w:tcPr>
            <w:tcW w:w="917" w:type="dxa"/>
            <w:vMerge w:val="restart"/>
            <w:tcBorders>
              <w:top w:val="single" w:sz="4" w:space="0" w:color="000000"/>
              <w:left w:val="single" w:sz="4" w:space="0" w:color="000000"/>
              <w:right w:val="single" w:sz="4" w:space="0" w:color="000000"/>
            </w:tcBorders>
          </w:tcPr>
          <w:p w14:paraId="12EAC6A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c>
          <w:tcPr>
            <w:tcW w:w="917" w:type="dxa"/>
            <w:vMerge w:val="restart"/>
            <w:tcBorders>
              <w:top w:val="single" w:sz="4" w:space="0" w:color="000000"/>
              <w:left w:val="single" w:sz="4" w:space="0" w:color="000000"/>
              <w:right w:val="single" w:sz="4" w:space="0" w:color="000000"/>
            </w:tcBorders>
          </w:tcPr>
          <w:p w14:paraId="53D4EE8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11.750</w:t>
            </w:r>
          </w:p>
        </w:tc>
      </w:tr>
      <w:tr w:rsidR="00A0251B" w:rsidRPr="00CC35F0" w14:paraId="04B77D16" w14:textId="77777777">
        <w:trPr>
          <w:trHeight w:val="140"/>
        </w:trPr>
        <w:tc>
          <w:tcPr>
            <w:tcW w:w="1997" w:type="dxa"/>
            <w:tcBorders>
              <w:top w:val="single" w:sz="4" w:space="0" w:color="000000"/>
              <w:left w:val="single" w:sz="4" w:space="0" w:color="000000"/>
              <w:bottom w:val="single" w:sz="4" w:space="0" w:color="000000"/>
              <w:right w:val="single" w:sz="4" w:space="0" w:color="000000"/>
            </w:tcBorders>
          </w:tcPr>
          <w:p w14:paraId="7CE3AEA6" w14:textId="77777777" w:rsidR="00A0251B" w:rsidRPr="00CC35F0" w:rsidRDefault="008D6506">
            <w:pPr>
              <w:rPr>
                <w:rFonts w:ascii="Times New Roman" w:eastAsia="Times New Roman" w:hAnsi="Times New Roman"/>
                <w:b/>
                <w:sz w:val="24"/>
                <w:szCs w:val="24"/>
                <w:lang w:val="sr-Cyrl-CS"/>
              </w:rPr>
            </w:pPr>
            <w:r w:rsidRPr="00CC35F0">
              <w:rPr>
                <w:rFonts w:ascii="Times New Roman" w:eastAsia="Times New Roman" w:hAnsi="Times New Roman"/>
                <w:color w:val="000000"/>
                <w:sz w:val="24"/>
                <w:szCs w:val="24"/>
                <w:lang w:val="sr-Cyrl-CS"/>
              </w:rPr>
              <w:t xml:space="preserve">1.4.1.3 Успостављање покретног </w:t>
            </w:r>
            <w:r w:rsidRPr="00B036BA">
              <w:rPr>
                <w:rFonts w:ascii="Times New Roman" w:eastAsia="Times New Roman" w:hAnsi="Times New Roman"/>
                <w:color w:val="000000"/>
                <w:lang w:val="sr-Cyrl-CS"/>
              </w:rPr>
              <w:t>демонстрационог</w:t>
            </w:r>
            <w:r w:rsidRPr="00CC35F0">
              <w:rPr>
                <w:rFonts w:ascii="Times New Roman" w:eastAsia="Times New Roman" w:hAnsi="Times New Roman"/>
                <w:color w:val="000000"/>
                <w:sz w:val="24"/>
                <w:szCs w:val="24"/>
                <w:lang w:val="sr-Cyrl-CS"/>
              </w:rPr>
              <w:t xml:space="preserve"> центра (или еквивалента) за размену знања о правилној употреби биомасе у малим грејним телима и котловима.</w:t>
            </w:r>
          </w:p>
        </w:tc>
        <w:tc>
          <w:tcPr>
            <w:tcW w:w="1691" w:type="dxa"/>
            <w:tcBorders>
              <w:top w:val="single" w:sz="4" w:space="0" w:color="000000"/>
              <w:left w:val="single" w:sz="4" w:space="0" w:color="000000"/>
              <w:bottom w:val="single" w:sz="4" w:space="0" w:color="000000"/>
              <w:right w:val="single" w:sz="4" w:space="0" w:color="000000"/>
            </w:tcBorders>
          </w:tcPr>
          <w:p w14:paraId="45B01F93" w14:textId="77777777" w:rsidR="00A0251B" w:rsidRPr="00CC35F0" w:rsidRDefault="00597C4B">
            <w:pPr>
              <w:rPr>
                <w:rFonts w:ascii="Times New Roman" w:eastAsia="Times New Roman" w:hAnsi="Times New Roman"/>
                <w:sz w:val="24"/>
                <w:szCs w:val="24"/>
                <w:lang w:val="sr-Cyrl-CS"/>
              </w:rPr>
            </w:pPr>
            <w:r w:rsidRPr="00B036BA">
              <w:rPr>
                <w:rFonts w:ascii="Times New Roman" w:eastAsia="Times New Roman" w:hAnsi="Times New Roman"/>
                <w:color w:val="000000"/>
                <w:lang w:val="sr-Cyrl-CS"/>
              </w:rPr>
              <w:t>Министарство</w:t>
            </w:r>
            <w:r>
              <w:rPr>
                <w:rFonts w:ascii="Times New Roman" w:eastAsia="Times New Roman" w:hAnsi="Times New Roman"/>
                <w:color w:val="000000"/>
                <w:sz w:val="24"/>
                <w:szCs w:val="24"/>
                <w:lang w:val="sr-Cyrl-CS"/>
              </w:rPr>
              <w:t xml:space="preserve"> рударства и енер</w:t>
            </w:r>
            <w:r w:rsidR="008D6506" w:rsidRPr="00CC35F0">
              <w:rPr>
                <w:rFonts w:ascii="Times New Roman" w:eastAsia="Times New Roman" w:hAnsi="Times New Roman"/>
                <w:color w:val="000000"/>
                <w:sz w:val="24"/>
                <w:szCs w:val="24"/>
                <w:lang w:val="sr-Cyrl-CS"/>
              </w:rPr>
              <w:t>гетике</w:t>
            </w:r>
          </w:p>
        </w:tc>
        <w:tc>
          <w:tcPr>
            <w:tcW w:w="1691" w:type="dxa"/>
            <w:vMerge/>
            <w:tcBorders>
              <w:top w:val="single" w:sz="4" w:space="0" w:color="000000"/>
              <w:left w:val="single" w:sz="4" w:space="0" w:color="000000"/>
              <w:right w:val="single" w:sz="4" w:space="0" w:color="000000"/>
            </w:tcBorders>
          </w:tcPr>
          <w:p w14:paraId="10B81B41"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421" w:type="dxa"/>
            <w:vMerge/>
            <w:tcBorders>
              <w:top w:val="single" w:sz="4" w:space="0" w:color="000000"/>
              <w:left w:val="single" w:sz="4" w:space="0" w:color="000000"/>
              <w:right w:val="single" w:sz="4" w:space="0" w:color="000000"/>
            </w:tcBorders>
          </w:tcPr>
          <w:p w14:paraId="01FA3FB8"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98" w:type="dxa"/>
            <w:vMerge/>
            <w:tcBorders>
              <w:top w:val="single" w:sz="4" w:space="0" w:color="000000"/>
              <w:left w:val="single" w:sz="4" w:space="0" w:color="000000"/>
              <w:right w:val="single" w:sz="4" w:space="0" w:color="000000"/>
            </w:tcBorders>
          </w:tcPr>
          <w:p w14:paraId="786B24AC"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1558" w:type="dxa"/>
            <w:vMerge/>
            <w:tcBorders>
              <w:top w:val="single" w:sz="4" w:space="0" w:color="000000"/>
              <w:left w:val="single" w:sz="4" w:space="0" w:color="000000"/>
              <w:right w:val="single" w:sz="4" w:space="0" w:color="000000"/>
            </w:tcBorders>
          </w:tcPr>
          <w:p w14:paraId="416AC87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17" w:type="dxa"/>
            <w:vMerge/>
            <w:tcBorders>
              <w:top w:val="single" w:sz="4" w:space="0" w:color="000000"/>
              <w:left w:val="single" w:sz="4" w:space="0" w:color="000000"/>
              <w:right w:val="single" w:sz="4" w:space="0" w:color="000000"/>
            </w:tcBorders>
          </w:tcPr>
          <w:p w14:paraId="3899FA1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17" w:type="dxa"/>
            <w:vMerge/>
            <w:tcBorders>
              <w:top w:val="single" w:sz="4" w:space="0" w:color="000000"/>
              <w:left w:val="single" w:sz="4" w:space="0" w:color="000000"/>
              <w:right w:val="single" w:sz="4" w:space="0" w:color="000000"/>
            </w:tcBorders>
          </w:tcPr>
          <w:p w14:paraId="061D05CD"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17" w:type="dxa"/>
            <w:vMerge/>
            <w:tcBorders>
              <w:top w:val="single" w:sz="4" w:space="0" w:color="000000"/>
              <w:left w:val="single" w:sz="4" w:space="0" w:color="000000"/>
              <w:right w:val="single" w:sz="4" w:space="0" w:color="000000"/>
            </w:tcBorders>
          </w:tcPr>
          <w:p w14:paraId="22744617"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17" w:type="dxa"/>
            <w:vMerge/>
            <w:tcBorders>
              <w:top w:val="single" w:sz="4" w:space="0" w:color="000000"/>
              <w:left w:val="single" w:sz="4" w:space="0" w:color="000000"/>
              <w:right w:val="single" w:sz="4" w:space="0" w:color="000000"/>
            </w:tcBorders>
          </w:tcPr>
          <w:p w14:paraId="61B1B82B"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c>
          <w:tcPr>
            <w:tcW w:w="917" w:type="dxa"/>
            <w:vMerge/>
            <w:tcBorders>
              <w:top w:val="single" w:sz="4" w:space="0" w:color="000000"/>
              <w:left w:val="single" w:sz="4" w:space="0" w:color="000000"/>
              <w:right w:val="single" w:sz="4" w:space="0" w:color="000000"/>
            </w:tcBorders>
          </w:tcPr>
          <w:p w14:paraId="79F34553" w14:textId="77777777" w:rsidR="00A0251B" w:rsidRPr="00CC35F0" w:rsidRDefault="00A0251B">
            <w:pPr>
              <w:widowControl w:val="0"/>
              <w:pBdr>
                <w:top w:val="nil"/>
                <w:left w:val="nil"/>
                <w:bottom w:val="nil"/>
                <w:right w:val="nil"/>
                <w:between w:val="nil"/>
              </w:pBdr>
              <w:spacing w:line="276" w:lineRule="auto"/>
              <w:jc w:val="left"/>
              <w:rPr>
                <w:rFonts w:ascii="Times New Roman" w:eastAsia="Times New Roman" w:hAnsi="Times New Roman"/>
                <w:sz w:val="24"/>
                <w:szCs w:val="24"/>
                <w:lang w:val="sr-Cyrl-CS"/>
              </w:rPr>
            </w:pPr>
          </w:p>
        </w:tc>
      </w:tr>
    </w:tbl>
    <w:p w14:paraId="0E467941" w14:textId="77777777" w:rsidR="00A0251B" w:rsidRPr="00CC35F0" w:rsidRDefault="00A0251B">
      <w:pPr>
        <w:rPr>
          <w:rFonts w:ascii="Times New Roman" w:eastAsia="Times New Roman" w:hAnsi="Times New Roman"/>
          <w:sz w:val="24"/>
          <w:szCs w:val="24"/>
          <w:lang w:val="sr-Cyrl-CS"/>
        </w:rPr>
      </w:pPr>
    </w:p>
    <w:p w14:paraId="40A6784C" w14:textId="77777777" w:rsidR="00A0251B" w:rsidRPr="00CC35F0" w:rsidRDefault="00A0251B">
      <w:pPr>
        <w:rPr>
          <w:rFonts w:ascii="Times New Roman" w:eastAsia="Times New Roman" w:hAnsi="Times New Roman"/>
          <w:sz w:val="24"/>
          <w:szCs w:val="24"/>
          <w:lang w:val="sr-Cyrl-CS"/>
        </w:rPr>
      </w:pPr>
    </w:p>
    <w:p w14:paraId="4D61D29A" w14:textId="77777777" w:rsidR="00A0251B" w:rsidRPr="00CC35F0" w:rsidRDefault="00A0251B">
      <w:pPr>
        <w:rPr>
          <w:rFonts w:ascii="Times New Roman" w:eastAsia="Times New Roman" w:hAnsi="Times New Roman"/>
          <w:sz w:val="24"/>
          <w:szCs w:val="24"/>
          <w:lang w:val="sr-Cyrl-CS"/>
        </w:rPr>
      </w:pPr>
    </w:p>
    <w:p w14:paraId="3CD9335D" w14:textId="77777777" w:rsidR="00A0251B" w:rsidRPr="00CC35F0" w:rsidRDefault="00A0251B">
      <w:pPr>
        <w:rPr>
          <w:rFonts w:ascii="Times New Roman" w:eastAsia="Times New Roman" w:hAnsi="Times New Roman"/>
          <w:sz w:val="24"/>
          <w:szCs w:val="24"/>
          <w:lang w:val="sr-Cyrl-CS"/>
        </w:rPr>
        <w:sectPr w:rsidR="00A0251B" w:rsidRPr="00CC35F0">
          <w:headerReference w:type="default" r:id="rId68"/>
          <w:footerReference w:type="default" r:id="rId69"/>
          <w:pgSz w:w="16817" w:h="11901" w:orient="landscape"/>
          <w:pgMar w:top="1418" w:right="862" w:bottom="1134" w:left="1411" w:header="144" w:footer="360" w:gutter="0"/>
          <w:cols w:space="720"/>
        </w:sectPr>
      </w:pPr>
    </w:p>
    <w:p w14:paraId="73945352" w14:textId="77777777" w:rsidR="00A0251B" w:rsidRPr="00CC35F0" w:rsidRDefault="00A0251B">
      <w:pPr>
        <w:rPr>
          <w:rFonts w:ascii="Times New Roman" w:eastAsia="Times New Roman" w:hAnsi="Times New Roman"/>
          <w:sz w:val="24"/>
          <w:szCs w:val="24"/>
          <w:lang w:val="sr-Cyrl-CS"/>
        </w:rPr>
      </w:pPr>
    </w:p>
    <w:bookmarkStart w:id="137" w:name="_heading=h.1a346fx" w:colFirst="0" w:colLast="0"/>
    <w:bookmarkEnd w:id="137"/>
    <w:p w14:paraId="1C4D5725" w14:textId="77777777" w:rsidR="00032D0F" w:rsidRPr="00CC35F0" w:rsidRDefault="008D6506" w:rsidP="00032D0F">
      <w:pPr>
        <w:keepNext/>
        <w:keepLines/>
        <w:pBdr>
          <w:top w:val="nil"/>
          <w:left w:val="nil"/>
          <w:bottom w:val="nil"/>
          <w:right w:val="nil"/>
          <w:between w:val="nil"/>
        </w:pBdr>
        <w:spacing w:before="360" w:after="240" w:line="240" w:lineRule="auto"/>
        <w:ind w:left="7632" w:firstLine="288"/>
        <w:rPr>
          <w:rFonts w:ascii="Times New Roman" w:eastAsia="Times New Roman" w:hAnsi="Times New Roman"/>
          <w:b/>
          <w:smallCaps/>
          <w:color w:val="1F3864"/>
          <w:sz w:val="24"/>
          <w:szCs w:val="24"/>
          <w:lang w:val="sr-Cyrl-CS"/>
        </w:rPr>
      </w:pPr>
      <w:r w:rsidRPr="00CC35F0">
        <w:rPr>
          <w:lang w:val="sr-Cyrl-CS"/>
        </w:rPr>
        <w:fldChar w:fldCharType="begin"/>
      </w:r>
      <w:r w:rsidRPr="00CC35F0">
        <w:rPr>
          <w:lang w:val="sr-Cyrl-CS"/>
        </w:rPr>
        <w:instrText xml:space="preserve"> HYPERLINK \l "_heading=h.4anzqyu" \h </w:instrText>
      </w:r>
      <w:r w:rsidRPr="00CC35F0">
        <w:rPr>
          <w:lang w:val="sr-Cyrl-CS"/>
        </w:rPr>
      </w:r>
      <w:r w:rsidRPr="00CC35F0">
        <w:rPr>
          <w:lang w:val="sr-Cyrl-CS"/>
        </w:rPr>
        <w:fldChar w:fldCharType="separate"/>
      </w:r>
      <w:r w:rsidRPr="00CC35F0">
        <w:rPr>
          <w:rFonts w:ascii="Times New Roman" w:eastAsia="Times New Roman" w:hAnsi="Times New Roman"/>
          <w:b/>
          <w:smallCaps/>
          <w:color w:val="0000FF"/>
          <w:sz w:val="24"/>
          <w:szCs w:val="24"/>
          <w:lang w:val="sr-Cyrl-CS"/>
        </w:rPr>
        <w:t>Прилог 1</w:t>
      </w:r>
      <w:r w:rsidRPr="00CC35F0">
        <w:rPr>
          <w:rFonts w:ascii="Times New Roman" w:eastAsia="Times New Roman" w:hAnsi="Times New Roman"/>
          <w:b/>
          <w:smallCaps/>
          <w:color w:val="0000FF"/>
          <w:sz w:val="24"/>
          <w:szCs w:val="24"/>
          <w:lang w:val="sr-Cyrl-CS"/>
        </w:rPr>
        <w:fldChar w:fldCharType="end"/>
      </w:r>
      <w:r w:rsidRPr="00CC35F0">
        <w:rPr>
          <w:rFonts w:ascii="Times New Roman" w:eastAsia="Times New Roman" w:hAnsi="Times New Roman"/>
          <w:b/>
          <w:smallCaps/>
          <w:color w:val="1F3864"/>
          <w:sz w:val="24"/>
          <w:szCs w:val="24"/>
          <w:lang w:val="sr-Cyrl-CS"/>
        </w:rPr>
        <w:t xml:space="preserve"> </w:t>
      </w:r>
    </w:p>
    <w:p w14:paraId="5E14DEB6" w14:textId="77777777" w:rsidR="00A0251B" w:rsidRPr="00CC35F0" w:rsidRDefault="008D6506" w:rsidP="00032D0F">
      <w:pPr>
        <w:keepNext/>
        <w:keepLines/>
        <w:pBdr>
          <w:top w:val="nil"/>
          <w:left w:val="nil"/>
          <w:bottom w:val="nil"/>
          <w:right w:val="nil"/>
          <w:between w:val="nil"/>
        </w:pBdr>
        <w:spacing w:before="360" w:after="240" w:line="240" w:lineRule="auto"/>
        <w:ind w:left="432" w:hanging="432"/>
        <w:jc w:val="center"/>
        <w:rPr>
          <w:rFonts w:ascii="Times New Roman" w:eastAsia="Times New Roman" w:hAnsi="Times New Roman"/>
          <w:b/>
          <w:smallCaps/>
          <w:color w:val="1F3864"/>
          <w:sz w:val="24"/>
          <w:szCs w:val="24"/>
          <w:lang w:val="sr-Cyrl-CS"/>
        </w:rPr>
      </w:pPr>
      <w:r w:rsidRPr="00CC35F0">
        <w:rPr>
          <w:rFonts w:ascii="Times New Roman" w:eastAsia="Times New Roman" w:hAnsi="Times New Roman"/>
          <w:b/>
          <w:smallCaps/>
          <w:color w:val="1F3864"/>
          <w:sz w:val="24"/>
          <w:szCs w:val="24"/>
          <w:lang w:val="sr-Cyrl-CS"/>
        </w:rPr>
        <w:t>Информације о консултативном процесу у припреми Програма</w:t>
      </w:r>
    </w:p>
    <w:p w14:paraId="61B0D5C4" w14:textId="77777777" w:rsidR="00A0251B" w:rsidRPr="00CC35F0" w:rsidRDefault="007C5C0F" w:rsidP="007C5C0F">
      <w:pPr>
        <w:keepNext/>
        <w:keepLines/>
        <w:spacing w:before="360" w:after="240" w:line="252" w:lineRule="auto"/>
        <w:rPr>
          <w:rFonts w:ascii="Times New Roman" w:eastAsia="Times New Roman" w:hAnsi="Times New Roman"/>
          <w:b/>
          <w:color w:val="002060"/>
          <w:sz w:val="24"/>
          <w:szCs w:val="24"/>
          <w:lang w:val="sr-Cyrl-CS"/>
        </w:rPr>
      </w:pPr>
      <w:r w:rsidRPr="00CC35F0">
        <w:rPr>
          <w:rFonts w:ascii="Times New Roman" w:eastAsia="Times New Roman" w:hAnsi="Times New Roman"/>
          <w:b/>
          <w:color w:val="002060"/>
          <w:sz w:val="24"/>
          <w:szCs w:val="24"/>
          <w:lang w:val="sr-Cyrl-CS"/>
        </w:rPr>
        <w:t xml:space="preserve">1. </w:t>
      </w:r>
      <w:r w:rsidR="008D6506" w:rsidRPr="00CC35F0">
        <w:rPr>
          <w:rFonts w:ascii="Times New Roman" w:eastAsia="Times New Roman" w:hAnsi="Times New Roman"/>
          <w:b/>
          <w:color w:val="002060"/>
          <w:sz w:val="24"/>
          <w:szCs w:val="24"/>
          <w:lang w:val="sr-Cyrl-CS"/>
        </w:rPr>
        <w:t>Увод</w:t>
      </w:r>
    </w:p>
    <w:p w14:paraId="58059E63" w14:textId="77777777" w:rsidR="00A0251B" w:rsidRPr="00CC35F0" w:rsidRDefault="008D6506" w:rsidP="007C5C0F">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овом прилогу су представљени резултати вишекритеријумске анализе три сценарија са додатним мерама (WAM A, WAM B и WAM C), развијених у оквиру израде П</w:t>
      </w:r>
      <w:r w:rsidR="009C1C6A" w:rsidRPr="00CC35F0">
        <w:rPr>
          <w:rFonts w:ascii="Times New Roman" w:eastAsia="Times New Roman" w:hAnsi="Times New Roman"/>
          <w:sz w:val="24"/>
          <w:szCs w:val="24"/>
          <w:lang w:val="sr-Cyrl-CS"/>
        </w:rPr>
        <w:t>рограма</w:t>
      </w:r>
      <w:r w:rsidRPr="00CC35F0">
        <w:rPr>
          <w:rFonts w:ascii="Times New Roman" w:eastAsia="Times New Roman" w:hAnsi="Times New Roman"/>
          <w:sz w:val="24"/>
          <w:szCs w:val="24"/>
          <w:lang w:val="sr-Cyrl-CS"/>
        </w:rPr>
        <w:t>.</w:t>
      </w:r>
    </w:p>
    <w:p w14:paraId="6A9A222A" w14:textId="77777777" w:rsidR="00A0251B" w:rsidRPr="00CC35F0" w:rsidRDefault="008D6506" w:rsidP="007C5C0F">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Упитник је био отворен за учешће од 13. септембра до 13. октобра 2021. године.</w:t>
      </w:r>
    </w:p>
    <w:p w14:paraId="361D9C2C" w14:textId="77777777" w:rsidR="00A0251B" w:rsidRPr="00CC35F0" w:rsidRDefault="008D6506" w:rsidP="007C5C0F">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Резултати овог упитника служе као подршка процесу дон</w:t>
      </w:r>
      <w:r w:rsidR="00286DE7" w:rsidRPr="00CC35F0">
        <w:rPr>
          <w:rFonts w:ascii="Times New Roman" w:eastAsia="Times New Roman" w:hAnsi="Times New Roman"/>
          <w:sz w:val="24"/>
          <w:szCs w:val="24"/>
          <w:lang w:val="sr-Cyrl-CS"/>
        </w:rPr>
        <w:t>ошења одлука о припреми Н</w:t>
      </w:r>
      <w:r w:rsidR="00F3471B" w:rsidRPr="00CC35F0">
        <w:rPr>
          <w:rFonts w:ascii="Times New Roman" w:eastAsia="Times New Roman" w:hAnsi="Times New Roman"/>
          <w:sz w:val="24"/>
          <w:szCs w:val="24"/>
          <w:lang w:val="sr-Cyrl-CS"/>
        </w:rPr>
        <w:t>ацрта овог програма</w:t>
      </w:r>
      <w:r w:rsidRPr="00CC35F0">
        <w:rPr>
          <w:rFonts w:ascii="Times New Roman" w:eastAsia="Times New Roman" w:hAnsi="Times New Roman"/>
          <w:sz w:val="24"/>
          <w:szCs w:val="24"/>
          <w:lang w:val="sr-Cyrl-CS"/>
        </w:rPr>
        <w:t>, али они не представљају обавезу коју треба поштовати ни технички, ни политички. Резултати овог упитника су само средство за подршку, а не за утврђивање политичких одлука.</w:t>
      </w:r>
    </w:p>
    <w:p w14:paraId="28FD0194" w14:textId="77777777" w:rsidR="00A0251B" w:rsidRPr="00CC35F0" w:rsidRDefault="008D6506" w:rsidP="007C5C0F">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Ангажовање заинтересованих страна у овој фази техничког процеса у складу је са најбољом међународном праксом у домену учешћа јавности. Он не замењује додатне процедуре јавне расправе које се спроводе у складу са законом Републике Србије. </w:t>
      </w:r>
    </w:p>
    <w:p w14:paraId="0D324A15"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Да би се подржало учешће заинтересованих страна у анализи, израђена је брошура са кључним информацијама о три критеријума (животна средина, здравље и економија) у односу на три сценарија са додатним мерама (WAM A, WAM B и WAM C). Заинтересоване стране су упућене да прочитају брошуру пре него што попуне упитник. Према процени, потребно је најмање 30 минута за ефикасно и информисано учешће у овој анализи коју воде заинтересоване стране.</w:t>
      </w:r>
    </w:p>
    <w:p w14:paraId="5D50CDC3"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Техничке информације у брошури треба да буду разумљиве широком спектру заинтересованих страна, са веома различитим квалификацијама, интересовањима и искуствима. Брошура као таква садржи само мали део техничких информација са пројекта, а описи су дати једноставним језиком.</w:t>
      </w:r>
    </w:p>
    <w:p w14:paraId="7FF28C46" w14:textId="77777777" w:rsidR="00A0251B" w:rsidRPr="00CC35F0" w:rsidRDefault="006729A8" w:rsidP="006729A8">
      <w:pPr>
        <w:pStyle w:val="Einzug1"/>
        <w:numPr>
          <w:ilvl w:val="0"/>
          <w:numId w:val="0"/>
        </w:numPr>
        <w:rPr>
          <w:rFonts w:ascii="Times New Roman" w:hAnsi="Times New Roman"/>
          <w:b w:val="0"/>
          <w:color w:val="002060"/>
          <w:sz w:val="24"/>
          <w:szCs w:val="24"/>
          <w:lang w:val="sr-Cyrl-CS"/>
        </w:rPr>
      </w:pPr>
      <w:bookmarkStart w:id="138" w:name="_heading=h.3u2rp3q" w:colFirst="0" w:colLast="0"/>
      <w:bookmarkEnd w:id="138"/>
      <w:r w:rsidRPr="00CC35F0">
        <w:rPr>
          <w:rFonts w:ascii="Times New Roman" w:hAnsi="Times New Roman"/>
          <w:b w:val="0"/>
          <w:color w:val="002060"/>
          <w:sz w:val="24"/>
          <w:szCs w:val="24"/>
          <w:lang w:val="sr-Cyrl-CS"/>
        </w:rPr>
        <w:t>2.</w:t>
      </w:r>
      <w:r w:rsidR="008D6506" w:rsidRPr="00CC35F0">
        <w:rPr>
          <w:rFonts w:ascii="Times New Roman" w:hAnsi="Times New Roman"/>
          <w:b w:val="0"/>
          <w:color w:val="002060"/>
          <w:sz w:val="24"/>
          <w:szCs w:val="24"/>
          <w:lang w:val="sr-Cyrl-CS"/>
        </w:rPr>
        <w:t>Категоризација испитаника</w:t>
      </w:r>
    </w:p>
    <w:p w14:paraId="16FC62DA"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Највећу групу испитаника (27%) чине представници </w:t>
      </w:r>
      <w:r w:rsidR="00364615" w:rsidRPr="00CC35F0">
        <w:rPr>
          <w:rFonts w:ascii="Times New Roman" w:eastAsia="Times New Roman" w:hAnsi="Times New Roman"/>
          <w:sz w:val="24"/>
          <w:szCs w:val="24"/>
          <w:lang w:val="sr-Cyrl-CS"/>
        </w:rPr>
        <w:t xml:space="preserve">јединица </w:t>
      </w:r>
      <w:r w:rsidRPr="00CC35F0">
        <w:rPr>
          <w:rFonts w:ascii="Times New Roman" w:eastAsia="Times New Roman" w:hAnsi="Times New Roman"/>
          <w:sz w:val="24"/>
          <w:szCs w:val="24"/>
          <w:lang w:val="sr-Cyrl-CS"/>
        </w:rPr>
        <w:t>локалних самоуправа, затим следе заинтересоване стране које учествују у своје име (грађани) са 19%, у истом проценту као и заинтересоване стране које се идентификују са било којом другом категоријом. Представници јавних предузећа чине 15% испитаника, а чланови Радне групе 8%. Представници Владе, невладиних организација и академске заједнице заступљени су са по 4% испитаника.</w:t>
      </w:r>
    </w:p>
    <w:p w14:paraId="6B68FDC4"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7ED8BA9C" wp14:editId="5B7BE60F">
            <wp:extent cx="5943727" cy="2159635"/>
            <wp:effectExtent l="0" t="0" r="0" b="0"/>
            <wp:docPr id="529" name="Chart 5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5DC275D" w14:textId="77777777" w:rsidR="00A0251B" w:rsidRPr="00CC35F0" w:rsidRDefault="008D6506">
      <w:pPr>
        <w:spacing w:before="120" w:after="60"/>
        <w:rPr>
          <w:rFonts w:ascii="Times New Roman" w:eastAsia="Times New Roman" w:hAnsi="Times New Roman"/>
          <w:b/>
          <w:sz w:val="24"/>
          <w:szCs w:val="24"/>
          <w:lang w:val="sr-Cyrl-CS"/>
        </w:rPr>
      </w:pPr>
      <w:bookmarkStart w:id="139" w:name="_heading=h.2981zbj" w:colFirst="0" w:colLast="0"/>
      <w:bookmarkEnd w:id="139"/>
      <w:r w:rsidRPr="00CC35F0">
        <w:rPr>
          <w:rFonts w:ascii="Times New Roman" w:eastAsia="Times New Roman" w:hAnsi="Times New Roman"/>
          <w:b/>
          <w:sz w:val="24"/>
          <w:szCs w:val="24"/>
          <w:lang w:val="sr-Cyrl-CS"/>
        </w:rPr>
        <w:t>Слика 30 – Категоризација испитаника</w:t>
      </w:r>
    </w:p>
    <w:p w14:paraId="59DEE8A2"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Три сценарија са до</w:t>
      </w:r>
      <w:r w:rsidR="00286DE7" w:rsidRPr="00CC35F0">
        <w:rPr>
          <w:rFonts w:ascii="Times New Roman" w:eastAsia="Times New Roman" w:hAnsi="Times New Roman"/>
          <w:sz w:val="24"/>
          <w:szCs w:val="24"/>
          <w:lang w:val="sr-Cyrl-CS"/>
        </w:rPr>
        <w:t>датним мерама из Н</w:t>
      </w:r>
      <w:r w:rsidR="0007260A" w:rsidRPr="00CC35F0">
        <w:rPr>
          <w:rFonts w:ascii="Times New Roman" w:eastAsia="Times New Roman" w:hAnsi="Times New Roman"/>
          <w:sz w:val="24"/>
          <w:szCs w:val="24"/>
          <w:lang w:val="sr-Cyrl-CS"/>
        </w:rPr>
        <w:t xml:space="preserve">ацрта </w:t>
      </w:r>
      <w:r w:rsidR="001864FA" w:rsidRPr="00CC35F0">
        <w:rPr>
          <w:rFonts w:ascii="Times New Roman" w:eastAsia="Times New Roman" w:hAnsi="Times New Roman"/>
          <w:sz w:val="24"/>
          <w:szCs w:val="24"/>
          <w:lang w:val="sr-Cyrl-CS"/>
        </w:rPr>
        <w:t xml:space="preserve">овог </w:t>
      </w:r>
      <w:r w:rsidR="0007260A" w:rsidRPr="00CC35F0">
        <w:rPr>
          <w:rFonts w:ascii="Times New Roman" w:eastAsia="Times New Roman" w:hAnsi="Times New Roman"/>
          <w:sz w:val="24"/>
          <w:szCs w:val="24"/>
          <w:lang w:val="sr-Cyrl-CS"/>
        </w:rPr>
        <w:t>п</w:t>
      </w:r>
      <w:r w:rsidR="001864FA" w:rsidRPr="00CC35F0">
        <w:rPr>
          <w:rFonts w:ascii="Times New Roman" w:eastAsia="Times New Roman" w:hAnsi="Times New Roman"/>
          <w:sz w:val="24"/>
          <w:szCs w:val="24"/>
          <w:lang w:val="sr-Cyrl-CS"/>
        </w:rPr>
        <w:t>рограма</w:t>
      </w:r>
      <w:r w:rsidRPr="00CC35F0">
        <w:rPr>
          <w:rFonts w:ascii="Times New Roman" w:eastAsia="Times New Roman" w:hAnsi="Times New Roman"/>
          <w:sz w:val="24"/>
          <w:szCs w:val="24"/>
          <w:lang w:val="sr-Cyrl-CS"/>
        </w:rPr>
        <w:t xml:space="preserve">, имају локализоване утицаје, и то у погледу користи. Стога је било важно разумети колико су резултати различитих сценарија у граду у којем испитаници живе или раде утицали на њихову одлуку. Велика већина испитаника (69%) изјавила је да на њихов одговор нису утицали резултати сценарија за њихов град, док је 31% признало да јесу. </w:t>
      </w:r>
    </w:p>
    <w:p w14:paraId="578F847D"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3B35C32A" wp14:editId="188CE373">
            <wp:extent cx="5515660" cy="3372307"/>
            <wp:effectExtent l="0" t="0" r="0" b="0"/>
            <wp:docPr id="530" name="Chart 5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37DA8FFE" w14:textId="77777777" w:rsidR="00A0251B" w:rsidRPr="00CC35F0" w:rsidRDefault="008D6506">
      <w:pPr>
        <w:spacing w:before="120" w:after="60"/>
        <w:rPr>
          <w:rFonts w:ascii="Times New Roman" w:eastAsia="Times New Roman" w:hAnsi="Times New Roman"/>
          <w:b/>
          <w:sz w:val="24"/>
          <w:szCs w:val="24"/>
          <w:lang w:val="sr-Cyrl-CS"/>
        </w:rPr>
      </w:pPr>
      <w:bookmarkStart w:id="140" w:name="_heading=h.odc9jc" w:colFirst="0" w:colLast="0"/>
      <w:bookmarkEnd w:id="140"/>
      <w:r w:rsidRPr="00CC35F0">
        <w:rPr>
          <w:rFonts w:ascii="Times New Roman" w:eastAsia="Times New Roman" w:hAnsi="Times New Roman"/>
          <w:b/>
          <w:sz w:val="24"/>
          <w:szCs w:val="24"/>
          <w:lang w:val="sr-Cyrl-CS"/>
        </w:rPr>
        <w:t>Слика 31 – Утицај примене сценарија у граду испитаника, на основу одговора на упитник</w:t>
      </w:r>
    </w:p>
    <w:p w14:paraId="56D2E248" w14:textId="77777777" w:rsidR="00A0251B" w:rsidRPr="00CC35F0" w:rsidRDefault="00A0251B">
      <w:pPr>
        <w:rPr>
          <w:rFonts w:ascii="Times New Roman" w:eastAsia="Times New Roman" w:hAnsi="Times New Roman"/>
          <w:sz w:val="24"/>
          <w:szCs w:val="24"/>
          <w:lang w:val="sr-Cyrl-CS"/>
        </w:rPr>
      </w:pPr>
    </w:p>
    <w:p w14:paraId="733FCA48" w14:textId="77777777" w:rsidR="00A0251B" w:rsidRPr="00CC35F0" w:rsidRDefault="00B14AB9" w:rsidP="00B14AB9">
      <w:pPr>
        <w:pStyle w:val="Einzug1"/>
        <w:numPr>
          <w:ilvl w:val="0"/>
          <w:numId w:val="0"/>
        </w:numPr>
        <w:rPr>
          <w:rFonts w:ascii="Times New Roman" w:hAnsi="Times New Roman"/>
          <w:b w:val="0"/>
          <w:color w:val="002060"/>
          <w:sz w:val="24"/>
          <w:szCs w:val="24"/>
          <w:lang w:val="sr-Cyrl-CS"/>
        </w:rPr>
      </w:pPr>
      <w:bookmarkStart w:id="141" w:name="_heading=h.38czs75" w:colFirst="0" w:colLast="0"/>
      <w:bookmarkEnd w:id="141"/>
      <w:r w:rsidRPr="00CC35F0">
        <w:rPr>
          <w:rFonts w:ascii="Times New Roman" w:hAnsi="Times New Roman"/>
          <w:b w:val="0"/>
          <w:color w:val="002060"/>
          <w:sz w:val="24"/>
          <w:szCs w:val="24"/>
          <w:lang w:val="sr-Cyrl-CS"/>
        </w:rPr>
        <w:t>3.</w:t>
      </w:r>
      <w:r w:rsidR="008D6506" w:rsidRPr="00CC35F0">
        <w:rPr>
          <w:rFonts w:ascii="Times New Roman" w:hAnsi="Times New Roman"/>
          <w:b w:val="0"/>
          <w:color w:val="002060"/>
          <w:sz w:val="24"/>
          <w:szCs w:val="24"/>
          <w:lang w:val="sr-Cyrl-CS"/>
        </w:rPr>
        <w:t>Бодовањ</w:t>
      </w:r>
      <w:r w:rsidR="001D63E6" w:rsidRPr="00CC35F0">
        <w:rPr>
          <w:rFonts w:ascii="Times New Roman" w:hAnsi="Times New Roman"/>
          <w:b w:val="0"/>
          <w:color w:val="002060"/>
          <w:sz w:val="24"/>
          <w:szCs w:val="24"/>
          <w:lang w:val="sr-Cyrl-CS"/>
        </w:rPr>
        <w:t>е критеријума за животну средину,</w:t>
      </w:r>
      <w:r w:rsidR="008D6506" w:rsidRPr="00CC35F0">
        <w:rPr>
          <w:rFonts w:ascii="Times New Roman" w:hAnsi="Times New Roman"/>
          <w:b w:val="0"/>
          <w:color w:val="002060"/>
          <w:sz w:val="24"/>
          <w:szCs w:val="24"/>
          <w:lang w:val="sr-Cyrl-CS"/>
        </w:rPr>
        <w:t xml:space="preserve"> здравље и економију из вишекритеријумске анализе</w:t>
      </w:r>
    </w:p>
    <w:p w14:paraId="71401C19"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Важан елемент вишекритеријумске анализе је бодовање критеријума: важно је проценити значај који заинтересоване стране приписују сваком критеријуму. Тиме ће се </w:t>
      </w:r>
      <w:r w:rsidRPr="00CC35F0">
        <w:rPr>
          <w:rFonts w:ascii="Times New Roman" w:eastAsia="Times New Roman" w:hAnsi="Times New Roman"/>
          <w:sz w:val="24"/>
          <w:szCs w:val="24"/>
          <w:lang w:val="sr-Cyrl-CS"/>
        </w:rPr>
        <w:lastRenderedPageBreak/>
        <w:t>осигурати да анализа оцене различитих показатеља узме у обзир релативну важност (бодове) коју заинтересоване стране приписују сваком критеријуму.</w:t>
      </w:r>
    </w:p>
    <w:p w14:paraId="4382D34F"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овој анализи коришћена су три критеријума: животна средина, здравље и економија.</w:t>
      </w:r>
    </w:p>
    <w:p w14:paraId="0CF14AA7"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Показатељ који се односи на користи и трошкове је мешавина здравствених и економских критеријума.</w:t>
      </w:r>
    </w:p>
    <w:p w14:paraId="1FC9B10D"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Као што се може видети у доњој табели, </w:t>
      </w:r>
      <w:r w:rsidRPr="00CC35F0">
        <w:rPr>
          <w:rFonts w:ascii="Times New Roman" w:eastAsia="Times New Roman" w:hAnsi="Times New Roman"/>
          <w:b/>
          <w:sz w:val="24"/>
          <w:szCs w:val="24"/>
          <w:lang w:val="sr-Cyrl-CS"/>
        </w:rPr>
        <w:t>заинтересоване стране су придале највећи значај здрављу</w:t>
      </w:r>
      <w:r w:rsidRPr="00CC35F0">
        <w:rPr>
          <w:rFonts w:ascii="Times New Roman" w:eastAsia="Times New Roman" w:hAnsi="Times New Roman"/>
          <w:sz w:val="24"/>
          <w:szCs w:val="24"/>
          <w:lang w:val="sr-Cyrl-CS"/>
        </w:rPr>
        <w:t xml:space="preserve"> (4,36), затим </w:t>
      </w:r>
      <w:r w:rsidRPr="00CC35F0">
        <w:rPr>
          <w:rFonts w:ascii="Times New Roman" w:eastAsia="Times New Roman" w:hAnsi="Times New Roman"/>
          <w:b/>
          <w:sz w:val="24"/>
          <w:szCs w:val="24"/>
          <w:lang w:val="sr-Cyrl-CS"/>
        </w:rPr>
        <w:t>животној средини</w:t>
      </w:r>
      <w:r w:rsidRPr="00CC35F0">
        <w:rPr>
          <w:rFonts w:ascii="Times New Roman" w:eastAsia="Times New Roman" w:hAnsi="Times New Roman"/>
          <w:sz w:val="24"/>
          <w:szCs w:val="24"/>
          <w:lang w:val="sr-Cyrl-CS"/>
        </w:rPr>
        <w:t xml:space="preserve"> (4,27) и на крају, </w:t>
      </w:r>
      <w:r w:rsidRPr="00CC35F0">
        <w:rPr>
          <w:rFonts w:ascii="Times New Roman" w:eastAsia="Times New Roman" w:hAnsi="Times New Roman"/>
          <w:b/>
          <w:sz w:val="24"/>
          <w:szCs w:val="24"/>
          <w:lang w:val="sr-Cyrl-CS"/>
        </w:rPr>
        <w:t>економским критеријумима</w:t>
      </w:r>
      <w:r w:rsidRPr="00CC35F0">
        <w:rPr>
          <w:rFonts w:ascii="Times New Roman" w:eastAsia="Times New Roman" w:hAnsi="Times New Roman"/>
          <w:sz w:val="24"/>
          <w:szCs w:val="24"/>
          <w:lang w:val="sr-Cyrl-CS"/>
        </w:rPr>
        <w:t xml:space="preserve"> (4,04)</w:t>
      </w:r>
      <w:r w:rsidRPr="00CC35F0">
        <w:rPr>
          <w:rFonts w:ascii="Times New Roman" w:eastAsia="Times New Roman" w:hAnsi="Times New Roman"/>
          <w:sz w:val="24"/>
          <w:szCs w:val="24"/>
          <w:vertAlign w:val="superscript"/>
          <w:lang w:val="sr-Cyrl-CS"/>
        </w:rPr>
        <w:footnoteReference w:id="103"/>
      </w:r>
      <w:r w:rsidRPr="00CC35F0">
        <w:rPr>
          <w:rFonts w:ascii="Times New Roman" w:eastAsia="Times New Roman" w:hAnsi="Times New Roman"/>
          <w:sz w:val="24"/>
          <w:szCs w:val="24"/>
          <w:lang w:val="sr-Cyrl-CS"/>
        </w:rPr>
        <w:t>.</w:t>
      </w:r>
    </w:p>
    <w:p w14:paraId="179A0509"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Оцена сваког показатеља множи се оценом одговарајућег критеријума, како би се обезбедило исправно тумачење резултата.</w:t>
      </w:r>
    </w:p>
    <w:p w14:paraId="0ABFDE6C"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Оцена користи и трошкова множи се оценом исказаном као просечном оценом здравствених и економских критеријума.</w:t>
      </w:r>
    </w:p>
    <w:p w14:paraId="7DC498E4"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Оцена сваког показатеља представљеног у следећем одељку већ је помножена оценом за сваки критеријум.</w:t>
      </w:r>
    </w:p>
    <w:p w14:paraId="7A2A63DA" w14:textId="77777777" w:rsidR="00A0251B" w:rsidRPr="00CC35F0" w:rsidRDefault="008D6506">
      <w:pPr>
        <w:keepNext/>
        <w:spacing w:before="120" w:after="60"/>
        <w:rPr>
          <w:rFonts w:ascii="Times New Roman" w:eastAsia="Times New Roman" w:hAnsi="Times New Roman"/>
          <w:b/>
          <w:sz w:val="24"/>
          <w:szCs w:val="24"/>
          <w:lang w:val="sr-Cyrl-CS"/>
        </w:rPr>
      </w:pPr>
      <w:bookmarkStart w:id="142" w:name="_heading=h.1nia2ey" w:colFirst="0" w:colLast="0"/>
      <w:bookmarkEnd w:id="142"/>
      <w:r w:rsidRPr="00CC35F0">
        <w:rPr>
          <w:rFonts w:ascii="Times New Roman" w:eastAsia="Times New Roman" w:hAnsi="Times New Roman"/>
          <w:b/>
          <w:sz w:val="24"/>
          <w:szCs w:val="24"/>
          <w:lang w:val="sr-Cyrl-CS"/>
        </w:rPr>
        <w:t>Табела 4 – Оцене заинтересованих страна за сваки критеријум</w:t>
      </w:r>
    </w:p>
    <w:tbl>
      <w:tblPr>
        <w:tblStyle w:val="afffff0"/>
        <w:tblW w:w="9360" w:type="dxa"/>
        <w:tblLayout w:type="fixed"/>
        <w:tblLook w:val="0400" w:firstRow="0" w:lastRow="0" w:firstColumn="0" w:lastColumn="0" w:noHBand="0" w:noVBand="1"/>
      </w:tblPr>
      <w:tblGrid>
        <w:gridCol w:w="1569"/>
        <w:gridCol w:w="2066"/>
        <w:gridCol w:w="1569"/>
        <w:gridCol w:w="1569"/>
        <w:gridCol w:w="2587"/>
      </w:tblGrid>
      <w:tr w:rsidR="00A0251B" w:rsidRPr="00CC35F0" w14:paraId="3EE6D2E8" w14:textId="77777777">
        <w:trPr>
          <w:trHeight w:val="315"/>
        </w:trPr>
        <w:tc>
          <w:tcPr>
            <w:tcW w:w="1569" w:type="dxa"/>
            <w:tcBorders>
              <w:top w:val="nil"/>
              <w:left w:val="nil"/>
              <w:bottom w:val="nil"/>
              <w:right w:val="nil"/>
            </w:tcBorders>
            <w:shd w:val="clear" w:color="auto" w:fill="auto"/>
            <w:vAlign w:val="center"/>
          </w:tcPr>
          <w:p w14:paraId="47459A4E" w14:textId="77777777" w:rsidR="00A0251B" w:rsidRPr="00CC35F0" w:rsidRDefault="00A0251B">
            <w:pPr>
              <w:spacing w:after="0" w:line="240" w:lineRule="auto"/>
              <w:jc w:val="center"/>
              <w:rPr>
                <w:rFonts w:ascii="Times New Roman" w:eastAsia="Times New Roman" w:hAnsi="Times New Roman"/>
                <w:sz w:val="24"/>
                <w:szCs w:val="24"/>
                <w:lang w:val="sr-Cyrl-CS"/>
              </w:rPr>
            </w:pPr>
          </w:p>
        </w:tc>
        <w:tc>
          <w:tcPr>
            <w:tcW w:w="2066" w:type="dxa"/>
            <w:tcBorders>
              <w:top w:val="nil"/>
              <w:left w:val="nil"/>
              <w:bottom w:val="nil"/>
              <w:right w:val="nil"/>
            </w:tcBorders>
            <w:shd w:val="clear" w:color="auto" w:fill="002060"/>
            <w:vAlign w:val="center"/>
          </w:tcPr>
          <w:p w14:paraId="543D82C5"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Животна средина</w:t>
            </w:r>
          </w:p>
        </w:tc>
        <w:tc>
          <w:tcPr>
            <w:tcW w:w="1569" w:type="dxa"/>
            <w:tcBorders>
              <w:top w:val="nil"/>
              <w:left w:val="nil"/>
              <w:bottom w:val="nil"/>
              <w:right w:val="nil"/>
            </w:tcBorders>
            <w:shd w:val="clear" w:color="auto" w:fill="002060"/>
            <w:vAlign w:val="center"/>
          </w:tcPr>
          <w:p w14:paraId="56CE90A3"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 xml:space="preserve">Здравље </w:t>
            </w:r>
          </w:p>
        </w:tc>
        <w:tc>
          <w:tcPr>
            <w:tcW w:w="1569" w:type="dxa"/>
            <w:tcBorders>
              <w:top w:val="nil"/>
              <w:left w:val="nil"/>
              <w:bottom w:val="nil"/>
              <w:right w:val="nil"/>
            </w:tcBorders>
            <w:shd w:val="clear" w:color="auto" w:fill="002060"/>
            <w:vAlign w:val="center"/>
          </w:tcPr>
          <w:p w14:paraId="4D8FAB95"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 xml:space="preserve">Економија </w:t>
            </w:r>
          </w:p>
        </w:tc>
        <w:tc>
          <w:tcPr>
            <w:tcW w:w="2587" w:type="dxa"/>
            <w:tcBorders>
              <w:top w:val="nil"/>
              <w:left w:val="nil"/>
              <w:bottom w:val="nil"/>
              <w:right w:val="nil"/>
            </w:tcBorders>
            <w:shd w:val="clear" w:color="auto" w:fill="002060"/>
            <w:vAlign w:val="center"/>
          </w:tcPr>
          <w:p w14:paraId="1BB66253"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(Користи и трошкови)</w:t>
            </w:r>
          </w:p>
        </w:tc>
      </w:tr>
      <w:tr w:rsidR="00A0251B" w:rsidRPr="00CC35F0" w14:paraId="261888D6" w14:textId="77777777">
        <w:trPr>
          <w:trHeight w:val="315"/>
        </w:trPr>
        <w:tc>
          <w:tcPr>
            <w:tcW w:w="1569" w:type="dxa"/>
            <w:tcBorders>
              <w:top w:val="nil"/>
              <w:left w:val="nil"/>
              <w:bottom w:val="nil"/>
              <w:right w:val="nil"/>
            </w:tcBorders>
            <w:shd w:val="clear" w:color="auto" w:fill="002060"/>
            <w:vAlign w:val="center"/>
          </w:tcPr>
          <w:p w14:paraId="3835F66F"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 xml:space="preserve">Просечна </w:t>
            </w:r>
          </w:p>
        </w:tc>
        <w:tc>
          <w:tcPr>
            <w:tcW w:w="2066" w:type="dxa"/>
            <w:tcBorders>
              <w:top w:val="nil"/>
              <w:left w:val="nil"/>
              <w:bottom w:val="nil"/>
              <w:right w:val="nil"/>
            </w:tcBorders>
            <w:shd w:val="clear" w:color="auto" w:fill="92D050"/>
            <w:vAlign w:val="center"/>
          </w:tcPr>
          <w:p w14:paraId="093BC63C"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4,27</w:t>
            </w:r>
          </w:p>
        </w:tc>
        <w:tc>
          <w:tcPr>
            <w:tcW w:w="1569" w:type="dxa"/>
            <w:tcBorders>
              <w:top w:val="nil"/>
              <w:left w:val="nil"/>
              <w:bottom w:val="nil"/>
              <w:right w:val="nil"/>
            </w:tcBorders>
            <w:shd w:val="clear" w:color="auto" w:fill="FBDAD7"/>
            <w:vAlign w:val="center"/>
          </w:tcPr>
          <w:p w14:paraId="5530B154"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4,36</w:t>
            </w:r>
          </w:p>
        </w:tc>
        <w:tc>
          <w:tcPr>
            <w:tcW w:w="1569" w:type="dxa"/>
            <w:tcBorders>
              <w:top w:val="nil"/>
              <w:left w:val="nil"/>
              <w:bottom w:val="nil"/>
              <w:right w:val="nil"/>
            </w:tcBorders>
            <w:shd w:val="clear" w:color="auto" w:fill="FF6D01"/>
            <w:vAlign w:val="center"/>
          </w:tcPr>
          <w:p w14:paraId="480FD2EF"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4,04</w:t>
            </w:r>
          </w:p>
        </w:tc>
        <w:tc>
          <w:tcPr>
            <w:tcW w:w="2587" w:type="dxa"/>
            <w:tcBorders>
              <w:top w:val="nil"/>
              <w:left w:val="nil"/>
              <w:bottom w:val="nil"/>
              <w:right w:val="nil"/>
            </w:tcBorders>
            <w:shd w:val="clear" w:color="auto" w:fill="D9E7FD"/>
            <w:vAlign w:val="center"/>
          </w:tcPr>
          <w:p w14:paraId="221BF87D"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(4,20)</w:t>
            </w:r>
          </w:p>
        </w:tc>
      </w:tr>
      <w:tr w:rsidR="00A0251B" w:rsidRPr="00CC35F0" w14:paraId="49DB286E" w14:textId="77777777">
        <w:trPr>
          <w:trHeight w:val="315"/>
        </w:trPr>
        <w:tc>
          <w:tcPr>
            <w:tcW w:w="1569" w:type="dxa"/>
            <w:tcBorders>
              <w:top w:val="nil"/>
              <w:left w:val="nil"/>
              <w:bottom w:val="nil"/>
              <w:right w:val="nil"/>
            </w:tcBorders>
            <w:shd w:val="clear" w:color="auto" w:fill="002060"/>
            <w:vAlign w:val="center"/>
          </w:tcPr>
          <w:p w14:paraId="164640C7" w14:textId="77777777" w:rsidR="00A0251B" w:rsidRPr="00CC35F0" w:rsidRDefault="008D6506">
            <w:pPr>
              <w:spacing w:after="0" w:line="240" w:lineRule="auto"/>
              <w:jc w:val="center"/>
              <w:rPr>
                <w:rFonts w:ascii="Times New Roman" w:eastAsia="Times New Roman" w:hAnsi="Times New Roman"/>
                <w:b/>
                <w:color w:val="FFFFFF"/>
                <w:sz w:val="24"/>
                <w:szCs w:val="24"/>
                <w:lang w:val="sr-Cyrl-CS"/>
              </w:rPr>
            </w:pPr>
            <w:r w:rsidRPr="00CC35F0">
              <w:rPr>
                <w:rFonts w:ascii="Times New Roman" w:eastAsia="Times New Roman" w:hAnsi="Times New Roman"/>
                <w:b/>
                <w:color w:val="FFFFFF"/>
                <w:sz w:val="24"/>
                <w:szCs w:val="24"/>
                <w:lang w:val="sr-Cyrl-CS"/>
              </w:rPr>
              <w:t xml:space="preserve">Средња </w:t>
            </w:r>
          </w:p>
        </w:tc>
        <w:tc>
          <w:tcPr>
            <w:tcW w:w="2066" w:type="dxa"/>
            <w:tcBorders>
              <w:top w:val="nil"/>
              <w:left w:val="nil"/>
              <w:bottom w:val="nil"/>
              <w:right w:val="nil"/>
            </w:tcBorders>
            <w:shd w:val="clear" w:color="auto" w:fill="92D050"/>
            <w:vAlign w:val="center"/>
          </w:tcPr>
          <w:p w14:paraId="202FCD44"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w:t>
            </w:r>
          </w:p>
        </w:tc>
        <w:tc>
          <w:tcPr>
            <w:tcW w:w="1569" w:type="dxa"/>
            <w:tcBorders>
              <w:top w:val="nil"/>
              <w:left w:val="nil"/>
              <w:bottom w:val="nil"/>
              <w:right w:val="nil"/>
            </w:tcBorders>
            <w:shd w:val="clear" w:color="auto" w:fill="FBDAD7"/>
            <w:vAlign w:val="center"/>
          </w:tcPr>
          <w:p w14:paraId="64E25B4E"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5</w:t>
            </w:r>
          </w:p>
        </w:tc>
        <w:tc>
          <w:tcPr>
            <w:tcW w:w="1569" w:type="dxa"/>
            <w:tcBorders>
              <w:top w:val="nil"/>
              <w:left w:val="nil"/>
              <w:bottom w:val="nil"/>
              <w:right w:val="nil"/>
            </w:tcBorders>
            <w:shd w:val="clear" w:color="auto" w:fill="FF6D01"/>
            <w:vAlign w:val="center"/>
          </w:tcPr>
          <w:p w14:paraId="5AD5A29D"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w:t>
            </w:r>
          </w:p>
        </w:tc>
        <w:tc>
          <w:tcPr>
            <w:tcW w:w="2587" w:type="dxa"/>
            <w:tcBorders>
              <w:top w:val="nil"/>
              <w:left w:val="nil"/>
              <w:bottom w:val="nil"/>
              <w:right w:val="nil"/>
            </w:tcBorders>
            <w:shd w:val="clear" w:color="auto" w:fill="D9E7FD"/>
            <w:vAlign w:val="center"/>
          </w:tcPr>
          <w:p w14:paraId="50CC54B9" w14:textId="77777777" w:rsidR="00A0251B" w:rsidRPr="00CC35F0" w:rsidRDefault="008D6506">
            <w:pPr>
              <w:spacing w:after="0" w:line="240" w:lineRule="auto"/>
              <w:jc w:val="center"/>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(4,5)</w:t>
            </w:r>
          </w:p>
        </w:tc>
      </w:tr>
    </w:tbl>
    <w:p w14:paraId="77AADB06" w14:textId="77777777" w:rsidR="00A0251B" w:rsidRPr="00CC35F0" w:rsidRDefault="00A0251B">
      <w:pPr>
        <w:rPr>
          <w:rFonts w:ascii="Times New Roman" w:eastAsia="Times New Roman" w:hAnsi="Times New Roman"/>
          <w:sz w:val="24"/>
          <w:szCs w:val="24"/>
          <w:lang w:val="sr-Cyrl-CS"/>
        </w:rPr>
      </w:pPr>
    </w:p>
    <w:p w14:paraId="70A177ED" w14:textId="77777777" w:rsidR="00A0251B" w:rsidRPr="00CC35F0" w:rsidRDefault="002A47D5" w:rsidP="002A47D5">
      <w:pPr>
        <w:pStyle w:val="Einzug1"/>
        <w:numPr>
          <w:ilvl w:val="0"/>
          <w:numId w:val="0"/>
        </w:numPr>
        <w:rPr>
          <w:rFonts w:ascii="Times New Roman" w:hAnsi="Times New Roman"/>
          <w:b w:val="0"/>
          <w:color w:val="002060"/>
          <w:sz w:val="24"/>
          <w:szCs w:val="24"/>
          <w:lang w:val="sr-Cyrl-CS"/>
        </w:rPr>
      </w:pPr>
      <w:bookmarkStart w:id="143" w:name="_heading=h.47hxl2r" w:colFirst="0" w:colLast="0"/>
      <w:bookmarkEnd w:id="143"/>
      <w:r w:rsidRPr="00CC35F0">
        <w:rPr>
          <w:rFonts w:ascii="Times New Roman" w:hAnsi="Times New Roman"/>
          <w:b w:val="0"/>
          <w:color w:val="002060"/>
          <w:sz w:val="24"/>
          <w:szCs w:val="24"/>
          <w:lang w:val="sr-Cyrl-CS"/>
        </w:rPr>
        <w:t>4.</w:t>
      </w:r>
      <w:r w:rsidR="008D6506" w:rsidRPr="00CC35F0">
        <w:rPr>
          <w:rFonts w:ascii="Times New Roman" w:hAnsi="Times New Roman"/>
          <w:b w:val="0"/>
          <w:color w:val="002060"/>
          <w:sz w:val="24"/>
          <w:szCs w:val="24"/>
          <w:lang w:val="sr-Cyrl-CS"/>
        </w:rPr>
        <w:t>Питања заснована на техничким подацима из пратећег документа</w:t>
      </w:r>
    </w:p>
    <w:p w14:paraId="7D82BDF3" w14:textId="77777777" w:rsidR="00A0251B" w:rsidRPr="00CC35F0" w:rsidRDefault="002A47D5" w:rsidP="002A47D5">
      <w:pPr>
        <w:pStyle w:val="ListParagraph"/>
        <w:ind w:left="576"/>
        <w:rPr>
          <w:rFonts w:ascii="Times New Roman" w:hAnsi="Times New Roman"/>
          <w:b/>
          <w:color w:val="002060"/>
          <w:sz w:val="24"/>
          <w:szCs w:val="24"/>
          <w:lang w:val="sr-Cyrl-CS"/>
        </w:rPr>
      </w:pPr>
      <w:bookmarkStart w:id="144" w:name="_heading=h.2mn7vak" w:colFirst="0" w:colLast="0"/>
      <w:bookmarkEnd w:id="144"/>
      <w:r w:rsidRPr="00CC35F0">
        <w:rPr>
          <w:rFonts w:ascii="Times New Roman" w:hAnsi="Times New Roman"/>
          <w:b/>
          <w:color w:val="002060"/>
          <w:sz w:val="24"/>
          <w:szCs w:val="24"/>
          <w:lang w:val="sr-Cyrl-CS"/>
        </w:rPr>
        <w:t>4.1</w:t>
      </w:r>
      <w:r w:rsidR="00270F88" w:rsidRPr="00CC35F0">
        <w:rPr>
          <w:rFonts w:ascii="Times New Roman" w:hAnsi="Times New Roman"/>
          <w:b/>
          <w:color w:val="002060"/>
          <w:sz w:val="24"/>
          <w:szCs w:val="24"/>
          <w:lang w:val="sr-Cyrl-CS"/>
        </w:rPr>
        <w:t xml:space="preserve"> </w:t>
      </w:r>
      <w:r w:rsidR="008D6506" w:rsidRPr="00CC35F0">
        <w:rPr>
          <w:rFonts w:ascii="Times New Roman" w:hAnsi="Times New Roman"/>
          <w:b/>
          <w:color w:val="002060"/>
          <w:sz w:val="24"/>
          <w:szCs w:val="24"/>
          <w:lang w:val="sr-Cyrl-CS"/>
        </w:rPr>
        <w:t>Критеријуми за област животне средине</w:t>
      </w:r>
    </w:p>
    <w:p w14:paraId="1BBE010D" w14:textId="77777777" w:rsidR="00A0251B" w:rsidRPr="00CC35F0" w:rsidRDefault="008D6506" w:rsidP="0007260A">
      <w:pPr>
        <w:ind w:firstLine="576"/>
        <w:rPr>
          <w:rFonts w:ascii="Times New Roman" w:eastAsia="Times New Roman" w:hAnsi="Times New Roman"/>
          <w:b/>
          <w:color w:val="002060"/>
          <w:sz w:val="24"/>
          <w:szCs w:val="24"/>
          <w:lang w:val="sr-Cyrl-CS"/>
        </w:rPr>
      </w:pPr>
      <w:bookmarkStart w:id="145" w:name="_heading=h.11si5id" w:colFirst="0" w:colLast="0"/>
      <w:bookmarkEnd w:id="145"/>
      <w:r w:rsidRPr="00CC35F0">
        <w:rPr>
          <w:rFonts w:ascii="Times New Roman" w:eastAsia="Times New Roman" w:hAnsi="Times New Roman"/>
          <w:b/>
          <w:color w:val="002060"/>
          <w:sz w:val="24"/>
          <w:szCs w:val="24"/>
          <w:lang w:val="sr-Cyrl-CS"/>
        </w:rPr>
        <w:t>Колико сте задовољни смањењем емисија PM10 постигнутим у оквиру сценарија WAM A, WAM B и WAM C?</w:t>
      </w:r>
    </w:p>
    <w:p w14:paraId="633B073E" w14:textId="77777777" w:rsidR="00A0251B" w:rsidRPr="00CC35F0" w:rsidRDefault="008D6506" w:rsidP="0007260A">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Испитаници су </w:t>
      </w:r>
      <w:r w:rsidRPr="00CC35F0">
        <w:rPr>
          <w:rFonts w:ascii="Times New Roman" w:eastAsia="Times New Roman" w:hAnsi="Times New Roman"/>
          <w:b/>
          <w:sz w:val="24"/>
          <w:szCs w:val="24"/>
          <w:lang w:val="sr-Cyrl-CS"/>
        </w:rPr>
        <w:t xml:space="preserve">најзадовољнији </w:t>
      </w:r>
      <w:r w:rsidRPr="00CC35F0">
        <w:rPr>
          <w:rFonts w:ascii="Times New Roman" w:eastAsia="Times New Roman" w:hAnsi="Times New Roman"/>
          <w:sz w:val="24"/>
          <w:szCs w:val="24"/>
          <w:lang w:val="sr-Cyrl-CS"/>
        </w:rPr>
        <w:t>смањењем емисија PM10 остварених у оквиру сценарија</w:t>
      </w:r>
      <w:r w:rsidRPr="00CC35F0">
        <w:rPr>
          <w:rFonts w:ascii="Times New Roman" w:eastAsia="Times New Roman" w:hAnsi="Times New Roman"/>
          <w:b/>
          <w:sz w:val="24"/>
          <w:szCs w:val="24"/>
          <w:lang w:val="sr-Cyrl-CS"/>
        </w:rPr>
        <w:t xml:space="preserve"> WAM C</w:t>
      </w:r>
      <w:r w:rsidRPr="00CC35F0">
        <w:rPr>
          <w:rFonts w:ascii="Times New Roman" w:eastAsia="Times New Roman" w:hAnsi="Times New Roman"/>
          <w:sz w:val="24"/>
          <w:szCs w:val="24"/>
          <w:lang w:val="sr-Cyrl-CS"/>
        </w:rPr>
        <w:t xml:space="preserve"> (просечна оцена 32,18), затим сценарија WAM B (24,47) и на крају WAM A (20,53).</w:t>
      </w:r>
    </w:p>
    <w:p w14:paraId="6A91C637"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6FFE674D" wp14:editId="0DCDDB7A">
            <wp:extent cx="3600000" cy="2160000"/>
            <wp:effectExtent l="0" t="0" r="0" b="0"/>
            <wp:docPr id="518" name="Chart 5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756E0D02" w14:textId="77777777" w:rsidR="00A0251B" w:rsidRPr="00CC35F0" w:rsidRDefault="008D6506">
      <w:pPr>
        <w:spacing w:before="120" w:after="60"/>
        <w:rPr>
          <w:rFonts w:ascii="Times New Roman" w:eastAsia="Times New Roman" w:hAnsi="Times New Roman"/>
          <w:b/>
          <w:sz w:val="24"/>
          <w:szCs w:val="24"/>
          <w:lang w:val="sr-Cyrl-CS"/>
        </w:rPr>
      </w:pPr>
      <w:bookmarkStart w:id="146" w:name="_heading=h.3ls5o66" w:colFirst="0" w:colLast="0"/>
      <w:bookmarkEnd w:id="146"/>
      <w:r w:rsidRPr="00CC35F0">
        <w:rPr>
          <w:rFonts w:ascii="Times New Roman" w:eastAsia="Times New Roman" w:hAnsi="Times New Roman"/>
          <w:b/>
          <w:sz w:val="24"/>
          <w:szCs w:val="24"/>
          <w:lang w:val="sr-Cyrl-CS"/>
        </w:rPr>
        <w:t>Слика 32 – Колико сте задовољни смањењем емисија PM10 постигнутим</w:t>
      </w:r>
      <w:r w:rsidR="007B094D">
        <w:rPr>
          <w:rFonts w:ascii="Times New Roman" w:eastAsia="Times New Roman" w:hAnsi="Times New Roman"/>
          <w:b/>
          <w:sz w:val="24"/>
          <w:szCs w:val="24"/>
          <w:lang w:val="sr-Cyrl-CS"/>
        </w:rPr>
        <w:t xml:space="preserve"> у оквиру сценарија WAM A, B, C</w:t>
      </w:r>
      <w:r w:rsidRPr="00CC35F0">
        <w:rPr>
          <w:rFonts w:ascii="Times New Roman" w:eastAsia="Times New Roman" w:hAnsi="Times New Roman"/>
          <w:b/>
          <w:sz w:val="24"/>
          <w:szCs w:val="24"/>
          <w:lang w:val="sr-Cyrl-CS"/>
        </w:rPr>
        <w:t>? – просек оцена</w:t>
      </w:r>
    </w:p>
    <w:p w14:paraId="19F60E8C"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2D699D61" wp14:editId="47C765B5">
            <wp:extent cx="3600000" cy="2160000"/>
            <wp:effectExtent l="0" t="0" r="0" b="0"/>
            <wp:docPr id="519" name="Chart 5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F98DE6A" w14:textId="77777777" w:rsidR="00A0251B" w:rsidRPr="00CC35F0" w:rsidRDefault="008D6506">
      <w:pPr>
        <w:spacing w:before="120" w:after="60"/>
        <w:rPr>
          <w:rFonts w:ascii="Times New Roman" w:eastAsia="Times New Roman" w:hAnsi="Times New Roman"/>
          <w:b/>
          <w:sz w:val="24"/>
          <w:szCs w:val="24"/>
          <w:lang w:val="sr-Cyrl-CS"/>
        </w:rPr>
      </w:pPr>
      <w:bookmarkStart w:id="147" w:name="_heading=h.20xfydz" w:colFirst="0" w:colLast="0"/>
      <w:bookmarkEnd w:id="147"/>
      <w:r w:rsidRPr="00CC35F0">
        <w:rPr>
          <w:rFonts w:ascii="Times New Roman" w:eastAsia="Times New Roman" w:hAnsi="Times New Roman"/>
          <w:b/>
          <w:sz w:val="24"/>
          <w:szCs w:val="24"/>
          <w:lang w:val="sr-Cyrl-CS"/>
        </w:rPr>
        <w:t>Слика 33 – Колико сте задовољни смањењем емисија PM10 постигнутим</w:t>
      </w:r>
      <w:r w:rsidR="007B094D">
        <w:rPr>
          <w:rFonts w:ascii="Times New Roman" w:eastAsia="Times New Roman" w:hAnsi="Times New Roman"/>
          <w:b/>
          <w:sz w:val="24"/>
          <w:szCs w:val="24"/>
          <w:lang w:val="sr-Cyrl-CS"/>
        </w:rPr>
        <w:t xml:space="preserve"> у оквиру сценарија WAM A, B, C</w:t>
      </w:r>
      <w:r w:rsidRPr="00CC35F0">
        <w:rPr>
          <w:rFonts w:ascii="Times New Roman" w:eastAsia="Times New Roman" w:hAnsi="Times New Roman"/>
          <w:b/>
          <w:sz w:val="24"/>
          <w:szCs w:val="24"/>
          <w:lang w:val="sr-Cyrl-CS"/>
        </w:rPr>
        <w:t>?– средња оцена</w:t>
      </w:r>
    </w:p>
    <w:p w14:paraId="76993BE8" w14:textId="77777777" w:rsidR="00A0251B" w:rsidRPr="00CC35F0" w:rsidRDefault="00A0251B">
      <w:pPr>
        <w:rPr>
          <w:rFonts w:ascii="Times New Roman" w:eastAsia="Times New Roman" w:hAnsi="Times New Roman"/>
          <w:sz w:val="24"/>
          <w:szCs w:val="24"/>
          <w:lang w:val="sr-Cyrl-CS"/>
        </w:rPr>
      </w:pPr>
    </w:p>
    <w:p w14:paraId="6F9C2458"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48" w:name="_heading=h.4kx3h1s" w:colFirst="0" w:colLast="0"/>
      <w:bookmarkEnd w:id="148"/>
      <w:r w:rsidRPr="00CC35F0">
        <w:rPr>
          <w:rFonts w:ascii="Times New Roman" w:eastAsia="Times New Roman" w:hAnsi="Times New Roman"/>
          <w:b/>
          <w:color w:val="002060"/>
          <w:sz w:val="24"/>
          <w:szCs w:val="24"/>
          <w:lang w:val="sr-Cyrl-CS"/>
        </w:rPr>
        <w:t>Колико сте задовољни бројем дана прекорачења граничних вредности PM10 пр</w:t>
      </w:r>
      <w:r w:rsidR="007B094D">
        <w:rPr>
          <w:rFonts w:ascii="Times New Roman" w:eastAsia="Times New Roman" w:hAnsi="Times New Roman"/>
          <w:b/>
          <w:color w:val="002060"/>
          <w:sz w:val="24"/>
          <w:szCs w:val="24"/>
          <w:lang w:val="sr-Cyrl-CS"/>
        </w:rPr>
        <w:t>оцењених у WAM A, WAM B и WAM C</w:t>
      </w:r>
      <w:r w:rsidRPr="00CC35F0">
        <w:rPr>
          <w:rFonts w:ascii="Times New Roman" w:eastAsia="Times New Roman" w:hAnsi="Times New Roman"/>
          <w:b/>
          <w:color w:val="002060"/>
          <w:sz w:val="24"/>
          <w:szCs w:val="24"/>
          <w:lang w:val="sr-Cyrl-CS"/>
        </w:rPr>
        <w:t>?</w:t>
      </w:r>
    </w:p>
    <w:p w14:paraId="542B47EB"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Испитаници су </w:t>
      </w:r>
      <w:r w:rsidRPr="00CC35F0">
        <w:rPr>
          <w:rFonts w:ascii="Times New Roman" w:eastAsia="Times New Roman" w:hAnsi="Times New Roman"/>
          <w:b/>
          <w:sz w:val="24"/>
          <w:szCs w:val="24"/>
          <w:lang w:val="sr-Cyrl-CS"/>
        </w:rPr>
        <w:t xml:space="preserve">најзадовољнији </w:t>
      </w:r>
      <w:r w:rsidRPr="00CC35F0">
        <w:rPr>
          <w:rFonts w:ascii="Times New Roman" w:eastAsia="Times New Roman" w:hAnsi="Times New Roman"/>
          <w:sz w:val="24"/>
          <w:szCs w:val="24"/>
          <w:lang w:val="sr-Cyrl-CS"/>
        </w:rPr>
        <w:t>бројем дана прекорачења граничних вредности PM10 остварених у</w:t>
      </w:r>
      <w:r w:rsidRPr="00CC35F0">
        <w:rPr>
          <w:rFonts w:ascii="Times New Roman" w:eastAsia="Times New Roman" w:hAnsi="Times New Roman"/>
          <w:b/>
          <w:sz w:val="24"/>
          <w:szCs w:val="24"/>
          <w:lang w:val="sr-Cyrl-CS"/>
        </w:rPr>
        <w:t xml:space="preserve"> </w:t>
      </w:r>
      <w:r w:rsidRPr="00CC35F0">
        <w:rPr>
          <w:rFonts w:ascii="Times New Roman" w:eastAsia="Times New Roman" w:hAnsi="Times New Roman"/>
          <w:sz w:val="24"/>
          <w:szCs w:val="24"/>
          <w:lang w:val="sr-Cyrl-CS"/>
        </w:rPr>
        <w:t>оквиру сценарија</w:t>
      </w:r>
      <w:r w:rsidRPr="00CC35F0">
        <w:rPr>
          <w:rFonts w:ascii="Times New Roman" w:eastAsia="Times New Roman" w:hAnsi="Times New Roman"/>
          <w:b/>
          <w:sz w:val="24"/>
          <w:szCs w:val="24"/>
          <w:lang w:val="sr-Cyrl-CS"/>
        </w:rPr>
        <w:t xml:space="preserve"> WAM C</w:t>
      </w:r>
      <w:r w:rsidRPr="00CC35F0">
        <w:rPr>
          <w:rFonts w:ascii="Times New Roman" w:eastAsia="Times New Roman" w:hAnsi="Times New Roman"/>
          <w:sz w:val="24"/>
          <w:szCs w:val="24"/>
          <w:lang w:val="sr-Cyrl-CS"/>
        </w:rPr>
        <w:t xml:space="preserve"> (просечна оцена 30,87), затим WAM B (21,84) и на крају WAM A (18,39).</w:t>
      </w:r>
    </w:p>
    <w:p w14:paraId="1B72D744" w14:textId="77777777" w:rsidR="00A0251B" w:rsidRPr="00CC35F0" w:rsidRDefault="00A0251B">
      <w:pPr>
        <w:rPr>
          <w:rFonts w:ascii="Times New Roman" w:eastAsia="Times New Roman" w:hAnsi="Times New Roman"/>
          <w:sz w:val="24"/>
          <w:szCs w:val="24"/>
          <w:lang w:val="sr-Cyrl-CS"/>
        </w:rPr>
      </w:pPr>
    </w:p>
    <w:p w14:paraId="1FB91DD4"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4795B7EE" wp14:editId="55BE03DF">
            <wp:extent cx="3600000" cy="2160000"/>
            <wp:effectExtent l="0" t="0" r="0" b="0"/>
            <wp:docPr id="520" name="Chart 5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BBA047E" w14:textId="77777777" w:rsidR="00A0251B" w:rsidRPr="00CC35F0" w:rsidRDefault="008D6506">
      <w:pPr>
        <w:spacing w:before="120" w:after="60"/>
        <w:rPr>
          <w:rFonts w:ascii="Times New Roman" w:eastAsia="Times New Roman" w:hAnsi="Times New Roman"/>
          <w:b/>
          <w:sz w:val="24"/>
          <w:szCs w:val="24"/>
          <w:lang w:val="sr-Cyrl-CS"/>
        </w:rPr>
      </w:pPr>
      <w:bookmarkStart w:id="149" w:name="_heading=h.302dr9l" w:colFirst="0" w:colLast="0"/>
      <w:bookmarkEnd w:id="149"/>
      <w:r w:rsidRPr="00CC35F0">
        <w:rPr>
          <w:rFonts w:ascii="Times New Roman" w:eastAsia="Times New Roman" w:hAnsi="Times New Roman"/>
          <w:b/>
          <w:sz w:val="24"/>
          <w:szCs w:val="24"/>
          <w:lang w:val="sr-Cyrl-CS"/>
        </w:rPr>
        <w:t>Слика 34 –</w:t>
      </w:r>
      <w:r w:rsidRPr="00CC35F0">
        <w:rPr>
          <w:rFonts w:ascii="Times New Roman" w:eastAsia="Times New Roman" w:hAnsi="Times New Roman"/>
          <w:sz w:val="24"/>
          <w:szCs w:val="24"/>
          <w:lang w:val="sr-Cyrl-CS"/>
        </w:rPr>
        <w:t xml:space="preserve"> </w:t>
      </w:r>
      <w:r w:rsidRPr="00CC35F0">
        <w:rPr>
          <w:rFonts w:ascii="Times New Roman" w:eastAsia="Times New Roman" w:hAnsi="Times New Roman"/>
          <w:b/>
          <w:sz w:val="24"/>
          <w:szCs w:val="24"/>
          <w:lang w:val="sr-Cyrl-CS"/>
        </w:rPr>
        <w:t>Колико сте задовољни бројем дана прекорачења граничних вредности PM10 пр</w:t>
      </w:r>
      <w:r w:rsidR="007B094D">
        <w:rPr>
          <w:rFonts w:ascii="Times New Roman" w:eastAsia="Times New Roman" w:hAnsi="Times New Roman"/>
          <w:b/>
          <w:sz w:val="24"/>
          <w:szCs w:val="24"/>
          <w:lang w:val="sr-Cyrl-CS"/>
        </w:rPr>
        <w:t>оцењених у WAM A, WAM B и WAM C</w:t>
      </w:r>
      <w:r w:rsidRPr="00CC35F0">
        <w:rPr>
          <w:rFonts w:ascii="Times New Roman" w:eastAsia="Times New Roman" w:hAnsi="Times New Roman"/>
          <w:b/>
          <w:sz w:val="24"/>
          <w:szCs w:val="24"/>
          <w:lang w:val="sr-Cyrl-CS"/>
        </w:rPr>
        <w:t>? – просек оцена</w:t>
      </w:r>
    </w:p>
    <w:p w14:paraId="4A4B0B46"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75A756C1" wp14:editId="2FB814AA">
            <wp:extent cx="3600000" cy="2160000"/>
            <wp:effectExtent l="0" t="0" r="0" b="0"/>
            <wp:docPr id="521" name="Chart 5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BFC4A6E" w14:textId="77777777" w:rsidR="00A0251B" w:rsidRPr="00CC35F0" w:rsidRDefault="008D6506">
      <w:pPr>
        <w:spacing w:before="120" w:after="60"/>
        <w:rPr>
          <w:rFonts w:ascii="Times New Roman" w:eastAsia="Times New Roman" w:hAnsi="Times New Roman"/>
          <w:b/>
          <w:sz w:val="24"/>
          <w:szCs w:val="24"/>
          <w:lang w:val="sr-Cyrl-CS"/>
        </w:rPr>
      </w:pPr>
      <w:bookmarkStart w:id="150" w:name="_heading=h.1f7o1he" w:colFirst="0" w:colLast="0"/>
      <w:bookmarkEnd w:id="150"/>
      <w:r w:rsidRPr="00CC35F0">
        <w:rPr>
          <w:rFonts w:ascii="Times New Roman" w:eastAsia="Times New Roman" w:hAnsi="Times New Roman"/>
          <w:b/>
          <w:sz w:val="24"/>
          <w:szCs w:val="24"/>
          <w:lang w:val="sr-Cyrl-CS"/>
        </w:rPr>
        <w:t>Слика 35 – Колико сте задовољни бројем дана прекорачења граничних вредности PM10 пр</w:t>
      </w:r>
      <w:r w:rsidR="007B094D">
        <w:rPr>
          <w:rFonts w:ascii="Times New Roman" w:eastAsia="Times New Roman" w:hAnsi="Times New Roman"/>
          <w:b/>
          <w:sz w:val="24"/>
          <w:szCs w:val="24"/>
          <w:lang w:val="sr-Cyrl-CS"/>
        </w:rPr>
        <w:t>оцењених у WAM A, WAM B и WAM C</w:t>
      </w:r>
      <w:r w:rsidRPr="00CC35F0">
        <w:rPr>
          <w:rFonts w:ascii="Times New Roman" w:eastAsia="Times New Roman" w:hAnsi="Times New Roman"/>
          <w:b/>
          <w:sz w:val="24"/>
          <w:szCs w:val="24"/>
          <w:lang w:val="sr-Cyrl-CS"/>
        </w:rPr>
        <w:t>? – средња оцена</w:t>
      </w:r>
    </w:p>
    <w:p w14:paraId="58C03B2C" w14:textId="77777777" w:rsidR="00A0251B" w:rsidRPr="00CC35F0" w:rsidRDefault="00A0251B">
      <w:pPr>
        <w:rPr>
          <w:rFonts w:ascii="Times New Roman" w:eastAsia="Times New Roman" w:hAnsi="Times New Roman"/>
          <w:sz w:val="24"/>
          <w:szCs w:val="24"/>
          <w:lang w:val="sr-Cyrl-CS"/>
        </w:rPr>
      </w:pPr>
    </w:p>
    <w:p w14:paraId="61AADF53"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51" w:name="_heading=h.3z7bk57" w:colFirst="0" w:colLast="0"/>
      <w:bookmarkEnd w:id="151"/>
      <w:r w:rsidRPr="00CC35F0">
        <w:rPr>
          <w:rFonts w:ascii="Times New Roman" w:eastAsia="Times New Roman" w:hAnsi="Times New Roman"/>
          <w:b/>
          <w:color w:val="002060"/>
          <w:sz w:val="24"/>
          <w:szCs w:val="24"/>
          <w:lang w:val="sr-Cyrl-CS"/>
        </w:rPr>
        <w:t xml:space="preserve">Колико сте задовољни проценом броја дана прекорачења граничних вредности било које загађујуће материје у вашем граду (или граду у вашој близини) у </w:t>
      </w:r>
      <w:r w:rsidR="007B094D">
        <w:rPr>
          <w:rFonts w:ascii="Times New Roman" w:eastAsia="Times New Roman" w:hAnsi="Times New Roman"/>
          <w:b/>
          <w:color w:val="002060"/>
          <w:sz w:val="24"/>
          <w:szCs w:val="24"/>
          <w:lang w:val="sr-Cyrl-CS"/>
        </w:rPr>
        <w:t>оквиру WAM A, WAM B и WAM C</w:t>
      </w:r>
      <w:r w:rsidRPr="00CC35F0">
        <w:rPr>
          <w:rFonts w:ascii="Times New Roman" w:eastAsia="Times New Roman" w:hAnsi="Times New Roman"/>
          <w:b/>
          <w:color w:val="002060"/>
          <w:sz w:val="24"/>
          <w:szCs w:val="24"/>
          <w:lang w:val="sr-Cyrl-CS"/>
        </w:rPr>
        <w:t>?</w:t>
      </w:r>
    </w:p>
    <w:p w14:paraId="734652E8"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Испитаници су </w:t>
      </w:r>
      <w:r w:rsidRPr="00CC35F0">
        <w:rPr>
          <w:rFonts w:ascii="Times New Roman" w:eastAsia="Times New Roman" w:hAnsi="Times New Roman"/>
          <w:b/>
          <w:sz w:val="24"/>
          <w:szCs w:val="24"/>
          <w:lang w:val="sr-Cyrl-CS"/>
        </w:rPr>
        <w:t xml:space="preserve">најзадовољнији </w:t>
      </w:r>
      <w:r w:rsidRPr="00CC35F0">
        <w:rPr>
          <w:rFonts w:ascii="Times New Roman" w:eastAsia="Times New Roman" w:hAnsi="Times New Roman"/>
          <w:sz w:val="24"/>
          <w:szCs w:val="24"/>
          <w:lang w:val="sr-Cyrl-CS"/>
        </w:rPr>
        <w:t>бројем дана прекорачења граничних вредности било које загађујуће материје у свом граду (или граду у близини) остварених у</w:t>
      </w:r>
      <w:r w:rsidRPr="00CC35F0">
        <w:rPr>
          <w:rFonts w:ascii="Times New Roman" w:eastAsia="Times New Roman" w:hAnsi="Times New Roman"/>
          <w:b/>
          <w:sz w:val="24"/>
          <w:szCs w:val="24"/>
          <w:lang w:val="sr-Cyrl-CS"/>
        </w:rPr>
        <w:t xml:space="preserve"> </w:t>
      </w:r>
      <w:r w:rsidRPr="00CC35F0">
        <w:rPr>
          <w:rFonts w:ascii="Times New Roman" w:eastAsia="Times New Roman" w:hAnsi="Times New Roman"/>
          <w:sz w:val="24"/>
          <w:szCs w:val="24"/>
          <w:lang w:val="sr-Cyrl-CS"/>
        </w:rPr>
        <w:t>оквиру сценарија</w:t>
      </w:r>
      <w:r w:rsidRPr="00CC35F0">
        <w:rPr>
          <w:rFonts w:ascii="Times New Roman" w:eastAsia="Times New Roman" w:hAnsi="Times New Roman"/>
          <w:b/>
          <w:sz w:val="24"/>
          <w:szCs w:val="24"/>
          <w:lang w:val="sr-Cyrl-CS"/>
        </w:rPr>
        <w:t xml:space="preserve"> WAM C</w:t>
      </w:r>
      <w:r w:rsidRPr="00CC35F0">
        <w:rPr>
          <w:rFonts w:ascii="Times New Roman" w:eastAsia="Times New Roman" w:hAnsi="Times New Roman"/>
          <w:sz w:val="24"/>
          <w:szCs w:val="24"/>
          <w:lang w:val="sr-Cyrl-CS"/>
        </w:rPr>
        <w:t xml:space="preserve"> (просечна оцена 30,87), затим WAM B (24,63) и на крају WAM A (22,5).</w:t>
      </w:r>
    </w:p>
    <w:p w14:paraId="6BE793BA"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43FD7C9F" wp14:editId="6EA2C8CF">
            <wp:extent cx="3600000" cy="2160000"/>
            <wp:effectExtent l="0" t="0" r="0" b="0"/>
            <wp:docPr id="522" name="Chart 5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2E1B33BE" w14:textId="77777777" w:rsidR="00A0251B" w:rsidRPr="00CC35F0" w:rsidRDefault="008D6506">
      <w:pPr>
        <w:spacing w:before="120" w:after="60"/>
        <w:rPr>
          <w:rFonts w:ascii="Times New Roman" w:eastAsia="Times New Roman" w:hAnsi="Times New Roman"/>
          <w:b/>
          <w:sz w:val="24"/>
          <w:szCs w:val="24"/>
          <w:lang w:val="sr-Cyrl-CS"/>
        </w:rPr>
      </w:pPr>
      <w:bookmarkStart w:id="152" w:name="_heading=h.2eclud0" w:colFirst="0" w:colLast="0"/>
      <w:bookmarkEnd w:id="152"/>
      <w:r w:rsidRPr="00CC35F0">
        <w:rPr>
          <w:rFonts w:ascii="Times New Roman" w:eastAsia="Times New Roman" w:hAnsi="Times New Roman"/>
          <w:b/>
          <w:sz w:val="24"/>
          <w:szCs w:val="24"/>
          <w:lang w:val="sr-Cyrl-CS"/>
        </w:rPr>
        <w:t>Слика 36 – Колико сте задовољни проценом броја дана прекорачења граничних вредности било које загађујуће материје у вашем граду (или граду у вашој близини</w:t>
      </w:r>
      <w:r w:rsidR="007B094D">
        <w:rPr>
          <w:rFonts w:ascii="Times New Roman" w:eastAsia="Times New Roman" w:hAnsi="Times New Roman"/>
          <w:b/>
          <w:sz w:val="24"/>
          <w:szCs w:val="24"/>
          <w:lang w:val="sr-Cyrl-CS"/>
        </w:rPr>
        <w:t>) у оквиру WAM A, WAM B и WAM C</w:t>
      </w:r>
      <w:r w:rsidRPr="00CC35F0">
        <w:rPr>
          <w:rFonts w:ascii="Times New Roman" w:eastAsia="Times New Roman" w:hAnsi="Times New Roman"/>
          <w:b/>
          <w:sz w:val="24"/>
          <w:szCs w:val="24"/>
          <w:lang w:val="sr-Cyrl-CS"/>
        </w:rPr>
        <w:t>? – средња оцена</w:t>
      </w:r>
    </w:p>
    <w:p w14:paraId="649CCC86"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75FEA05C" wp14:editId="445AF0AB">
            <wp:extent cx="3600000" cy="2160000"/>
            <wp:effectExtent l="0" t="0" r="0" b="0"/>
            <wp:docPr id="523" name="Chart 5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6E5F1BF9" w14:textId="77777777" w:rsidR="00A0251B" w:rsidRPr="00CC35F0" w:rsidRDefault="008D6506">
      <w:pPr>
        <w:spacing w:before="120" w:after="60"/>
        <w:rPr>
          <w:rFonts w:ascii="Times New Roman" w:eastAsia="Times New Roman" w:hAnsi="Times New Roman"/>
          <w:b/>
          <w:sz w:val="24"/>
          <w:szCs w:val="24"/>
          <w:lang w:val="sr-Cyrl-CS"/>
        </w:rPr>
      </w:pPr>
      <w:bookmarkStart w:id="153" w:name="_heading=h.thw4kt" w:colFirst="0" w:colLast="0"/>
      <w:bookmarkEnd w:id="153"/>
      <w:r w:rsidRPr="00CC35F0">
        <w:rPr>
          <w:rFonts w:ascii="Times New Roman" w:eastAsia="Times New Roman" w:hAnsi="Times New Roman"/>
          <w:b/>
          <w:sz w:val="24"/>
          <w:szCs w:val="24"/>
          <w:lang w:val="sr-Cyrl-CS"/>
        </w:rPr>
        <w:t>Слика 37 – Колико сте задовољни проценом броја дана прекорачења граничних вредности било које загађујуће материје у вашем граду (или граду у вашој близини</w:t>
      </w:r>
      <w:r w:rsidR="007B094D">
        <w:rPr>
          <w:rFonts w:ascii="Times New Roman" w:eastAsia="Times New Roman" w:hAnsi="Times New Roman"/>
          <w:b/>
          <w:sz w:val="24"/>
          <w:szCs w:val="24"/>
          <w:lang w:val="sr-Cyrl-CS"/>
        </w:rPr>
        <w:t>) у оквиру WAM A, WAM B и WAM C</w:t>
      </w:r>
      <w:r w:rsidRPr="00CC35F0">
        <w:rPr>
          <w:rFonts w:ascii="Times New Roman" w:eastAsia="Times New Roman" w:hAnsi="Times New Roman"/>
          <w:b/>
          <w:sz w:val="24"/>
          <w:szCs w:val="24"/>
          <w:lang w:val="sr-Cyrl-CS"/>
        </w:rPr>
        <w:t>? – средња оцена</w:t>
      </w:r>
    </w:p>
    <w:p w14:paraId="51C123DB" w14:textId="77777777" w:rsidR="00A0251B" w:rsidRPr="00CC35F0" w:rsidRDefault="00A0251B">
      <w:pPr>
        <w:rPr>
          <w:rFonts w:ascii="Times New Roman" w:eastAsia="Times New Roman" w:hAnsi="Times New Roman"/>
          <w:sz w:val="24"/>
          <w:szCs w:val="24"/>
          <w:lang w:val="sr-Cyrl-CS"/>
        </w:rPr>
      </w:pPr>
    </w:p>
    <w:p w14:paraId="798960E5" w14:textId="77777777" w:rsidR="00A0251B" w:rsidRPr="00CC35F0" w:rsidRDefault="008D6506" w:rsidP="0007260A">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Укратко, за сва три показатеља који су били предмет процене критеријума за животну средину, </w:t>
      </w:r>
      <w:r w:rsidRPr="00CC35F0">
        <w:rPr>
          <w:rFonts w:ascii="Times New Roman" w:eastAsia="Times New Roman" w:hAnsi="Times New Roman"/>
          <w:b/>
          <w:sz w:val="24"/>
          <w:szCs w:val="24"/>
          <w:lang w:val="sr-Cyrl-CS"/>
        </w:rPr>
        <w:t xml:space="preserve">WAM C је у сваком случају био најпожељнији избор заинтересованих страна, </w:t>
      </w:r>
      <w:r w:rsidRPr="00CC35F0">
        <w:rPr>
          <w:rFonts w:ascii="Times New Roman" w:eastAsia="Times New Roman" w:hAnsi="Times New Roman"/>
          <w:sz w:val="24"/>
          <w:szCs w:val="24"/>
          <w:lang w:val="sr-Cyrl-CS"/>
        </w:rPr>
        <w:t>након чега су следили WAM B и  WAM A.</w:t>
      </w:r>
    </w:p>
    <w:p w14:paraId="26573751" w14:textId="77777777" w:rsidR="00A0251B" w:rsidRPr="00CC35F0" w:rsidRDefault="00A0251B">
      <w:pPr>
        <w:rPr>
          <w:rFonts w:ascii="Times New Roman" w:eastAsia="Times New Roman" w:hAnsi="Times New Roman"/>
          <w:sz w:val="24"/>
          <w:szCs w:val="24"/>
          <w:lang w:val="sr-Cyrl-CS"/>
        </w:rPr>
      </w:pPr>
    </w:p>
    <w:p w14:paraId="7AF1D74B" w14:textId="77777777" w:rsidR="00A0251B" w:rsidRPr="00CC35F0" w:rsidRDefault="00CD7C9B" w:rsidP="00CD7C9B">
      <w:pPr>
        <w:spacing w:line="240" w:lineRule="auto"/>
        <w:rPr>
          <w:rFonts w:ascii="Times New Roman" w:eastAsia="Times New Roman" w:hAnsi="Times New Roman"/>
          <w:b/>
          <w:color w:val="002060"/>
          <w:sz w:val="24"/>
          <w:szCs w:val="24"/>
          <w:lang w:val="sr-Cyrl-CS"/>
        </w:rPr>
      </w:pPr>
      <w:bookmarkStart w:id="154" w:name="_heading=h.3dhjn8m" w:colFirst="0" w:colLast="0"/>
      <w:bookmarkEnd w:id="154"/>
      <w:r w:rsidRPr="00CC35F0">
        <w:rPr>
          <w:rFonts w:ascii="Times New Roman" w:eastAsia="Times New Roman" w:hAnsi="Times New Roman"/>
          <w:b/>
          <w:color w:val="002060"/>
          <w:sz w:val="24"/>
          <w:szCs w:val="24"/>
          <w:lang w:val="sr-Cyrl-CS"/>
        </w:rPr>
        <w:t xml:space="preserve">4.2 </w:t>
      </w:r>
      <w:r w:rsidR="008D6506" w:rsidRPr="00CC35F0">
        <w:rPr>
          <w:rFonts w:ascii="Times New Roman" w:eastAsia="Times New Roman" w:hAnsi="Times New Roman"/>
          <w:b/>
          <w:color w:val="002060"/>
          <w:sz w:val="24"/>
          <w:szCs w:val="24"/>
          <w:lang w:val="sr-Cyrl-CS"/>
        </w:rPr>
        <w:t>Критеријуми за здравље</w:t>
      </w:r>
    </w:p>
    <w:p w14:paraId="2ADD5348" w14:textId="77777777" w:rsidR="00A0251B" w:rsidRPr="00CC35F0" w:rsidRDefault="008D6506" w:rsidP="0007260A">
      <w:pPr>
        <w:ind w:firstLine="576"/>
        <w:rPr>
          <w:rFonts w:ascii="Times New Roman" w:eastAsia="Times New Roman" w:hAnsi="Times New Roman"/>
          <w:b/>
          <w:color w:val="002060"/>
          <w:sz w:val="24"/>
          <w:szCs w:val="24"/>
          <w:lang w:val="sr-Cyrl-CS"/>
        </w:rPr>
      </w:pPr>
      <w:bookmarkStart w:id="155" w:name="_heading=h.1smtxgf" w:colFirst="0" w:colLast="0"/>
      <w:bookmarkEnd w:id="155"/>
      <w:r w:rsidRPr="00CC35F0">
        <w:rPr>
          <w:rFonts w:ascii="Times New Roman" w:eastAsia="Times New Roman" w:hAnsi="Times New Roman"/>
          <w:b/>
          <w:color w:val="002060"/>
          <w:sz w:val="24"/>
          <w:szCs w:val="24"/>
          <w:lang w:val="sr-Cyrl-CS"/>
        </w:rPr>
        <w:t>Колико сте задовољни проценом броја превремених смртних случајева у вези са загађењем ваздух</w:t>
      </w:r>
      <w:r w:rsidR="00364615" w:rsidRPr="00CC35F0">
        <w:rPr>
          <w:rFonts w:ascii="Times New Roman" w:eastAsia="Times New Roman" w:hAnsi="Times New Roman"/>
          <w:b/>
          <w:color w:val="002060"/>
          <w:sz w:val="24"/>
          <w:szCs w:val="24"/>
          <w:lang w:val="sr-Cyrl-CS"/>
        </w:rPr>
        <w:t>а у оквиру WAM A, WAM B и WAM C</w:t>
      </w:r>
      <w:r w:rsidRPr="00CC35F0">
        <w:rPr>
          <w:rFonts w:ascii="Times New Roman" w:eastAsia="Times New Roman" w:hAnsi="Times New Roman"/>
          <w:b/>
          <w:color w:val="002060"/>
          <w:sz w:val="24"/>
          <w:szCs w:val="24"/>
          <w:lang w:val="sr-Cyrl-CS"/>
        </w:rPr>
        <w:t xml:space="preserve">? </w:t>
      </w:r>
    </w:p>
    <w:p w14:paraId="07D0AE87" w14:textId="77777777" w:rsidR="00A0251B" w:rsidRPr="00CC35F0" w:rsidRDefault="008D6506" w:rsidP="0007260A">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Испитаници су </w:t>
      </w:r>
      <w:r w:rsidRPr="00CC35F0">
        <w:rPr>
          <w:rFonts w:ascii="Times New Roman" w:eastAsia="Times New Roman" w:hAnsi="Times New Roman"/>
          <w:b/>
          <w:sz w:val="24"/>
          <w:szCs w:val="24"/>
          <w:lang w:val="sr-Cyrl-CS"/>
        </w:rPr>
        <w:t xml:space="preserve">најзадовољнији </w:t>
      </w:r>
      <w:r w:rsidRPr="00CC35F0">
        <w:rPr>
          <w:rFonts w:ascii="Times New Roman" w:eastAsia="Times New Roman" w:hAnsi="Times New Roman"/>
          <w:sz w:val="24"/>
          <w:szCs w:val="24"/>
          <w:lang w:val="sr-Cyrl-CS"/>
        </w:rPr>
        <w:t>бројкама које се односе на број превремено преминулих од последица излагања ваздуху лошег квалитета из процене према сценарију</w:t>
      </w:r>
      <w:r w:rsidRPr="00CC35F0">
        <w:rPr>
          <w:rFonts w:ascii="Times New Roman" w:eastAsia="Times New Roman" w:hAnsi="Times New Roman"/>
          <w:b/>
          <w:sz w:val="24"/>
          <w:szCs w:val="24"/>
          <w:lang w:val="sr-Cyrl-CS"/>
        </w:rPr>
        <w:t xml:space="preserve"> WAM C</w:t>
      </w:r>
      <w:r w:rsidRPr="00CC35F0">
        <w:rPr>
          <w:rFonts w:ascii="Times New Roman" w:eastAsia="Times New Roman" w:hAnsi="Times New Roman"/>
          <w:sz w:val="24"/>
          <w:szCs w:val="24"/>
          <w:lang w:val="sr-Cyrl-CS"/>
        </w:rPr>
        <w:t xml:space="preserve"> (просечна оцена 25,82), затим следе WAM B (22,30) и WAM A (17,44).</w:t>
      </w:r>
    </w:p>
    <w:p w14:paraId="6BC41B73" w14:textId="77777777" w:rsidR="00A0251B" w:rsidRPr="00CC35F0" w:rsidRDefault="00A0251B">
      <w:pPr>
        <w:rPr>
          <w:rFonts w:ascii="Times New Roman" w:eastAsia="Times New Roman" w:hAnsi="Times New Roman"/>
          <w:sz w:val="24"/>
          <w:szCs w:val="24"/>
          <w:lang w:val="sr-Cyrl-CS"/>
        </w:rPr>
      </w:pPr>
    </w:p>
    <w:p w14:paraId="5D5E03A3"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6FCFA4B6" wp14:editId="0BEEDD18">
            <wp:extent cx="3600000" cy="2160000"/>
            <wp:effectExtent l="0" t="0" r="0" b="0"/>
            <wp:docPr id="524" name="Chart 5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7ABE5D9A" w14:textId="77777777" w:rsidR="00A0251B" w:rsidRPr="00CC35F0" w:rsidRDefault="008D6506">
      <w:pPr>
        <w:spacing w:before="120" w:after="60"/>
        <w:rPr>
          <w:rFonts w:ascii="Times New Roman" w:eastAsia="Times New Roman" w:hAnsi="Times New Roman"/>
          <w:b/>
          <w:sz w:val="24"/>
          <w:szCs w:val="24"/>
          <w:lang w:val="sr-Cyrl-CS"/>
        </w:rPr>
      </w:pPr>
      <w:bookmarkStart w:id="156" w:name="_heading=h.4cmhg48" w:colFirst="0" w:colLast="0"/>
      <w:bookmarkEnd w:id="156"/>
      <w:r w:rsidRPr="00CC35F0">
        <w:rPr>
          <w:rFonts w:ascii="Times New Roman" w:eastAsia="Times New Roman" w:hAnsi="Times New Roman"/>
          <w:b/>
          <w:sz w:val="24"/>
          <w:szCs w:val="24"/>
          <w:lang w:val="sr-Cyrl-CS"/>
        </w:rPr>
        <w:t>Слика 38 – Колико сте задовољни проценом броја превремених смртних случајева у вези са загађењем ваздух</w:t>
      </w:r>
      <w:r w:rsidR="00364615" w:rsidRPr="00CC35F0">
        <w:rPr>
          <w:rFonts w:ascii="Times New Roman" w:eastAsia="Times New Roman" w:hAnsi="Times New Roman"/>
          <w:b/>
          <w:sz w:val="24"/>
          <w:szCs w:val="24"/>
          <w:lang w:val="sr-Cyrl-CS"/>
        </w:rPr>
        <w:t>а у оквиру WAM A, WAM B и WAM C</w:t>
      </w:r>
      <w:r w:rsidRPr="00CC35F0">
        <w:rPr>
          <w:rFonts w:ascii="Times New Roman" w:eastAsia="Times New Roman" w:hAnsi="Times New Roman"/>
          <w:b/>
          <w:sz w:val="24"/>
          <w:szCs w:val="24"/>
          <w:lang w:val="sr-Cyrl-CS"/>
        </w:rPr>
        <w:t>? – просек оцена</w:t>
      </w:r>
    </w:p>
    <w:p w14:paraId="7419D188"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65A4A8AD" wp14:editId="78E7CF35">
            <wp:extent cx="3600000" cy="2160000"/>
            <wp:effectExtent l="0" t="0" r="0" b="0"/>
            <wp:docPr id="525" name="Chart 5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1D884086" w14:textId="77777777" w:rsidR="00A0251B" w:rsidRPr="00CC35F0" w:rsidRDefault="008D6506">
      <w:pPr>
        <w:spacing w:before="120" w:after="60"/>
        <w:rPr>
          <w:rFonts w:ascii="Times New Roman" w:eastAsia="Times New Roman" w:hAnsi="Times New Roman"/>
          <w:b/>
          <w:sz w:val="24"/>
          <w:szCs w:val="24"/>
          <w:lang w:val="sr-Cyrl-CS"/>
        </w:rPr>
      </w:pPr>
      <w:bookmarkStart w:id="157" w:name="_heading=h.2rrrqc1" w:colFirst="0" w:colLast="0"/>
      <w:bookmarkEnd w:id="157"/>
      <w:r w:rsidRPr="00CC35F0">
        <w:rPr>
          <w:rFonts w:ascii="Times New Roman" w:eastAsia="Times New Roman" w:hAnsi="Times New Roman"/>
          <w:b/>
          <w:sz w:val="24"/>
          <w:szCs w:val="24"/>
          <w:lang w:val="sr-Cyrl-CS"/>
        </w:rPr>
        <w:t>Слика 39 – Колико сте задовољни проценом броја превремених смртних случајева у вези са загађењем ваздух</w:t>
      </w:r>
      <w:r w:rsidR="00364615" w:rsidRPr="00CC35F0">
        <w:rPr>
          <w:rFonts w:ascii="Times New Roman" w:eastAsia="Times New Roman" w:hAnsi="Times New Roman"/>
          <w:b/>
          <w:sz w:val="24"/>
          <w:szCs w:val="24"/>
          <w:lang w:val="sr-Cyrl-CS"/>
        </w:rPr>
        <w:t>а у оквиру WAM A, WAM B и WAM C</w:t>
      </w:r>
      <w:r w:rsidRPr="00CC35F0">
        <w:rPr>
          <w:rFonts w:ascii="Times New Roman" w:eastAsia="Times New Roman" w:hAnsi="Times New Roman"/>
          <w:b/>
          <w:sz w:val="24"/>
          <w:szCs w:val="24"/>
          <w:lang w:val="sr-Cyrl-CS"/>
        </w:rPr>
        <w:t>? – средња оцена</w:t>
      </w:r>
    </w:p>
    <w:p w14:paraId="0F2020BC" w14:textId="77777777" w:rsidR="00A0251B" w:rsidRPr="00CC35F0" w:rsidRDefault="00A0251B">
      <w:pPr>
        <w:rPr>
          <w:rFonts w:ascii="Times New Roman" w:eastAsia="Times New Roman" w:hAnsi="Times New Roman"/>
          <w:sz w:val="24"/>
          <w:szCs w:val="24"/>
          <w:lang w:val="sr-Cyrl-CS"/>
        </w:rPr>
      </w:pPr>
    </w:p>
    <w:p w14:paraId="5E948DC8" w14:textId="77777777" w:rsidR="00A0251B" w:rsidRPr="00CC35F0" w:rsidRDefault="008D6506" w:rsidP="0007260A">
      <w:pPr>
        <w:ind w:firstLine="576"/>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За показатељ који се односи на критеријуме здравља, </w:t>
      </w:r>
      <w:r w:rsidRPr="00CC35F0">
        <w:rPr>
          <w:rFonts w:ascii="Times New Roman" w:eastAsia="Times New Roman" w:hAnsi="Times New Roman"/>
          <w:b/>
          <w:sz w:val="24"/>
          <w:szCs w:val="24"/>
          <w:lang w:val="sr-Cyrl-CS"/>
        </w:rPr>
        <w:t xml:space="preserve">WAM C је у сваком случају био најпожељнији избор заинтересованих страна, </w:t>
      </w:r>
      <w:r w:rsidRPr="00CC35F0">
        <w:rPr>
          <w:rFonts w:ascii="Times New Roman" w:eastAsia="Times New Roman" w:hAnsi="Times New Roman"/>
          <w:sz w:val="24"/>
          <w:szCs w:val="24"/>
          <w:lang w:val="sr-Cyrl-CS"/>
        </w:rPr>
        <w:t>након чега су следили WAM B и  WAM A.</w:t>
      </w:r>
    </w:p>
    <w:p w14:paraId="0410286C" w14:textId="77777777" w:rsidR="00A0251B" w:rsidRPr="00CC35F0" w:rsidRDefault="00A0251B">
      <w:pPr>
        <w:rPr>
          <w:rFonts w:ascii="Times New Roman" w:eastAsia="Times New Roman" w:hAnsi="Times New Roman"/>
          <w:sz w:val="24"/>
          <w:szCs w:val="24"/>
          <w:lang w:val="sr-Cyrl-CS"/>
        </w:rPr>
      </w:pPr>
    </w:p>
    <w:p w14:paraId="7AEB66E3" w14:textId="77777777" w:rsidR="00A0251B" w:rsidRPr="00CC35F0" w:rsidRDefault="006C3859" w:rsidP="006C3859">
      <w:pPr>
        <w:spacing w:line="240" w:lineRule="auto"/>
        <w:rPr>
          <w:rFonts w:ascii="Times New Roman" w:eastAsia="Times New Roman" w:hAnsi="Times New Roman"/>
          <w:b/>
          <w:color w:val="002060"/>
          <w:sz w:val="24"/>
          <w:szCs w:val="24"/>
          <w:lang w:val="sr-Cyrl-CS"/>
        </w:rPr>
      </w:pPr>
      <w:bookmarkStart w:id="158" w:name="_heading=h.16x20ju" w:colFirst="0" w:colLast="0"/>
      <w:bookmarkEnd w:id="158"/>
      <w:r w:rsidRPr="00CC35F0">
        <w:rPr>
          <w:rFonts w:ascii="Times New Roman" w:eastAsia="Times New Roman" w:hAnsi="Times New Roman"/>
          <w:b/>
          <w:color w:val="002060"/>
          <w:sz w:val="24"/>
          <w:szCs w:val="24"/>
          <w:lang w:val="sr-Cyrl-CS"/>
        </w:rPr>
        <w:t xml:space="preserve">4.3 </w:t>
      </w:r>
      <w:r w:rsidR="008D6506" w:rsidRPr="00CC35F0">
        <w:rPr>
          <w:rFonts w:ascii="Times New Roman" w:eastAsia="Times New Roman" w:hAnsi="Times New Roman"/>
          <w:b/>
          <w:color w:val="002060"/>
          <w:sz w:val="24"/>
          <w:szCs w:val="24"/>
          <w:lang w:val="sr-Cyrl-CS"/>
        </w:rPr>
        <w:t>Критеријуми за економију</w:t>
      </w:r>
    </w:p>
    <w:p w14:paraId="33D70063" w14:textId="77777777" w:rsidR="00A0251B" w:rsidRPr="00CC35F0" w:rsidRDefault="008D6506">
      <w:pPr>
        <w:rPr>
          <w:rFonts w:ascii="Times New Roman" w:eastAsia="Times New Roman" w:hAnsi="Times New Roman"/>
          <w:b/>
          <w:color w:val="002060"/>
          <w:sz w:val="24"/>
          <w:szCs w:val="24"/>
          <w:lang w:val="sr-Cyrl-CS"/>
        </w:rPr>
      </w:pPr>
      <w:r w:rsidRPr="00CC35F0">
        <w:rPr>
          <w:rFonts w:ascii="Times New Roman" w:eastAsia="Times New Roman" w:hAnsi="Times New Roman"/>
          <w:b/>
          <w:color w:val="002060"/>
          <w:sz w:val="24"/>
          <w:szCs w:val="24"/>
          <w:lang w:val="sr-Cyrl-CS"/>
        </w:rPr>
        <w:t xml:space="preserve">Колико сте задовољни процењеним додатним трошковима за </w:t>
      </w:r>
      <w:r w:rsidR="00364615" w:rsidRPr="00CC35F0">
        <w:rPr>
          <w:rFonts w:ascii="Times New Roman" w:eastAsia="Times New Roman" w:hAnsi="Times New Roman"/>
          <w:b/>
          <w:color w:val="002060"/>
          <w:sz w:val="24"/>
          <w:szCs w:val="24"/>
          <w:lang w:val="sr-Cyrl-CS"/>
        </w:rPr>
        <w:t>спровођење WAM A, WAM B и WAM C</w:t>
      </w:r>
      <w:r w:rsidRPr="00CC35F0">
        <w:rPr>
          <w:rFonts w:ascii="Times New Roman" w:eastAsia="Times New Roman" w:hAnsi="Times New Roman"/>
          <w:b/>
          <w:color w:val="002060"/>
          <w:sz w:val="24"/>
          <w:szCs w:val="24"/>
          <w:lang w:val="sr-Cyrl-CS"/>
        </w:rPr>
        <w:t xml:space="preserve">? </w:t>
      </w:r>
    </w:p>
    <w:p w14:paraId="5A369B6C"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Испитаници су </w:t>
      </w:r>
      <w:r w:rsidRPr="00CC35F0">
        <w:rPr>
          <w:rFonts w:ascii="Times New Roman" w:eastAsia="Times New Roman" w:hAnsi="Times New Roman"/>
          <w:b/>
          <w:sz w:val="24"/>
          <w:szCs w:val="24"/>
          <w:lang w:val="sr-Cyrl-CS"/>
        </w:rPr>
        <w:t xml:space="preserve">најзадовољнији </w:t>
      </w:r>
      <w:r w:rsidRPr="00CC35F0">
        <w:rPr>
          <w:rFonts w:ascii="Times New Roman" w:eastAsia="Times New Roman" w:hAnsi="Times New Roman"/>
          <w:sz w:val="24"/>
          <w:szCs w:val="24"/>
          <w:lang w:val="sr-Cyrl-CS"/>
        </w:rPr>
        <w:t xml:space="preserve">проценом додатних трошкова за спровођење сценарија </w:t>
      </w:r>
      <w:r w:rsidRPr="00CC35F0">
        <w:rPr>
          <w:rFonts w:ascii="Times New Roman" w:eastAsia="Times New Roman" w:hAnsi="Times New Roman"/>
          <w:b/>
          <w:sz w:val="24"/>
          <w:szCs w:val="24"/>
          <w:lang w:val="sr-Cyrl-CS"/>
        </w:rPr>
        <w:t>WAM C</w:t>
      </w:r>
      <w:r w:rsidRPr="00CC35F0">
        <w:rPr>
          <w:rFonts w:ascii="Times New Roman" w:eastAsia="Times New Roman" w:hAnsi="Times New Roman"/>
          <w:sz w:val="24"/>
          <w:szCs w:val="24"/>
          <w:lang w:val="sr-Cyrl-CS"/>
        </w:rPr>
        <w:t xml:space="preserve"> (просечна оцена 28,58), затим следе WAM B (24,54) и крају WAM A (23,14).</w:t>
      </w:r>
    </w:p>
    <w:p w14:paraId="7BF566AE" w14:textId="77777777" w:rsidR="00A0251B" w:rsidRPr="00CC35F0" w:rsidRDefault="00A0251B">
      <w:pPr>
        <w:rPr>
          <w:rFonts w:ascii="Times New Roman" w:eastAsia="Times New Roman" w:hAnsi="Times New Roman"/>
          <w:sz w:val="24"/>
          <w:szCs w:val="24"/>
          <w:lang w:val="sr-Cyrl-CS"/>
        </w:rPr>
      </w:pPr>
    </w:p>
    <w:p w14:paraId="1071295C" w14:textId="77777777" w:rsidR="00A0251B" w:rsidRPr="00CC35F0" w:rsidRDefault="008D6506">
      <w:pPr>
        <w:keepNext/>
        <w:spacing w:after="0"/>
        <w:jc w:val="center"/>
        <w:rPr>
          <w:rFonts w:ascii="Times New Roman" w:eastAsia="Times New Roman" w:hAnsi="Times New Roman"/>
          <w:sz w:val="24"/>
          <w:szCs w:val="24"/>
          <w:lang w:val="sr-Cyrl-CS"/>
        </w:rPr>
      </w:pPr>
      <w:bookmarkStart w:id="159" w:name="_heading=h.3qwpj7n" w:colFirst="0" w:colLast="0"/>
      <w:bookmarkEnd w:id="159"/>
      <w:r w:rsidRPr="00CC35F0">
        <w:rPr>
          <w:rFonts w:ascii="Times New Roman" w:eastAsia="Times New Roman" w:hAnsi="Times New Roman"/>
          <w:noProof/>
          <w:sz w:val="24"/>
          <w:szCs w:val="24"/>
          <w:lang w:val="sr-Cyrl-RS" w:eastAsia="sr-Cyrl-RS"/>
        </w:rPr>
        <w:lastRenderedPageBreak/>
        <w:drawing>
          <wp:inline distT="0" distB="0" distL="0" distR="0" wp14:anchorId="700526B4" wp14:editId="10AAAA60">
            <wp:extent cx="3600000" cy="2160000"/>
            <wp:effectExtent l="0" t="0" r="0" b="0"/>
            <wp:docPr id="526" name="Chart 52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604C638B" w14:textId="77777777" w:rsidR="00A0251B" w:rsidRPr="00CC35F0" w:rsidRDefault="008D6506">
      <w:pPr>
        <w:spacing w:before="120" w:after="60"/>
        <w:rPr>
          <w:rFonts w:ascii="Times New Roman" w:eastAsia="Times New Roman" w:hAnsi="Times New Roman"/>
          <w:b/>
          <w:sz w:val="24"/>
          <w:szCs w:val="24"/>
          <w:lang w:val="sr-Cyrl-CS"/>
        </w:rPr>
      </w:pPr>
      <w:bookmarkStart w:id="160" w:name="_heading=h.261ztfg" w:colFirst="0" w:colLast="0"/>
      <w:bookmarkEnd w:id="160"/>
      <w:r w:rsidRPr="00CC35F0">
        <w:rPr>
          <w:rFonts w:ascii="Times New Roman" w:eastAsia="Times New Roman" w:hAnsi="Times New Roman"/>
          <w:b/>
          <w:sz w:val="24"/>
          <w:szCs w:val="24"/>
          <w:lang w:val="sr-Cyrl-CS"/>
        </w:rPr>
        <w:t xml:space="preserve">Слика 40 – Колико сте задовољни процењеним додатним трошковима за </w:t>
      </w:r>
      <w:r w:rsidR="00364615" w:rsidRPr="00CC35F0">
        <w:rPr>
          <w:rFonts w:ascii="Times New Roman" w:eastAsia="Times New Roman" w:hAnsi="Times New Roman"/>
          <w:b/>
          <w:sz w:val="24"/>
          <w:szCs w:val="24"/>
          <w:lang w:val="sr-Cyrl-CS"/>
        </w:rPr>
        <w:t>спровођење WAM A, WAM B и WAM C</w:t>
      </w:r>
      <w:r w:rsidRPr="00CC35F0">
        <w:rPr>
          <w:rFonts w:ascii="Times New Roman" w:eastAsia="Times New Roman" w:hAnsi="Times New Roman"/>
          <w:b/>
          <w:sz w:val="24"/>
          <w:szCs w:val="24"/>
          <w:lang w:val="sr-Cyrl-CS"/>
        </w:rPr>
        <w:t>? – просечна оцена</w:t>
      </w:r>
    </w:p>
    <w:p w14:paraId="6D93C361" w14:textId="77777777" w:rsidR="00A0251B" w:rsidRPr="00CC35F0" w:rsidRDefault="008D6506">
      <w:pPr>
        <w:keepNext/>
        <w:spacing w:after="0"/>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7E56D666" wp14:editId="646C09BA">
            <wp:extent cx="3600000" cy="2160000"/>
            <wp:effectExtent l="0" t="0" r="0" b="0"/>
            <wp:docPr id="527" name="Chart 5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58BB520E" w14:textId="77777777" w:rsidR="00A0251B" w:rsidRPr="00CC35F0" w:rsidRDefault="008D6506">
      <w:pPr>
        <w:spacing w:before="120" w:after="60"/>
        <w:rPr>
          <w:rFonts w:ascii="Times New Roman" w:eastAsia="Times New Roman" w:hAnsi="Times New Roman"/>
          <w:b/>
          <w:sz w:val="24"/>
          <w:szCs w:val="24"/>
          <w:lang w:val="sr-Cyrl-CS"/>
        </w:rPr>
      </w:pPr>
      <w:bookmarkStart w:id="161" w:name="_heading=h.l7a3n9" w:colFirst="0" w:colLast="0"/>
      <w:bookmarkEnd w:id="161"/>
      <w:r w:rsidRPr="00CC35F0">
        <w:rPr>
          <w:rFonts w:ascii="Times New Roman" w:eastAsia="Times New Roman" w:hAnsi="Times New Roman"/>
          <w:b/>
          <w:sz w:val="24"/>
          <w:szCs w:val="24"/>
          <w:lang w:val="sr-Cyrl-CS"/>
        </w:rPr>
        <w:t xml:space="preserve">Слика 41 – Колико сте задовољни процењеним додатним трошковима за спровођење WAM A, </w:t>
      </w:r>
      <w:r w:rsidR="00364615" w:rsidRPr="00CC35F0">
        <w:rPr>
          <w:rFonts w:ascii="Times New Roman" w:eastAsia="Times New Roman" w:hAnsi="Times New Roman"/>
          <w:b/>
          <w:sz w:val="24"/>
          <w:szCs w:val="24"/>
          <w:lang w:val="sr-Cyrl-CS"/>
        </w:rPr>
        <w:t>WAM B и WAM C</w:t>
      </w:r>
      <w:r w:rsidRPr="00CC35F0">
        <w:rPr>
          <w:rFonts w:ascii="Times New Roman" w:eastAsia="Times New Roman" w:hAnsi="Times New Roman"/>
          <w:b/>
          <w:sz w:val="24"/>
          <w:szCs w:val="24"/>
          <w:lang w:val="sr-Cyrl-CS"/>
        </w:rPr>
        <w:t>? – средња оцена</w:t>
      </w:r>
    </w:p>
    <w:p w14:paraId="2547B9A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w:t>
      </w:r>
    </w:p>
    <w:p w14:paraId="4BA92776"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62" w:name="_heading=h.356xmb2" w:colFirst="0" w:colLast="0"/>
      <w:bookmarkEnd w:id="162"/>
      <w:r w:rsidRPr="00CC35F0">
        <w:rPr>
          <w:rFonts w:ascii="Times New Roman" w:eastAsia="Times New Roman" w:hAnsi="Times New Roman"/>
          <w:b/>
          <w:color w:val="002060"/>
          <w:sz w:val="24"/>
          <w:szCs w:val="24"/>
          <w:lang w:val="sr-Cyrl-CS"/>
        </w:rPr>
        <w:t>Колико сте задовољни проценом нето користи (односа користи и трошка</w:t>
      </w:r>
      <w:r w:rsidR="00364615" w:rsidRPr="00CC35F0">
        <w:rPr>
          <w:rFonts w:ascii="Times New Roman" w:eastAsia="Times New Roman" w:hAnsi="Times New Roman"/>
          <w:b/>
          <w:color w:val="002060"/>
          <w:sz w:val="24"/>
          <w:szCs w:val="24"/>
          <w:lang w:val="sr-Cyrl-CS"/>
        </w:rPr>
        <w:t>) у оквиру WAM A, WAM B и WAM C</w:t>
      </w:r>
      <w:r w:rsidRPr="00CC35F0">
        <w:rPr>
          <w:rFonts w:ascii="Times New Roman" w:eastAsia="Times New Roman" w:hAnsi="Times New Roman"/>
          <w:b/>
          <w:color w:val="002060"/>
          <w:sz w:val="24"/>
          <w:szCs w:val="24"/>
          <w:lang w:val="sr-Cyrl-CS"/>
        </w:rPr>
        <w:t>?</w:t>
      </w:r>
    </w:p>
    <w:p w14:paraId="335BA8C5"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Испитаници су </w:t>
      </w:r>
      <w:r w:rsidRPr="00CC35F0">
        <w:rPr>
          <w:rFonts w:ascii="Times New Roman" w:eastAsia="Times New Roman" w:hAnsi="Times New Roman"/>
          <w:b/>
          <w:sz w:val="24"/>
          <w:szCs w:val="24"/>
          <w:lang w:val="sr-Cyrl-CS"/>
        </w:rPr>
        <w:t xml:space="preserve">најзадовољнији </w:t>
      </w:r>
      <w:r w:rsidRPr="00CC35F0">
        <w:rPr>
          <w:rFonts w:ascii="Times New Roman" w:eastAsia="Times New Roman" w:hAnsi="Times New Roman"/>
          <w:sz w:val="24"/>
          <w:szCs w:val="24"/>
          <w:lang w:val="sr-Cyrl-CS"/>
        </w:rPr>
        <w:t xml:space="preserve">проценом нето користи од спровођења сценарија </w:t>
      </w:r>
      <w:r w:rsidRPr="00CC35F0">
        <w:rPr>
          <w:rFonts w:ascii="Times New Roman" w:eastAsia="Times New Roman" w:hAnsi="Times New Roman"/>
          <w:b/>
          <w:sz w:val="24"/>
          <w:szCs w:val="24"/>
          <w:lang w:val="sr-Cyrl-CS"/>
        </w:rPr>
        <w:t>WAM C</w:t>
      </w:r>
      <w:r w:rsidRPr="00CC35F0">
        <w:rPr>
          <w:rFonts w:ascii="Times New Roman" w:eastAsia="Times New Roman" w:hAnsi="Times New Roman"/>
          <w:sz w:val="24"/>
          <w:szCs w:val="24"/>
          <w:lang w:val="sr-Cyrl-CS"/>
        </w:rPr>
        <w:t xml:space="preserve"> (средња оцена 29,93), затим следе WAM B (25,03) и WAM A (22,45).</w:t>
      </w:r>
    </w:p>
    <w:p w14:paraId="5E664B4E" w14:textId="77777777" w:rsidR="00A0251B" w:rsidRPr="00CC35F0" w:rsidRDefault="00A0251B">
      <w:pPr>
        <w:rPr>
          <w:rFonts w:ascii="Times New Roman" w:eastAsia="Times New Roman" w:hAnsi="Times New Roman"/>
          <w:sz w:val="24"/>
          <w:szCs w:val="24"/>
          <w:lang w:val="sr-Cyrl-CS"/>
        </w:rPr>
      </w:pPr>
    </w:p>
    <w:p w14:paraId="1563E2F4"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1FBE1C62" wp14:editId="5B53A016">
            <wp:extent cx="3600000" cy="2160000"/>
            <wp:effectExtent l="0" t="0" r="0" b="0"/>
            <wp:docPr id="532" name="Chart 5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4066888" w14:textId="77777777" w:rsidR="00A0251B" w:rsidRPr="00CC35F0" w:rsidRDefault="008D6506">
      <w:pPr>
        <w:spacing w:before="120" w:after="60"/>
        <w:rPr>
          <w:rFonts w:ascii="Times New Roman" w:eastAsia="Times New Roman" w:hAnsi="Times New Roman"/>
          <w:b/>
          <w:sz w:val="24"/>
          <w:szCs w:val="24"/>
          <w:lang w:val="sr-Cyrl-CS"/>
        </w:rPr>
      </w:pPr>
      <w:bookmarkStart w:id="163" w:name="_heading=h.1kc7wiv" w:colFirst="0" w:colLast="0"/>
      <w:bookmarkEnd w:id="163"/>
      <w:r w:rsidRPr="00CC35F0">
        <w:rPr>
          <w:rFonts w:ascii="Times New Roman" w:eastAsia="Times New Roman" w:hAnsi="Times New Roman"/>
          <w:b/>
          <w:sz w:val="24"/>
          <w:szCs w:val="24"/>
          <w:lang w:val="sr-Cyrl-CS"/>
        </w:rPr>
        <w:t>Слика 42 – Колико сте задовољни проценом нето користи (односа користи и трошка</w:t>
      </w:r>
      <w:r w:rsidR="00364615" w:rsidRPr="00CC35F0">
        <w:rPr>
          <w:rFonts w:ascii="Times New Roman" w:eastAsia="Times New Roman" w:hAnsi="Times New Roman"/>
          <w:b/>
          <w:sz w:val="24"/>
          <w:szCs w:val="24"/>
          <w:lang w:val="sr-Cyrl-CS"/>
        </w:rPr>
        <w:t>) у оквиру WAM A, WAM B и WAM C</w:t>
      </w:r>
      <w:r w:rsidRPr="00CC35F0">
        <w:rPr>
          <w:rFonts w:ascii="Times New Roman" w:eastAsia="Times New Roman" w:hAnsi="Times New Roman"/>
          <w:b/>
          <w:sz w:val="24"/>
          <w:szCs w:val="24"/>
          <w:lang w:val="sr-Cyrl-CS"/>
        </w:rPr>
        <w:t>? – просечна оцена</w:t>
      </w:r>
    </w:p>
    <w:p w14:paraId="74E50497"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32314695" wp14:editId="276D8CC2">
            <wp:extent cx="3600000" cy="2160000"/>
            <wp:effectExtent l="0" t="0" r="0" b="0"/>
            <wp:docPr id="533" name="Chart 533"/>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10EE173C" w14:textId="77777777" w:rsidR="00A0251B" w:rsidRPr="00CC35F0" w:rsidRDefault="008D6506">
      <w:pPr>
        <w:spacing w:before="120" w:after="60"/>
        <w:rPr>
          <w:rFonts w:ascii="Times New Roman" w:eastAsia="Times New Roman" w:hAnsi="Times New Roman"/>
          <w:b/>
          <w:sz w:val="24"/>
          <w:szCs w:val="24"/>
          <w:lang w:val="sr-Cyrl-CS"/>
        </w:rPr>
      </w:pPr>
      <w:bookmarkStart w:id="164" w:name="_heading=h.44bvf6o" w:colFirst="0" w:colLast="0"/>
      <w:bookmarkEnd w:id="164"/>
      <w:r w:rsidRPr="00CC35F0">
        <w:rPr>
          <w:rFonts w:ascii="Times New Roman" w:eastAsia="Times New Roman" w:hAnsi="Times New Roman"/>
          <w:b/>
          <w:sz w:val="24"/>
          <w:szCs w:val="24"/>
          <w:lang w:val="sr-Cyrl-CS"/>
        </w:rPr>
        <w:t>Слика 43 – Колико сте задовољни проценом нето користи (односа користи и трошка) у оквиру WAM A, W</w:t>
      </w:r>
      <w:r w:rsidR="00364615" w:rsidRPr="00CC35F0">
        <w:rPr>
          <w:rFonts w:ascii="Times New Roman" w:eastAsia="Times New Roman" w:hAnsi="Times New Roman"/>
          <w:b/>
          <w:sz w:val="24"/>
          <w:szCs w:val="24"/>
          <w:lang w:val="sr-Cyrl-CS"/>
        </w:rPr>
        <w:t>AM B и WAM C</w:t>
      </w:r>
      <w:r w:rsidRPr="00CC35F0">
        <w:rPr>
          <w:rFonts w:ascii="Times New Roman" w:eastAsia="Times New Roman" w:hAnsi="Times New Roman"/>
          <w:b/>
          <w:sz w:val="24"/>
          <w:szCs w:val="24"/>
          <w:lang w:val="sr-Cyrl-CS"/>
        </w:rPr>
        <w:t>? – средња оцена</w:t>
      </w:r>
    </w:p>
    <w:p w14:paraId="18FE0E60" w14:textId="77777777" w:rsidR="00A0251B" w:rsidRPr="00CC35F0" w:rsidRDefault="00A0251B">
      <w:pPr>
        <w:rPr>
          <w:rFonts w:ascii="Times New Roman" w:eastAsia="Times New Roman" w:hAnsi="Times New Roman"/>
          <w:sz w:val="24"/>
          <w:szCs w:val="24"/>
          <w:lang w:val="sr-Cyrl-CS"/>
        </w:rPr>
      </w:pPr>
    </w:p>
    <w:p w14:paraId="657A277A"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Укратко, за два показатеља који су били предмет процене критеријума за област економије, </w:t>
      </w:r>
      <w:r w:rsidRPr="00CC35F0">
        <w:rPr>
          <w:rFonts w:ascii="Times New Roman" w:eastAsia="Times New Roman" w:hAnsi="Times New Roman"/>
          <w:b/>
          <w:sz w:val="24"/>
          <w:szCs w:val="24"/>
          <w:lang w:val="sr-Cyrl-CS"/>
        </w:rPr>
        <w:t xml:space="preserve">WAM C је у сваком случају био најпожељнији избор заинтересованих страна, </w:t>
      </w:r>
      <w:r w:rsidRPr="00CC35F0">
        <w:rPr>
          <w:rFonts w:ascii="Times New Roman" w:eastAsia="Times New Roman" w:hAnsi="Times New Roman"/>
          <w:sz w:val="24"/>
          <w:szCs w:val="24"/>
          <w:lang w:val="sr-Cyrl-CS"/>
        </w:rPr>
        <w:t>након чега су следили WAM B и WAM A.</w:t>
      </w:r>
    </w:p>
    <w:p w14:paraId="1A4972C7" w14:textId="77777777" w:rsidR="00A0251B" w:rsidRPr="00CC35F0" w:rsidRDefault="00A0251B">
      <w:pPr>
        <w:keepNext/>
        <w:rPr>
          <w:rFonts w:ascii="Times New Roman" w:eastAsia="Times New Roman" w:hAnsi="Times New Roman"/>
          <w:sz w:val="24"/>
          <w:szCs w:val="24"/>
          <w:lang w:val="sr-Cyrl-CS"/>
        </w:rPr>
      </w:pPr>
    </w:p>
    <w:p w14:paraId="0EC4EEA6" w14:textId="77777777" w:rsidR="00A0251B" w:rsidRPr="00CC35F0" w:rsidRDefault="001473B5" w:rsidP="001473B5">
      <w:pPr>
        <w:pStyle w:val="Einzug1"/>
        <w:numPr>
          <w:ilvl w:val="0"/>
          <w:numId w:val="0"/>
        </w:numPr>
        <w:rPr>
          <w:rFonts w:ascii="Times New Roman" w:hAnsi="Times New Roman"/>
          <w:b w:val="0"/>
          <w:color w:val="002060"/>
          <w:sz w:val="24"/>
          <w:szCs w:val="24"/>
          <w:lang w:val="sr-Cyrl-CS"/>
        </w:rPr>
      </w:pPr>
      <w:bookmarkStart w:id="165" w:name="_heading=h.2jh5peh" w:colFirst="0" w:colLast="0"/>
      <w:bookmarkEnd w:id="165"/>
      <w:r w:rsidRPr="00CC35F0">
        <w:rPr>
          <w:rFonts w:ascii="Times New Roman" w:hAnsi="Times New Roman"/>
          <w:b w:val="0"/>
          <w:color w:val="002060"/>
          <w:sz w:val="24"/>
          <w:szCs w:val="24"/>
          <w:lang w:val="sr-Cyrl-CS"/>
        </w:rPr>
        <w:t>5.</w:t>
      </w:r>
      <w:r w:rsidR="008D6506" w:rsidRPr="00CC35F0">
        <w:rPr>
          <w:rFonts w:ascii="Times New Roman" w:hAnsi="Times New Roman"/>
          <w:b w:val="0"/>
          <w:color w:val="002060"/>
          <w:sz w:val="24"/>
          <w:szCs w:val="24"/>
          <w:lang w:val="sr-Cyrl-CS"/>
        </w:rPr>
        <w:t>Остала питања на основу оцене испитаника</w:t>
      </w:r>
    </w:p>
    <w:p w14:paraId="34040C2E" w14:textId="77777777" w:rsidR="00A0251B" w:rsidRPr="00CC35F0" w:rsidRDefault="008D6506" w:rsidP="0007260A">
      <w:pPr>
        <w:ind w:firstLine="431"/>
        <w:rPr>
          <w:rFonts w:ascii="Times New Roman" w:eastAsia="Times New Roman" w:hAnsi="Times New Roman"/>
          <w:b/>
          <w:color w:val="002060"/>
          <w:sz w:val="24"/>
          <w:szCs w:val="24"/>
          <w:lang w:val="sr-Cyrl-CS"/>
        </w:rPr>
      </w:pPr>
      <w:bookmarkStart w:id="166" w:name="_heading=h.ymfzma" w:colFirst="0" w:colLast="0"/>
      <w:bookmarkEnd w:id="166"/>
      <w:r w:rsidRPr="00CC35F0">
        <w:rPr>
          <w:rFonts w:ascii="Times New Roman" w:eastAsia="Times New Roman" w:hAnsi="Times New Roman"/>
          <w:b/>
          <w:color w:val="002060"/>
          <w:sz w:val="24"/>
          <w:szCs w:val="24"/>
          <w:lang w:val="sr-Cyrl-CS"/>
        </w:rPr>
        <w:t>Који сценарио по вама навише доприноси борби против климатских промена?</w:t>
      </w:r>
    </w:p>
    <w:p w14:paraId="1A540B3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69% испитаника верује да </w:t>
      </w:r>
      <w:r w:rsidRPr="00CC35F0">
        <w:rPr>
          <w:rFonts w:ascii="Times New Roman" w:eastAsia="Times New Roman" w:hAnsi="Times New Roman"/>
          <w:b/>
          <w:sz w:val="24"/>
          <w:szCs w:val="24"/>
          <w:lang w:val="sr-Cyrl-CS"/>
        </w:rPr>
        <w:t>WAM C навише доприноси борби против климатских промена</w:t>
      </w:r>
      <w:r w:rsidRPr="00CC35F0">
        <w:rPr>
          <w:rFonts w:ascii="Times New Roman" w:eastAsia="Times New Roman" w:hAnsi="Times New Roman"/>
          <w:sz w:val="24"/>
          <w:szCs w:val="24"/>
          <w:lang w:val="sr-Cyrl-CS"/>
        </w:rPr>
        <w:t xml:space="preserve">, затим следи одговори </w:t>
      </w:r>
      <w:r w:rsidRPr="00CC35F0">
        <w:rPr>
          <w:rFonts w:ascii="Times New Roman" w:eastAsia="Times New Roman" w:hAnsi="Times New Roman"/>
          <w:b/>
          <w:sz w:val="24"/>
          <w:szCs w:val="24"/>
          <w:lang w:val="sr-Cyrl-CS"/>
        </w:rPr>
        <w:t>„сви једнако”</w:t>
      </w:r>
      <w:r w:rsidRPr="00CC35F0">
        <w:rPr>
          <w:rFonts w:ascii="Times New Roman" w:eastAsia="Times New Roman" w:hAnsi="Times New Roman"/>
          <w:sz w:val="24"/>
          <w:szCs w:val="24"/>
          <w:lang w:val="sr-Cyrl-CS"/>
        </w:rPr>
        <w:t xml:space="preserve"> (15%) и </w:t>
      </w:r>
      <w:r w:rsidRPr="00CC35F0">
        <w:rPr>
          <w:rFonts w:ascii="Times New Roman" w:eastAsia="Times New Roman" w:hAnsi="Times New Roman"/>
          <w:b/>
          <w:sz w:val="24"/>
          <w:szCs w:val="24"/>
          <w:lang w:val="sr-Cyrl-CS"/>
        </w:rPr>
        <w:t>„не знам”</w:t>
      </w:r>
      <w:r w:rsidRPr="00CC35F0">
        <w:rPr>
          <w:rFonts w:ascii="Times New Roman" w:eastAsia="Times New Roman" w:hAnsi="Times New Roman"/>
          <w:sz w:val="24"/>
          <w:szCs w:val="24"/>
          <w:lang w:val="sr-Cyrl-CS"/>
        </w:rPr>
        <w:t xml:space="preserve"> (12%).</w:t>
      </w:r>
    </w:p>
    <w:p w14:paraId="253E1F69"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30BDC505" wp14:editId="7B3C22C9">
            <wp:extent cx="3924300" cy="2870200"/>
            <wp:effectExtent l="0" t="0" r="0" b="0"/>
            <wp:docPr id="534" name="Chart 534"/>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5B47B2FE" w14:textId="77777777" w:rsidR="00A0251B" w:rsidRPr="00CC35F0" w:rsidRDefault="008D6506">
      <w:pPr>
        <w:spacing w:before="120" w:after="60"/>
        <w:rPr>
          <w:rFonts w:ascii="Times New Roman" w:eastAsia="Times New Roman" w:hAnsi="Times New Roman"/>
          <w:b/>
          <w:sz w:val="24"/>
          <w:szCs w:val="24"/>
          <w:lang w:val="sr-Cyrl-CS"/>
        </w:rPr>
      </w:pPr>
      <w:bookmarkStart w:id="167" w:name="_heading=h.3im3ia3" w:colFirst="0" w:colLast="0"/>
      <w:bookmarkEnd w:id="167"/>
      <w:r w:rsidRPr="00CC35F0">
        <w:rPr>
          <w:rFonts w:ascii="Times New Roman" w:eastAsia="Times New Roman" w:hAnsi="Times New Roman"/>
          <w:b/>
          <w:sz w:val="24"/>
          <w:szCs w:val="24"/>
          <w:lang w:val="sr-Cyrl-CS"/>
        </w:rPr>
        <w:t xml:space="preserve">Слика 44 – Који сценарио по вама навише доприноси </w:t>
      </w:r>
      <w:r w:rsidR="00364615" w:rsidRPr="00CC35F0">
        <w:rPr>
          <w:rFonts w:ascii="Times New Roman" w:eastAsia="Times New Roman" w:hAnsi="Times New Roman"/>
          <w:b/>
          <w:sz w:val="24"/>
          <w:szCs w:val="24"/>
          <w:lang w:val="sr-Cyrl-CS"/>
        </w:rPr>
        <w:t>борби против климатских промена</w:t>
      </w:r>
      <w:r w:rsidRPr="00CC35F0">
        <w:rPr>
          <w:rFonts w:ascii="Times New Roman" w:eastAsia="Times New Roman" w:hAnsi="Times New Roman"/>
          <w:b/>
          <w:sz w:val="24"/>
          <w:szCs w:val="24"/>
          <w:lang w:val="sr-Cyrl-CS"/>
        </w:rPr>
        <w:t>?</w:t>
      </w:r>
    </w:p>
    <w:p w14:paraId="68AAAEC9"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68" w:name="_heading=h.1xrdshw" w:colFirst="0" w:colLast="0"/>
      <w:bookmarkEnd w:id="168"/>
      <w:r w:rsidRPr="00CC35F0">
        <w:rPr>
          <w:rFonts w:ascii="Times New Roman" w:eastAsia="Times New Roman" w:hAnsi="Times New Roman"/>
          <w:b/>
          <w:color w:val="002060"/>
          <w:sz w:val="24"/>
          <w:szCs w:val="24"/>
          <w:lang w:val="sr-Cyrl-CS"/>
        </w:rPr>
        <w:t>Који сценарио по вама највише д</w:t>
      </w:r>
      <w:r w:rsidR="00364615" w:rsidRPr="00CC35F0">
        <w:rPr>
          <w:rFonts w:ascii="Times New Roman" w:eastAsia="Times New Roman" w:hAnsi="Times New Roman"/>
          <w:b/>
          <w:color w:val="002060"/>
          <w:sz w:val="24"/>
          <w:szCs w:val="24"/>
          <w:lang w:val="sr-Cyrl-CS"/>
        </w:rPr>
        <w:t>оприноси заштити биодиверзитета</w:t>
      </w:r>
      <w:r w:rsidRPr="00CC35F0">
        <w:rPr>
          <w:rFonts w:ascii="Times New Roman" w:eastAsia="Times New Roman" w:hAnsi="Times New Roman"/>
          <w:b/>
          <w:color w:val="002060"/>
          <w:sz w:val="24"/>
          <w:szCs w:val="24"/>
          <w:lang w:val="sr-Cyrl-CS"/>
        </w:rPr>
        <w:t>?</w:t>
      </w:r>
    </w:p>
    <w:p w14:paraId="7700402A"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44% испитаника каже да </w:t>
      </w:r>
      <w:r w:rsidRPr="00CC35F0">
        <w:rPr>
          <w:rFonts w:ascii="Times New Roman" w:eastAsia="Times New Roman" w:hAnsi="Times New Roman"/>
          <w:b/>
          <w:sz w:val="24"/>
          <w:szCs w:val="24"/>
          <w:lang w:val="sr-Cyrl-CS"/>
        </w:rPr>
        <w:t>WAM C највише доприноси заштити биодиверзитета</w:t>
      </w:r>
      <w:r w:rsidRPr="00CC35F0">
        <w:rPr>
          <w:rFonts w:ascii="Times New Roman" w:eastAsia="Times New Roman" w:hAnsi="Times New Roman"/>
          <w:sz w:val="24"/>
          <w:szCs w:val="24"/>
          <w:lang w:val="sr-Cyrl-CS"/>
        </w:rPr>
        <w:t>, затим следе одговори „не знам” (32%) и на крају WAM А и „сви једнако” (по 12%).</w:t>
      </w:r>
    </w:p>
    <w:p w14:paraId="5FAA81B8" w14:textId="77777777" w:rsidR="00A0251B" w:rsidRPr="00CC35F0" w:rsidRDefault="00A0251B">
      <w:pPr>
        <w:rPr>
          <w:rFonts w:ascii="Times New Roman" w:eastAsia="Times New Roman" w:hAnsi="Times New Roman"/>
          <w:b/>
          <w:color w:val="002060"/>
          <w:sz w:val="24"/>
          <w:szCs w:val="24"/>
          <w:lang w:val="sr-Cyrl-CS"/>
        </w:rPr>
      </w:pPr>
    </w:p>
    <w:p w14:paraId="2B3F506E"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4D0F6E48" wp14:editId="6406A455">
            <wp:extent cx="4102100" cy="2730500"/>
            <wp:effectExtent l="0" t="0" r="0" b="0"/>
            <wp:docPr id="535" name="Chart 5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6FD449C" w14:textId="77777777" w:rsidR="00A0251B" w:rsidRPr="00CC35F0" w:rsidRDefault="008D6506">
      <w:pPr>
        <w:spacing w:before="120" w:after="60"/>
        <w:rPr>
          <w:rFonts w:ascii="Times New Roman" w:eastAsia="Times New Roman" w:hAnsi="Times New Roman"/>
          <w:b/>
          <w:sz w:val="24"/>
          <w:szCs w:val="24"/>
          <w:lang w:val="sr-Cyrl-CS"/>
        </w:rPr>
      </w:pPr>
      <w:bookmarkStart w:id="169" w:name="_heading=h.4hr1b5p" w:colFirst="0" w:colLast="0"/>
      <w:bookmarkEnd w:id="169"/>
      <w:r w:rsidRPr="00CC35F0">
        <w:rPr>
          <w:rFonts w:ascii="Times New Roman" w:eastAsia="Times New Roman" w:hAnsi="Times New Roman"/>
          <w:b/>
          <w:sz w:val="24"/>
          <w:szCs w:val="24"/>
          <w:lang w:val="sr-Cyrl-CS"/>
        </w:rPr>
        <w:t>Слика 45 – Који сценарио по вама највише д</w:t>
      </w:r>
      <w:r w:rsidR="00364615" w:rsidRPr="00CC35F0">
        <w:rPr>
          <w:rFonts w:ascii="Times New Roman" w:eastAsia="Times New Roman" w:hAnsi="Times New Roman"/>
          <w:b/>
          <w:sz w:val="24"/>
          <w:szCs w:val="24"/>
          <w:lang w:val="sr-Cyrl-CS"/>
        </w:rPr>
        <w:t>оприноси заштити биодиверзитета</w:t>
      </w:r>
      <w:r w:rsidRPr="00CC35F0">
        <w:rPr>
          <w:rFonts w:ascii="Times New Roman" w:eastAsia="Times New Roman" w:hAnsi="Times New Roman"/>
          <w:b/>
          <w:sz w:val="24"/>
          <w:szCs w:val="24"/>
          <w:lang w:val="sr-Cyrl-CS"/>
        </w:rPr>
        <w:t>?</w:t>
      </w:r>
    </w:p>
    <w:p w14:paraId="2D3DD470"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70" w:name="_heading=h.2wwbldi" w:colFirst="0" w:colLast="0"/>
      <w:bookmarkEnd w:id="170"/>
      <w:r w:rsidRPr="00CC35F0">
        <w:rPr>
          <w:rFonts w:ascii="Times New Roman" w:eastAsia="Times New Roman" w:hAnsi="Times New Roman"/>
          <w:b/>
          <w:color w:val="002060"/>
          <w:sz w:val="24"/>
          <w:szCs w:val="24"/>
          <w:lang w:val="sr-Cyrl-CS"/>
        </w:rPr>
        <w:t>Који сценарио по вама највише до</w:t>
      </w:r>
      <w:r w:rsidR="00364615" w:rsidRPr="00CC35F0">
        <w:rPr>
          <w:rFonts w:ascii="Times New Roman" w:eastAsia="Times New Roman" w:hAnsi="Times New Roman"/>
          <w:b/>
          <w:color w:val="002060"/>
          <w:sz w:val="24"/>
          <w:szCs w:val="24"/>
          <w:lang w:val="sr-Cyrl-CS"/>
        </w:rPr>
        <w:t>приноси искорењивању сиромаштва</w:t>
      </w:r>
      <w:r w:rsidRPr="00CC35F0">
        <w:rPr>
          <w:rFonts w:ascii="Times New Roman" w:eastAsia="Times New Roman" w:hAnsi="Times New Roman"/>
          <w:b/>
          <w:color w:val="002060"/>
          <w:sz w:val="24"/>
          <w:szCs w:val="24"/>
          <w:lang w:val="sr-Cyrl-CS"/>
        </w:rPr>
        <w:t>?</w:t>
      </w:r>
    </w:p>
    <w:p w14:paraId="380B9645"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 испитаника верује да ни један од сценарија не доприноси искорењивању сиромаштва, затим следе одговори „не знам” са 23%, а затим следе одговори 19% испитаника који верују да WAM C најбоље доприноси искорењивању сиромаштва.</w:t>
      </w:r>
    </w:p>
    <w:p w14:paraId="2F9096C8"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6DDB4B76" wp14:editId="10EACE01">
            <wp:extent cx="3683000" cy="2882900"/>
            <wp:effectExtent l="0" t="0" r="0" b="0"/>
            <wp:docPr id="536" name="Chart 5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58F53598" w14:textId="77777777" w:rsidR="00A0251B" w:rsidRPr="00CC35F0" w:rsidRDefault="008D6506">
      <w:pPr>
        <w:spacing w:before="120" w:after="60"/>
        <w:rPr>
          <w:rFonts w:ascii="Times New Roman" w:eastAsia="Times New Roman" w:hAnsi="Times New Roman"/>
          <w:b/>
          <w:sz w:val="24"/>
          <w:szCs w:val="24"/>
          <w:lang w:val="sr-Cyrl-CS"/>
        </w:rPr>
      </w:pPr>
      <w:bookmarkStart w:id="171" w:name="_heading=h.1c1lvlb" w:colFirst="0" w:colLast="0"/>
      <w:bookmarkEnd w:id="171"/>
      <w:r w:rsidRPr="00CC35F0">
        <w:rPr>
          <w:rFonts w:ascii="Times New Roman" w:eastAsia="Times New Roman" w:hAnsi="Times New Roman"/>
          <w:b/>
          <w:sz w:val="24"/>
          <w:szCs w:val="24"/>
          <w:lang w:val="sr-Cyrl-CS"/>
        </w:rPr>
        <w:t>Слика 46 – Који сценарио по вама највише до</w:t>
      </w:r>
      <w:r w:rsidR="00364615" w:rsidRPr="00CC35F0">
        <w:rPr>
          <w:rFonts w:ascii="Times New Roman" w:eastAsia="Times New Roman" w:hAnsi="Times New Roman"/>
          <w:b/>
          <w:sz w:val="24"/>
          <w:szCs w:val="24"/>
          <w:lang w:val="sr-Cyrl-CS"/>
        </w:rPr>
        <w:t>приноси искорењивању сиромаштва</w:t>
      </w:r>
      <w:r w:rsidRPr="00CC35F0">
        <w:rPr>
          <w:rFonts w:ascii="Times New Roman" w:eastAsia="Times New Roman" w:hAnsi="Times New Roman"/>
          <w:b/>
          <w:sz w:val="24"/>
          <w:szCs w:val="24"/>
          <w:lang w:val="sr-Cyrl-CS"/>
        </w:rPr>
        <w:t>?</w:t>
      </w:r>
    </w:p>
    <w:p w14:paraId="5215F83C"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72" w:name="_heading=h.3w19e94" w:colFirst="0" w:colLast="0"/>
      <w:bookmarkEnd w:id="172"/>
      <w:r w:rsidRPr="00CC35F0">
        <w:rPr>
          <w:rFonts w:ascii="Times New Roman" w:eastAsia="Times New Roman" w:hAnsi="Times New Roman"/>
          <w:b/>
          <w:color w:val="002060"/>
          <w:sz w:val="24"/>
          <w:szCs w:val="24"/>
          <w:lang w:val="sr-Cyrl-CS"/>
        </w:rPr>
        <w:t>Који сценарио по вама највише доприноси р</w:t>
      </w:r>
      <w:r w:rsidR="00364615" w:rsidRPr="00CC35F0">
        <w:rPr>
          <w:rFonts w:ascii="Times New Roman" w:eastAsia="Times New Roman" w:hAnsi="Times New Roman"/>
          <w:b/>
          <w:color w:val="002060"/>
          <w:sz w:val="24"/>
          <w:szCs w:val="24"/>
          <w:lang w:val="sr-Cyrl-CS"/>
        </w:rPr>
        <w:t>одној равноправности</w:t>
      </w:r>
      <w:r w:rsidRPr="00CC35F0">
        <w:rPr>
          <w:rFonts w:ascii="Times New Roman" w:eastAsia="Times New Roman" w:hAnsi="Times New Roman"/>
          <w:b/>
          <w:color w:val="002060"/>
          <w:sz w:val="24"/>
          <w:szCs w:val="24"/>
          <w:lang w:val="sr-Cyrl-CS"/>
        </w:rPr>
        <w:t>?</w:t>
      </w:r>
    </w:p>
    <w:p w14:paraId="2FE104D8"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31% испитаника верује да ни један од сценарија не доприноси родној равноправности, затим следи 27% њих који верују да сви једнако доприносе, и 23% који кажу да не знају. </w:t>
      </w:r>
    </w:p>
    <w:p w14:paraId="66838D49"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1AEDB1A4" wp14:editId="2BC499AD">
            <wp:extent cx="3619500" cy="2927350"/>
            <wp:effectExtent l="0" t="0" r="0" b="0"/>
            <wp:docPr id="537" name="Chart 5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5FD019E9" w14:textId="77777777" w:rsidR="00A0251B" w:rsidRPr="00CC35F0" w:rsidRDefault="008D6506">
      <w:pPr>
        <w:spacing w:before="120" w:after="60"/>
        <w:rPr>
          <w:rFonts w:ascii="Times New Roman" w:eastAsia="Times New Roman" w:hAnsi="Times New Roman"/>
          <w:b/>
          <w:sz w:val="24"/>
          <w:szCs w:val="24"/>
          <w:lang w:val="sr-Cyrl-CS"/>
        </w:rPr>
      </w:pPr>
      <w:bookmarkStart w:id="173" w:name="_heading=h.2b6jogx" w:colFirst="0" w:colLast="0"/>
      <w:bookmarkEnd w:id="173"/>
      <w:r w:rsidRPr="00CC35F0">
        <w:rPr>
          <w:rFonts w:ascii="Times New Roman" w:eastAsia="Times New Roman" w:hAnsi="Times New Roman"/>
          <w:b/>
          <w:sz w:val="24"/>
          <w:szCs w:val="24"/>
          <w:lang w:val="sr-Cyrl-CS"/>
        </w:rPr>
        <w:t>Слика 47 – Који сценарио по вама највише доприноси родној ра</w:t>
      </w:r>
      <w:r w:rsidR="00364615" w:rsidRPr="00CC35F0">
        <w:rPr>
          <w:rFonts w:ascii="Times New Roman" w:eastAsia="Times New Roman" w:hAnsi="Times New Roman"/>
          <w:b/>
          <w:sz w:val="24"/>
          <w:szCs w:val="24"/>
          <w:lang w:val="sr-Cyrl-CS"/>
        </w:rPr>
        <w:t>вноправности</w:t>
      </w:r>
      <w:r w:rsidRPr="00CC35F0">
        <w:rPr>
          <w:rFonts w:ascii="Times New Roman" w:eastAsia="Times New Roman" w:hAnsi="Times New Roman"/>
          <w:b/>
          <w:sz w:val="24"/>
          <w:szCs w:val="24"/>
          <w:lang w:val="sr-Cyrl-CS"/>
        </w:rPr>
        <w:t>?</w:t>
      </w:r>
    </w:p>
    <w:p w14:paraId="4D7EEB2B"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74" w:name="_heading=h.qbtyoq" w:colFirst="0" w:colLast="0"/>
      <w:bookmarkEnd w:id="174"/>
      <w:r w:rsidRPr="00CC35F0">
        <w:rPr>
          <w:rFonts w:ascii="Times New Roman" w:eastAsia="Times New Roman" w:hAnsi="Times New Roman"/>
          <w:b/>
          <w:color w:val="002060"/>
          <w:sz w:val="24"/>
          <w:szCs w:val="24"/>
          <w:lang w:val="sr-Cyrl-CS"/>
        </w:rPr>
        <w:t>Који сценарио по вама највише доп</w:t>
      </w:r>
      <w:r w:rsidR="00364615" w:rsidRPr="00CC35F0">
        <w:rPr>
          <w:rFonts w:ascii="Times New Roman" w:eastAsia="Times New Roman" w:hAnsi="Times New Roman"/>
          <w:b/>
          <w:color w:val="002060"/>
          <w:sz w:val="24"/>
          <w:szCs w:val="24"/>
          <w:lang w:val="sr-Cyrl-CS"/>
        </w:rPr>
        <w:t>риноси побољшању живота на селу</w:t>
      </w:r>
      <w:r w:rsidRPr="00CC35F0">
        <w:rPr>
          <w:rFonts w:ascii="Times New Roman" w:eastAsia="Times New Roman" w:hAnsi="Times New Roman"/>
          <w:b/>
          <w:color w:val="002060"/>
          <w:sz w:val="24"/>
          <w:szCs w:val="24"/>
          <w:lang w:val="sr-Cyrl-CS"/>
        </w:rPr>
        <w:t>?</w:t>
      </w:r>
    </w:p>
    <w:p w14:paraId="19109D33" w14:textId="77777777" w:rsidR="00A0251B" w:rsidRPr="00CC35F0" w:rsidRDefault="008D6506" w:rsidP="0007260A">
      <w:pPr>
        <w:ind w:firstLine="720"/>
        <w:rPr>
          <w:rFonts w:ascii="Times New Roman" w:eastAsia="Times New Roman" w:hAnsi="Times New Roman"/>
          <w:b/>
          <w:color w:val="002060"/>
          <w:sz w:val="24"/>
          <w:szCs w:val="24"/>
          <w:lang w:val="sr-Cyrl-CS"/>
        </w:rPr>
      </w:pPr>
      <w:r w:rsidRPr="00CC35F0">
        <w:rPr>
          <w:rFonts w:ascii="Times New Roman" w:eastAsia="Times New Roman" w:hAnsi="Times New Roman"/>
          <w:sz w:val="24"/>
          <w:szCs w:val="24"/>
          <w:lang w:val="sr-Cyrl-CS"/>
        </w:rPr>
        <w:t>31%испитаника верује да ће WAM C најбоље допринети побољшању живота на селу, затим следи WAM B  и одговор „сви једнако” (сваки по 19%).</w:t>
      </w:r>
    </w:p>
    <w:p w14:paraId="2D6B796E"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3048450F" wp14:editId="5F8E27AA">
            <wp:extent cx="3810000" cy="3239770"/>
            <wp:effectExtent l="0" t="0" r="0" b="0"/>
            <wp:docPr id="538" name="Chart 538"/>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0F1E4AE1" w14:textId="77777777" w:rsidR="00A0251B" w:rsidRPr="00CC35F0" w:rsidRDefault="008D6506">
      <w:pPr>
        <w:spacing w:before="120" w:after="60"/>
        <w:rPr>
          <w:rFonts w:ascii="Times New Roman" w:eastAsia="Times New Roman" w:hAnsi="Times New Roman"/>
          <w:b/>
          <w:sz w:val="24"/>
          <w:szCs w:val="24"/>
          <w:lang w:val="sr-Cyrl-CS"/>
        </w:rPr>
      </w:pPr>
      <w:bookmarkStart w:id="175" w:name="_heading=h.3abhhcj" w:colFirst="0" w:colLast="0"/>
      <w:bookmarkEnd w:id="175"/>
      <w:r w:rsidRPr="00CC35F0">
        <w:rPr>
          <w:rFonts w:ascii="Times New Roman" w:eastAsia="Times New Roman" w:hAnsi="Times New Roman"/>
          <w:b/>
          <w:sz w:val="24"/>
          <w:szCs w:val="24"/>
          <w:lang w:val="sr-Cyrl-CS"/>
        </w:rPr>
        <w:t>Слика 48 – Који сценарио по вама највише доп</w:t>
      </w:r>
      <w:r w:rsidR="00364615" w:rsidRPr="00CC35F0">
        <w:rPr>
          <w:rFonts w:ascii="Times New Roman" w:eastAsia="Times New Roman" w:hAnsi="Times New Roman"/>
          <w:b/>
          <w:sz w:val="24"/>
          <w:szCs w:val="24"/>
          <w:lang w:val="sr-Cyrl-CS"/>
        </w:rPr>
        <w:t>риноси побољшању живота на селу</w:t>
      </w:r>
      <w:r w:rsidRPr="00CC35F0">
        <w:rPr>
          <w:rFonts w:ascii="Times New Roman" w:eastAsia="Times New Roman" w:hAnsi="Times New Roman"/>
          <w:b/>
          <w:sz w:val="24"/>
          <w:szCs w:val="24"/>
          <w:lang w:val="sr-Cyrl-CS"/>
        </w:rPr>
        <w:t>?</w:t>
      </w:r>
    </w:p>
    <w:p w14:paraId="182B4C05" w14:textId="77777777" w:rsidR="00A0251B" w:rsidRPr="00CC35F0" w:rsidRDefault="00A0251B">
      <w:pPr>
        <w:rPr>
          <w:rFonts w:ascii="Times New Roman" w:eastAsia="Times New Roman" w:hAnsi="Times New Roman"/>
          <w:sz w:val="24"/>
          <w:szCs w:val="24"/>
          <w:lang w:val="sr-Cyrl-CS"/>
        </w:rPr>
      </w:pPr>
    </w:p>
    <w:p w14:paraId="50100AB9"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76" w:name="_heading=h.1pgrrkc" w:colFirst="0" w:colLast="0"/>
      <w:bookmarkEnd w:id="176"/>
      <w:r w:rsidRPr="00CC35F0">
        <w:rPr>
          <w:rFonts w:ascii="Times New Roman" w:eastAsia="Times New Roman" w:hAnsi="Times New Roman"/>
          <w:b/>
          <w:color w:val="002060"/>
          <w:sz w:val="24"/>
          <w:szCs w:val="24"/>
          <w:lang w:val="sr-Cyrl-CS"/>
        </w:rPr>
        <w:t>Који сценарио по вама највише доп</w:t>
      </w:r>
      <w:r w:rsidR="00364615" w:rsidRPr="00CC35F0">
        <w:rPr>
          <w:rFonts w:ascii="Times New Roman" w:eastAsia="Times New Roman" w:hAnsi="Times New Roman"/>
          <w:b/>
          <w:color w:val="002060"/>
          <w:sz w:val="24"/>
          <w:szCs w:val="24"/>
          <w:lang w:val="sr-Cyrl-CS"/>
        </w:rPr>
        <w:t>риноси побољшању живота у граду</w:t>
      </w:r>
      <w:r w:rsidRPr="00CC35F0">
        <w:rPr>
          <w:rFonts w:ascii="Times New Roman" w:eastAsia="Times New Roman" w:hAnsi="Times New Roman"/>
          <w:b/>
          <w:color w:val="002060"/>
          <w:sz w:val="24"/>
          <w:szCs w:val="24"/>
          <w:lang w:val="sr-Cyrl-CS"/>
        </w:rPr>
        <w:t>?</w:t>
      </w:r>
    </w:p>
    <w:p w14:paraId="127829CF"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54% испитаника верује да WAM C најбоље доприноси побољшању живота у граду, затим следи 27% њих који верују да „сви једнако” доприносе и на крају WAM B и „не знам” (сваки по 8%).</w:t>
      </w:r>
    </w:p>
    <w:p w14:paraId="26E8B26F"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6B948F14" wp14:editId="3D41E8CD">
            <wp:extent cx="3784600" cy="3239770"/>
            <wp:effectExtent l="0" t="0" r="0" b="0"/>
            <wp:docPr id="539" name="Chart 539"/>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481203B2" w14:textId="77777777" w:rsidR="00A0251B" w:rsidRPr="00CC35F0" w:rsidRDefault="008D6506">
      <w:pPr>
        <w:spacing w:before="120" w:after="60"/>
        <w:rPr>
          <w:rFonts w:ascii="Times New Roman" w:eastAsia="Times New Roman" w:hAnsi="Times New Roman"/>
          <w:b/>
          <w:sz w:val="24"/>
          <w:szCs w:val="24"/>
          <w:lang w:val="sr-Cyrl-CS"/>
        </w:rPr>
      </w:pPr>
      <w:bookmarkStart w:id="177" w:name="_heading=h.49gfa85" w:colFirst="0" w:colLast="0"/>
      <w:bookmarkEnd w:id="177"/>
      <w:r w:rsidRPr="00CC35F0">
        <w:rPr>
          <w:rFonts w:ascii="Times New Roman" w:eastAsia="Times New Roman" w:hAnsi="Times New Roman"/>
          <w:b/>
          <w:sz w:val="24"/>
          <w:szCs w:val="24"/>
          <w:lang w:val="sr-Cyrl-CS"/>
        </w:rPr>
        <w:t>Слика 49 – Који сценарио по вама највише доп</w:t>
      </w:r>
      <w:r w:rsidR="00364615" w:rsidRPr="00CC35F0">
        <w:rPr>
          <w:rFonts w:ascii="Times New Roman" w:eastAsia="Times New Roman" w:hAnsi="Times New Roman"/>
          <w:b/>
          <w:sz w:val="24"/>
          <w:szCs w:val="24"/>
          <w:lang w:val="sr-Cyrl-CS"/>
        </w:rPr>
        <w:t>риноси побољшању живота у граду</w:t>
      </w:r>
      <w:r w:rsidRPr="00CC35F0">
        <w:rPr>
          <w:rFonts w:ascii="Times New Roman" w:eastAsia="Times New Roman" w:hAnsi="Times New Roman"/>
          <w:b/>
          <w:sz w:val="24"/>
          <w:szCs w:val="24"/>
          <w:lang w:val="sr-Cyrl-CS"/>
        </w:rPr>
        <w:t>?</w:t>
      </w:r>
    </w:p>
    <w:p w14:paraId="7624A66B"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78" w:name="_heading=h.2olpkfy" w:colFirst="0" w:colLast="0"/>
      <w:bookmarkEnd w:id="178"/>
      <w:r w:rsidRPr="00CC35F0">
        <w:rPr>
          <w:rFonts w:ascii="Times New Roman" w:eastAsia="Times New Roman" w:hAnsi="Times New Roman"/>
          <w:b/>
          <w:color w:val="002060"/>
          <w:sz w:val="24"/>
          <w:szCs w:val="24"/>
          <w:lang w:val="sr-Cyrl-CS"/>
        </w:rPr>
        <w:t xml:space="preserve">Који сценарио по вама највише </w:t>
      </w:r>
      <w:r w:rsidR="00364615" w:rsidRPr="00CC35F0">
        <w:rPr>
          <w:rFonts w:ascii="Times New Roman" w:eastAsia="Times New Roman" w:hAnsi="Times New Roman"/>
          <w:b/>
          <w:color w:val="002060"/>
          <w:sz w:val="24"/>
          <w:szCs w:val="24"/>
          <w:lang w:val="sr-Cyrl-CS"/>
        </w:rPr>
        <w:t>доприноси отварању радних места</w:t>
      </w:r>
      <w:r w:rsidRPr="00CC35F0">
        <w:rPr>
          <w:rFonts w:ascii="Times New Roman" w:eastAsia="Times New Roman" w:hAnsi="Times New Roman"/>
          <w:b/>
          <w:color w:val="002060"/>
          <w:sz w:val="24"/>
          <w:szCs w:val="24"/>
          <w:lang w:val="sr-Cyrl-CS"/>
        </w:rPr>
        <w:t>?</w:t>
      </w:r>
    </w:p>
    <w:p w14:paraId="77114024"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54% испитаника ве</w:t>
      </w:r>
      <w:r w:rsidR="00364615" w:rsidRPr="00CC35F0">
        <w:rPr>
          <w:rFonts w:ascii="Times New Roman" w:eastAsia="Times New Roman" w:hAnsi="Times New Roman"/>
          <w:sz w:val="24"/>
          <w:szCs w:val="24"/>
          <w:lang w:val="sr-Cyrl-CS"/>
        </w:rPr>
        <w:t>рује да WAM C највише доприноси</w:t>
      </w:r>
      <w:r w:rsidRPr="00CC35F0">
        <w:rPr>
          <w:rFonts w:ascii="Times New Roman" w:eastAsia="Times New Roman" w:hAnsi="Times New Roman"/>
          <w:sz w:val="24"/>
          <w:szCs w:val="24"/>
          <w:lang w:val="sr-Cyrl-CS"/>
        </w:rPr>
        <w:t xml:space="preserve"> отварању радних места, затим следе „сви једнако” (27%) и „не знам” (23%).</w:t>
      </w:r>
    </w:p>
    <w:p w14:paraId="6BD6AD38"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248CE81A" wp14:editId="4CB0E8F0">
            <wp:extent cx="3911600" cy="3239770"/>
            <wp:effectExtent l="0" t="0" r="0" b="0"/>
            <wp:docPr id="540" name="Chart 5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25C03F32" w14:textId="77777777" w:rsidR="00A0251B" w:rsidRPr="00CC35F0" w:rsidRDefault="008D6506">
      <w:pPr>
        <w:spacing w:before="120" w:after="60"/>
        <w:rPr>
          <w:rFonts w:ascii="Times New Roman" w:eastAsia="Times New Roman" w:hAnsi="Times New Roman"/>
          <w:b/>
          <w:sz w:val="24"/>
          <w:szCs w:val="24"/>
          <w:lang w:val="sr-Cyrl-CS"/>
        </w:rPr>
      </w:pPr>
      <w:bookmarkStart w:id="179" w:name="_heading=h.13qzunr" w:colFirst="0" w:colLast="0"/>
      <w:bookmarkEnd w:id="179"/>
      <w:r w:rsidRPr="00CC35F0">
        <w:rPr>
          <w:rFonts w:ascii="Times New Roman" w:eastAsia="Times New Roman" w:hAnsi="Times New Roman"/>
          <w:b/>
          <w:sz w:val="24"/>
          <w:szCs w:val="24"/>
          <w:lang w:val="sr-Cyrl-CS"/>
        </w:rPr>
        <w:t>Слика 50 – Који сценарио по вама највише доприноси отварању радних места?</w:t>
      </w:r>
    </w:p>
    <w:p w14:paraId="5B4532C2"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80" w:name="_heading=h.3nqndbk" w:colFirst="0" w:colLast="0"/>
      <w:bookmarkEnd w:id="180"/>
      <w:r w:rsidRPr="00CC35F0">
        <w:rPr>
          <w:rFonts w:ascii="Times New Roman" w:eastAsia="Times New Roman" w:hAnsi="Times New Roman"/>
          <w:b/>
          <w:color w:val="002060"/>
          <w:sz w:val="24"/>
          <w:szCs w:val="24"/>
          <w:lang w:val="sr-Cyrl-CS"/>
        </w:rPr>
        <w:t>Који сценарио по вама највише доприноси енергетској безбедности Републике Србије?</w:t>
      </w:r>
    </w:p>
    <w:p w14:paraId="08B93544"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 испитаника сматра да WAM C највише доприноси енергетској безбедности Републике Србије, затим следи 31% њих који верују да сви једнако доприносе и по 15% WAM A и „не знам”.</w:t>
      </w:r>
    </w:p>
    <w:p w14:paraId="443D1DB0"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39E52192" wp14:editId="2645A479">
            <wp:extent cx="3784600" cy="3239770"/>
            <wp:effectExtent l="0" t="0" r="0" b="0"/>
            <wp:docPr id="541" name="Chart 54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77A8B450" w14:textId="77777777" w:rsidR="00A0251B" w:rsidRPr="00CC35F0" w:rsidRDefault="008D6506">
      <w:pPr>
        <w:spacing w:before="120" w:after="60"/>
        <w:rPr>
          <w:rFonts w:ascii="Times New Roman" w:eastAsia="Times New Roman" w:hAnsi="Times New Roman"/>
          <w:b/>
          <w:sz w:val="24"/>
          <w:szCs w:val="24"/>
          <w:lang w:val="sr-Cyrl-CS"/>
        </w:rPr>
      </w:pPr>
      <w:bookmarkStart w:id="181" w:name="_heading=h.22vxnjd" w:colFirst="0" w:colLast="0"/>
      <w:bookmarkEnd w:id="181"/>
      <w:r w:rsidRPr="00CC35F0">
        <w:rPr>
          <w:rFonts w:ascii="Times New Roman" w:eastAsia="Times New Roman" w:hAnsi="Times New Roman"/>
          <w:b/>
          <w:sz w:val="24"/>
          <w:szCs w:val="24"/>
          <w:lang w:val="sr-Cyrl-CS"/>
        </w:rPr>
        <w:t>Слика 51 – Који сценарио по вама највише доприноси енергетск</w:t>
      </w:r>
      <w:r w:rsidR="00364615" w:rsidRPr="00CC35F0">
        <w:rPr>
          <w:rFonts w:ascii="Times New Roman" w:eastAsia="Times New Roman" w:hAnsi="Times New Roman"/>
          <w:b/>
          <w:sz w:val="24"/>
          <w:szCs w:val="24"/>
          <w:lang w:val="sr-Cyrl-CS"/>
        </w:rPr>
        <w:t>ој безбедности Републике Србије</w:t>
      </w:r>
      <w:r w:rsidRPr="00CC35F0">
        <w:rPr>
          <w:rFonts w:ascii="Times New Roman" w:eastAsia="Times New Roman" w:hAnsi="Times New Roman"/>
          <w:b/>
          <w:sz w:val="24"/>
          <w:szCs w:val="24"/>
          <w:lang w:val="sr-Cyrl-CS"/>
        </w:rPr>
        <w:t>?</w:t>
      </w:r>
    </w:p>
    <w:p w14:paraId="1E1A56ED" w14:textId="77777777" w:rsidR="00A0251B" w:rsidRPr="00CC35F0" w:rsidRDefault="008D6506" w:rsidP="0007260A">
      <w:pPr>
        <w:ind w:firstLine="720"/>
        <w:rPr>
          <w:rFonts w:ascii="Times New Roman" w:eastAsia="Times New Roman" w:hAnsi="Times New Roman"/>
          <w:b/>
          <w:color w:val="002060"/>
          <w:sz w:val="24"/>
          <w:szCs w:val="24"/>
          <w:lang w:val="sr-Cyrl-CS"/>
        </w:rPr>
      </w:pPr>
      <w:bookmarkStart w:id="182" w:name="_heading=h.i17xr6" w:colFirst="0" w:colLast="0"/>
      <w:bookmarkEnd w:id="182"/>
      <w:r w:rsidRPr="00CC35F0">
        <w:rPr>
          <w:rFonts w:ascii="Times New Roman" w:eastAsia="Times New Roman" w:hAnsi="Times New Roman"/>
          <w:b/>
          <w:color w:val="002060"/>
          <w:sz w:val="24"/>
          <w:szCs w:val="24"/>
          <w:lang w:val="sr-Cyrl-CS"/>
        </w:rPr>
        <w:lastRenderedPageBreak/>
        <w:t>Који сценарио је по вама најбољи за ва</w:t>
      </w:r>
      <w:r w:rsidR="00364615" w:rsidRPr="00CC35F0">
        <w:rPr>
          <w:rFonts w:ascii="Times New Roman" w:eastAsia="Times New Roman" w:hAnsi="Times New Roman"/>
          <w:b/>
          <w:color w:val="002060"/>
          <w:sz w:val="24"/>
          <w:szCs w:val="24"/>
          <w:lang w:val="sr-Cyrl-CS"/>
        </w:rPr>
        <w:t>ш град</w:t>
      </w:r>
      <w:r w:rsidRPr="00CC35F0">
        <w:rPr>
          <w:rFonts w:ascii="Times New Roman" w:eastAsia="Times New Roman" w:hAnsi="Times New Roman"/>
          <w:b/>
          <w:color w:val="002060"/>
          <w:sz w:val="24"/>
          <w:szCs w:val="24"/>
          <w:lang w:val="sr-Cyrl-CS"/>
        </w:rPr>
        <w:t>?</w:t>
      </w:r>
    </w:p>
    <w:p w14:paraId="7385914B" w14:textId="77777777" w:rsidR="00A0251B" w:rsidRPr="00CC35F0" w:rsidRDefault="008D6506" w:rsidP="0007260A">
      <w:pPr>
        <w:ind w:firstLine="72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62% испитаника сматра да је WAM C најбољи за њихов град, затим следе одговори „сви једнако” (19%) и WAM A и „не знам” (по 8%).</w:t>
      </w:r>
    </w:p>
    <w:p w14:paraId="6623EA39" w14:textId="77777777" w:rsidR="00A0251B" w:rsidRPr="00CC35F0" w:rsidRDefault="008D6506">
      <w:pPr>
        <w:keepNext/>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58C385E8" wp14:editId="5FF4E7DA">
            <wp:extent cx="3860800" cy="3239770"/>
            <wp:effectExtent l="0" t="0" r="0" b="0"/>
            <wp:docPr id="531" name="Chart 53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0ADD6FD7" w14:textId="77777777" w:rsidR="00A0251B" w:rsidRPr="00CC35F0" w:rsidRDefault="008D6506">
      <w:pPr>
        <w:spacing w:before="120" w:after="60"/>
        <w:rPr>
          <w:rFonts w:ascii="Times New Roman" w:eastAsia="Times New Roman" w:hAnsi="Times New Roman"/>
          <w:b/>
          <w:sz w:val="24"/>
          <w:szCs w:val="24"/>
          <w:lang w:val="sr-Cyrl-CS"/>
        </w:rPr>
      </w:pPr>
      <w:bookmarkStart w:id="183" w:name="_heading=h.320vgez" w:colFirst="0" w:colLast="0"/>
      <w:bookmarkEnd w:id="183"/>
      <w:r w:rsidRPr="00CC35F0">
        <w:rPr>
          <w:rFonts w:ascii="Times New Roman" w:eastAsia="Times New Roman" w:hAnsi="Times New Roman"/>
          <w:b/>
          <w:sz w:val="24"/>
          <w:szCs w:val="24"/>
          <w:lang w:val="sr-Cyrl-CS"/>
        </w:rPr>
        <w:t>Слика 52 – Који сценарио</w:t>
      </w:r>
      <w:r w:rsidR="00364615" w:rsidRPr="00CC35F0">
        <w:rPr>
          <w:rFonts w:ascii="Times New Roman" w:eastAsia="Times New Roman" w:hAnsi="Times New Roman"/>
          <w:b/>
          <w:sz w:val="24"/>
          <w:szCs w:val="24"/>
          <w:lang w:val="sr-Cyrl-CS"/>
        </w:rPr>
        <w:t xml:space="preserve"> је по вама најбољи за ваш град</w:t>
      </w:r>
      <w:r w:rsidRPr="00CC35F0">
        <w:rPr>
          <w:rFonts w:ascii="Times New Roman" w:eastAsia="Times New Roman" w:hAnsi="Times New Roman"/>
          <w:b/>
          <w:sz w:val="24"/>
          <w:szCs w:val="24"/>
          <w:lang w:val="sr-Cyrl-CS"/>
        </w:rPr>
        <w:t>?</w:t>
      </w:r>
    </w:p>
    <w:p w14:paraId="6C184A7E" w14:textId="77777777" w:rsidR="00A0251B" w:rsidRPr="00CC35F0" w:rsidRDefault="00A0251B">
      <w:pPr>
        <w:rPr>
          <w:rFonts w:ascii="Times New Roman" w:eastAsia="Times New Roman" w:hAnsi="Times New Roman"/>
          <w:sz w:val="24"/>
          <w:szCs w:val="24"/>
          <w:lang w:val="sr-Cyrl-CS"/>
        </w:rPr>
      </w:pPr>
    </w:p>
    <w:p w14:paraId="7AEEB73C"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Укратко, у одговорима на питања (која нису била обавезна) која су била заснована на ставовима заинтересованих страна (другим речима, пратећи документ не садржи техничке информације о том питању), запажа се већа разноликост, на пример, присутни су одговори „сви једнако” и „не знам”, који имају већи удео него у одговорима за показатеље за које су пратећим документом дате техничке информације. За овај сегмент такође важи да је WAM C увек био сценарио са највише гласова у односу на остала два.</w:t>
      </w:r>
    </w:p>
    <w:p w14:paraId="32F8758E" w14:textId="77777777" w:rsidR="00A0251B" w:rsidRPr="00CC35F0" w:rsidRDefault="00A0251B">
      <w:pPr>
        <w:keepNext/>
        <w:rPr>
          <w:rFonts w:ascii="Times New Roman" w:eastAsia="Times New Roman" w:hAnsi="Times New Roman"/>
          <w:sz w:val="24"/>
          <w:szCs w:val="24"/>
          <w:lang w:val="sr-Cyrl-CS"/>
        </w:rPr>
      </w:pPr>
    </w:p>
    <w:p w14:paraId="00C28CB3" w14:textId="77777777" w:rsidR="00A0251B" w:rsidRPr="00CC35F0" w:rsidRDefault="00494CC5" w:rsidP="00494CC5">
      <w:pPr>
        <w:pStyle w:val="Einzug1"/>
        <w:numPr>
          <w:ilvl w:val="0"/>
          <w:numId w:val="0"/>
        </w:numPr>
        <w:rPr>
          <w:rFonts w:ascii="Times New Roman" w:hAnsi="Times New Roman"/>
          <w:b w:val="0"/>
          <w:color w:val="002060"/>
          <w:sz w:val="24"/>
          <w:szCs w:val="24"/>
          <w:lang w:val="sr-Cyrl-CS"/>
        </w:rPr>
      </w:pPr>
      <w:r w:rsidRPr="00CC35F0">
        <w:rPr>
          <w:rFonts w:ascii="Times New Roman" w:hAnsi="Times New Roman"/>
          <w:b w:val="0"/>
          <w:color w:val="002060"/>
          <w:sz w:val="24"/>
          <w:szCs w:val="24"/>
          <w:lang w:val="sr-Cyrl-CS"/>
        </w:rPr>
        <w:t>6.</w:t>
      </w:r>
      <w:r w:rsidR="008D6506" w:rsidRPr="00CC35F0">
        <w:rPr>
          <w:rFonts w:ascii="Times New Roman" w:hAnsi="Times New Roman"/>
          <w:b w:val="0"/>
          <w:color w:val="002060"/>
          <w:sz w:val="24"/>
          <w:szCs w:val="24"/>
          <w:lang w:val="sr-Cyrl-CS"/>
        </w:rPr>
        <w:t>Додатне информације о консултативним процесима</w:t>
      </w:r>
    </w:p>
    <w:p w14:paraId="429C66C6" w14:textId="77777777" w:rsidR="00A0251B" w:rsidRPr="00CC35F0" w:rsidRDefault="00E37941"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циљу припреме Н</w:t>
      </w:r>
      <w:r w:rsidR="008D6506" w:rsidRPr="00CC35F0">
        <w:rPr>
          <w:rFonts w:ascii="Times New Roman" w:eastAsia="Times New Roman" w:hAnsi="Times New Roman"/>
          <w:sz w:val="24"/>
          <w:szCs w:val="24"/>
          <w:lang w:val="sr-Cyrl-CS"/>
        </w:rPr>
        <w:t>а</w:t>
      </w:r>
      <w:r w:rsidR="005F51B7" w:rsidRPr="00CC35F0">
        <w:rPr>
          <w:rFonts w:ascii="Times New Roman" w:eastAsia="Times New Roman" w:hAnsi="Times New Roman"/>
          <w:sz w:val="24"/>
          <w:szCs w:val="24"/>
          <w:lang w:val="sr-Cyrl-CS"/>
        </w:rPr>
        <w:t>црта овог програма</w:t>
      </w:r>
      <w:r w:rsidR="008D6506" w:rsidRPr="00CC35F0">
        <w:rPr>
          <w:rFonts w:ascii="Times New Roman" w:eastAsia="Times New Roman" w:hAnsi="Times New Roman"/>
          <w:sz w:val="24"/>
          <w:szCs w:val="24"/>
          <w:lang w:val="sr-Cyrl-CS"/>
        </w:rPr>
        <w:t>, као и Специфичних планова за имплементацију директива у области квалитета ваздуха (DSIP-oва) који су од значаја и</w:t>
      </w:r>
      <w:r w:rsidR="00494CC5" w:rsidRPr="00CC35F0">
        <w:rPr>
          <w:rFonts w:ascii="Times New Roman" w:eastAsia="Times New Roman" w:hAnsi="Times New Roman"/>
          <w:sz w:val="24"/>
          <w:szCs w:val="24"/>
          <w:lang w:val="sr-Cyrl-CS"/>
        </w:rPr>
        <w:t xml:space="preserve"> за израду Програма, дана 24. октобра </w:t>
      </w:r>
      <w:r w:rsidR="008D6506" w:rsidRPr="00CC35F0">
        <w:rPr>
          <w:rFonts w:ascii="Times New Roman" w:eastAsia="Times New Roman" w:hAnsi="Times New Roman"/>
          <w:sz w:val="24"/>
          <w:szCs w:val="24"/>
          <w:lang w:val="sr-Cyrl-CS"/>
        </w:rPr>
        <w:t>2019. године формиране су: Радна група за праћење и оцену напретка у изради Програма и акционог плана за заштиту ваздуха (одржано укупно 11 састанака), Радна група за праћење и оцену напретка у изради Специфичног плана за имплементацију директива 2008/50/EЗ, 2004/107/ЕЗ и 2015/1480/ЕУ (квалитет амбијенталног ваздуха) и Специфичног плана за имплементацију NEC директиве 2016/2284/EУ (националне обавезе сма</w:t>
      </w:r>
      <w:r w:rsidR="00494CC5" w:rsidRPr="00CC35F0">
        <w:rPr>
          <w:rFonts w:ascii="Times New Roman" w:eastAsia="Times New Roman" w:hAnsi="Times New Roman"/>
          <w:sz w:val="24"/>
          <w:szCs w:val="24"/>
          <w:lang w:val="sr-Cyrl-CS"/>
        </w:rPr>
        <w:t>њења емисија), (одржано укупно шест</w:t>
      </w:r>
      <w:r w:rsidR="008D6506" w:rsidRPr="00CC35F0">
        <w:rPr>
          <w:rFonts w:ascii="Times New Roman" w:eastAsia="Times New Roman" w:hAnsi="Times New Roman"/>
          <w:sz w:val="24"/>
          <w:szCs w:val="24"/>
          <w:lang w:val="sr-Cyrl-CS"/>
        </w:rPr>
        <w:t xml:space="preserve"> састанака) и Раднa групa за праћење и оцену напретка у изради Специфичног плана за имплементацију VOC Петрол директивa (94/63/EЗ, 2009/126/EЗ и 2014/99/EУ), (одржано укупно </w:t>
      </w:r>
      <w:r w:rsidR="00494CC5" w:rsidRPr="00CC35F0">
        <w:rPr>
          <w:rFonts w:ascii="Times New Roman" w:eastAsia="Times New Roman" w:hAnsi="Times New Roman"/>
          <w:sz w:val="24"/>
          <w:szCs w:val="24"/>
          <w:lang w:val="sr-Cyrl-CS"/>
        </w:rPr>
        <w:t>пет</w:t>
      </w:r>
      <w:r w:rsidR="008D6506" w:rsidRPr="00CC35F0">
        <w:rPr>
          <w:rFonts w:ascii="Times New Roman" w:eastAsia="Times New Roman" w:hAnsi="Times New Roman"/>
          <w:sz w:val="24"/>
          <w:szCs w:val="24"/>
          <w:lang w:val="sr-Cyrl-CS"/>
        </w:rPr>
        <w:t xml:space="preserve"> састанака).</w:t>
      </w:r>
    </w:p>
    <w:p w14:paraId="051F992B" w14:textId="77777777" w:rsidR="00A0251B" w:rsidRPr="00CC35F0" w:rsidRDefault="00286DE7"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Прва конференција о Н</w:t>
      </w:r>
      <w:r w:rsidR="008D6506" w:rsidRPr="00CC35F0">
        <w:rPr>
          <w:rFonts w:ascii="Times New Roman" w:eastAsia="Times New Roman" w:hAnsi="Times New Roman"/>
          <w:sz w:val="24"/>
          <w:szCs w:val="24"/>
          <w:lang w:val="sr-Cyrl-CS"/>
        </w:rPr>
        <w:t xml:space="preserve">ацрту </w:t>
      </w:r>
      <w:r w:rsidR="006D2714" w:rsidRPr="00CC35F0">
        <w:rPr>
          <w:rFonts w:ascii="Times New Roman" w:eastAsia="Times New Roman" w:hAnsi="Times New Roman"/>
          <w:sz w:val="24"/>
          <w:szCs w:val="24"/>
          <w:lang w:val="sr-Cyrl-CS"/>
        </w:rPr>
        <w:t>овог програма</w:t>
      </w:r>
      <w:r w:rsidR="008D6506" w:rsidRPr="00CC35F0">
        <w:rPr>
          <w:rFonts w:ascii="Times New Roman" w:eastAsia="Times New Roman" w:hAnsi="Times New Roman"/>
          <w:sz w:val="24"/>
          <w:szCs w:val="24"/>
          <w:lang w:val="sr-Cyrl-CS"/>
        </w:rPr>
        <w:t xml:space="preserve"> је одржана 16. априла 2021. године на којој су представљени прелиминарни резултати са пројекцијама емисија везаним за д</w:t>
      </w:r>
      <w:r w:rsidR="00E37941" w:rsidRPr="00CC35F0">
        <w:rPr>
          <w:rFonts w:ascii="Times New Roman" w:eastAsia="Times New Roman" w:hAnsi="Times New Roman"/>
          <w:sz w:val="24"/>
          <w:szCs w:val="24"/>
          <w:lang w:val="sr-Cyrl-CS"/>
        </w:rPr>
        <w:t xml:space="preserve">ва сценарија (WAM А и WAM B). </w:t>
      </w:r>
      <w:r w:rsidR="008D6506" w:rsidRPr="00CC35F0">
        <w:rPr>
          <w:rFonts w:ascii="Times New Roman" w:eastAsia="Times New Roman" w:hAnsi="Times New Roman"/>
          <w:sz w:val="24"/>
          <w:szCs w:val="24"/>
          <w:lang w:val="sr-Cyrl-CS"/>
        </w:rPr>
        <w:t>Друга конференција је одржана 10. септембра 2021. године на којој су представљени резултати свих сценарија смањења емисија, укључујући и W</w:t>
      </w:r>
      <w:r w:rsidR="00E37941" w:rsidRPr="00CC35F0">
        <w:rPr>
          <w:rFonts w:ascii="Times New Roman" w:eastAsia="Times New Roman" w:hAnsi="Times New Roman"/>
          <w:sz w:val="24"/>
          <w:szCs w:val="24"/>
          <w:lang w:val="sr-Cyrl-CS"/>
        </w:rPr>
        <w:t xml:space="preserve">AM C сценарио који нуди опције </w:t>
      </w:r>
      <w:r w:rsidR="008D6506" w:rsidRPr="00CC35F0">
        <w:rPr>
          <w:rFonts w:ascii="Times New Roman" w:eastAsia="Times New Roman" w:hAnsi="Times New Roman"/>
          <w:sz w:val="24"/>
          <w:szCs w:val="24"/>
          <w:lang w:val="sr-Cyrl-CS"/>
        </w:rPr>
        <w:t>за решавање преосталих жаришта са проблемом квалитета ваздуха, заједно са здравственим предностима и одговарајућим улагањима, односно анализом исплативости. Такође, заинтересова јавност могла је да учествује у процесу вишекритеријумске анализе три сценарија са додатним мерама (WAM</w:t>
      </w:r>
      <w:r w:rsidRPr="00CC35F0">
        <w:rPr>
          <w:rFonts w:ascii="Times New Roman" w:eastAsia="Times New Roman" w:hAnsi="Times New Roman"/>
          <w:sz w:val="24"/>
          <w:szCs w:val="24"/>
          <w:lang w:val="sr-Cyrl-CS"/>
        </w:rPr>
        <w:t xml:space="preserve"> А, WAM B и WAM C) израђене за Н</w:t>
      </w:r>
      <w:r w:rsidR="008D6506" w:rsidRPr="00CC35F0">
        <w:rPr>
          <w:rFonts w:ascii="Times New Roman" w:eastAsia="Times New Roman" w:hAnsi="Times New Roman"/>
          <w:sz w:val="24"/>
          <w:szCs w:val="24"/>
          <w:lang w:val="sr-Cyrl-CS"/>
        </w:rPr>
        <w:t xml:space="preserve">ацрт </w:t>
      </w:r>
      <w:r w:rsidR="0048216F" w:rsidRPr="00CC35F0">
        <w:rPr>
          <w:rFonts w:ascii="Times New Roman" w:eastAsia="Times New Roman" w:hAnsi="Times New Roman"/>
          <w:sz w:val="24"/>
          <w:szCs w:val="24"/>
          <w:lang w:val="sr-Cyrl-CS"/>
        </w:rPr>
        <w:t>овог п</w:t>
      </w:r>
      <w:r w:rsidR="008D6506" w:rsidRPr="00CC35F0">
        <w:rPr>
          <w:rFonts w:ascii="Times New Roman" w:eastAsia="Times New Roman" w:hAnsi="Times New Roman"/>
          <w:sz w:val="24"/>
          <w:szCs w:val="24"/>
          <w:lang w:val="sr-Cyrl-CS"/>
        </w:rPr>
        <w:t>рограма кроз Упитник који је био доступан на сајту пројекта „ЕУ за бољу животну средину”. Јавност је била позвана да пружи допринос, тако што ће и у овој фази израде Програма, упути предлоге и питања до 27. септембра 2021. године.</w:t>
      </w:r>
    </w:p>
    <w:p w14:paraId="2843C065"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Трећа конференција је одржана дана 29. октобра 2021. године на којој је стављен на увид јавности и презентован Нацрт </w:t>
      </w:r>
      <w:r w:rsidR="00DF4BC8" w:rsidRPr="00CC35F0">
        <w:rPr>
          <w:rFonts w:ascii="Times New Roman" w:eastAsia="Times New Roman" w:hAnsi="Times New Roman"/>
          <w:sz w:val="24"/>
          <w:szCs w:val="24"/>
          <w:lang w:val="sr-Cyrl-CS"/>
        </w:rPr>
        <w:t>овог п</w:t>
      </w:r>
      <w:r w:rsidRPr="00CC35F0">
        <w:rPr>
          <w:rFonts w:ascii="Times New Roman" w:eastAsia="Times New Roman" w:hAnsi="Times New Roman"/>
          <w:sz w:val="24"/>
          <w:szCs w:val="24"/>
          <w:lang w:val="sr-Cyrl-CS"/>
        </w:rPr>
        <w:t>рограма (Јавне консултације на Нацрт програма заштите ваздуха у Републици Србији за пери</w:t>
      </w:r>
      <w:r w:rsidR="00DF4BC8" w:rsidRPr="00CC35F0">
        <w:rPr>
          <w:rFonts w:ascii="Times New Roman" w:eastAsia="Times New Roman" w:hAnsi="Times New Roman"/>
          <w:sz w:val="24"/>
          <w:szCs w:val="24"/>
          <w:lang w:val="sr-Cyrl-CS"/>
        </w:rPr>
        <w:t>од од 2022. до 2030. године са а</w:t>
      </w:r>
      <w:r w:rsidRPr="00CC35F0">
        <w:rPr>
          <w:rFonts w:ascii="Times New Roman" w:eastAsia="Times New Roman" w:hAnsi="Times New Roman"/>
          <w:sz w:val="24"/>
          <w:szCs w:val="24"/>
          <w:lang w:val="sr-Cyrl-CS"/>
        </w:rPr>
        <w:t>кционим планом). Рок за достављање коментара, приме</w:t>
      </w:r>
      <w:r w:rsidR="00210375" w:rsidRPr="00CC35F0">
        <w:rPr>
          <w:rFonts w:ascii="Times New Roman" w:eastAsia="Times New Roman" w:hAnsi="Times New Roman"/>
          <w:sz w:val="24"/>
          <w:szCs w:val="24"/>
          <w:lang w:val="sr-Cyrl-CS"/>
        </w:rPr>
        <w:t xml:space="preserve">дби и сугестија био је до 8. новембра </w:t>
      </w:r>
      <w:r w:rsidRPr="00CC35F0">
        <w:rPr>
          <w:rFonts w:ascii="Times New Roman" w:eastAsia="Times New Roman" w:hAnsi="Times New Roman"/>
          <w:sz w:val="24"/>
          <w:szCs w:val="24"/>
          <w:lang w:val="sr-Cyrl-CS"/>
        </w:rPr>
        <w:t>2021. године.</w:t>
      </w:r>
    </w:p>
    <w:p w14:paraId="4A3897E4" w14:textId="77777777" w:rsidR="00A0251B" w:rsidRPr="00CC35F0" w:rsidRDefault="008D6506" w:rsidP="0007260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Такође, неформална Зелена посланичка група (ЗПГ) одржала је дана 14. јуна 2021. године, међусекторски састанак са представницима М</w:t>
      </w:r>
      <w:r w:rsidR="001420D8" w:rsidRPr="00CC35F0">
        <w:rPr>
          <w:rFonts w:ascii="Times New Roman" w:eastAsia="Times New Roman" w:hAnsi="Times New Roman"/>
          <w:sz w:val="24"/>
          <w:szCs w:val="24"/>
          <w:lang w:val="sr-Cyrl-CS"/>
        </w:rPr>
        <w:t xml:space="preserve">ЗЖС </w:t>
      </w:r>
      <w:r w:rsidRPr="00CC35F0">
        <w:rPr>
          <w:rFonts w:ascii="Times New Roman" w:eastAsia="Times New Roman" w:hAnsi="Times New Roman"/>
          <w:sz w:val="24"/>
          <w:szCs w:val="24"/>
          <w:lang w:val="sr-Cyrl-CS"/>
        </w:rPr>
        <w:t xml:space="preserve"> и представницима пројекта „ЕУ за бољу животну средину”. Тема састанка била је представљање Нацрта</w:t>
      </w:r>
      <w:r w:rsidR="00767A2A" w:rsidRPr="00CC35F0">
        <w:rPr>
          <w:rFonts w:ascii="Times New Roman" w:eastAsia="Times New Roman" w:hAnsi="Times New Roman"/>
          <w:sz w:val="24"/>
          <w:szCs w:val="24"/>
          <w:lang w:val="sr-Cyrl-CS"/>
        </w:rPr>
        <w:t xml:space="preserve"> овог</w:t>
      </w:r>
      <w:r w:rsidRPr="00CC35F0">
        <w:rPr>
          <w:rFonts w:ascii="Times New Roman" w:eastAsia="Times New Roman" w:hAnsi="Times New Roman"/>
          <w:sz w:val="24"/>
          <w:szCs w:val="24"/>
          <w:lang w:val="sr-Cyrl-CS"/>
        </w:rPr>
        <w:t xml:space="preserve"> </w:t>
      </w:r>
      <w:r w:rsidR="00767A2A" w:rsidRPr="00CC35F0">
        <w:rPr>
          <w:rFonts w:ascii="Times New Roman" w:eastAsia="Times New Roman" w:hAnsi="Times New Roman"/>
          <w:sz w:val="24"/>
          <w:szCs w:val="24"/>
          <w:lang w:val="sr-Cyrl-CS"/>
        </w:rPr>
        <w:t>програма</w:t>
      </w:r>
      <w:r w:rsidRPr="00CC35F0">
        <w:rPr>
          <w:rFonts w:ascii="Times New Roman" w:eastAsia="Times New Roman" w:hAnsi="Times New Roman"/>
          <w:sz w:val="24"/>
          <w:szCs w:val="24"/>
          <w:lang w:val="sr-Cyrl-CS"/>
        </w:rPr>
        <w:t>, као и активности М</w:t>
      </w:r>
      <w:r w:rsidR="00767A2A" w:rsidRPr="00CC35F0">
        <w:rPr>
          <w:rFonts w:ascii="Times New Roman" w:eastAsia="Times New Roman" w:hAnsi="Times New Roman"/>
          <w:sz w:val="24"/>
          <w:szCs w:val="24"/>
          <w:lang w:val="sr-Cyrl-CS"/>
        </w:rPr>
        <w:t xml:space="preserve">ЗЖС </w:t>
      </w:r>
      <w:r w:rsidRPr="00CC35F0">
        <w:rPr>
          <w:rFonts w:ascii="Times New Roman" w:eastAsia="Times New Roman" w:hAnsi="Times New Roman"/>
          <w:sz w:val="24"/>
          <w:szCs w:val="24"/>
          <w:lang w:val="sr-Cyrl-CS"/>
        </w:rPr>
        <w:t>на овом пољу.</w:t>
      </w:r>
    </w:p>
    <w:p w14:paraId="7827DE51" w14:textId="77777777" w:rsidR="00A0251B" w:rsidRPr="00CC35F0" w:rsidRDefault="008D6506" w:rsidP="00592B4A">
      <w:pPr>
        <w:ind w:firstLine="431"/>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Одбор</w:t>
      </w:r>
      <w:r w:rsidR="00364615" w:rsidRPr="00CC35F0">
        <w:rPr>
          <w:rFonts w:ascii="Times New Roman" w:eastAsia="Times New Roman" w:hAnsi="Times New Roman"/>
          <w:sz w:val="24"/>
          <w:szCs w:val="24"/>
          <w:lang w:val="sr-Cyrl-CS"/>
        </w:rPr>
        <w:t xml:space="preserve"> Владе</w:t>
      </w:r>
      <w:r w:rsidRPr="00CC35F0">
        <w:rPr>
          <w:rFonts w:ascii="Times New Roman" w:eastAsia="Times New Roman" w:hAnsi="Times New Roman"/>
          <w:sz w:val="24"/>
          <w:szCs w:val="24"/>
          <w:lang w:val="sr-Cyrl-CS"/>
        </w:rPr>
        <w:t xml:space="preserve"> за привреду и ф</w:t>
      </w:r>
      <w:r w:rsidR="00E37941" w:rsidRPr="00CC35F0">
        <w:rPr>
          <w:rFonts w:ascii="Times New Roman" w:eastAsia="Times New Roman" w:hAnsi="Times New Roman"/>
          <w:sz w:val="24"/>
          <w:szCs w:val="24"/>
          <w:lang w:val="sr-Cyrl-CS"/>
        </w:rPr>
        <w:t>инансије</w:t>
      </w:r>
      <w:r w:rsidRPr="00CC35F0">
        <w:rPr>
          <w:rFonts w:ascii="Times New Roman" w:eastAsia="Times New Roman" w:hAnsi="Times New Roman"/>
          <w:sz w:val="24"/>
          <w:szCs w:val="24"/>
          <w:lang w:val="sr-Cyrl-CS"/>
        </w:rPr>
        <w:t>, на седници од 17. новембра 2021. године, усвојио је Закључак са Програмом јавне расправе о Предлогу програма заштите ваздуха у Републици Србији за пери</w:t>
      </w:r>
      <w:r w:rsidR="00E73E98" w:rsidRPr="00CC35F0">
        <w:rPr>
          <w:rFonts w:ascii="Times New Roman" w:eastAsia="Times New Roman" w:hAnsi="Times New Roman"/>
          <w:sz w:val="24"/>
          <w:szCs w:val="24"/>
          <w:lang w:val="sr-Cyrl-CS"/>
        </w:rPr>
        <w:t>од од 2022. до 2030. године са а</w:t>
      </w:r>
      <w:r w:rsidRPr="00CC35F0">
        <w:rPr>
          <w:rFonts w:ascii="Times New Roman" w:eastAsia="Times New Roman" w:hAnsi="Times New Roman"/>
          <w:sz w:val="24"/>
          <w:szCs w:val="24"/>
          <w:lang w:val="sr-Cyrl-CS"/>
        </w:rPr>
        <w:t xml:space="preserve">кционим планом, 05 Број: 353-10620/2021. Јавна расправа спроведена је у периоду од 19. новембра до 8. децембра 2021. године. Јавну расправу о Предлогу </w:t>
      </w:r>
      <w:r w:rsidR="00E37941" w:rsidRPr="00CC35F0">
        <w:rPr>
          <w:rFonts w:ascii="Times New Roman" w:eastAsia="Times New Roman" w:hAnsi="Times New Roman"/>
          <w:sz w:val="24"/>
          <w:szCs w:val="24"/>
          <w:lang w:val="sr-Cyrl-CS"/>
        </w:rPr>
        <w:t xml:space="preserve">овог </w:t>
      </w:r>
      <w:r w:rsidRPr="00CC35F0">
        <w:rPr>
          <w:rFonts w:ascii="Times New Roman" w:eastAsia="Times New Roman" w:hAnsi="Times New Roman"/>
          <w:sz w:val="24"/>
          <w:szCs w:val="24"/>
          <w:lang w:val="sr-Cyrl-CS"/>
        </w:rPr>
        <w:t xml:space="preserve">програма организовало је МЗЖС у виду презентације и консултација на стручној јавној расправи која је одржана путем видео конференције 29. новембра 2021. године. </w:t>
      </w:r>
      <w:r w:rsidRPr="00CC35F0">
        <w:rPr>
          <w:lang w:val="sr-Cyrl-CS"/>
        </w:rPr>
        <w:br w:type="page"/>
      </w:r>
    </w:p>
    <w:p w14:paraId="2C88B71F" w14:textId="77777777" w:rsidR="00592B4A" w:rsidRPr="00CC35F0" w:rsidRDefault="008D6506" w:rsidP="00D92EE4">
      <w:pPr>
        <w:keepNext/>
        <w:keepLines/>
        <w:pBdr>
          <w:top w:val="nil"/>
          <w:left w:val="nil"/>
          <w:bottom w:val="nil"/>
          <w:right w:val="nil"/>
          <w:between w:val="nil"/>
        </w:pBdr>
        <w:spacing w:before="360" w:after="240" w:line="240" w:lineRule="auto"/>
        <w:ind w:left="7632" w:firstLine="288"/>
        <w:rPr>
          <w:rFonts w:ascii="Times New Roman" w:eastAsia="Times New Roman" w:hAnsi="Times New Roman"/>
          <w:b/>
          <w:smallCaps/>
          <w:color w:val="1F3864"/>
          <w:sz w:val="24"/>
          <w:szCs w:val="24"/>
          <w:lang w:val="sr-Cyrl-CS"/>
        </w:rPr>
      </w:pPr>
      <w:bookmarkStart w:id="184" w:name="_heading=h.1h65qms" w:colFirst="0" w:colLast="0"/>
      <w:bookmarkEnd w:id="184"/>
      <w:r w:rsidRPr="00CC35F0">
        <w:rPr>
          <w:rFonts w:ascii="Times New Roman" w:eastAsia="Times New Roman" w:hAnsi="Times New Roman"/>
          <w:b/>
          <w:smallCaps/>
          <w:color w:val="0000FF"/>
          <w:sz w:val="24"/>
          <w:szCs w:val="24"/>
          <w:lang w:val="sr-Cyrl-CS"/>
        </w:rPr>
        <w:lastRenderedPageBreak/>
        <w:t>Прилог 2</w:t>
      </w:r>
      <w:r w:rsidRPr="00CC35F0">
        <w:rPr>
          <w:rFonts w:ascii="Times New Roman" w:eastAsia="Times New Roman" w:hAnsi="Times New Roman"/>
          <w:b/>
          <w:smallCaps/>
          <w:color w:val="1F3864"/>
          <w:sz w:val="24"/>
          <w:szCs w:val="24"/>
          <w:lang w:val="sr-Cyrl-CS"/>
        </w:rPr>
        <w:t xml:space="preserve">  </w:t>
      </w:r>
    </w:p>
    <w:p w14:paraId="13E5F71B" w14:textId="77777777" w:rsidR="00A0251B" w:rsidRPr="00CC35F0" w:rsidRDefault="008D6506" w:rsidP="000D230A">
      <w:pPr>
        <w:keepNext/>
        <w:keepLines/>
        <w:pBdr>
          <w:top w:val="nil"/>
          <w:left w:val="nil"/>
          <w:bottom w:val="nil"/>
          <w:right w:val="nil"/>
          <w:between w:val="nil"/>
        </w:pBdr>
        <w:spacing w:before="360" w:after="240" w:line="240" w:lineRule="auto"/>
        <w:ind w:left="432"/>
        <w:rPr>
          <w:rFonts w:ascii="Times New Roman" w:eastAsia="Times New Roman" w:hAnsi="Times New Roman"/>
          <w:b/>
          <w:smallCaps/>
          <w:color w:val="1F3864"/>
          <w:sz w:val="24"/>
          <w:szCs w:val="24"/>
          <w:lang w:val="sr-Cyrl-CS"/>
        </w:rPr>
      </w:pPr>
      <w:r w:rsidRPr="00CC35F0">
        <w:rPr>
          <w:rFonts w:ascii="Times New Roman" w:eastAsia="Times New Roman" w:hAnsi="Times New Roman"/>
          <w:b/>
          <w:smallCaps/>
          <w:color w:val="1F3864"/>
          <w:sz w:val="24"/>
          <w:szCs w:val="24"/>
          <w:lang w:val="sr-Cyrl-CS"/>
        </w:rPr>
        <w:t>Информације о правном оквиру којег треба донети или изменити и допунити</w:t>
      </w:r>
    </w:p>
    <w:p w14:paraId="78458E49" w14:textId="77777777" w:rsidR="00917F4E" w:rsidRPr="00CC35F0" w:rsidRDefault="003468A9" w:rsidP="00917F4E">
      <w:pPr>
        <w:ind w:firstLine="360"/>
        <w:rPr>
          <w:rFonts w:ascii="Times New Roman" w:eastAsia="Times New Roman" w:hAnsi="Times New Roman"/>
          <w:strike/>
          <w:sz w:val="24"/>
          <w:szCs w:val="24"/>
          <w:lang w:val="sr-Cyrl-CS"/>
        </w:rPr>
      </w:pPr>
      <w:bookmarkStart w:id="185" w:name="_heading=h.415t9al" w:colFirst="0" w:colLast="0"/>
      <w:bookmarkEnd w:id="185"/>
      <w:r w:rsidRPr="00CC35F0">
        <w:rPr>
          <w:rFonts w:ascii="Times New Roman" w:eastAsia="Times New Roman" w:hAnsi="Times New Roman"/>
          <w:sz w:val="24"/>
          <w:szCs w:val="24"/>
          <w:lang w:val="sr-Cyrl-CS"/>
        </w:rPr>
        <w:t>Следећа</w:t>
      </w:r>
      <w:r w:rsidRPr="00CC35F0">
        <w:rPr>
          <w:rFonts w:ascii="Times New Roman" w:hAnsi="Times New Roman"/>
          <w:sz w:val="24"/>
          <w:szCs w:val="24"/>
          <w:lang w:val="sr-Cyrl-CS"/>
        </w:rPr>
        <w:t xml:space="preserve"> листа укључује само промене правног оквира потребног за потпуну примену овог програма независ</w:t>
      </w:r>
      <w:r w:rsidR="00364615" w:rsidRPr="00CC35F0">
        <w:rPr>
          <w:rFonts w:ascii="Times New Roman" w:hAnsi="Times New Roman"/>
          <w:sz w:val="24"/>
          <w:szCs w:val="24"/>
          <w:lang w:val="sr-Cyrl-CS"/>
        </w:rPr>
        <w:t>но од</w:t>
      </w:r>
      <w:r w:rsidRPr="00CC35F0">
        <w:rPr>
          <w:rFonts w:ascii="Times New Roman" w:hAnsi="Times New Roman"/>
          <w:sz w:val="24"/>
          <w:szCs w:val="24"/>
          <w:lang w:val="sr-Cyrl-CS"/>
        </w:rPr>
        <w:t xml:space="preserve"> транспозиције законодавства ЕУ.</w:t>
      </w:r>
      <w:r w:rsidRPr="00CC35F0">
        <w:rPr>
          <w:rFonts w:ascii="Times New Roman" w:eastAsia="Times New Roman" w:hAnsi="Times New Roman"/>
          <w:sz w:val="24"/>
          <w:szCs w:val="24"/>
          <w:lang w:val="sr-Cyrl-CS"/>
        </w:rPr>
        <w:t xml:space="preserve"> </w:t>
      </w:r>
    </w:p>
    <w:p w14:paraId="1F7091AA" w14:textId="77777777" w:rsidR="00A0251B" w:rsidRPr="00CC35F0" w:rsidRDefault="008D6506" w:rsidP="00917F4E">
      <w:pPr>
        <w:ind w:firstLine="360"/>
        <w:rPr>
          <w:rFonts w:ascii="Times New Roman" w:eastAsia="Times New Roman" w:hAnsi="Times New Roman"/>
          <w:color w:val="000000"/>
          <w:sz w:val="24"/>
          <w:szCs w:val="24"/>
          <w:lang w:val="sr-Cyrl-CS"/>
        </w:rPr>
      </w:pPr>
      <w:r w:rsidRPr="00CC35F0">
        <w:rPr>
          <w:rFonts w:ascii="Times New Roman" w:eastAsia="Times New Roman" w:hAnsi="Times New Roman"/>
          <w:b/>
          <w:color w:val="000000"/>
          <w:sz w:val="24"/>
          <w:szCs w:val="24"/>
          <w:lang w:val="sr-Cyrl-CS"/>
        </w:rPr>
        <w:t xml:space="preserve">Директива 2009/125/ЕЗ о еко - дизајну транспонована je крајем 2021. године кроз </w:t>
      </w:r>
      <w:r w:rsidRPr="00CC35F0">
        <w:rPr>
          <w:rFonts w:ascii="Times New Roman" w:eastAsia="Times New Roman" w:hAnsi="Times New Roman"/>
          <w:color w:val="000000"/>
          <w:sz w:val="24"/>
          <w:szCs w:val="24"/>
          <w:lang w:val="sr-Cyrl-CS"/>
        </w:rPr>
        <w:t>Уредбу</w:t>
      </w:r>
      <w:r w:rsidRPr="00CC35F0">
        <w:rPr>
          <w:rFonts w:ascii="Times New Roman" w:eastAsia="Times New Roman" w:hAnsi="Times New Roman"/>
          <w:b/>
          <w:color w:val="000000"/>
          <w:sz w:val="24"/>
          <w:szCs w:val="24"/>
          <w:lang w:val="sr-Cyrl-CS"/>
        </w:rPr>
        <w:t xml:space="preserve"> </w:t>
      </w:r>
      <w:r w:rsidRPr="00CC35F0">
        <w:rPr>
          <w:rFonts w:ascii="Times New Roman" w:eastAsia="Times New Roman" w:hAnsi="Times New Roman"/>
          <w:color w:val="000000"/>
          <w:sz w:val="24"/>
          <w:szCs w:val="24"/>
          <w:lang w:val="sr-Cyrl-CS"/>
        </w:rPr>
        <w:t>о еко-дизајну производа који утичу на потрошњу енергије („Службени гласник РС”, број 132/21).</w:t>
      </w:r>
    </w:p>
    <w:p w14:paraId="3C90E613" w14:textId="77777777" w:rsidR="00A0251B" w:rsidRPr="00CC35F0" w:rsidRDefault="008D6506">
      <w:pPr>
        <w:pBdr>
          <w:top w:val="nil"/>
          <w:left w:val="nil"/>
          <w:bottom w:val="nil"/>
          <w:right w:val="nil"/>
          <w:between w:val="nil"/>
        </w:pBdr>
        <w:tabs>
          <w:tab w:val="left" w:pos="3825"/>
        </w:tabs>
        <w:spacing w:before="280" w:after="280" w:line="240" w:lineRule="auto"/>
        <w:ind w:left="720"/>
        <w:jc w:val="left"/>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Делегиране уредбе којима се транспонују захтеви који се односе на производе: </w:t>
      </w:r>
    </w:p>
    <w:p w14:paraId="1DD72D0A" w14:textId="77777777" w:rsidR="00A0251B" w:rsidRPr="00CC35F0" w:rsidRDefault="008D6506" w:rsidP="00C72A81">
      <w:pPr>
        <w:numPr>
          <w:ilvl w:val="0"/>
          <w:numId w:val="7"/>
        </w:numPr>
        <w:pBdr>
          <w:top w:val="nil"/>
          <w:left w:val="nil"/>
          <w:bottom w:val="nil"/>
          <w:right w:val="nil"/>
          <w:between w:val="nil"/>
        </w:pBdr>
        <w:tabs>
          <w:tab w:val="left" w:pos="709"/>
        </w:tabs>
        <w:spacing w:before="280" w:after="0" w:line="240" w:lineRule="auto"/>
        <w:ind w:left="142" w:firstLine="218"/>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Делегирана</w:t>
      </w:r>
      <w:r w:rsidR="008E175C" w:rsidRPr="00CC35F0">
        <w:rPr>
          <w:rFonts w:ascii="Times New Roman" w:eastAsia="Times New Roman" w:hAnsi="Times New Roman"/>
          <w:b/>
          <w:color w:val="000000"/>
          <w:sz w:val="24"/>
          <w:szCs w:val="24"/>
          <w:lang w:val="sr-Cyrl-CS"/>
        </w:rPr>
        <w:t xml:space="preserve"> Уредба 2015/1189 </w:t>
      </w:r>
      <w:r w:rsidRPr="00CC35F0">
        <w:rPr>
          <w:rFonts w:ascii="Times New Roman" w:eastAsia="Times New Roman" w:hAnsi="Times New Roman"/>
          <w:b/>
          <w:color w:val="000000"/>
          <w:sz w:val="24"/>
          <w:szCs w:val="24"/>
          <w:lang w:val="sr-Cyrl-CS"/>
        </w:rPr>
        <w:t>којом се имплементира Директива о еко - дизајну</w:t>
      </w:r>
      <w:r w:rsidR="00364615" w:rsidRPr="00CC35F0">
        <w:rPr>
          <w:rFonts w:ascii="Times New Roman" w:eastAsia="Times New Roman" w:hAnsi="Times New Roman"/>
          <w:b/>
          <w:color w:val="000000"/>
          <w:sz w:val="24"/>
          <w:szCs w:val="24"/>
          <w:lang w:val="sr-Cyrl-CS"/>
        </w:rPr>
        <w:t xml:space="preserve"> за котлове на чврсто гориво на</w:t>
      </w:r>
      <w:r w:rsidRPr="00CC35F0">
        <w:rPr>
          <w:rFonts w:ascii="Times New Roman" w:eastAsia="Times New Roman" w:hAnsi="Times New Roman"/>
          <w:color w:val="000000"/>
          <w:sz w:val="24"/>
          <w:szCs w:val="24"/>
          <w:lang w:val="sr-Cyrl-CS"/>
        </w:rPr>
        <w:t xml:space="preserve"> </w:t>
      </w:r>
      <w:r w:rsidRPr="00CC35F0">
        <w:rPr>
          <w:rFonts w:ascii="Times New Roman" w:eastAsia="Times New Roman" w:hAnsi="Times New Roman"/>
          <w:b/>
          <w:color w:val="000000"/>
          <w:sz w:val="24"/>
          <w:szCs w:val="24"/>
          <w:lang w:val="sr-Cyrl-CS"/>
        </w:rPr>
        <w:t xml:space="preserve">треба да буде транспонована у I кварталу 2023. </w:t>
      </w:r>
      <w:r w:rsidR="00D6395C" w:rsidRPr="00CC35F0">
        <w:rPr>
          <w:rFonts w:ascii="Times New Roman" w:eastAsia="Times New Roman" w:hAnsi="Times New Roman"/>
          <w:b/>
          <w:color w:val="000000"/>
          <w:sz w:val="24"/>
          <w:szCs w:val="24"/>
          <w:lang w:val="sr-Cyrl-CS"/>
        </w:rPr>
        <w:t>г</w:t>
      </w:r>
      <w:r w:rsidRPr="00CC35F0">
        <w:rPr>
          <w:rFonts w:ascii="Times New Roman" w:eastAsia="Times New Roman" w:hAnsi="Times New Roman"/>
          <w:b/>
          <w:color w:val="000000"/>
          <w:sz w:val="24"/>
          <w:szCs w:val="24"/>
          <w:lang w:val="sr-Cyrl-CS"/>
        </w:rPr>
        <w:t>одине</w:t>
      </w:r>
      <w:r w:rsidR="00D6395C" w:rsidRPr="00CC35F0">
        <w:rPr>
          <w:rFonts w:ascii="Times New Roman" w:eastAsia="Times New Roman" w:hAnsi="Times New Roman"/>
          <w:b/>
          <w:color w:val="000000"/>
          <w:sz w:val="24"/>
          <w:szCs w:val="24"/>
          <w:lang w:val="sr-Cyrl-CS"/>
        </w:rPr>
        <w:t>.</w:t>
      </w:r>
    </w:p>
    <w:p w14:paraId="62E78CB5" w14:textId="77777777" w:rsidR="00A0251B" w:rsidRPr="00CC35F0" w:rsidRDefault="00364615" w:rsidP="001462DB">
      <w:pPr>
        <w:numPr>
          <w:ilvl w:val="0"/>
          <w:numId w:val="7"/>
        </w:numPr>
        <w:pBdr>
          <w:top w:val="nil"/>
          <w:left w:val="nil"/>
          <w:bottom w:val="nil"/>
          <w:right w:val="nil"/>
          <w:between w:val="nil"/>
        </w:pBdr>
        <w:tabs>
          <w:tab w:val="left" w:pos="709"/>
        </w:tabs>
        <w:spacing w:after="280" w:line="240" w:lineRule="auto"/>
        <w:ind w:left="142" w:firstLine="218"/>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Делегирана</w:t>
      </w:r>
      <w:r w:rsidR="008D6506" w:rsidRPr="00CC35F0">
        <w:rPr>
          <w:rFonts w:ascii="Times New Roman" w:eastAsia="Times New Roman" w:hAnsi="Times New Roman"/>
          <w:b/>
          <w:color w:val="000000"/>
          <w:sz w:val="24"/>
          <w:szCs w:val="24"/>
          <w:lang w:val="sr-Cyrl-CS"/>
        </w:rPr>
        <w:t xml:space="preserve"> Уредба 2015/1185 за локалне грејаче простора на чврсто гориво треба да буде транспонована у II кварталу 2023. године.</w:t>
      </w:r>
    </w:p>
    <w:p w14:paraId="680DDECF" w14:textId="77777777" w:rsidR="00A0251B" w:rsidRPr="00CC35F0" w:rsidRDefault="008D6506" w:rsidP="00C72A81">
      <w:pPr>
        <w:numPr>
          <w:ilvl w:val="0"/>
          <w:numId w:val="7"/>
        </w:numPr>
        <w:pBdr>
          <w:top w:val="nil"/>
          <w:left w:val="nil"/>
          <w:bottom w:val="nil"/>
          <w:right w:val="nil"/>
          <w:between w:val="nil"/>
        </w:pBdr>
        <w:tabs>
          <w:tab w:val="left" w:pos="709"/>
        </w:tabs>
        <w:spacing w:after="280" w:line="240" w:lineRule="auto"/>
        <w:ind w:left="142" w:firstLine="218"/>
        <w:rPr>
          <w:rFonts w:ascii="Times New Roman" w:eastAsia="Times New Roman" w:hAnsi="Times New Roman"/>
          <w:b/>
          <w:color w:val="000000"/>
          <w:sz w:val="24"/>
          <w:szCs w:val="24"/>
          <w:lang w:val="sr-Cyrl-CS"/>
        </w:rPr>
      </w:pPr>
      <w:r w:rsidRPr="00CC35F0">
        <w:rPr>
          <w:rFonts w:ascii="Times New Roman" w:eastAsia="Times New Roman" w:hAnsi="Times New Roman"/>
          <w:color w:val="000000"/>
          <w:sz w:val="24"/>
          <w:szCs w:val="24"/>
          <w:lang w:val="sr-Cyrl-CS"/>
        </w:rPr>
        <w:t>од 1. јануара 2025. године, уређаји стављени на тржиште ће бити у складу са граничним вредностима из Уредби 2015/1185 и 2015/1189.</w:t>
      </w:r>
    </w:p>
    <w:p w14:paraId="772989FB" w14:textId="77777777" w:rsidR="00A0251B" w:rsidRPr="00CC35F0" w:rsidRDefault="008D6506" w:rsidP="008E175C">
      <w:pPr>
        <w:ind w:firstLine="36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Уредба о граничним вредностима емисија загађујућих материја у ваздух из стационарних извора загађења, осим постр</w:t>
      </w:r>
      <w:r w:rsidR="00AA3672" w:rsidRPr="00CC35F0">
        <w:rPr>
          <w:rFonts w:ascii="Times New Roman" w:eastAsia="Times New Roman" w:hAnsi="Times New Roman"/>
          <w:b/>
          <w:sz w:val="24"/>
          <w:szCs w:val="24"/>
          <w:lang w:val="sr-Cyrl-CS"/>
        </w:rPr>
        <w:t xml:space="preserve">ојења за сагоревање </w:t>
      </w:r>
    </w:p>
    <w:p w14:paraId="0F9F59C6" w14:textId="77777777" w:rsidR="00A0251B" w:rsidRPr="00CC35F0" w:rsidRDefault="008D6506" w:rsidP="0080714C">
      <w:pPr>
        <w:numPr>
          <w:ilvl w:val="0"/>
          <w:numId w:val="8"/>
        </w:numPr>
        <w:ind w:left="0" w:firstLine="36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Потпуна усклађеност са одредбама Директиве о индустријским емисијама, Поглавља 2 (средњи ниво BAT AELs) ће бити остварена до 31. децембра 2024. године, осим за постројења која захтевају продужене периоде за спровођење. </w:t>
      </w:r>
    </w:p>
    <w:p w14:paraId="6F43B082" w14:textId="77777777" w:rsidR="00A0251B" w:rsidRPr="00CC35F0" w:rsidRDefault="008D6506" w:rsidP="008E175C">
      <w:pPr>
        <w:ind w:firstLine="360"/>
        <w:rPr>
          <w:rFonts w:ascii="Times New Roman" w:eastAsia="Times New Roman" w:hAnsi="Times New Roman"/>
          <w:b/>
          <w:strike/>
          <w:sz w:val="24"/>
          <w:szCs w:val="24"/>
          <w:lang w:val="sr-Cyrl-CS"/>
        </w:rPr>
      </w:pPr>
      <w:r w:rsidRPr="00CC35F0">
        <w:rPr>
          <w:rFonts w:ascii="Times New Roman" w:eastAsia="Times New Roman" w:hAnsi="Times New Roman"/>
          <w:b/>
          <w:sz w:val="24"/>
          <w:szCs w:val="24"/>
          <w:lang w:val="sr-Cyrl-CS"/>
        </w:rPr>
        <w:t>Уредба о листи индустријских постројења и активности у којима се контролише емисија испарљивих органских једињења, о вредностима емисије испарљивих органских једињења при одређеној потрошњи растварача и укупним дозвољеним емисијама, ка</w:t>
      </w:r>
      <w:r w:rsidR="00346A28" w:rsidRPr="00CC35F0">
        <w:rPr>
          <w:rFonts w:ascii="Times New Roman" w:eastAsia="Times New Roman" w:hAnsi="Times New Roman"/>
          <w:b/>
          <w:sz w:val="24"/>
          <w:szCs w:val="24"/>
          <w:lang w:val="sr-Cyrl-CS"/>
        </w:rPr>
        <w:t xml:space="preserve">о и шеми за смањење емисија </w:t>
      </w:r>
    </w:p>
    <w:p w14:paraId="12D7522E" w14:textId="77777777" w:rsidR="00A0251B" w:rsidRPr="00CC35F0" w:rsidRDefault="008D6506" w:rsidP="000D2A85">
      <w:pPr>
        <w:numPr>
          <w:ilvl w:val="0"/>
          <w:numId w:val="12"/>
        </w:numPr>
        <w:pBdr>
          <w:top w:val="nil"/>
          <w:left w:val="nil"/>
          <w:bottom w:val="nil"/>
          <w:right w:val="nil"/>
          <w:between w:val="nil"/>
        </w:pBdr>
        <w:tabs>
          <w:tab w:val="left" w:pos="709"/>
        </w:tabs>
        <w:spacing w:before="280" w:after="280" w:line="240" w:lineRule="auto"/>
        <w:ind w:left="0" w:firstLine="774"/>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Просечна вредност између горње и доње вредности BAT AELs до 31. децембра 2024. године, осим за постројења која захтевају продужене периоде за спровођење.</w:t>
      </w:r>
    </w:p>
    <w:p w14:paraId="6978785D" w14:textId="77777777" w:rsidR="00A0251B" w:rsidRPr="00CC35F0" w:rsidRDefault="008D6506" w:rsidP="008E175C">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Уредба о граничним вредностима емисије загађујућих материја у ваздух</w:t>
      </w:r>
      <w:r w:rsidR="00346A28" w:rsidRPr="00CC35F0">
        <w:rPr>
          <w:rFonts w:ascii="Times New Roman" w:eastAsia="Times New Roman" w:hAnsi="Times New Roman"/>
          <w:b/>
          <w:sz w:val="24"/>
          <w:szCs w:val="24"/>
          <w:lang w:val="sr-Cyrl-CS"/>
        </w:rPr>
        <w:t xml:space="preserve"> из постројења за сагоревање </w:t>
      </w:r>
    </w:p>
    <w:p w14:paraId="4DAE76D4" w14:textId="77777777" w:rsidR="00A0251B" w:rsidRPr="00CC35F0" w:rsidRDefault="008D6506" w:rsidP="000D2A85">
      <w:pPr>
        <w:numPr>
          <w:ilvl w:val="0"/>
          <w:numId w:val="12"/>
        </w:numPr>
        <w:pBdr>
          <w:top w:val="nil"/>
          <w:left w:val="nil"/>
          <w:bottom w:val="nil"/>
          <w:right w:val="nil"/>
          <w:between w:val="nil"/>
        </w:pBdr>
        <w:tabs>
          <w:tab w:val="left" w:pos="1134"/>
        </w:tabs>
        <w:spacing w:before="280" w:after="0" w:line="240" w:lineRule="auto"/>
        <w:ind w:left="0" w:firstLine="774"/>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Претпоставља се да су датуми законодавног усклађивања у складу са Директивом ЕУ 2015/2193 о ограничењу емисија одређених загађујућих материја у ваздух из средњих постројења за сагоревање:</w:t>
      </w:r>
    </w:p>
    <w:p w14:paraId="39118433" w14:textId="77777777" w:rsidR="00A0251B" w:rsidRPr="00CC35F0" w:rsidRDefault="008D6506" w:rsidP="008E175C">
      <w:pPr>
        <w:numPr>
          <w:ilvl w:val="1"/>
          <w:numId w:val="12"/>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 xml:space="preserve">1. јануара 2025. </w:t>
      </w:r>
      <w:r w:rsidRPr="00CC35F0">
        <w:rPr>
          <w:rFonts w:ascii="Times New Roman" w:eastAsia="Times New Roman" w:hAnsi="Times New Roman"/>
          <w:sz w:val="24"/>
          <w:szCs w:val="24"/>
          <w:lang w:val="sr-Cyrl-CS"/>
        </w:rPr>
        <w:t>године</w:t>
      </w:r>
      <w:r w:rsidRPr="00CC35F0">
        <w:rPr>
          <w:rFonts w:ascii="Times New Roman" w:eastAsia="Times New Roman" w:hAnsi="Times New Roman"/>
          <w:color w:val="000000"/>
          <w:sz w:val="24"/>
          <w:szCs w:val="24"/>
          <w:lang w:val="sr-Cyrl-CS"/>
        </w:rPr>
        <w:t xml:space="preserve"> за постојећа постројења са номиналном</w:t>
      </w:r>
      <w:r w:rsidR="0080714C" w:rsidRPr="00CC35F0">
        <w:rPr>
          <w:rFonts w:ascii="Times New Roman" w:eastAsia="Times New Roman" w:hAnsi="Times New Roman"/>
          <w:color w:val="000000"/>
          <w:sz w:val="24"/>
          <w:szCs w:val="24"/>
          <w:lang w:val="sr-Cyrl-CS"/>
        </w:rPr>
        <w:t xml:space="preserve"> топлотном снагом већом од 5 MW;</w:t>
      </w:r>
    </w:p>
    <w:p w14:paraId="7009628E" w14:textId="77777777" w:rsidR="00A0251B" w:rsidRPr="00CC35F0" w:rsidRDefault="008D6506" w:rsidP="008E175C">
      <w:pPr>
        <w:numPr>
          <w:ilvl w:val="1"/>
          <w:numId w:val="12"/>
        </w:numPr>
        <w:pBdr>
          <w:top w:val="nil"/>
          <w:left w:val="nil"/>
          <w:bottom w:val="nil"/>
          <w:right w:val="nil"/>
          <w:between w:val="nil"/>
        </w:pBdr>
        <w:tabs>
          <w:tab w:val="left" w:pos="3825"/>
        </w:tabs>
        <w:spacing w:after="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1. јануара 2030. године за излазак из постројења са номиналном топлотном снагом једнаком или ве</w:t>
      </w:r>
      <w:r w:rsidR="0080714C" w:rsidRPr="00CC35F0">
        <w:rPr>
          <w:rFonts w:ascii="Times New Roman" w:eastAsia="Times New Roman" w:hAnsi="Times New Roman"/>
          <w:color w:val="000000"/>
          <w:sz w:val="24"/>
          <w:szCs w:val="24"/>
          <w:lang w:val="sr-Cyrl-CS"/>
        </w:rPr>
        <w:t>ћом од 1 MW, али мањом од 5 MW;</w:t>
      </w:r>
    </w:p>
    <w:p w14:paraId="3316CD1C" w14:textId="77777777" w:rsidR="00A0251B" w:rsidRPr="00CC35F0" w:rsidRDefault="008D6506" w:rsidP="008F5982">
      <w:pPr>
        <w:numPr>
          <w:ilvl w:val="0"/>
          <w:numId w:val="12"/>
        </w:numPr>
        <w:pBdr>
          <w:top w:val="nil"/>
          <w:left w:val="nil"/>
          <w:bottom w:val="nil"/>
          <w:right w:val="nil"/>
          <w:between w:val="nil"/>
        </w:pBdr>
        <w:tabs>
          <w:tab w:val="left" w:pos="709"/>
          <w:tab w:val="left" w:pos="1134"/>
        </w:tabs>
        <w:spacing w:after="280" w:line="240" w:lineRule="auto"/>
        <w:ind w:left="0" w:firstLine="774"/>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lastRenderedPageBreak/>
        <w:t xml:space="preserve">Потпуна усклађеност са одредбама Поглавља 2 ДИЕ до 31. децембра 2024. године, осим за постројења која захтевају продужене периоде за спровођење (разматра се просек између горње и доње вредности BAT AELs). </w:t>
      </w:r>
    </w:p>
    <w:p w14:paraId="0CC777D4" w14:textId="77777777" w:rsidR="00A0251B" w:rsidRPr="00CC35F0" w:rsidRDefault="008D6506" w:rsidP="008E175C">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Уредба о</w:t>
      </w:r>
      <w:r w:rsidR="00346A28" w:rsidRPr="00CC35F0">
        <w:rPr>
          <w:rFonts w:ascii="Times New Roman" w:eastAsia="Times New Roman" w:hAnsi="Times New Roman"/>
          <w:b/>
          <w:sz w:val="24"/>
          <w:szCs w:val="24"/>
          <w:lang w:val="sr-Cyrl-CS"/>
        </w:rPr>
        <w:t xml:space="preserve"> увозу моторних возила </w:t>
      </w:r>
    </w:p>
    <w:p w14:paraId="5B4CAC86" w14:textId="77777777" w:rsidR="00A0251B" w:rsidRPr="00CC35F0" w:rsidRDefault="008D6506" w:rsidP="00382EC6">
      <w:pPr>
        <w:numPr>
          <w:ilvl w:val="0"/>
          <w:numId w:val="12"/>
        </w:numPr>
        <w:pBdr>
          <w:top w:val="nil"/>
          <w:left w:val="nil"/>
          <w:bottom w:val="nil"/>
          <w:right w:val="nil"/>
          <w:between w:val="nil"/>
        </w:pBdr>
        <w:tabs>
          <w:tab w:val="left" w:pos="3825"/>
        </w:tabs>
        <w:spacing w:before="280" w:after="280" w:line="240" w:lineRule="auto"/>
        <w:jc w:val="left"/>
        <w:rPr>
          <w:rFonts w:ascii="Times New Roman" w:eastAsia="Times New Roman" w:hAnsi="Times New Roman"/>
          <w:color w:val="000000"/>
          <w:sz w:val="24"/>
          <w:szCs w:val="24"/>
          <w:lang w:val="sr-Cyrl-CS"/>
        </w:rPr>
      </w:pPr>
      <w:bookmarkStart w:id="186" w:name="_heading=h.2gb3jie" w:colFirst="0" w:colLast="0"/>
      <w:bookmarkEnd w:id="186"/>
      <w:r w:rsidRPr="00CC35F0">
        <w:rPr>
          <w:rFonts w:ascii="Times New Roman" w:eastAsia="Times New Roman" w:hAnsi="Times New Roman"/>
          <w:color w:val="000000"/>
          <w:sz w:val="24"/>
          <w:szCs w:val="24"/>
          <w:lang w:val="sr-Cyrl-CS"/>
        </w:rPr>
        <w:t>Измена минималних услова за увезене аутомобиле до Euro 4, Euro 5 и Euro 6.</w:t>
      </w:r>
    </w:p>
    <w:p w14:paraId="27836679" w14:textId="77777777" w:rsidR="00A0251B" w:rsidRPr="00CC35F0" w:rsidRDefault="008D6506" w:rsidP="008E175C">
      <w:pPr>
        <w:spacing w:before="280" w:after="280"/>
        <w:ind w:firstLine="720"/>
        <w:rPr>
          <w:rFonts w:ascii="Times New Roman" w:eastAsia="Times New Roman" w:hAnsi="Times New Roman"/>
          <w:b/>
          <w:color w:val="202124"/>
          <w:sz w:val="24"/>
          <w:szCs w:val="24"/>
          <w:highlight w:val="white"/>
          <w:lang w:val="sr-Cyrl-CS"/>
        </w:rPr>
      </w:pPr>
      <w:r w:rsidRPr="00CC35F0">
        <w:rPr>
          <w:rFonts w:ascii="Times New Roman" w:eastAsia="Times New Roman" w:hAnsi="Times New Roman"/>
          <w:b/>
          <w:color w:val="202124"/>
          <w:sz w:val="24"/>
          <w:szCs w:val="24"/>
          <w:highlight w:val="white"/>
          <w:lang w:val="sr-Cyrl-CS"/>
        </w:rPr>
        <w:t>Закон о порезима на употребу, држање и ношење добара („Службени гласник РС”, бр. 26/01, 80/02, 43/04, 132/04, 112/05, 114/06, 118/07, 114/08, 31/09, 106/09, 95/10, 101/10, 24/11, 100/11, 120/12, 113/13, 68/14, 140/14, 109/15, 112/15, 105/16, 119/</w:t>
      </w:r>
      <w:r w:rsidR="00C60056" w:rsidRPr="00CC35F0">
        <w:rPr>
          <w:rFonts w:ascii="Times New Roman" w:eastAsia="Times New Roman" w:hAnsi="Times New Roman"/>
          <w:b/>
          <w:color w:val="202124"/>
          <w:sz w:val="24"/>
          <w:szCs w:val="24"/>
          <w:highlight w:val="white"/>
          <w:lang w:val="sr-Cyrl-CS"/>
        </w:rPr>
        <w:t>17, 104/18, 86/19, 90/19, 156/</w:t>
      </w:r>
      <w:r w:rsidRPr="00CC35F0">
        <w:rPr>
          <w:rFonts w:ascii="Times New Roman" w:eastAsia="Times New Roman" w:hAnsi="Times New Roman"/>
          <w:b/>
          <w:color w:val="202124"/>
          <w:sz w:val="24"/>
          <w:szCs w:val="24"/>
          <w:highlight w:val="white"/>
          <w:lang w:val="sr-Cyrl-CS"/>
        </w:rPr>
        <w:t>20, 118/21 и 132/21)</w:t>
      </w:r>
    </w:p>
    <w:p w14:paraId="76FF08F8" w14:textId="77777777" w:rsidR="00A0251B" w:rsidRPr="00CC35F0" w:rsidRDefault="008D6506" w:rsidP="008845FC">
      <w:pPr>
        <w:numPr>
          <w:ilvl w:val="0"/>
          <w:numId w:val="17"/>
        </w:numPr>
        <w:pBdr>
          <w:top w:val="nil"/>
          <w:left w:val="nil"/>
          <w:bottom w:val="nil"/>
          <w:right w:val="nil"/>
          <w:between w:val="nil"/>
        </w:pBdr>
        <w:tabs>
          <w:tab w:val="left" w:pos="1418"/>
        </w:tabs>
        <w:spacing w:before="280" w:after="280" w:line="240" w:lineRule="auto"/>
        <w:ind w:left="0" w:firstLine="1131"/>
        <w:rPr>
          <w:rFonts w:ascii="Times New Roman" w:eastAsia="Times New Roman" w:hAnsi="Times New Roman"/>
          <w:b/>
          <w:color w:val="202124"/>
          <w:sz w:val="24"/>
          <w:szCs w:val="24"/>
          <w:highlight w:val="white"/>
          <w:lang w:val="sr-Cyrl-CS"/>
        </w:rPr>
      </w:pPr>
      <w:r w:rsidRPr="00CC35F0">
        <w:rPr>
          <w:rFonts w:ascii="Times New Roman" w:eastAsia="Times New Roman" w:hAnsi="Times New Roman"/>
          <w:color w:val="202124"/>
          <w:sz w:val="24"/>
          <w:szCs w:val="24"/>
          <w:highlight w:val="white"/>
          <w:lang w:val="sr-Cyrl-CS"/>
        </w:rPr>
        <w:t>у делу пореза на употребу моторних возила до краја 2024. године са почетком пр</w:t>
      </w:r>
      <w:r w:rsidR="00346A28" w:rsidRPr="00CC35F0">
        <w:rPr>
          <w:rFonts w:ascii="Times New Roman" w:eastAsia="Times New Roman" w:hAnsi="Times New Roman"/>
          <w:color w:val="202124"/>
          <w:sz w:val="24"/>
          <w:szCs w:val="24"/>
          <w:highlight w:val="white"/>
          <w:lang w:val="sr-Cyrl-CS"/>
        </w:rPr>
        <w:t xml:space="preserve">имене тог закона најкасније од </w:t>
      </w:r>
      <w:r w:rsidRPr="00CC35F0">
        <w:rPr>
          <w:rFonts w:ascii="Times New Roman" w:eastAsia="Times New Roman" w:hAnsi="Times New Roman"/>
          <w:color w:val="202124"/>
          <w:sz w:val="24"/>
          <w:szCs w:val="24"/>
          <w:highlight w:val="white"/>
          <w:lang w:val="sr-Cyrl-CS"/>
        </w:rPr>
        <w:t>1.</w:t>
      </w:r>
      <w:r w:rsidR="00346A28" w:rsidRPr="00CC35F0">
        <w:rPr>
          <w:rFonts w:ascii="Times New Roman" w:eastAsia="Times New Roman" w:hAnsi="Times New Roman"/>
          <w:color w:val="202124"/>
          <w:sz w:val="24"/>
          <w:szCs w:val="24"/>
          <w:highlight w:val="white"/>
          <w:lang w:val="sr-Cyrl-CS"/>
        </w:rPr>
        <w:t xml:space="preserve"> јануара </w:t>
      </w:r>
      <w:r w:rsidRPr="00CC35F0">
        <w:rPr>
          <w:rFonts w:ascii="Times New Roman" w:eastAsia="Times New Roman" w:hAnsi="Times New Roman"/>
          <w:color w:val="202124"/>
          <w:sz w:val="24"/>
          <w:szCs w:val="24"/>
          <w:highlight w:val="white"/>
          <w:lang w:val="sr-Cyrl-CS"/>
        </w:rPr>
        <w:t>2028. године, тако да се подстакне употреба моторних возила чији је утицај на заштиту ваздуха и животну средину повољнији.</w:t>
      </w:r>
    </w:p>
    <w:p w14:paraId="31080A34" w14:textId="77777777" w:rsidR="00662378" w:rsidRPr="00CC35F0" w:rsidRDefault="008D6506" w:rsidP="00662378">
      <w:pPr>
        <w:spacing w:after="0"/>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Правилник о техничким мерама и захтевима који се односе на дозвољене емисионе факторе за VOC која потичу из процеса складиштења и транспорта бензина </w:t>
      </w:r>
    </w:p>
    <w:p w14:paraId="1C7C4D53" w14:textId="77777777" w:rsidR="00662378" w:rsidRPr="00CC35F0" w:rsidRDefault="00662378" w:rsidP="00662378">
      <w:pPr>
        <w:spacing w:after="0"/>
        <w:ind w:firstLine="720"/>
        <w:rPr>
          <w:rFonts w:ascii="Times New Roman" w:eastAsia="Times New Roman" w:hAnsi="Times New Roman"/>
          <w:b/>
          <w:sz w:val="24"/>
          <w:szCs w:val="24"/>
          <w:lang w:val="sr-Cyrl-CS"/>
        </w:rPr>
      </w:pPr>
    </w:p>
    <w:p w14:paraId="67AF3A39" w14:textId="77777777" w:rsidR="00A0251B" w:rsidRPr="00CC35F0" w:rsidRDefault="008D6506" w:rsidP="00662378">
      <w:pPr>
        <w:spacing w:after="0"/>
        <w:ind w:firstLine="720"/>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Наставља се опремање бензинских терминала и станица за које се претпоставља, а завршетак се очекује 31. јануара 2028. године.</w:t>
      </w:r>
    </w:p>
    <w:p w14:paraId="48598B14" w14:textId="77777777" w:rsidR="00662378" w:rsidRPr="00CC35F0" w:rsidRDefault="00662378" w:rsidP="008E175C">
      <w:pPr>
        <w:ind w:firstLine="720"/>
        <w:rPr>
          <w:rFonts w:ascii="Times New Roman" w:eastAsia="Times New Roman" w:hAnsi="Times New Roman"/>
          <w:b/>
          <w:sz w:val="24"/>
          <w:szCs w:val="24"/>
          <w:lang w:val="sr-Cyrl-CS"/>
        </w:rPr>
      </w:pPr>
    </w:p>
    <w:p w14:paraId="2E394719" w14:textId="77777777" w:rsidR="00A0251B" w:rsidRPr="00CC35F0" w:rsidRDefault="008D6506" w:rsidP="008E175C">
      <w:pPr>
        <w:ind w:firstLine="720"/>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Закон о з</w:t>
      </w:r>
      <w:r w:rsidR="00D2022E" w:rsidRPr="00CC35F0">
        <w:rPr>
          <w:rFonts w:ascii="Times New Roman" w:eastAsia="Times New Roman" w:hAnsi="Times New Roman"/>
          <w:b/>
          <w:sz w:val="24"/>
          <w:szCs w:val="24"/>
          <w:lang w:val="sr-Cyrl-CS"/>
        </w:rPr>
        <w:t>аштити ваздуха</w:t>
      </w:r>
    </w:p>
    <w:p w14:paraId="666952D6" w14:textId="77777777" w:rsidR="00A0251B" w:rsidRPr="00CC35F0" w:rsidRDefault="008D6506" w:rsidP="008E175C">
      <w:pPr>
        <w:shd w:val="clear" w:color="auto" w:fill="FFFFFF"/>
        <w:spacing w:before="280" w:after="280"/>
        <w:ind w:firstLine="720"/>
        <w:rPr>
          <w:rFonts w:ascii="Times New Roman" w:eastAsia="Times New Roman" w:hAnsi="Times New Roman"/>
          <w:color w:val="333333"/>
          <w:sz w:val="24"/>
          <w:szCs w:val="24"/>
          <w:lang w:val="sr-Cyrl-CS"/>
        </w:rPr>
      </w:pPr>
      <w:r w:rsidRPr="00CC35F0">
        <w:rPr>
          <w:rFonts w:ascii="Times New Roman" w:eastAsia="Times New Roman" w:hAnsi="Times New Roman"/>
          <w:b/>
          <w:sz w:val="24"/>
          <w:szCs w:val="24"/>
          <w:lang w:val="sr-Cyrl-CS"/>
        </w:rPr>
        <w:t>Правилник о минималном садржају националног програма контроле загађења ваздуха</w:t>
      </w:r>
      <w:r w:rsidRPr="00CC35F0">
        <w:rPr>
          <w:rFonts w:ascii="Times New Roman" w:eastAsia="Times New Roman" w:hAnsi="Times New Roman"/>
          <w:color w:val="333333"/>
          <w:sz w:val="24"/>
          <w:szCs w:val="24"/>
          <w:lang w:val="sr-Cyrl-CS"/>
        </w:rPr>
        <w:t xml:space="preserve"> </w:t>
      </w:r>
    </w:p>
    <w:p w14:paraId="719BC3E4" w14:textId="77777777" w:rsidR="00A0251B" w:rsidRPr="00CC35F0" w:rsidRDefault="008D6506">
      <w:pPr>
        <w:shd w:val="clear" w:color="auto" w:fill="FFFFFF"/>
        <w:spacing w:before="280" w:after="280"/>
        <w:ind w:firstLine="48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Следећих шест принципа управљања азотом наведених у Анексу III, део 2 Директиве 2284/2016, такође су набројани у Анексу IX Гетеборшког протокола и они гласе:</w:t>
      </w:r>
    </w:p>
    <w:p w14:paraId="7FB6EE19" w14:textId="77777777" w:rsidR="00A0251B" w:rsidRPr="00CC35F0" w:rsidRDefault="008D6506" w:rsidP="00382EC6">
      <w:pPr>
        <w:numPr>
          <w:ilvl w:val="0"/>
          <w:numId w:val="11"/>
        </w:num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управљање азотом, узимајући у обзир цео његов циклус;</w:t>
      </w:r>
    </w:p>
    <w:p w14:paraId="27D9210E" w14:textId="77777777" w:rsidR="00A0251B" w:rsidRPr="00CC35F0" w:rsidRDefault="008D6506" w:rsidP="00382EC6">
      <w:pPr>
        <w:numPr>
          <w:ilvl w:val="0"/>
          <w:numId w:val="11"/>
        </w:num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стратегије исхране стоке;</w:t>
      </w:r>
    </w:p>
    <w:p w14:paraId="4FD5E62F" w14:textId="77777777" w:rsidR="00A0251B" w:rsidRPr="00CC35F0" w:rsidRDefault="008D6506" w:rsidP="00382EC6">
      <w:pPr>
        <w:numPr>
          <w:ilvl w:val="0"/>
          <w:numId w:val="11"/>
        </w:num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технике растурања стајњака са ниским емисијама;</w:t>
      </w:r>
    </w:p>
    <w:p w14:paraId="5BEC7995" w14:textId="77777777" w:rsidR="00A0251B" w:rsidRPr="00CC35F0" w:rsidRDefault="008D6506" w:rsidP="00382EC6">
      <w:pPr>
        <w:numPr>
          <w:ilvl w:val="0"/>
          <w:numId w:val="11"/>
        </w:num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системи за складиштење стајњака са ниским емисијама;</w:t>
      </w:r>
    </w:p>
    <w:p w14:paraId="1A01212C" w14:textId="77777777" w:rsidR="00A0251B" w:rsidRPr="00CC35F0" w:rsidRDefault="008D6506" w:rsidP="00382EC6">
      <w:pPr>
        <w:numPr>
          <w:ilvl w:val="0"/>
          <w:numId w:val="11"/>
        </w:num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системи за смештај животиња са ниским емисијама;</w:t>
      </w:r>
    </w:p>
    <w:p w14:paraId="386258DF" w14:textId="77777777" w:rsidR="00A0251B" w:rsidRPr="00CC35F0" w:rsidRDefault="008D6506" w:rsidP="00382EC6">
      <w:pPr>
        <w:numPr>
          <w:ilvl w:val="0"/>
          <w:numId w:val="11"/>
        </w:numPr>
        <w:pBdr>
          <w:top w:val="nil"/>
          <w:left w:val="nil"/>
          <w:bottom w:val="nil"/>
          <w:right w:val="nil"/>
          <w:between w:val="nil"/>
        </w:pBdr>
        <w:tabs>
          <w:tab w:val="left" w:pos="3825"/>
        </w:tabs>
        <w:spacing w:before="120" w:line="240" w:lineRule="auto"/>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могућности за ограничавање емисије NH</w:t>
      </w:r>
      <w:r w:rsidRPr="00CC35F0">
        <w:rPr>
          <w:rFonts w:ascii="Times New Roman" w:eastAsia="Times New Roman" w:hAnsi="Times New Roman"/>
          <w:color w:val="000000"/>
          <w:sz w:val="24"/>
          <w:szCs w:val="24"/>
          <w:vertAlign w:val="subscript"/>
          <w:lang w:val="sr-Cyrl-CS"/>
        </w:rPr>
        <w:t>3</w:t>
      </w:r>
      <w:r w:rsidRPr="00CC35F0">
        <w:rPr>
          <w:rFonts w:ascii="Times New Roman" w:eastAsia="Times New Roman" w:hAnsi="Times New Roman"/>
          <w:color w:val="000000"/>
          <w:sz w:val="24"/>
          <w:szCs w:val="24"/>
          <w:lang w:val="sr-Cyrl-CS"/>
        </w:rPr>
        <w:t xml:space="preserve"> употребом минералних ђубрива,</w:t>
      </w:r>
    </w:p>
    <w:p w14:paraId="2FF82C38" w14:textId="77777777" w:rsidR="00A0251B" w:rsidRPr="00CC35F0" w:rsidRDefault="008D6506">
      <w:pPr>
        <w:spacing w:after="0" w:line="276" w:lineRule="auto"/>
        <w:rPr>
          <w:rFonts w:ascii="Times New Roman" w:eastAsia="Times New Roman" w:hAnsi="Times New Roman"/>
          <w:sz w:val="24"/>
          <w:szCs w:val="24"/>
          <w:highlight w:val="white"/>
          <w:lang w:val="sr-Cyrl-CS"/>
        </w:rPr>
      </w:pPr>
      <w:r w:rsidRPr="00CC35F0">
        <w:rPr>
          <w:rFonts w:ascii="Times New Roman" w:eastAsia="Times New Roman" w:hAnsi="Times New Roman"/>
          <w:sz w:val="24"/>
          <w:szCs w:val="24"/>
          <w:lang w:val="sr-Cyrl-CS"/>
        </w:rPr>
        <w:t>и треба их транспоновати, а до 2023. године министарство надлежно за послове пољопривреде ће ажурирати Кодекс добре пољопривредне праксе у Србији из 2016. године</w:t>
      </w:r>
      <w:r w:rsidRPr="00CC35F0">
        <w:rPr>
          <w:rFonts w:ascii="Times New Roman" w:eastAsia="Times New Roman" w:hAnsi="Times New Roman"/>
          <w:sz w:val="24"/>
          <w:szCs w:val="24"/>
          <w:highlight w:val="white"/>
          <w:lang w:val="sr-Cyrl-CS"/>
        </w:rPr>
        <w:t>.</w:t>
      </w:r>
    </w:p>
    <w:p w14:paraId="5EC52593" w14:textId="77777777" w:rsidR="00A0251B" w:rsidRPr="00CC35F0" w:rsidRDefault="00A0251B">
      <w:pPr>
        <w:spacing w:after="0" w:line="276" w:lineRule="auto"/>
        <w:rPr>
          <w:rFonts w:ascii="Times New Roman" w:eastAsia="Times New Roman" w:hAnsi="Times New Roman"/>
          <w:sz w:val="24"/>
          <w:szCs w:val="24"/>
          <w:highlight w:val="white"/>
          <w:lang w:val="sr-Cyrl-CS"/>
        </w:rPr>
      </w:pPr>
    </w:p>
    <w:p w14:paraId="4C3F724F" w14:textId="77777777" w:rsidR="002F655A" w:rsidRPr="00CC35F0" w:rsidRDefault="002F655A">
      <w:pPr>
        <w:spacing w:after="0" w:line="276" w:lineRule="auto"/>
        <w:rPr>
          <w:rFonts w:ascii="Times New Roman" w:eastAsia="Times New Roman" w:hAnsi="Times New Roman"/>
          <w:sz w:val="24"/>
          <w:szCs w:val="24"/>
          <w:highlight w:val="white"/>
          <w:lang w:val="sr-Cyrl-CS"/>
        </w:rPr>
      </w:pPr>
    </w:p>
    <w:p w14:paraId="39112ED8" w14:textId="77777777" w:rsidR="002F655A" w:rsidRPr="00CC35F0" w:rsidRDefault="002F655A">
      <w:pPr>
        <w:spacing w:after="0" w:line="276" w:lineRule="auto"/>
        <w:rPr>
          <w:rFonts w:ascii="Times New Roman" w:eastAsia="Times New Roman" w:hAnsi="Times New Roman"/>
          <w:sz w:val="24"/>
          <w:szCs w:val="24"/>
          <w:highlight w:val="white"/>
          <w:lang w:val="sr-Cyrl-CS"/>
        </w:rPr>
      </w:pPr>
    </w:p>
    <w:p w14:paraId="633EEEC1" w14:textId="77777777" w:rsidR="002F655A" w:rsidRPr="00CC35F0" w:rsidRDefault="002F655A">
      <w:pPr>
        <w:spacing w:after="0" w:line="276" w:lineRule="auto"/>
        <w:rPr>
          <w:rFonts w:ascii="Times New Roman" w:eastAsia="Times New Roman" w:hAnsi="Times New Roman"/>
          <w:sz w:val="24"/>
          <w:szCs w:val="24"/>
          <w:highlight w:val="white"/>
          <w:lang w:val="sr-Cyrl-CS"/>
        </w:rPr>
      </w:pPr>
    </w:p>
    <w:p w14:paraId="005A5D99" w14:textId="77777777" w:rsidR="002F655A" w:rsidRPr="00CC35F0" w:rsidRDefault="002F655A">
      <w:pPr>
        <w:spacing w:after="0" w:line="276" w:lineRule="auto"/>
        <w:rPr>
          <w:rFonts w:ascii="Times New Roman" w:eastAsia="Times New Roman" w:hAnsi="Times New Roman"/>
          <w:sz w:val="24"/>
          <w:szCs w:val="24"/>
          <w:highlight w:val="white"/>
          <w:lang w:val="sr-Cyrl-CS"/>
        </w:rPr>
      </w:pPr>
    </w:p>
    <w:p w14:paraId="25C5773F" w14:textId="77777777" w:rsidR="00A0251B" w:rsidRPr="00CC35F0" w:rsidRDefault="008D6506" w:rsidP="008E175C">
      <w:pPr>
        <w:spacing w:after="0" w:line="276" w:lineRule="auto"/>
        <w:ind w:firstLine="720"/>
        <w:rPr>
          <w:rFonts w:ascii="Times New Roman" w:eastAsia="Times New Roman" w:hAnsi="Times New Roman"/>
          <w:b/>
          <w:sz w:val="24"/>
          <w:szCs w:val="24"/>
          <w:highlight w:val="white"/>
          <w:lang w:val="sr-Cyrl-CS"/>
        </w:rPr>
      </w:pPr>
      <w:r w:rsidRPr="00CC35F0">
        <w:rPr>
          <w:rFonts w:ascii="Times New Roman" w:eastAsia="Times New Roman" w:hAnsi="Times New Roman"/>
          <w:b/>
          <w:sz w:val="24"/>
          <w:szCs w:val="24"/>
          <w:highlight w:val="white"/>
          <w:lang w:val="sr-Cyrl-CS"/>
        </w:rPr>
        <w:lastRenderedPageBreak/>
        <w:t>З</w:t>
      </w:r>
      <w:r w:rsidR="00D20E99" w:rsidRPr="00CC35F0">
        <w:rPr>
          <w:rFonts w:ascii="Times New Roman" w:eastAsia="Times New Roman" w:hAnsi="Times New Roman"/>
          <w:b/>
          <w:sz w:val="24"/>
          <w:szCs w:val="24"/>
          <w:highlight w:val="white"/>
          <w:lang w:val="sr-Cyrl-CS"/>
        </w:rPr>
        <w:t>акон о пољопривредном земљишту</w:t>
      </w:r>
    </w:p>
    <w:p w14:paraId="237C7C5D" w14:textId="77777777" w:rsidR="00A0251B" w:rsidRPr="00CC35F0" w:rsidRDefault="00A0251B">
      <w:pPr>
        <w:spacing w:after="160"/>
        <w:jc w:val="left"/>
        <w:rPr>
          <w:rFonts w:ascii="Times New Roman" w:eastAsia="Times New Roman" w:hAnsi="Times New Roman"/>
          <w:sz w:val="24"/>
          <w:szCs w:val="24"/>
          <w:lang w:val="sr-Cyrl-CS"/>
        </w:rPr>
      </w:pPr>
    </w:p>
    <w:p w14:paraId="79BBC0CA" w14:textId="77777777" w:rsidR="00BF0566" w:rsidRPr="00CC35F0" w:rsidRDefault="008E175C" w:rsidP="006E7A05">
      <w:pPr>
        <w:numPr>
          <w:ilvl w:val="1"/>
          <w:numId w:val="12"/>
        </w:numPr>
        <w:pBdr>
          <w:top w:val="nil"/>
          <w:left w:val="nil"/>
          <w:bottom w:val="nil"/>
          <w:right w:val="nil"/>
          <w:between w:val="nil"/>
        </w:pBdr>
        <w:tabs>
          <w:tab w:val="left" w:pos="1418"/>
        </w:tabs>
        <w:spacing w:before="280" w:after="280" w:line="240" w:lineRule="auto"/>
        <w:ind w:left="0" w:firstLine="1494"/>
        <w:rPr>
          <w:rFonts w:ascii="Times New Roman" w:eastAsia="Times New Roman" w:hAnsi="Times New Roman"/>
          <w:color w:val="000000"/>
          <w:sz w:val="24"/>
          <w:szCs w:val="24"/>
          <w:lang w:val="sr-Cyrl-CS"/>
        </w:rPr>
      </w:pPr>
      <w:r w:rsidRPr="00CC35F0">
        <w:rPr>
          <w:rFonts w:ascii="Times New Roman" w:eastAsia="Times New Roman" w:hAnsi="Times New Roman"/>
          <w:color w:val="000000"/>
          <w:sz w:val="24"/>
          <w:szCs w:val="24"/>
          <w:lang w:val="sr-Cyrl-CS"/>
        </w:rPr>
        <w:t>Изменити Поглавље X (Надзор) З</w:t>
      </w:r>
      <w:r w:rsidR="008D6506" w:rsidRPr="00CC35F0">
        <w:rPr>
          <w:rFonts w:ascii="Times New Roman" w:eastAsia="Times New Roman" w:hAnsi="Times New Roman"/>
          <w:color w:val="000000"/>
          <w:sz w:val="24"/>
          <w:szCs w:val="24"/>
          <w:lang w:val="sr-Cyrl-CS"/>
        </w:rPr>
        <w:t>акона</w:t>
      </w:r>
      <w:r w:rsidRPr="00CC35F0">
        <w:rPr>
          <w:rFonts w:ascii="Times New Roman" w:eastAsia="Times New Roman" w:hAnsi="Times New Roman"/>
          <w:color w:val="000000"/>
          <w:sz w:val="24"/>
          <w:szCs w:val="24"/>
          <w:lang w:val="sr-Cyrl-CS"/>
        </w:rPr>
        <w:t xml:space="preserve"> о пољопривредном земљишту</w:t>
      </w:r>
      <w:r w:rsidR="008D6506" w:rsidRPr="00CC35F0">
        <w:rPr>
          <w:rFonts w:ascii="Times New Roman" w:eastAsia="Times New Roman" w:hAnsi="Times New Roman"/>
          <w:color w:val="000000"/>
          <w:sz w:val="24"/>
          <w:szCs w:val="24"/>
          <w:lang w:val="sr-Cyrl-CS"/>
        </w:rPr>
        <w:t xml:space="preserve"> како би инспектори били овлашћени (члан 83) за изрицање казни за кршење члана 28</w:t>
      </w:r>
      <w:r w:rsidRPr="00CC35F0">
        <w:rPr>
          <w:rFonts w:ascii="Times New Roman" w:eastAsia="Times New Roman" w:hAnsi="Times New Roman"/>
          <w:color w:val="000000"/>
          <w:sz w:val="24"/>
          <w:szCs w:val="24"/>
          <w:lang w:val="sr-Cyrl-CS"/>
        </w:rPr>
        <w:t>.</w:t>
      </w:r>
      <w:r w:rsidR="008D6506" w:rsidRPr="00CC35F0">
        <w:rPr>
          <w:rFonts w:ascii="Times New Roman" w:eastAsia="Times New Roman" w:hAnsi="Times New Roman"/>
          <w:color w:val="000000"/>
          <w:sz w:val="24"/>
          <w:szCs w:val="24"/>
          <w:lang w:val="sr-Cyrl-CS"/>
        </w:rPr>
        <w:t xml:space="preserve"> </w:t>
      </w:r>
      <w:r w:rsidR="00D97BF9">
        <w:rPr>
          <w:rFonts w:ascii="Times New Roman" w:eastAsia="Times New Roman" w:hAnsi="Times New Roman"/>
          <w:color w:val="000000"/>
          <w:sz w:val="24"/>
          <w:szCs w:val="24"/>
          <w:lang w:val="sr-Cyrl-CS"/>
        </w:rPr>
        <w:t>став</w:t>
      </w:r>
      <w:r w:rsidRPr="00CC35F0">
        <w:rPr>
          <w:rFonts w:ascii="Times New Roman" w:eastAsia="Times New Roman" w:hAnsi="Times New Roman"/>
          <w:color w:val="000000"/>
          <w:sz w:val="24"/>
          <w:szCs w:val="24"/>
          <w:lang w:val="sr-Cyrl-CS"/>
        </w:rPr>
        <w:t xml:space="preserve"> 2. </w:t>
      </w:r>
      <w:r w:rsidR="008D6506" w:rsidRPr="00CC35F0">
        <w:rPr>
          <w:rFonts w:ascii="Times New Roman" w:eastAsia="Times New Roman" w:hAnsi="Times New Roman"/>
          <w:color w:val="000000"/>
          <w:sz w:val="24"/>
          <w:szCs w:val="24"/>
          <w:lang w:val="sr-Cyrl-CS"/>
        </w:rPr>
        <w:t>Закона</w:t>
      </w:r>
      <w:r w:rsidRPr="00CC35F0">
        <w:rPr>
          <w:rFonts w:ascii="Times New Roman" w:eastAsia="Times New Roman" w:hAnsi="Times New Roman"/>
          <w:color w:val="000000"/>
          <w:sz w:val="24"/>
          <w:szCs w:val="24"/>
          <w:lang w:val="sr-Cyrl-CS"/>
        </w:rPr>
        <w:t xml:space="preserve"> о пољопривредном земљишту</w:t>
      </w:r>
      <w:r w:rsidR="008D6506" w:rsidRPr="00CC35F0">
        <w:rPr>
          <w:rFonts w:ascii="Times New Roman" w:eastAsia="Times New Roman" w:hAnsi="Times New Roman"/>
          <w:color w:val="000000"/>
          <w:sz w:val="24"/>
          <w:szCs w:val="24"/>
          <w:lang w:val="sr-Cyrl-CS"/>
        </w:rPr>
        <w:t xml:space="preserve">, којим се забрањује спаљивање органских остатака после жетве на отвореном, на пољопривредном земљишту.  </w:t>
      </w:r>
      <w:r w:rsidR="008D6506" w:rsidRPr="00CC35F0">
        <w:rPr>
          <w:lang w:val="sr-Cyrl-CS"/>
        </w:rPr>
        <w:br w:type="page"/>
      </w:r>
      <w:bookmarkStart w:id="187" w:name="_heading=h.vgdtq7" w:colFirst="0" w:colLast="0"/>
      <w:bookmarkEnd w:id="187"/>
      <w:r w:rsidR="00D32D1A" w:rsidRPr="00CC35F0">
        <w:rPr>
          <w:lang w:val="sr-Cyrl-CS"/>
        </w:rPr>
        <w:lastRenderedPageBreak/>
        <w:t xml:space="preserve">                                                                                                                                                               </w:t>
      </w:r>
      <w:r w:rsidR="00D32D1A" w:rsidRPr="00CC35F0">
        <w:rPr>
          <w:rFonts w:ascii="Times New Roman" w:eastAsia="Times New Roman" w:hAnsi="Times New Roman"/>
          <w:smallCaps/>
          <w:color w:val="0000FF"/>
          <w:sz w:val="24"/>
          <w:szCs w:val="24"/>
          <w:lang w:val="sr-Cyrl-CS"/>
        </w:rPr>
        <w:t>Прилог 3</w:t>
      </w:r>
    </w:p>
    <w:p w14:paraId="32E010C0" w14:textId="77777777" w:rsidR="00A0251B" w:rsidRPr="00CC35F0" w:rsidRDefault="008D6506" w:rsidP="00BF0566">
      <w:pPr>
        <w:keepNext/>
        <w:keepLines/>
        <w:pBdr>
          <w:top w:val="nil"/>
          <w:left w:val="nil"/>
          <w:bottom w:val="nil"/>
          <w:right w:val="nil"/>
          <w:between w:val="nil"/>
        </w:pBdr>
        <w:spacing w:before="360" w:after="240" w:line="240" w:lineRule="auto"/>
        <w:ind w:left="432" w:hanging="432"/>
        <w:jc w:val="center"/>
        <w:rPr>
          <w:rFonts w:ascii="Times New Roman" w:eastAsia="Times New Roman" w:hAnsi="Times New Roman"/>
          <w:b/>
          <w:smallCaps/>
          <w:color w:val="1F3864"/>
          <w:sz w:val="24"/>
          <w:szCs w:val="24"/>
          <w:lang w:val="sr-Cyrl-CS"/>
        </w:rPr>
      </w:pPr>
      <w:r w:rsidRPr="00CC35F0">
        <w:rPr>
          <w:rFonts w:ascii="Times New Roman" w:eastAsia="Times New Roman" w:hAnsi="Times New Roman"/>
          <w:b/>
          <w:smallCaps/>
          <w:color w:val="1F3864"/>
          <w:sz w:val="24"/>
          <w:szCs w:val="24"/>
          <w:lang w:val="sr-Cyrl-CS"/>
        </w:rPr>
        <w:t>Приказ сценарија емисија у ваздух по секторима</w:t>
      </w:r>
    </w:p>
    <w:p w14:paraId="58EF69E5" w14:textId="77777777" w:rsidR="00A0251B" w:rsidRPr="00CC35F0" w:rsidRDefault="008D6506" w:rsidP="00D6395C">
      <w:pPr>
        <w:ind w:firstLine="432"/>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 овом прилогу представљени су детаљни подаци о пројекцијама емисија загађујућих материја у ваздух до 2030. године за сваку загађујућу материју и за сваки сценарио. Емисије загађујућих материја у ваздух подељене су према секторима. У табеларном прегледу емисија за године 2005, 2015, 2020, 2025, 2030. и 2035. дате су и процентуалне вредности смањења загађујућих материја у периоду између 2030. и 2015. и између 2030. и 2005. године.</w:t>
      </w:r>
    </w:p>
    <w:tbl>
      <w:tblPr>
        <w:tblStyle w:val="afffff1"/>
        <w:tblW w:w="10166" w:type="dxa"/>
        <w:tblLayout w:type="fixed"/>
        <w:tblLook w:val="0400" w:firstRow="0" w:lastRow="0" w:firstColumn="0" w:lastColumn="0" w:noHBand="0" w:noVBand="1"/>
      </w:tblPr>
      <w:tblGrid>
        <w:gridCol w:w="2040"/>
        <w:gridCol w:w="16"/>
        <w:gridCol w:w="904"/>
        <w:gridCol w:w="32"/>
        <w:gridCol w:w="888"/>
        <w:gridCol w:w="48"/>
        <w:gridCol w:w="872"/>
        <w:gridCol w:w="64"/>
        <w:gridCol w:w="856"/>
        <w:gridCol w:w="80"/>
        <w:gridCol w:w="840"/>
        <w:gridCol w:w="96"/>
        <w:gridCol w:w="824"/>
        <w:gridCol w:w="120"/>
        <w:gridCol w:w="1123"/>
        <w:gridCol w:w="120"/>
        <w:gridCol w:w="1165"/>
        <w:gridCol w:w="78"/>
      </w:tblGrid>
      <w:tr w:rsidR="00A0251B" w:rsidRPr="00CC35F0" w14:paraId="7179CC28" w14:textId="77777777">
        <w:trPr>
          <w:gridAfter w:val="1"/>
          <w:wAfter w:w="78" w:type="dxa"/>
          <w:trHeight w:val="250"/>
        </w:trPr>
        <w:tc>
          <w:tcPr>
            <w:tcW w:w="2040" w:type="dxa"/>
            <w:tcBorders>
              <w:top w:val="nil"/>
              <w:left w:val="nil"/>
              <w:bottom w:val="single" w:sz="4" w:space="0" w:color="000000"/>
              <w:right w:val="nil"/>
            </w:tcBorders>
            <w:shd w:val="clear" w:color="auto" w:fill="FFFFFF"/>
            <w:vAlign w:val="center"/>
          </w:tcPr>
          <w:p w14:paraId="73BE4F5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Емисије NOx </w:t>
            </w:r>
          </w:p>
        </w:tc>
        <w:tc>
          <w:tcPr>
            <w:tcW w:w="920" w:type="dxa"/>
            <w:gridSpan w:val="2"/>
            <w:tcBorders>
              <w:top w:val="nil"/>
              <w:left w:val="nil"/>
              <w:bottom w:val="nil"/>
              <w:right w:val="nil"/>
            </w:tcBorders>
            <w:shd w:val="clear" w:color="auto" w:fill="FFFFFF"/>
            <w:vAlign w:val="center"/>
          </w:tcPr>
          <w:p w14:paraId="66F735B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34D5923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005719C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2885B4C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2C75E27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417D7D6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gridSpan w:val="2"/>
            <w:tcBorders>
              <w:top w:val="nil"/>
              <w:left w:val="nil"/>
              <w:bottom w:val="single" w:sz="4" w:space="0" w:color="000000"/>
              <w:right w:val="nil"/>
            </w:tcBorders>
            <w:shd w:val="clear" w:color="auto" w:fill="FFFFFF"/>
            <w:vAlign w:val="center"/>
          </w:tcPr>
          <w:p w14:paraId="06404BD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85" w:type="dxa"/>
            <w:gridSpan w:val="2"/>
            <w:tcBorders>
              <w:top w:val="nil"/>
              <w:left w:val="nil"/>
              <w:bottom w:val="nil"/>
              <w:right w:val="nil"/>
            </w:tcBorders>
            <w:shd w:val="clear" w:color="auto" w:fill="FFFFFF"/>
            <w:vAlign w:val="center"/>
          </w:tcPr>
          <w:p w14:paraId="6BA9F06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5DCD1A9D" w14:textId="77777777">
        <w:trPr>
          <w:gridAfter w:val="1"/>
          <w:wAfter w:w="78" w:type="dxa"/>
          <w:trHeight w:val="360"/>
        </w:trPr>
        <w:tc>
          <w:tcPr>
            <w:tcW w:w="2040" w:type="dxa"/>
            <w:tcBorders>
              <w:top w:val="nil"/>
              <w:left w:val="single" w:sz="4" w:space="0" w:color="000000"/>
              <w:bottom w:val="nil"/>
              <w:right w:val="single" w:sz="4" w:space="0" w:color="000000"/>
            </w:tcBorders>
            <w:shd w:val="clear" w:color="auto" w:fill="DAEEF3"/>
            <w:vAlign w:val="center"/>
          </w:tcPr>
          <w:p w14:paraId="689A01D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WEM </w:t>
            </w:r>
          </w:p>
        </w:tc>
        <w:tc>
          <w:tcPr>
            <w:tcW w:w="920" w:type="dxa"/>
            <w:gridSpan w:val="2"/>
            <w:tcBorders>
              <w:top w:val="single" w:sz="4" w:space="0" w:color="000000"/>
              <w:left w:val="nil"/>
              <w:bottom w:val="single" w:sz="4" w:space="0" w:color="000000"/>
              <w:right w:val="nil"/>
            </w:tcBorders>
            <w:shd w:val="clear" w:color="auto" w:fill="DAEEF3"/>
            <w:vAlign w:val="center"/>
          </w:tcPr>
          <w:p w14:paraId="77461AF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5785E2A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465507F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4720879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45FFAB4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20" w:type="dxa"/>
            <w:gridSpan w:val="2"/>
            <w:tcBorders>
              <w:top w:val="single" w:sz="4" w:space="0" w:color="000000"/>
              <w:left w:val="single" w:sz="4" w:space="0" w:color="000000"/>
              <w:bottom w:val="single" w:sz="4" w:space="0" w:color="000000"/>
              <w:right w:val="single" w:sz="18" w:space="0" w:color="000000"/>
            </w:tcBorders>
            <w:shd w:val="clear" w:color="auto" w:fill="DAEEF3"/>
            <w:vAlign w:val="center"/>
          </w:tcPr>
          <w:p w14:paraId="7C5A14A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DAEEF3"/>
            <w:vAlign w:val="center"/>
          </w:tcPr>
          <w:p w14:paraId="26D68F40"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85" w:type="dxa"/>
            <w:gridSpan w:val="2"/>
            <w:tcBorders>
              <w:top w:val="single" w:sz="4" w:space="0" w:color="000000"/>
              <w:left w:val="nil"/>
              <w:bottom w:val="single" w:sz="4" w:space="0" w:color="000000"/>
              <w:right w:val="single" w:sz="4" w:space="0" w:color="000000"/>
            </w:tcBorders>
            <w:shd w:val="clear" w:color="auto" w:fill="DAEEF3"/>
            <w:vAlign w:val="center"/>
          </w:tcPr>
          <w:p w14:paraId="1042629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20EE3555" w14:textId="77777777">
        <w:trPr>
          <w:gridAfter w:val="1"/>
          <w:wAfter w:w="78" w:type="dxa"/>
          <w:trHeight w:val="250"/>
        </w:trPr>
        <w:tc>
          <w:tcPr>
            <w:tcW w:w="20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2D8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20" w:type="dxa"/>
            <w:gridSpan w:val="2"/>
            <w:tcBorders>
              <w:top w:val="nil"/>
              <w:left w:val="nil"/>
              <w:bottom w:val="single" w:sz="4" w:space="0" w:color="000000"/>
              <w:right w:val="single" w:sz="4" w:space="0" w:color="000000"/>
            </w:tcBorders>
            <w:shd w:val="clear" w:color="auto" w:fill="auto"/>
            <w:vAlign w:val="center"/>
          </w:tcPr>
          <w:p w14:paraId="56A9E3F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74,5   </w:t>
            </w:r>
          </w:p>
        </w:tc>
        <w:tc>
          <w:tcPr>
            <w:tcW w:w="920" w:type="dxa"/>
            <w:gridSpan w:val="2"/>
            <w:tcBorders>
              <w:top w:val="nil"/>
              <w:left w:val="nil"/>
              <w:bottom w:val="single" w:sz="4" w:space="0" w:color="000000"/>
              <w:right w:val="single" w:sz="4" w:space="0" w:color="000000"/>
            </w:tcBorders>
            <w:shd w:val="clear" w:color="auto" w:fill="auto"/>
            <w:vAlign w:val="center"/>
          </w:tcPr>
          <w:p w14:paraId="4E9C73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72,5   </w:t>
            </w:r>
          </w:p>
        </w:tc>
        <w:tc>
          <w:tcPr>
            <w:tcW w:w="920" w:type="dxa"/>
            <w:gridSpan w:val="2"/>
            <w:tcBorders>
              <w:top w:val="nil"/>
              <w:left w:val="nil"/>
              <w:bottom w:val="single" w:sz="4" w:space="0" w:color="000000"/>
              <w:right w:val="single" w:sz="4" w:space="0" w:color="000000"/>
            </w:tcBorders>
            <w:shd w:val="clear" w:color="auto" w:fill="auto"/>
            <w:vAlign w:val="center"/>
          </w:tcPr>
          <w:p w14:paraId="62F848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73,7   </w:t>
            </w:r>
          </w:p>
        </w:tc>
        <w:tc>
          <w:tcPr>
            <w:tcW w:w="920" w:type="dxa"/>
            <w:gridSpan w:val="2"/>
            <w:tcBorders>
              <w:top w:val="nil"/>
              <w:left w:val="nil"/>
              <w:bottom w:val="single" w:sz="4" w:space="0" w:color="000000"/>
              <w:right w:val="single" w:sz="4" w:space="0" w:color="000000"/>
            </w:tcBorders>
            <w:shd w:val="clear" w:color="auto" w:fill="auto"/>
            <w:vAlign w:val="center"/>
          </w:tcPr>
          <w:p w14:paraId="69F57B6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21,1   </w:t>
            </w:r>
          </w:p>
        </w:tc>
        <w:tc>
          <w:tcPr>
            <w:tcW w:w="920" w:type="dxa"/>
            <w:gridSpan w:val="2"/>
            <w:tcBorders>
              <w:top w:val="nil"/>
              <w:left w:val="nil"/>
              <w:bottom w:val="single" w:sz="4" w:space="0" w:color="000000"/>
              <w:right w:val="single" w:sz="4" w:space="0" w:color="000000"/>
            </w:tcBorders>
            <w:shd w:val="clear" w:color="auto" w:fill="auto"/>
            <w:vAlign w:val="center"/>
          </w:tcPr>
          <w:p w14:paraId="098BF9D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18,1   </w:t>
            </w:r>
          </w:p>
        </w:tc>
        <w:tc>
          <w:tcPr>
            <w:tcW w:w="920" w:type="dxa"/>
            <w:gridSpan w:val="2"/>
            <w:tcBorders>
              <w:top w:val="nil"/>
              <w:left w:val="nil"/>
              <w:bottom w:val="single" w:sz="4" w:space="0" w:color="000000"/>
              <w:right w:val="single" w:sz="18" w:space="0" w:color="000000"/>
            </w:tcBorders>
            <w:shd w:val="clear" w:color="auto" w:fill="auto"/>
            <w:vAlign w:val="center"/>
          </w:tcPr>
          <w:p w14:paraId="59FC2AE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15,2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3A07E26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-75,1%</w:t>
            </w:r>
          </w:p>
        </w:tc>
        <w:tc>
          <w:tcPr>
            <w:tcW w:w="1285" w:type="dxa"/>
            <w:gridSpan w:val="2"/>
            <w:tcBorders>
              <w:top w:val="nil"/>
              <w:left w:val="nil"/>
              <w:bottom w:val="single" w:sz="4" w:space="0" w:color="000000"/>
              <w:right w:val="single" w:sz="4" w:space="0" w:color="000000"/>
            </w:tcBorders>
            <w:shd w:val="clear" w:color="auto" w:fill="auto"/>
            <w:vAlign w:val="center"/>
          </w:tcPr>
          <w:p w14:paraId="5B85392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-75,8%</w:t>
            </w:r>
          </w:p>
        </w:tc>
      </w:tr>
      <w:tr w:rsidR="00A0251B" w:rsidRPr="00CC35F0" w14:paraId="4C9B0796"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6D80BF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20" w:type="dxa"/>
            <w:gridSpan w:val="2"/>
            <w:tcBorders>
              <w:top w:val="nil"/>
              <w:left w:val="nil"/>
              <w:bottom w:val="single" w:sz="4" w:space="0" w:color="000000"/>
              <w:right w:val="single" w:sz="4" w:space="0" w:color="000000"/>
            </w:tcBorders>
            <w:shd w:val="clear" w:color="auto" w:fill="auto"/>
            <w:vAlign w:val="center"/>
          </w:tcPr>
          <w:p w14:paraId="7F31A9E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17,2   </w:t>
            </w:r>
          </w:p>
        </w:tc>
        <w:tc>
          <w:tcPr>
            <w:tcW w:w="920" w:type="dxa"/>
            <w:gridSpan w:val="2"/>
            <w:tcBorders>
              <w:top w:val="nil"/>
              <w:left w:val="nil"/>
              <w:bottom w:val="single" w:sz="4" w:space="0" w:color="000000"/>
              <w:right w:val="single" w:sz="4" w:space="0" w:color="000000"/>
            </w:tcBorders>
            <w:shd w:val="clear" w:color="auto" w:fill="auto"/>
            <w:vAlign w:val="center"/>
          </w:tcPr>
          <w:p w14:paraId="2F51185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16,4   </w:t>
            </w:r>
          </w:p>
        </w:tc>
        <w:tc>
          <w:tcPr>
            <w:tcW w:w="920" w:type="dxa"/>
            <w:gridSpan w:val="2"/>
            <w:tcBorders>
              <w:top w:val="nil"/>
              <w:left w:val="nil"/>
              <w:bottom w:val="single" w:sz="4" w:space="0" w:color="000000"/>
              <w:right w:val="single" w:sz="4" w:space="0" w:color="000000"/>
            </w:tcBorders>
            <w:shd w:val="clear" w:color="auto" w:fill="auto"/>
            <w:vAlign w:val="center"/>
          </w:tcPr>
          <w:p w14:paraId="55202F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17,1   </w:t>
            </w:r>
          </w:p>
        </w:tc>
        <w:tc>
          <w:tcPr>
            <w:tcW w:w="920" w:type="dxa"/>
            <w:gridSpan w:val="2"/>
            <w:tcBorders>
              <w:top w:val="nil"/>
              <w:left w:val="nil"/>
              <w:bottom w:val="single" w:sz="4" w:space="0" w:color="000000"/>
              <w:right w:val="single" w:sz="4" w:space="0" w:color="000000"/>
            </w:tcBorders>
            <w:shd w:val="clear" w:color="auto" w:fill="auto"/>
            <w:vAlign w:val="center"/>
          </w:tcPr>
          <w:p w14:paraId="4ECB36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13,5   </w:t>
            </w:r>
          </w:p>
        </w:tc>
        <w:tc>
          <w:tcPr>
            <w:tcW w:w="920" w:type="dxa"/>
            <w:gridSpan w:val="2"/>
            <w:tcBorders>
              <w:top w:val="nil"/>
              <w:left w:val="nil"/>
              <w:bottom w:val="single" w:sz="4" w:space="0" w:color="000000"/>
              <w:right w:val="single" w:sz="4" w:space="0" w:color="000000"/>
            </w:tcBorders>
            <w:shd w:val="clear" w:color="auto" w:fill="auto"/>
            <w:vAlign w:val="center"/>
          </w:tcPr>
          <w:p w14:paraId="64F81B5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12,6   </w:t>
            </w:r>
          </w:p>
        </w:tc>
        <w:tc>
          <w:tcPr>
            <w:tcW w:w="920" w:type="dxa"/>
            <w:gridSpan w:val="2"/>
            <w:tcBorders>
              <w:top w:val="nil"/>
              <w:left w:val="nil"/>
              <w:bottom w:val="single" w:sz="4" w:space="0" w:color="000000"/>
              <w:right w:val="single" w:sz="18" w:space="0" w:color="000000"/>
            </w:tcBorders>
            <w:shd w:val="clear" w:color="auto" w:fill="auto"/>
            <w:vAlign w:val="center"/>
          </w:tcPr>
          <w:p w14:paraId="1D3D65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12,3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576B75E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-23,0%</w:t>
            </w:r>
          </w:p>
        </w:tc>
        <w:tc>
          <w:tcPr>
            <w:tcW w:w="1285" w:type="dxa"/>
            <w:gridSpan w:val="2"/>
            <w:tcBorders>
              <w:top w:val="nil"/>
              <w:left w:val="nil"/>
              <w:bottom w:val="single" w:sz="4" w:space="0" w:color="000000"/>
              <w:right w:val="single" w:sz="4" w:space="0" w:color="000000"/>
            </w:tcBorders>
            <w:shd w:val="clear" w:color="auto" w:fill="auto"/>
            <w:vAlign w:val="center"/>
          </w:tcPr>
          <w:p w14:paraId="509704A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-26,9%</w:t>
            </w:r>
          </w:p>
        </w:tc>
      </w:tr>
      <w:tr w:rsidR="00A0251B" w:rsidRPr="00CC35F0" w14:paraId="36948193" w14:textId="77777777">
        <w:trPr>
          <w:gridAfter w:val="1"/>
          <w:wAfter w:w="78" w:type="dxa"/>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27EDBC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20" w:type="dxa"/>
            <w:gridSpan w:val="2"/>
            <w:tcBorders>
              <w:top w:val="nil"/>
              <w:left w:val="nil"/>
              <w:bottom w:val="single" w:sz="4" w:space="0" w:color="000000"/>
              <w:right w:val="single" w:sz="4" w:space="0" w:color="000000"/>
            </w:tcBorders>
            <w:shd w:val="clear" w:color="auto" w:fill="auto"/>
            <w:vAlign w:val="center"/>
          </w:tcPr>
          <w:p w14:paraId="07C377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6,0   </w:t>
            </w:r>
          </w:p>
        </w:tc>
        <w:tc>
          <w:tcPr>
            <w:tcW w:w="920" w:type="dxa"/>
            <w:gridSpan w:val="2"/>
            <w:tcBorders>
              <w:top w:val="nil"/>
              <w:left w:val="nil"/>
              <w:bottom w:val="single" w:sz="4" w:space="0" w:color="000000"/>
              <w:right w:val="single" w:sz="4" w:space="0" w:color="000000"/>
            </w:tcBorders>
            <w:shd w:val="clear" w:color="auto" w:fill="auto"/>
            <w:vAlign w:val="center"/>
          </w:tcPr>
          <w:p w14:paraId="70D136D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4,9   </w:t>
            </w:r>
          </w:p>
        </w:tc>
        <w:tc>
          <w:tcPr>
            <w:tcW w:w="920" w:type="dxa"/>
            <w:gridSpan w:val="2"/>
            <w:tcBorders>
              <w:top w:val="nil"/>
              <w:left w:val="nil"/>
              <w:bottom w:val="single" w:sz="4" w:space="0" w:color="000000"/>
              <w:right w:val="single" w:sz="4" w:space="0" w:color="000000"/>
            </w:tcBorders>
            <w:shd w:val="clear" w:color="auto" w:fill="auto"/>
            <w:vAlign w:val="center"/>
          </w:tcPr>
          <w:p w14:paraId="2531269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4,4   </w:t>
            </w:r>
          </w:p>
        </w:tc>
        <w:tc>
          <w:tcPr>
            <w:tcW w:w="920" w:type="dxa"/>
            <w:gridSpan w:val="2"/>
            <w:tcBorders>
              <w:top w:val="nil"/>
              <w:left w:val="nil"/>
              <w:bottom w:val="single" w:sz="4" w:space="0" w:color="000000"/>
              <w:right w:val="single" w:sz="4" w:space="0" w:color="000000"/>
            </w:tcBorders>
            <w:shd w:val="clear" w:color="auto" w:fill="auto"/>
            <w:vAlign w:val="center"/>
          </w:tcPr>
          <w:p w14:paraId="69A2B5C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   </w:t>
            </w:r>
          </w:p>
        </w:tc>
        <w:tc>
          <w:tcPr>
            <w:tcW w:w="920" w:type="dxa"/>
            <w:gridSpan w:val="2"/>
            <w:tcBorders>
              <w:top w:val="nil"/>
              <w:left w:val="nil"/>
              <w:bottom w:val="single" w:sz="4" w:space="0" w:color="000000"/>
              <w:right w:val="single" w:sz="4" w:space="0" w:color="000000"/>
            </w:tcBorders>
            <w:shd w:val="clear" w:color="auto" w:fill="auto"/>
            <w:vAlign w:val="center"/>
          </w:tcPr>
          <w:p w14:paraId="2224EA0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   </w:t>
            </w:r>
          </w:p>
        </w:tc>
        <w:tc>
          <w:tcPr>
            <w:tcW w:w="920" w:type="dxa"/>
            <w:gridSpan w:val="2"/>
            <w:tcBorders>
              <w:top w:val="nil"/>
              <w:left w:val="nil"/>
              <w:bottom w:val="single" w:sz="4" w:space="0" w:color="000000"/>
              <w:right w:val="single" w:sz="18" w:space="0" w:color="000000"/>
            </w:tcBorders>
            <w:shd w:val="clear" w:color="auto" w:fill="auto"/>
            <w:vAlign w:val="center"/>
          </w:tcPr>
          <w:p w14:paraId="7D334B6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3,4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33E1DE4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-26,3%</w:t>
            </w:r>
          </w:p>
        </w:tc>
        <w:tc>
          <w:tcPr>
            <w:tcW w:w="1285" w:type="dxa"/>
            <w:gridSpan w:val="2"/>
            <w:tcBorders>
              <w:top w:val="nil"/>
              <w:left w:val="nil"/>
              <w:bottom w:val="single" w:sz="4" w:space="0" w:color="000000"/>
              <w:right w:val="single" w:sz="4" w:space="0" w:color="000000"/>
            </w:tcBorders>
            <w:shd w:val="clear" w:color="auto" w:fill="auto"/>
            <w:vAlign w:val="center"/>
          </w:tcPr>
          <w:p w14:paraId="7B1A2F4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-39,8%</w:t>
            </w:r>
          </w:p>
        </w:tc>
      </w:tr>
      <w:tr w:rsidR="00A0251B" w:rsidRPr="00CC35F0" w14:paraId="71A7BD1D"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A3BA2A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20" w:type="dxa"/>
            <w:gridSpan w:val="2"/>
            <w:tcBorders>
              <w:top w:val="nil"/>
              <w:left w:val="nil"/>
              <w:bottom w:val="single" w:sz="4" w:space="0" w:color="000000"/>
              <w:right w:val="single" w:sz="4" w:space="0" w:color="000000"/>
            </w:tcBorders>
            <w:shd w:val="clear" w:color="auto" w:fill="auto"/>
            <w:vAlign w:val="center"/>
          </w:tcPr>
          <w:p w14:paraId="5CDC51C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gridSpan w:val="2"/>
            <w:tcBorders>
              <w:top w:val="nil"/>
              <w:left w:val="nil"/>
              <w:bottom w:val="single" w:sz="4" w:space="0" w:color="000000"/>
              <w:right w:val="single" w:sz="4" w:space="0" w:color="000000"/>
            </w:tcBorders>
            <w:shd w:val="clear" w:color="auto" w:fill="auto"/>
            <w:vAlign w:val="center"/>
          </w:tcPr>
          <w:p w14:paraId="0B3A79F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5D64D7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00BCCD4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661D0F3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18" w:space="0" w:color="000000"/>
            </w:tcBorders>
            <w:shd w:val="clear" w:color="auto" w:fill="auto"/>
            <w:vAlign w:val="center"/>
          </w:tcPr>
          <w:p w14:paraId="03DE72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7CFE81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5,6%</w:t>
            </w:r>
          </w:p>
        </w:tc>
        <w:tc>
          <w:tcPr>
            <w:tcW w:w="1285" w:type="dxa"/>
            <w:gridSpan w:val="2"/>
            <w:tcBorders>
              <w:top w:val="nil"/>
              <w:left w:val="nil"/>
              <w:bottom w:val="single" w:sz="4" w:space="0" w:color="000000"/>
              <w:right w:val="single" w:sz="4" w:space="0" w:color="000000"/>
            </w:tcBorders>
            <w:shd w:val="clear" w:color="auto" w:fill="auto"/>
            <w:vAlign w:val="center"/>
          </w:tcPr>
          <w:p w14:paraId="4E06B05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-99,9%</w:t>
            </w:r>
          </w:p>
        </w:tc>
      </w:tr>
      <w:tr w:rsidR="00A0251B" w:rsidRPr="00CC35F0" w14:paraId="7884A17C"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B0EF4A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20" w:type="dxa"/>
            <w:gridSpan w:val="2"/>
            <w:tcBorders>
              <w:top w:val="nil"/>
              <w:left w:val="nil"/>
              <w:bottom w:val="single" w:sz="4" w:space="0" w:color="000000"/>
              <w:right w:val="single" w:sz="4" w:space="0" w:color="000000"/>
            </w:tcBorders>
            <w:shd w:val="clear" w:color="auto" w:fill="auto"/>
            <w:vAlign w:val="center"/>
          </w:tcPr>
          <w:p w14:paraId="17CB77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73C6106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107018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37748B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0D18803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18" w:space="0" w:color="000000"/>
            </w:tcBorders>
            <w:shd w:val="clear" w:color="auto" w:fill="auto"/>
            <w:vAlign w:val="center"/>
          </w:tcPr>
          <w:p w14:paraId="7FFBD2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7AC9BF9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20,8%</w:t>
            </w:r>
          </w:p>
        </w:tc>
        <w:tc>
          <w:tcPr>
            <w:tcW w:w="1285" w:type="dxa"/>
            <w:gridSpan w:val="2"/>
            <w:tcBorders>
              <w:top w:val="nil"/>
              <w:left w:val="nil"/>
              <w:bottom w:val="single" w:sz="4" w:space="0" w:color="000000"/>
              <w:right w:val="single" w:sz="4" w:space="0" w:color="000000"/>
            </w:tcBorders>
            <w:shd w:val="clear" w:color="auto" w:fill="auto"/>
            <w:vAlign w:val="center"/>
          </w:tcPr>
          <w:p w14:paraId="28C7153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132,7%</w:t>
            </w:r>
          </w:p>
        </w:tc>
      </w:tr>
      <w:tr w:rsidR="00A0251B" w:rsidRPr="00CC35F0" w14:paraId="699513AB" w14:textId="77777777">
        <w:trPr>
          <w:gridAfter w:val="1"/>
          <w:wAfter w:w="78" w:type="dxa"/>
          <w:trHeight w:val="29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334041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4D8DAB8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44,8   </w:t>
            </w:r>
          </w:p>
        </w:tc>
        <w:tc>
          <w:tcPr>
            <w:tcW w:w="920" w:type="dxa"/>
            <w:gridSpan w:val="2"/>
            <w:tcBorders>
              <w:top w:val="nil"/>
              <w:left w:val="nil"/>
              <w:bottom w:val="single" w:sz="4" w:space="0" w:color="000000"/>
              <w:right w:val="single" w:sz="4" w:space="0" w:color="000000"/>
            </w:tcBorders>
            <w:shd w:val="clear" w:color="auto" w:fill="auto"/>
            <w:vAlign w:val="center"/>
          </w:tcPr>
          <w:p w14:paraId="4EF9B38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36,5   </w:t>
            </w:r>
          </w:p>
        </w:tc>
        <w:tc>
          <w:tcPr>
            <w:tcW w:w="920" w:type="dxa"/>
            <w:gridSpan w:val="2"/>
            <w:tcBorders>
              <w:top w:val="nil"/>
              <w:left w:val="nil"/>
              <w:bottom w:val="single" w:sz="4" w:space="0" w:color="000000"/>
              <w:right w:val="single" w:sz="4" w:space="0" w:color="000000"/>
            </w:tcBorders>
            <w:shd w:val="clear" w:color="auto" w:fill="auto"/>
            <w:vAlign w:val="center"/>
          </w:tcPr>
          <w:p w14:paraId="5C69344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31,1   </w:t>
            </w:r>
          </w:p>
        </w:tc>
        <w:tc>
          <w:tcPr>
            <w:tcW w:w="920" w:type="dxa"/>
            <w:gridSpan w:val="2"/>
            <w:tcBorders>
              <w:top w:val="nil"/>
              <w:left w:val="nil"/>
              <w:bottom w:val="single" w:sz="4" w:space="0" w:color="000000"/>
              <w:right w:val="single" w:sz="4" w:space="0" w:color="000000"/>
            </w:tcBorders>
            <w:shd w:val="clear" w:color="auto" w:fill="auto"/>
            <w:vAlign w:val="center"/>
          </w:tcPr>
          <w:p w14:paraId="4B08949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27,0   </w:t>
            </w:r>
          </w:p>
        </w:tc>
        <w:tc>
          <w:tcPr>
            <w:tcW w:w="920" w:type="dxa"/>
            <w:gridSpan w:val="2"/>
            <w:tcBorders>
              <w:top w:val="nil"/>
              <w:left w:val="nil"/>
              <w:bottom w:val="single" w:sz="4" w:space="0" w:color="000000"/>
              <w:right w:val="single" w:sz="4" w:space="0" w:color="000000"/>
            </w:tcBorders>
            <w:shd w:val="clear" w:color="auto" w:fill="auto"/>
            <w:vAlign w:val="center"/>
          </w:tcPr>
          <w:p w14:paraId="233A23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24,7   </w:t>
            </w:r>
          </w:p>
        </w:tc>
        <w:tc>
          <w:tcPr>
            <w:tcW w:w="920" w:type="dxa"/>
            <w:gridSpan w:val="2"/>
            <w:tcBorders>
              <w:top w:val="nil"/>
              <w:left w:val="nil"/>
              <w:bottom w:val="single" w:sz="4" w:space="0" w:color="000000"/>
              <w:right w:val="single" w:sz="18" w:space="0" w:color="000000"/>
            </w:tcBorders>
            <w:shd w:val="clear" w:color="auto" w:fill="auto"/>
            <w:vAlign w:val="center"/>
          </w:tcPr>
          <w:p w14:paraId="087779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20,7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6A6E427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-32,2%</w:t>
            </w:r>
          </w:p>
        </w:tc>
        <w:tc>
          <w:tcPr>
            <w:tcW w:w="1285" w:type="dxa"/>
            <w:gridSpan w:val="2"/>
            <w:tcBorders>
              <w:top w:val="nil"/>
              <w:left w:val="nil"/>
              <w:bottom w:val="single" w:sz="4" w:space="0" w:color="000000"/>
              <w:right w:val="single" w:sz="4" w:space="0" w:color="000000"/>
            </w:tcBorders>
            <w:shd w:val="clear" w:color="auto" w:fill="auto"/>
            <w:vAlign w:val="center"/>
          </w:tcPr>
          <w:p w14:paraId="22F9F0B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-44,9%</w:t>
            </w:r>
          </w:p>
        </w:tc>
      </w:tr>
      <w:tr w:rsidR="00A0251B" w:rsidRPr="00CC35F0" w14:paraId="06BDC95F"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72069E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518A9FA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   </w:t>
            </w:r>
          </w:p>
        </w:tc>
        <w:tc>
          <w:tcPr>
            <w:tcW w:w="920" w:type="dxa"/>
            <w:gridSpan w:val="2"/>
            <w:tcBorders>
              <w:top w:val="nil"/>
              <w:left w:val="nil"/>
              <w:bottom w:val="single" w:sz="4" w:space="0" w:color="000000"/>
              <w:right w:val="single" w:sz="4" w:space="0" w:color="000000"/>
            </w:tcBorders>
            <w:shd w:val="clear" w:color="auto" w:fill="auto"/>
            <w:vAlign w:val="center"/>
          </w:tcPr>
          <w:p w14:paraId="4E1B85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gridSpan w:val="2"/>
            <w:tcBorders>
              <w:top w:val="nil"/>
              <w:left w:val="nil"/>
              <w:bottom w:val="single" w:sz="4" w:space="0" w:color="000000"/>
              <w:right w:val="single" w:sz="4" w:space="0" w:color="000000"/>
            </w:tcBorders>
            <w:shd w:val="clear" w:color="auto" w:fill="auto"/>
            <w:vAlign w:val="center"/>
          </w:tcPr>
          <w:p w14:paraId="10CA98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0,8   </w:t>
            </w:r>
          </w:p>
        </w:tc>
        <w:tc>
          <w:tcPr>
            <w:tcW w:w="920" w:type="dxa"/>
            <w:gridSpan w:val="2"/>
            <w:tcBorders>
              <w:top w:val="nil"/>
              <w:left w:val="nil"/>
              <w:bottom w:val="single" w:sz="4" w:space="0" w:color="000000"/>
              <w:right w:val="single" w:sz="4" w:space="0" w:color="000000"/>
            </w:tcBorders>
            <w:shd w:val="clear" w:color="auto" w:fill="auto"/>
            <w:vAlign w:val="center"/>
          </w:tcPr>
          <w:p w14:paraId="474A8E7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0,9   </w:t>
            </w:r>
          </w:p>
        </w:tc>
        <w:tc>
          <w:tcPr>
            <w:tcW w:w="920" w:type="dxa"/>
            <w:gridSpan w:val="2"/>
            <w:tcBorders>
              <w:top w:val="nil"/>
              <w:left w:val="nil"/>
              <w:bottom w:val="single" w:sz="4" w:space="0" w:color="000000"/>
              <w:right w:val="single" w:sz="4" w:space="0" w:color="000000"/>
            </w:tcBorders>
            <w:shd w:val="clear" w:color="auto" w:fill="auto"/>
            <w:vAlign w:val="center"/>
          </w:tcPr>
          <w:p w14:paraId="12477A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20" w:type="dxa"/>
            <w:gridSpan w:val="2"/>
            <w:tcBorders>
              <w:top w:val="nil"/>
              <w:left w:val="nil"/>
              <w:bottom w:val="single" w:sz="4" w:space="0" w:color="000000"/>
              <w:right w:val="single" w:sz="18" w:space="0" w:color="000000"/>
            </w:tcBorders>
            <w:shd w:val="clear" w:color="auto" w:fill="auto"/>
            <w:vAlign w:val="center"/>
          </w:tcPr>
          <w:p w14:paraId="5B37B2A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2CD6D7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85" w:type="dxa"/>
            <w:gridSpan w:val="2"/>
            <w:tcBorders>
              <w:top w:val="nil"/>
              <w:left w:val="nil"/>
              <w:bottom w:val="single" w:sz="4" w:space="0" w:color="000000"/>
              <w:right w:val="single" w:sz="4" w:space="0" w:color="000000"/>
            </w:tcBorders>
            <w:shd w:val="clear" w:color="auto" w:fill="auto"/>
            <w:vAlign w:val="center"/>
          </w:tcPr>
          <w:p w14:paraId="1DEC211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3840D7D2"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39E308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55C8BDF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112C3C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690A214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44AAD83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693482E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920" w:type="dxa"/>
            <w:gridSpan w:val="2"/>
            <w:tcBorders>
              <w:top w:val="nil"/>
              <w:left w:val="nil"/>
              <w:bottom w:val="single" w:sz="4" w:space="0" w:color="000000"/>
              <w:right w:val="single" w:sz="18" w:space="0" w:color="000000"/>
            </w:tcBorders>
            <w:shd w:val="clear" w:color="auto" w:fill="auto"/>
            <w:vAlign w:val="center"/>
          </w:tcPr>
          <w:p w14:paraId="1E8EAD1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6293F92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85" w:type="dxa"/>
            <w:gridSpan w:val="2"/>
            <w:tcBorders>
              <w:top w:val="nil"/>
              <w:left w:val="nil"/>
              <w:bottom w:val="single" w:sz="4" w:space="0" w:color="000000"/>
              <w:right w:val="single" w:sz="4" w:space="0" w:color="000000"/>
            </w:tcBorders>
            <w:shd w:val="clear" w:color="auto" w:fill="auto"/>
            <w:vAlign w:val="center"/>
          </w:tcPr>
          <w:p w14:paraId="61CAB2F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0AACE9A8" w14:textId="77777777">
        <w:trPr>
          <w:gridAfter w:val="1"/>
          <w:wAfter w:w="78" w:type="dxa"/>
          <w:trHeight w:val="31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AA453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20" w:type="dxa"/>
            <w:gridSpan w:val="2"/>
            <w:tcBorders>
              <w:top w:val="nil"/>
              <w:left w:val="nil"/>
              <w:bottom w:val="single" w:sz="4" w:space="0" w:color="000000"/>
              <w:right w:val="single" w:sz="4" w:space="0" w:color="000000"/>
            </w:tcBorders>
            <w:shd w:val="clear" w:color="auto" w:fill="auto"/>
            <w:vAlign w:val="center"/>
          </w:tcPr>
          <w:p w14:paraId="7D18C96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10,6   </w:t>
            </w:r>
          </w:p>
        </w:tc>
        <w:tc>
          <w:tcPr>
            <w:tcW w:w="920" w:type="dxa"/>
            <w:gridSpan w:val="2"/>
            <w:tcBorders>
              <w:top w:val="nil"/>
              <w:left w:val="nil"/>
              <w:bottom w:val="single" w:sz="4" w:space="0" w:color="000000"/>
              <w:right w:val="single" w:sz="4" w:space="0" w:color="000000"/>
            </w:tcBorders>
            <w:shd w:val="clear" w:color="auto" w:fill="auto"/>
            <w:vAlign w:val="center"/>
          </w:tcPr>
          <w:p w14:paraId="3AF37A9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5,7   </w:t>
            </w:r>
          </w:p>
        </w:tc>
        <w:tc>
          <w:tcPr>
            <w:tcW w:w="920" w:type="dxa"/>
            <w:gridSpan w:val="2"/>
            <w:tcBorders>
              <w:top w:val="nil"/>
              <w:left w:val="nil"/>
              <w:bottom w:val="single" w:sz="4" w:space="0" w:color="000000"/>
              <w:right w:val="single" w:sz="4" w:space="0" w:color="000000"/>
            </w:tcBorders>
            <w:shd w:val="clear" w:color="auto" w:fill="auto"/>
            <w:vAlign w:val="center"/>
          </w:tcPr>
          <w:p w14:paraId="29B3BF2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5,2   </w:t>
            </w:r>
          </w:p>
        </w:tc>
        <w:tc>
          <w:tcPr>
            <w:tcW w:w="920" w:type="dxa"/>
            <w:gridSpan w:val="2"/>
            <w:tcBorders>
              <w:top w:val="nil"/>
              <w:left w:val="nil"/>
              <w:bottom w:val="single" w:sz="4" w:space="0" w:color="000000"/>
              <w:right w:val="single" w:sz="4" w:space="0" w:color="000000"/>
            </w:tcBorders>
            <w:shd w:val="clear" w:color="auto" w:fill="auto"/>
            <w:vAlign w:val="center"/>
          </w:tcPr>
          <w:p w14:paraId="6FB977D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5,3   </w:t>
            </w:r>
          </w:p>
        </w:tc>
        <w:tc>
          <w:tcPr>
            <w:tcW w:w="920" w:type="dxa"/>
            <w:gridSpan w:val="2"/>
            <w:tcBorders>
              <w:top w:val="nil"/>
              <w:left w:val="nil"/>
              <w:bottom w:val="single" w:sz="4" w:space="0" w:color="000000"/>
              <w:right w:val="single" w:sz="4" w:space="0" w:color="000000"/>
            </w:tcBorders>
            <w:shd w:val="clear" w:color="auto" w:fill="auto"/>
            <w:vAlign w:val="center"/>
          </w:tcPr>
          <w:p w14:paraId="393734D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20" w:type="dxa"/>
            <w:gridSpan w:val="2"/>
            <w:tcBorders>
              <w:top w:val="nil"/>
              <w:left w:val="nil"/>
              <w:bottom w:val="single" w:sz="4" w:space="0" w:color="000000"/>
              <w:right w:val="single" w:sz="18" w:space="0" w:color="000000"/>
            </w:tcBorders>
            <w:shd w:val="clear" w:color="auto" w:fill="auto"/>
            <w:vAlign w:val="center"/>
          </w:tcPr>
          <w:p w14:paraId="15F21B4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4,3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40E4FF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-18,2%</w:t>
            </w:r>
          </w:p>
        </w:tc>
        <w:tc>
          <w:tcPr>
            <w:tcW w:w="1285" w:type="dxa"/>
            <w:gridSpan w:val="2"/>
            <w:tcBorders>
              <w:top w:val="nil"/>
              <w:left w:val="nil"/>
              <w:bottom w:val="single" w:sz="4" w:space="0" w:color="000000"/>
              <w:right w:val="single" w:sz="4" w:space="0" w:color="000000"/>
            </w:tcBorders>
            <w:shd w:val="clear" w:color="auto" w:fill="auto"/>
            <w:vAlign w:val="center"/>
          </w:tcPr>
          <w:p w14:paraId="341E54E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-56,2%</w:t>
            </w:r>
          </w:p>
        </w:tc>
      </w:tr>
      <w:tr w:rsidR="00A0251B" w:rsidRPr="00CC35F0" w14:paraId="4F405636"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68C98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20" w:type="dxa"/>
            <w:gridSpan w:val="2"/>
            <w:tcBorders>
              <w:top w:val="nil"/>
              <w:left w:val="nil"/>
              <w:bottom w:val="single" w:sz="4" w:space="0" w:color="000000"/>
              <w:right w:val="single" w:sz="4" w:space="0" w:color="000000"/>
            </w:tcBorders>
            <w:shd w:val="clear" w:color="auto" w:fill="auto"/>
            <w:vAlign w:val="center"/>
          </w:tcPr>
          <w:p w14:paraId="7AC4BD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68956A2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4716FAB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579D2B6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4397D2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18" w:space="0" w:color="000000"/>
            </w:tcBorders>
            <w:shd w:val="clear" w:color="auto" w:fill="auto"/>
            <w:vAlign w:val="center"/>
          </w:tcPr>
          <w:p w14:paraId="3272A96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73D8A8E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85" w:type="dxa"/>
            <w:gridSpan w:val="2"/>
            <w:tcBorders>
              <w:top w:val="nil"/>
              <w:left w:val="nil"/>
              <w:bottom w:val="single" w:sz="4" w:space="0" w:color="000000"/>
              <w:right w:val="single" w:sz="4" w:space="0" w:color="000000"/>
            </w:tcBorders>
            <w:shd w:val="clear" w:color="auto" w:fill="auto"/>
            <w:vAlign w:val="center"/>
          </w:tcPr>
          <w:p w14:paraId="59D4AEB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7D5A4D0E" w14:textId="77777777">
        <w:trPr>
          <w:gridAfter w:val="1"/>
          <w:wAfter w:w="78" w:type="dxa"/>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2382F6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20" w:type="dxa"/>
            <w:gridSpan w:val="2"/>
            <w:tcBorders>
              <w:top w:val="nil"/>
              <w:left w:val="nil"/>
              <w:bottom w:val="single" w:sz="4" w:space="0" w:color="000000"/>
              <w:right w:val="single" w:sz="4" w:space="0" w:color="000000"/>
            </w:tcBorders>
            <w:shd w:val="clear" w:color="auto" w:fill="auto"/>
            <w:vAlign w:val="center"/>
          </w:tcPr>
          <w:p w14:paraId="707E8D4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gridSpan w:val="2"/>
            <w:tcBorders>
              <w:top w:val="nil"/>
              <w:left w:val="nil"/>
              <w:bottom w:val="single" w:sz="4" w:space="0" w:color="000000"/>
              <w:right w:val="single" w:sz="4" w:space="0" w:color="000000"/>
            </w:tcBorders>
            <w:shd w:val="clear" w:color="auto" w:fill="auto"/>
            <w:vAlign w:val="center"/>
          </w:tcPr>
          <w:p w14:paraId="41FFC6E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0C7F20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0413929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7DEC478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18" w:space="0" w:color="000000"/>
            </w:tcBorders>
            <w:shd w:val="clear" w:color="auto" w:fill="auto"/>
            <w:vAlign w:val="center"/>
          </w:tcPr>
          <w:p w14:paraId="6C80221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AA89A8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-8,7%</w:t>
            </w:r>
          </w:p>
        </w:tc>
        <w:tc>
          <w:tcPr>
            <w:tcW w:w="1285" w:type="dxa"/>
            <w:gridSpan w:val="2"/>
            <w:tcBorders>
              <w:top w:val="nil"/>
              <w:left w:val="nil"/>
              <w:bottom w:val="single" w:sz="4" w:space="0" w:color="000000"/>
              <w:right w:val="single" w:sz="4" w:space="0" w:color="000000"/>
            </w:tcBorders>
            <w:shd w:val="clear" w:color="auto" w:fill="auto"/>
            <w:vAlign w:val="center"/>
          </w:tcPr>
          <w:p w14:paraId="013C321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26,2%</w:t>
            </w:r>
          </w:p>
        </w:tc>
      </w:tr>
      <w:tr w:rsidR="00A0251B" w:rsidRPr="00CC35F0" w14:paraId="3FC07DA3"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0C4B14D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20" w:type="dxa"/>
            <w:gridSpan w:val="2"/>
            <w:tcBorders>
              <w:top w:val="nil"/>
              <w:left w:val="nil"/>
              <w:bottom w:val="single" w:sz="4" w:space="0" w:color="000000"/>
              <w:right w:val="single" w:sz="4" w:space="0" w:color="000000"/>
            </w:tcBorders>
            <w:shd w:val="clear" w:color="auto" w:fill="auto"/>
            <w:vAlign w:val="center"/>
          </w:tcPr>
          <w:p w14:paraId="376B39C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10,5   </w:t>
            </w:r>
          </w:p>
        </w:tc>
        <w:tc>
          <w:tcPr>
            <w:tcW w:w="920" w:type="dxa"/>
            <w:gridSpan w:val="2"/>
            <w:tcBorders>
              <w:top w:val="nil"/>
              <w:left w:val="nil"/>
              <w:bottom w:val="single" w:sz="4" w:space="0" w:color="000000"/>
              <w:right w:val="single" w:sz="4" w:space="0" w:color="000000"/>
            </w:tcBorders>
            <w:shd w:val="clear" w:color="auto" w:fill="auto"/>
            <w:vAlign w:val="center"/>
          </w:tcPr>
          <w:p w14:paraId="279427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6,7   </w:t>
            </w:r>
          </w:p>
        </w:tc>
        <w:tc>
          <w:tcPr>
            <w:tcW w:w="920" w:type="dxa"/>
            <w:gridSpan w:val="2"/>
            <w:tcBorders>
              <w:top w:val="nil"/>
              <w:left w:val="nil"/>
              <w:bottom w:val="single" w:sz="4" w:space="0" w:color="000000"/>
              <w:right w:val="single" w:sz="4" w:space="0" w:color="000000"/>
            </w:tcBorders>
            <w:shd w:val="clear" w:color="auto" w:fill="auto"/>
            <w:vAlign w:val="center"/>
          </w:tcPr>
          <w:p w14:paraId="79B12AF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6,7   </w:t>
            </w:r>
          </w:p>
        </w:tc>
        <w:tc>
          <w:tcPr>
            <w:tcW w:w="920" w:type="dxa"/>
            <w:gridSpan w:val="2"/>
            <w:tcBorders>
              <w:top w:val="nil"/>
              <w:left w:val="nil"/>
              <w:bottom w:val="single" w:sz="4" w:space="0" w:color="000000"/>
              <w:right w:val="single" w:sz="4" w:space="0" w:color="000000"/>
            </w:tcBorders>
            <w:shd w:val="clear" w:color="auto" w:fill="auto"/>
            <w:vAlign w:val="center"/>
          </w:tcPr>
          <w:p w14:paraId="1CCB2D1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6,6   </w:t>
            </w:r>
          </w:p>
        </w:tc>
        <w:tc>
          <w:tcPr>
            <w:tcW w:w="920" w:type="dxa"/>
            <w:gridSpan w:val="2"/>
            <w:tcBorders>
              <w:top w:val="nil"/>
              <w:left w:val="nil"/>
              <w:bottom w:val="single" w:sz="4" w:space="0" w:color="000000"/>
              <w:right w:val="single" w:sz="4" w:space="0" w:color="000000"/>
            </w:tcBorders>
            <w:shd w:val="clear" w:color="auto" w:fill="auto"/>
            <w:vAlign w:val="center"/>
          </w:tcPr>
          <w:p w14:paraId="398D848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6,5   </w:t>
            </w:r>
          </w:p>
        </w:tc>
        <w:tc>
          <w:tcPr>
            <w:tcW w:w="920" w:type="dxa"/>
            <w:gridSpan w:val="2"/>
            <w:tcBorders>
              <w:top w:val="nil"/>
              <w:left w:val="nil"/>
              <w:bottom w:val="single" w:sz="4" w:space="0" w:color="000000"/>
              <w:right w:val="single" w:sz="18" w:space="0" w:color="000000"/>
            </w:tcBorders>
            <w:shd w:val="clear" w:color="auto" w:fill="auto"/>
            <w:vAlign w:val="center"/>
          </w:tcPr>
          <w:p w14:paraId="0521F93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6,4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362D2C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w:t>
            </w:r>
          </w:p>
        </w:tc>
        <w:tc>
          <w:tcPr>
            <w:tcW w:w="1285" w:type="dxa"/>
            <w:gridSpan w:val="2"/>
            <w:tcBorders>
              <w:top w:val="nil"/>
              <w:left w:val="nil"/>
              <w:bottom w:val="single" w:sz="4" w:space="0" w:color="000000"/>
              <w:right w:val="single" w:sz="4" w:space="0" w:color="000000"/>
            </w:tcBorders>
            <w:shd w:val="clear" w:color="auto" w:fill="auto"/>
            <w:vAlign w:val="center"/>
          </w:tcPr>
          <w:p w14:paraId="013DED2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-38,5%</w:t>
            </w:r>
          </w:p>
        </w:tc>
      </w:tr>
      <w:tr w:rsidR="00A0251B" w:rsidRPr="00CC35F0" w14:paraId="1FF76A86" w14:textId="77777777">
        <w:trPr>
          <w:gridAfter w:val="1"/>
          <w:wAfter w:w="78" w:type="dxa"/>
          <w:trHeight w:val="26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6A0A91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20" w:type="dxa"/>
            <w:gridSpan w:val="2"/>
            <w:tcBorders>
              <w:top w:val="nil"/>
              <w:left w:val="nil"/>
              <w:bottom w:val="single" w:sz="4" w:space="0" w:color="000000"/>
              <w:right w:val="nil"/>
            </w:tcBorders>
            <w:shd w:val="clear" w:color="auto" w:fill="auto"/>
            <w:vAlign w:val="center"/>
          </w:tcPr>
          <w:p w14:paraId="6C83923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166,3   </w:t>
            </w:r>
          </w:p>
        </w:tc>
        <w:tc>
          <w:tcPr>
            <w:tcW w:w="920" w:type="dxa"/>
            <w:gridSpan w:val="2"/>
            <w:tcBorders>
              <w:top w:val="nil"/>
              <w:left w:val="single" w:sz="4" w:space="0" w:color="000000"/>
              <w:bottom w:val="single" w:sz="4" w:space="0" w:color="000000"/>
              <w:right w:val="nil"/>
            </w:tcBorders>
            <w:shd w:val="clear" w:color="auto" w:fill="auto"/>
            <w:vAlign w:val="center"/>
          </w:tcPr>
          <w:p w14:paraId="0E8E724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144,1   </w:t>
            </w:r>
          </w:p>
        </w:tc>
        <w:tc>
          <w:tcPr>
            <w:tcW w:w="920" w:type="dxa"/>
            <w:gridSpan w:val="2"/>
            <w:tcBorders>
              <w:top w:val="nil"/>
              <w:left w:val="single" w:sz="4" w:space="0" w:color="000000"/>
              <w:bottom w:val="single" w:sz="4" w:space="0" w:color="000000"/>
              <w:right w:val="nil"/>
            </w:tcBorders>
            <w:shd w:val="clear" w:color="auto" w:fill="auto"/>
            <w:vAlign w:val="center"/>
          </w:tcPr>
          <w:p w14:paraId="09C1C25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140,0   </w:t>
            </w:r>
          </w:p>
        </w:tc>
        <w:tc>
          <w:tcPr>
            <w:tcW w:w="920" w:type="dxa"/>
            <w:gridSpan w:val="2"/>
            <w:tcBorders>
              <w:top w:val="nil"/>
              <w:left w:val="single" w:sz="4" w:space="0" w:color="000000"/>
              <w:bottom w:val="single" w:sz="4" w:space="0" w:color="000000"/>
              <w:right w:val="nil"/>
            </w:tcBorders>
            <w:shd w:val="clear" w:color="auto" w:fill="auto"/>
            <w:vAlign w:val="center"/>
          </w:tcPr>
          <w:p w14:paraId="694A3DB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79,1   </w:t>
            </w:r>
          </w:p>
        </w:tc>
        <w:tc>
          <w:tcPr>
            <w:tcW w:w="920" w:type="dxa"/>
            <w:gridSpan w:val="2"/>
            <w:tcBorders>
              <w:top w:val="nil"/>
              <w:left w:val="single" w:sz="4" w:space="0" w:color="000000"/>
              <w:bottom w:val="single" w:sz="4" w:space="0" w:color="000000"/>
              <w:right w:val="nil"/>
            </w:tcBorders>
            <w:shd w:val="clear" w:color="auto" w:fill="auto"/>
            <w:vAlign w:val="center"/>
          </w:tcPr>
          <w:p w14:paraId="602E0D0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72,0   </w:t>
            </w:r>
          </w:p>
        </w:tc>
        <w:tc>
          <w:tcPr>
            <w:tcW w:w="920" w:type="dxa"/>
            <w:gridSpan w:val="2"/>
            <w:tcBorders>
              <w:top w:val="nil"/>
              <w:left w:val="single" w:sz="4" w:space="0" w:color="000000"/>
              <w:bottom w:val="single" w:sz="4" w:space="0" w:color="000000"/>
              <w:right w:val="single" w:sz="18" w:space="0" w:color="000000"/>
            </w:tcBorders>
            <w:shd w:val="clear" w:color="auto" w:fill="auto"/>
            <w:vAlign w:val="center"/>
          </w:tcPr>
          <w:p w14:paraId="61B6182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64,4   </w:t>
            </w:r>
          </w:p>
        </w:tc>
        <w:tc>
          <w:tcPr>
            <w:tcW w:w="1243" w:type="dxa"/>
            <w:gridSpan w:val="2"/>
            <w:tcBorders>
              <w:top w:val="single" w:sz="4" w:space="0" w:color="000000"/>
              <w:left w:val="single" w:sz="18" w:space="0" w:color="000000"/>
              <w:bottom w:val="single" w:sz="6" w:space="0" w:color="000000"/>
              <w:right w:val="single" w:sz="4" w:space="0" w:color="000000"/>
            </w:tcBorders>
            <w:shd w:val="clear" w:color="auto" w:fill="auto"/>
            <w:vAlign w:val="center"/>
          </w:tcPr>
          <w:p w14:paraId="21C8CDB5"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-50,0%</w:t>
            </w:r>
          </w:p>
        </w:tc>
        <w:tc>
          <w:tcPr>
            <w:tcW w:w="1285" w:type="dxa"/>
            <w:gridSpan w:val="2"/>
            <w:tcBorders>
              <w:top w:val="single" w:sz="4" w:space="0" w:color="000000"/>
              <w:left w:val="nil"/>
              <w:bottom w:val="single" w:sz="6" w:space="0" w:color="000000"/>
              <w:right w:val="single" w:sz="4" w:space="0" w:color="000000"/>
            </w:tcBorders>
            <w:shd w:val="clear" w:color="auto" w:fill="auto"/>
            <w:vAlign w:val="center"/>
          </w:tcPr>
          <w:p w14:paraId="2F886E2C"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-56,7%</w:t>
            </w:r>
          </w:p>
        </w:tc>
      </w:tr>
      <w:tr w:rsidR="00A0251B" w:rsidRPr="00CC35F0" w14:paraId="193A5A87" w14:textId="77777777">
        <w:trPr>
          <w:gridAfter w:val="1"/>
          <w:wAfter w:w="78" w:type="dxa"/>
          <w:trHeight w:val="260"/>
        </w:trPr>
        <w:tc>
          <w:tcPr>
            <w:tcW w:w="2040" w:type="dxa"/>
            <w:tcBorders>
              <w:top w:val="nil"/>
              <w:left w:val="nil"/>
              <w:bottom w:val="nil"/>
              <w:right w:val="nil"/>
            </w:tcBorders>
            <w:shd w:val="clear" w:color="auto" w:fill="auto"/>
            <w:vAlign w:val="center"/>
          </w:tcPr>
          <w:p w14:paraId="71BE56AA"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920" w:type="dxa"/>
            <w:gridSpan w:val="2"/>
            <w:tcBorders>
              <w:top w:val="nil"/>
              <w:left w:val="nil"/>
              <w:bottom w:val="nil"/>
              <w:right w:val="nil"/>
            </w:tcBorders>
            <w:shd w:val="clear" w:color="auto" w:fill="FFFFFF"/>
            <w:vAlign w:val="center"/>
          </w:tcPr>
          <w:p w14:paraId="2E0FBC9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2CC3621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5E97201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66B7D9D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362DF19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1B9AF75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gridSpan w:val="2"/>
            <w:tcBorders>
              <w:top w:val="single" w:sz="6" w:space="0" w:color="000000"/>
              <w:left w:val="nil"/>
              <w:bottom w:val="nil"/>
              <w:right w:val="nil"/>
            </w:tcBorders>
            <w:shd w:val="clear" w:color="auto" w:fill="FFFFFF"/>
            <w:vAlign w:val="center"/>
          </w:tcPr>
          <w:p w14:paraId="230EABC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85" w:type="dxa"/>
            <w:gridSpan w:val="2"/>
            <w:tcBorders>
              <w:top w:val="single" w:sz="6" w:space="0" w:color="000000"/>
              <w:left w:val="nil"/>
              <w:bottom w:val="nil"/>
              <w:right w:val="nil"/>
            </w:tcBorders>
            <w:shd w:val="clear" w:color="auto" w:fill="FFFFFF"/>
            <w:vAlign w:val="center"/>
          </w:tcPr>
          <w:p w14:paraId="04DFCFF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2AD6D5C8" w14:textId="77777777">
        <w:trPr>
          <w:gridAfter w:val="1"/>
          <w:wAfter w:w="78" w:type="dxa"/>
          <w:trHeight w:val="300"/>
        </w:trPr>
        <w:tc>
          <w:tcPr>
            <w:tcW w:w="2040" w:type="dxa"/>
            <w:tcBorders>
              <w:top w:val="nil"/>
              <w:left w:val="nil"/>
              <w:bottom w:val="single" w:sz="4" w:space="0" w:color="000000"/>
              <w:right w:val="nil"/>
            </w:tcBorders>
            <w:shd w:val="clear" w:color="auto" w:fill="FFFFFF"/>
            <w:vAlign w:val="center"/>
          </w:tcPr>
          <w:p w14:paraId="6EAFA31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Емисије NOx </w:t>
            </w:r>
          </w:p>
        </w:tc>
        <w:tc>
          <w:tcPr>
            <w:tcW w:w="920" w:type="dxa"/>
            <w:gridSpan w:val="2"/>
            <w:tcBorders>
              <w:top w:val="nil"/>
              <w:left w:val="nil"/>
              <w:bottom w:val="nil"/>
              <w:right w:val="nil"/>
            </w:tcBorders>
            <w:shd w:val="clear" w:color="auto" w:fill="FFFFFF"/>
            <w:vAlign w:val="center"/>
          </w:tcPr>
          <w:p w14:paraId="630F9B9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20" w:type="dxa"/>
            <w:gridSpan w:val="2"/>
            <w:tcBorders>
              <w:top w:val="nil"/>
              <w:left w:val="nil"/>
              <w:bottom w:val="nil"/>
              <w:right w:val="nil"/>
            </w:tcBorders>
            <w:shd w:val="clear" w:color="auto" w:fill="FFFFFF"/>
            <w:vAlign w:val="center"/>
          </w:tcPr>
          <w:p w14:paraId="68D0D69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20" w:type="dxa"/>
            <w:gridSpan w:val="2"/>
            <w:tcBorders>
              <w:top w:val="nil"/>
              <w:left w:val="nil"/>
              <w:bottom w:val="nil"/>
              <w:right w:val="nil"/>
            </w:tcBorders>
            <w:shd w:val="clear" w:color="auto" w:fill="FFFFFF"/>
            <w:vAlign w:val="center"/>
          </w:tcPr>
          <w:p w14:paraId="2EC4ED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20" w:type="dxa"/>
            <w:gridSpan w:val="2"/>
            <w:tcBorders>
              <w:top w:val="nil"/>
              <w:left w:val="nil"/>
              <w:bottom w:val="nil"/>
              <w:right w:val="nil"/>
            </w:tcBorders>
            <w:shd w:val="clear" w:color="auto" w:fill="FFFFFF"/>
            <w:vAlign w:val="center"/>
          </w:tcPr>
          <w:p w14:paraId="53C878D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20" w:type="dxa"/>
            <w:gridSpan w:val="2"/>
            <w:tcBorders>
              <w:top w:val="nil"/>
              <w:left w:val="nil"/>
              <w:bottom w:val="nil"/>
              <w:right w:val="nil"/>
            </w:tcBorders>
            <w:shd w:val="clear" w:color="auto" w:fill="FFFFFF"/>
            <w:vAlign w:val="center"/>
          </w:tcPr>
          <w:p w14:paraId="4CD01EF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20" w:type="dxa"/>
            <w:gridSpan w:val="2"/>
            <w:tcBorders>
              <w:top w:val="nil"/>
              <w:left w:val="nil"/>
              <w:bottom w:val="nil"/>
              <w:right w:val="nil"/>
            </w:tcBorders>
            <w:shd w:val="clear" w:color="auto" w:fill="FFFFFF"/>
            <w:vAlign w:val="center"/>
          </w:tcPr>
          <w:p w14:paraId="67404A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gridSpan w:val="2"/>
            <w:tcBorders>
              <w:top w:val="nil"/>
              <w:left w:val="nil"/>
              <w:bottom w:val="single" w:sz="4" w:space="0" w:color="000000"/>
              <w:right w:val="nil"/>
            </w:tcBorders>
            <w:shd w:val="clear" w:color="auto" w:fill="FFFFFF"/>
            <w:vAlign w:val="center"/>
          </w:tcPr>
          <w:p w14:paraId="28765AB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85" w:type="dxa"/>
            <w:gridSpan w:val="2"/>
            <w:tcBorders>
              <w:top w:val="nil"/>
              <w:left w:val="nil"/>
              <w:bottom w:val="nil"/>
              <w:right w:val="nil"/>
            </w:tcBorders>
            <w:shd w:val="clear" w:color="auto" w:fill="FFFFFF"/>
            <w:vAlign w:val="center"/>
          </w:tcPr>
          <w:p w14:paraId="5F8275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r>
      <w:tr w:rsidR="00A0251B" w:rsidRPr="00CC35F0" w14:paraId="53CB0C23" w14:textId="77777777">
        <w:trPr>
          <w:gridAfter w:val="1"/>
          <w:wAfter w:w="78" w:type="dxa"/>
          <w:trHeight w:val="270"/>
        </w:trPr>
        <w:tc>
          <w:tcPr>
            <w:tcW w:w="2040" w:type="dxa"/>
            <w:tcBorders>
              <w:top w:val="nil"/>
              <w:left w:val="single" w:sz="4" w:space="0" w:color="000000"/>
              <w:bottom w:val="nil"/>
              <w:right w:val="single" w:sz="4" w:space="0" w:color="000000"/>
            </w:tcBorders>
            <w:shd w:val="clear" w:color="auto" w:fill="DAEEF3"/>
            <w:vAlign w:val="center"/>
          </w:tcPr>
          <w:p w14:paraId="0ED4329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WAM_A </w:t>
            </w:r>
          </w:p>
        </w:tc>
        <w:tc>
          <w:tcPr>
            <w:tcW w:w="920" w:type="dxa"/>
            <w:gridSpan w:val="2"/>
            <w:tcBorders>
              <w:top w:val="single" w:sz="4" w:space="0" w:color="000000"/>
              <w:left w:val="nil"/>
              <w:bottom w:val="single" w:sz="4" w:space="0" w:color="000000"/>
              <w:right w:val="nil"/>
            </w:tcBorders>
            <w:shd w:val="clear" w:color="auto" w:fill="DAEEF3"/>
            <w:vAlign w:val="center"/>
          </w:tcPr>
          <w:p w14:paraId="7DA5E25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5FE9C7E6"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26A6B2B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642339D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366E2C9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20" w:type="dxa"/>
            <w:gridSpan w:val="2"/>
            <w:tcBorders>
              <w:top w:val="single" w:sz="4" w:space="0" w:color="000000"/>
              <w:left w:val="single" w:sz="4" w:space="0" w:color="000000"/>
              <w:bottom w:val="single" w:sz="4" w:space="0" w:color="000000"/>
              <w:right w:val="single" w:sz="18" w:space="0" w:color="000000"/>
            </w:tcBorders>
            <w:shd w:val="clear" w:color="auto" w:fill="DAEEF3"/>
            <w:vAlign w:val="center"/>
          </w:tcPr>
          <w:p w14:paraId="3BB18DF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DAEEF3"/>
            <w:vAlign w:val="center"/>
          </w:tcPr>
          <w:p w14:paraId="25A1541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85" w:type="dxa"/>
            <w:gridSpan w:val="2"/>
            <w:tcBorders>
              <w:top w:val="single" w:sz="4" w:space="0" w:color="000000"/>
              <w:left w:val="nil"/>
              <w:bottom w:val="single" w:sz="4" w:space="0" w:color="000000"/>
              <w:right w:val="single" w:sz="4" w:space="0" w:color="000000"/>
            </w:tcBorders>
            <w:shd w:val="clear" w:color="auto" w:fill="DAEEF3"/>
            <w:vAlign w:val="center"/>
          </w:tcPr>
          <w:p w14:paraId="3924CCA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7BB9E69A" w14:textId="77777777">
        <w:trPr>
          <w:gridAfter w:val="1"/>
          <w:wAfter w:w="78" w:type="dxa"/>
          <w:trHeight w:val="250"/>
        </w:trPr>
        <w:tc>
          <w:tcPr>
            <w:tcW w:w="20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D77C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20" w:type="dxa"/>
            <w:gridSpan w:val="2"/>
            <w:tcBorders>
              <w:top w:val="nil"/>
              <w:left w:val="nil"/>
              <w:bottom w:val="single" w:sz="4" w:space="0" w:color="000000"/>
              <w:right w:val="single" w:sz="4" w:space="0" w:color="000000"/>
            </w:tcBorders>
            <w:shd w:val="clear" w:color="auto" w:fill="auto"/>
            <w:vAlign w:val="center"/>
          </w:tcPr>
          <w:p w14:paraId="4708D7B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74,5   </w:t>
            </w:r>
          </w:p>
        </w:tc>
        <w:tc>
          <w:tcPr>
            <w:tcW w:w="920" w:type="dxa"/>
            <w:gridSpan w:val="2"/>
            <w:tcBorders>
              <w:top w:val="nil"/>
              <w:left w:val="nil"/>
              <w:bottom w:val="single" w:sz="4" w:space="0" w:color="000000"/>
              <w:right w:val="single" w:sz="4" w:space="0" w:color="000000"/>
            </w:tcBorders>
            <w:shd w:val="clear" w:color="auto" w:fill="auto"/>
            <w:vAlign w:val="center"/>
          </w:tcPr>
          <w:p w14:paraId="3947AFA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72,5   </w:t>
            </w:r>
          </w:p>
        </w:tc>
        <w:tc>
          <w:tcPr>
            <w:tcW w:w="920" w:type="dxa"/>
            <w:gridSpan w:val="2"/>
            <w:tcBorders>
              <w:top w:val="nil"/>
              <w:left w:val="nil"/>
              <w:bottom w:val="single" w:sz="4" w:space="0" w:color="000000"/>
              <w:right w:val="single" w:sz="4" w:space="0" w:color="000000"/>
            </w:tcBorders>
            <w:shd w:val="clear" w:color="auto" w:fill="auto"/>
            <w:vAlign w:val="center"/>
          </w:tcPr>
          <w:p w14:paraId="0E2AEB1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73,7   </w:t>
            </w:r>
          </w:p>
        </w:tc>
        <w:tc>
          <w:tcPr>
            <w:tcW w:w="920" w:type="dxa"/>
            <w:gridSpan w:val="2"/>
            <w:tcBorders>
              <w:top w:val="nil"/>
              <w:left w:val="nil"/>
              <w:bottom w:val="single" w:sz="4" w:space="0" w:color="000000"/>
              <w:right w:val="single" w:sz="4" w:space="0" w:color="000000"/>
            </w:tcBorders>
            <w:shd w:val="clear" w:color="auto" w:fill="auto"/>
            <w:vAlign w:val="center"/>
          </w:tcPr>
          <w:p w14:paraId="1F89C5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20,9   </w:t>
            </w:r>
          </w:p>
        </w:tc>
        <w:tc>
          <w:tcPr>
            <w:tcW w:w="920" w:type="dxa"/>
            <w:gridSpan w:val="2"/>
            <w:tcBorders>
              <w:top w:val="nil"/>
              <w:left w:val="nil"/>
              <w:bottom w:val="single" w:sz="4" w:space="0" w:color="000000"/>
              <w:right w:val="single" w:sz="4" w:space="0" w:color="000000"/>
            </w:tcBorders>
            <w:shd w:val="clear" w:color="auto" w:fill="auto"/>
            <w:vAlign w:val="center"/>
          </w:tcPr>
          <w:p w14:paraId="036A617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17,9   </w:t>
            </w:r>
          </w:p>
        </w:tc>
        <w:tc>
          <w:tcPr>
            <w:tcW w:w="920" w:type="dxa"/>
            <w:gridSpan w:val="2"/>
            <w:tcBorders>
              <w:top w:val="nil"/>
              <w:left w:val="nil"/>
              <w:bottom w:val="single" w:sz="4" w:space="0" w:color="000000"/>
              <w:right w:val="single" w:sz="18" w:space="0" w:color="000000"/>
            </w:tcBorders>
            <w:shd w:val="clear" w:color="auto" w:fill="auto"/>
            <w:vAlign w:val="center"/>
          </w:tcPr>
          <w:p w14:paraId="232910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15,1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79749AB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-75,3%</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09617B0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-75,9%</w:t>
            </w:r>
          </w:p>
        </w:tc>
      </w:tr>
      <w:tr w:rsidR="00A0251B" w:rsidRPr="00CC35F0" w14:paraId="6993D0F3"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5D0961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20" w:type="dxa"/>
            <w:gridSpan w:val="2"/>
            <w:tcBorders>
              <w:top w:val="nil"/>
              <w:left w:val="nil"/>
              <w:bottom w:val="single" w:sz="4" w:space="0" w:color="000000"/>
              <w:right w:val="single" w:sz="4" w:space="0" w:color="000000"/>
            </w:tcBorders>
            <w:shd w:val="clear" w:color="auto" w:fill="auto"/>
            <w:vAlign w:val="center"/>
          </w:tcPr>
          <w:p w14:paraId="4E1A927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17,2   </w:t>
            </w:r>
          </w:p>
        </w:tc>
        <w:tc>
          <w:tcPr>
            <w:tcW w:w="920" w:type="dxa"/>
            <w:gridSpan w:val="2"/>
            <w:tcBorders>
              <w:top w:val="nil"/>
              <w:left w:val="nil"/>
              <w:bottom w:val="single" w:sz="4" w:space="0" w:color="000000"/>
              <w:right w:val="single" w:sz="4" w:space="0" w:color="000000"/>
            </w:tcBorders>
            <w:shd w:val="clear" w:color="auto" w:fill="auto"/>
            <w:vAlign w:val="center"/>
          </w:tcPr>
          <w:p w14:paraId="6C71120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16,4   </w:t>
            </w:r>
          </w:p>
        </w:tc>
        <w:tc>
          <w:tcPr>
            <w:tcW w:w="920" w:type="dxa"/>
            <w:gridSpan w:val="2"/>
            <w:tcBorders>
              <w:top w:val="nil"/>
              <w:left w:val="nil"/>
              <w:bottom w:val="single" w:sz="4" w:space="0" w:color="000000"/>
              <w:right w:val="single" w:sz="4" w:space="0" w:color="000000"/>
            </w:tcBorders>
            <w:shd w:val="clear" w:color="auto" w:fill="auto"/>
            <w:vAlign w:val="center"/>
          </w:tcPr>
          <w:p w14:paraId="48CE797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17,1   </w:t>
            </w:r>
          </w:p>
        </w:tc>
        <w:tc>
          <w:tcPr>
            <w:tcW w:w="920" w:type="dxa"/>
            <w:gridSpan w:val="2"/>
            <w:tcBorders>
              <w:top w:val="nil"/>
              <w:left w:val="nil"/>
              <w:bottom w:val="single" w:sz="4" w:space="0" w:color="000000"/>
              <w:right w:val="single" w:sz="4" w:space="0" w:color="000000"/>
            </w:tcBorders>
            <w:shd w:val="clear" w:color="auto" w:fill="auto"/>
            <w:vAlign w:val="center"/>
          </w:tcPr>
          <w:p w14:paraId="341727C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13,3   </w:t>
            </w:r>
          </w:p>
        </w:tc>
        <w:tc>
          <w:tcPr>
            <w:tcW w:w="920" w:type="dxa"/>
            <w:gridSpan w:val="2"/>
            <w:tcBorders>
              <w:top w:val="nil"/>
              <w:left w:val="nil"/>
              <w:bottom w:val="single" w:sz="4" w:space="0" w:color="000000"/>
              <w:right w:val="single" w:sz="4" w:space="0" w:color="000000"/>
            </w:tcBorders>
            <w:shd w:val="clear" w:color="auto" w:fill="auto"/>
            <w:vAlign w:val="center"/>
          </w:tcPr>
          <w:p w14:paraId="775E74D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11,7   </w:t>
            </w:r>
          </w:p>
        </w:tc>
        <w:tc>
          <w:tcPr>
            <w:tcW w:w="920" w:type="dxa"/>
            <w:gridSpan w:val="2"/>
            <w:tcBorders>
              <w:top w:val="nil"/>
              <w:left w:val="nil"/>
              <w:bottom w:val="single" w:sz="4" w:space="0" w:color="000000"/>
              <w:right w:val="single" w:sz="18" w:space="0" w:color="000000"/>
            </w:tcBorders>
            <w:shd w:val="clear" w:color="auto" w:fill="auto"/>
            <w:vAlign w:val="center"/>
          </w:tcPr>
          <w:p w14:paraId="7DB5D4C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11,3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43B1447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-28,7%</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029D5A0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-32,3%</w:t>
            </w:r>
          </w:p>
        </w:tc>
      </w:tr>
      <w:tr w:rsidR="00A0251B" w:rsidRPr="00CC35F0" w14:paraId="232534CF" w14:textId="77777777">
        <w:trPr>
          <w:gridAfter w:val="1"/>
          <w:wAfter w:w="78" w:type="dxa"/>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66C3F7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20" w:type="dxa"/>
            <w:gridSpan w:val="2"/>
            <w:tcBorders>
              <w:top w:val="nil"/>
              <w:left w:val="nil"/>
              <w:bottom w:val="single" w:sz="4" w:space="0" w:color="000000"/>
              <w:right w:val="single" w:sz="4" w:space="0" w:color="000000"/>
            </w:tcBorders>
            <w:shd w:val="clear" w:color="auto" w:fill="auto"/>
            <w:vAlign w:val="center"/>
          </w:tcPr>
          <w:p w14:paraId="06FFEE4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6,0   </w:t>
            </w:r>
          </w:p>
        </w:tc>
        <w:tc>
          <w:tcPr>
            <w:tcW w:w="920" w:type="dxa"/>
            <w:gridSpan w:val="2"/>
            <w:tcBorders>
              <w:top w:val="nil"/>
              <w:left w:val="nil"/>
              <w:bottom w:val="single" w:sz="4" w:space="0" w:color="000000"/>
              <w:right w:val="single" w:sz="4" w:space="0" w:color="000000"/>
            </w:tcBorders>
            <w:shd w:val="clear" w:color="auto" w:fill="auto"/>
            <w:vAlign w:val="center"/>
          </w:tcPr>
          <w:p w14:paraId="2364C6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4,9   </w:t>
            </w:r>
          </w:p>
        </w:tc>
        <w:tc>
          <w:tcPr>
            <w:tcW w:w="920" w:type="dxa"/>
            <w:gridSpan w:val="2"/>
            <w:tcBorders>
              <w:top w:val="nil"/>
              <w:left w:val="nil"/>
              <w:bottom w:val="single" w:sz="4" w:space="0" w:color="000000"/>
              <w:right w:val="single" w:sz="4" w:space="0" w:color="000000"/>
            </w:tcBorders>
            <w:shd w:val="clear" w:color="auto" w:fill="auto"/>
            <w:vAlign w:val="center"/>
          </w:tcPr>
          <w:p w14:paraId="6C2F4CB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4,4   </w:t>
            </w:r>
          </w:p>
        </w:tc>
        <w:tc>
          <w:tcPr>
            <w:tcW w:w="920" w:type="dxa"/>
            <w:gridSpan w:val="2"/>
            <w:tcBorders>
              <w:top w:val="nil"/>
              <w:left w:val="nil"/>
              <w:bottom w:val="single" w:sz="4" w:space="0" w:color="000000"/>
              <w:right w:val="single" w:sz="4" w:space="0" w:color="000000"/>
            </w:tcBorders>
            <w:shd w:val="clear" w:color="auto" w:fill="auto"/>
            <w:vAlign w:val="center"/>
          </w:tcPr>
          <w:p w14:paraId="6D9F805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   </w:t>
            </w:r>
          </w:p>
        </w:tc>
        <w:tc>
          <w:tcPr>
            <w:tcW w:w="920" w:type="dxa"/>
            <w:gridSpan w:val="2"/>
            <w:tcBorders>
              <w:top w:val="nil"/>
              <w:left w:val="nil"/>
              <w:bottom w:val="single" w:sz="4" w:space="0" w:color="000000"/>
              <w:right w:val="single" w:sz="4" w:space="0" w:color="000000"/>
            </w:tcBorders>
            <w:shd w:val="clear" w:color="auto" w:fill="auto"/>
            <w:vAlign w:val="center"/>
          </w:tcPr>
          <w:p w14:paraId="1B0B84B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3,7   </w:t>
            </w:r>
          </w:p>
        </w:tc>
        <w:tc>
          <w:tcPr>
            <w:tcW w:w="920" w:type="dxa"/>
            <w:gridSpan w:val="2"/>
            <w:tcBorders>
              <w:top w:val="nil"/>
              <w:left w:val="nil"/>
              <w:bottom w:val="single" w:sz="4" w:space="0" w:color="000000"/>
              <w:right w:val="single" w:sz="18" w:space="0" w:color="000000"/>
            </w:tcBorders>
            <w:shd w:val="clear" w:color="auto" w:fill="auto"/>
            <w:vAlign w:val="center"/>
          </w:tcPr>
          <w:p w14:paraId="23EF24B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3,9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286152B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-23,5%</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38AEC0B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-37,5%</w:t>
            </w:r>
          </w:p>
        </w:tc>
      </w:tr>
      <w:tr w:rsidR="00A0251B" w:rsidRPr="00CC35F0" w14:paraId="6701F969"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65679F5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20" w:type="dxa"/>
            <w:gridSpan w:val="2"/>
            <w:tcBorders>
              <w:top w:val="nil"/>
              <w:left w:val="nil"/>
              <w:bottom w:val="single" w:sz="4" w:space="0" w:color="000000"/>
              <w:right w:val="single" w:sz="4" w:space="0" w:color="000000"/>
            </w:tcBorders>
            <w:shd w:val="clear" w:color="auto" w:fill="auto"/>
            <w:vAlign w:val="center"/>
          </w:tcPr>
          <w:p w14:paraId="5359E5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gridSpan w:val="2"/>
            <w:tcBorders>
              <w:top w:val="nil"/>
              <w:left w:val="nil"/>
              <w:bottom w:val="single" w:sz="4" w:space="0" w:color="000000"/>
              <w:right w:val="single" w:sz="4" w:space="0" w:color="000000"/>
            </w:tcBorders>
            <w:shd w:val="clear" w:color="auto" w:fill="auto"/>
            <w:vAlign w:val="center"/>
          </w:tcPr>
          <w:p w14:paraId="3AD42D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78ECBA4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2CB31C3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6E4E75D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18" w:space="0" w:color="000000"/>
            </w:tcBorders>
            <w:shd w:val="clear" w:color="auto" w:fill="auto"/>
            <w:vAlign w:val="center"/>
          </w:tcPr>
          <w:p w14:paraId="530CCA9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2CC425D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5,6%</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7BEDA5E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-99,9%</w:t>
            </w:r>
          </w:p>
        </w:tc>
      </w:tr>
      <w:tr w:rsidR="00A0251B" w:rsidRPr="00CC35F0" w14:paraId="6FDA1391"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1CA2C6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20" w:type="dxa"/>
            <w:gridSpan w:val="2"/>
            <w:tcBorders>
              <w:top w:val="nil"/>
              <w:left w:val="nil"/>
              <w:bottom w:val="single" w:sz="4" w:space="0" w:color="000000"/>
              <w:right w:val="single" w:sz="4" w:space="0" w:color="000000"/>
            </w:tcBorders>
            <w:shd w:val="clear" w:color="auto" w:fill="auto"/>
            <w:vAlign w:val="center"/>
          </w:tcPr>
          <w:p w14:paraId="54163D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7443B3F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645C0CF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3A69E12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0AEF805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18" w:space="0" w:color="000000"/>
            </w:tcBorders>
            <w:shd w:val="clear" w:color="auto" w:fill="auto"/>
            <w:vAlign w:val="center"/>
          </w:tcPr>
          <w:p w14:paraId="211A738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ECEBC3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20,8%</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2C16557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132,7%</w:t>
            </w:r>
          </w:p>
        </w:tc>
      </w:tr>
      <w:tr w:rsidR="00A0251B" w:rsidRPr="00CC35F0" w14:paraId="7EB36BAA"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C2D913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F_Друмски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1B29E33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44,8   </w:t>
            </w:r>
          </w:p>
        </w:tc>
        <w:tc>
          <w:tcPr>
            <w:tcW w:w="920" w:type="dxa"/>
            <w:gridSpan w:val="2"/>
            <w:tcBorders>
              <w:top w:val="nil"/>
              <w:left w:val="nil"/>
              <w:bottom w:val="single" w:sz="4" w:space="0" w:color="000000"/>
              <w:right w:val="single" w:sz="4" w:space="0" w:color="000000"/>
            </w:tcBorders>
            <w:shd w:val="clear" w:color="auto" w:fill="auto"/>
            <w:vAlign w:val="center"/>
          </w:tcPr>
          <w:p w14:paraId="30FDCF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36,5   </w:t>
            </w:r>
          </w:p>
        </w:tc>
        <w:tc>
          <w:tcPr>
            <w:tcW w:w="920" w:type="dxa"/>
            <w:gridSpan w:val="2"/>
            <w:tcBorders>
              <w:top w:val="nil"/>
              <w:left w:val="nil"/>
              <w:bottom w:val="single" w:sz="4" w:space="0" w:color="000000"/>
              <w:right w:val="single" w:sz="4" w:space="0" w:color="000000"/>
            </w:tcBorders>
            <w:shd w:val="clear" w:color="auto" w:fill="auto"/>
            <w:vAlign w:val="center"/>
          </w:tcPr>
          <w:p w14:paraId="141509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31,1   </w:t>
            </w:r>
          </w:p>
        </w:tc>
        <w:tc>
          <w:tcPr>
            <w:tcW w:w="920" w:type="dxa"/>
            <w:gridSpan w:val="2"/>
            <w:tcBorders>
              <w:top w:val="nil"/>
              <w:left w:val="nil"/>
              <w:bottom w:val="single" w:sz="4" w:space="0" w:color="000000"/>
              <w:right w:val="single" w:sz="4" w:space="0" w:color="000000"/>
            </w:tcBorders>
            <w:shd w:val="clear" w:color="auto" w:fill="auto"/>
            <w:vAlign w:val="center"/>
          </w:tcPr>
          <w:p w14:paraId="06288A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25,2   </w:t>
            </w:r>
          </w:p>
        </w:tc>
        <w:tc>
          <w:tcPr>
            <w:tcW w:w="920" w:type="dxa"/>
            <w:gridSpan w:val="2"/>
            <w:tcBorders>
              <w:top w:val="nil"/>
              <w:left w:val="nil"/>
              <w:bottom w:val="single" w:sz="4" w:space="0" w:color="000000"/>
              <w:right w:val="single" w:sz="4" w:space="0" w:color="000000"/>
            </w:tcBorders>
            <w:shd w:val="clear" w:color="auto" w:fill="auto"/>
            <w:vAlign w:val="center"/>
          </w:tcPr>
          <w:p w14:paraId="5C5CE07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20,1   </w:t>
            </w:r>
          </w:p>
        </w:tc>
        <w:tc>
          <w:tcPr>
            <w:tcW w:w="920" w:type="dxa"/>
            <w:gridSpan w:val="2"/>
            <w:tcBorders>
              <w:top w:val="nil"/>
              <w:left w:val="nil"/>
              <w:bottom w:val="single" w:sz="4" w:space="0" w:color="000000"/>
              <w:right w:val="single" w:sz="18" w:space="0" w:color="000000"/>
            </w:tcBorders>
            <w:shd w:val="clear" w:color="auto" w:fill="auto"/>
            <w:vAlign w:val="center"/>
          </w:tcPr>
          <w:p w14:paraId="721B47D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16,6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1B9FAF1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-45,0%</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580CD0C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-55,3%</w:t>
            </w:r>
          </w:p>
        </w:tc>
      </w:tr>
      <w:tr w:rsidR="00A0251B" w:rsidRPr="00CC35F0" w14:paraId="6EE89475"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4364A2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71C680B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   </w:t>
            </w:r>
          </w:p>
        </w:tc>
        <w:tc>
          <w:tcPr>
            <w:tcW w:w="920" w:type="dxa"/>
            <w:gridSpan w:val="2"/>
            <w:tcBorders>
              <w:top w:val="nil"/>
              <w:left w:val="nil"/>
              <w:bottom w:val="single" w:sz="4" w:space="0" w:color="000000"/>
              <w:right w:val="single" w:sz="4" w:space="0" w:color="000000"/>
            </w:tcBorders>
            <w:shd w:val="clear" w:color="auto" w:fill="auto"/>
            <w:vAlign w:val="center"/>
          </w:tcPr>
          <w:p w14:paraId="6744FD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gridSpan w:val="2"/>
            <w:tcBorders>
              <w:top w:val="nil"/>
              <w:left w:val="nil"/>
              <w:bottom w:val="single" w:sz="4" w:space="0" w:color="000000"/>
              <w:right w:val="single" w:sz="4" w:space="0" w:color="000000"/>
            </w:tcBorders>
            <w:shd w:val="clear" w:color="auto" w:fill="auto"/>
            <w:vAlign w:val="center"/>
          </w:tcPr>
          <w:p w14:paraId="5CBF8A2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0,8   </w:t>
            </w:r>
          </w:p>
        </w:tc>
        <w:tc>
          <w:tcPr>
            <w:tcW w:w="920" w:type="dxa"/>
            <w:gridSpan w:val="2"/>
            <w:tcBorders>
              <w:top w:val="nil"/>
              <w:left w:val="nil"/>
              <w:bottom w:val="single" w:sz="4" w:space="0" w:color="000000"/>
              <w:right w:val="single" w:sz="4" w:space="0" w:color="000000"/>
            </w:tcBorders>
            <w:shd w:val="clear" w:color="auto" w:fill="auto"/>
            <w:vAlign w:val="center"/>
          </w:tcPr>
          <w:p w14:paraId="3B23A6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0,9   </w:t>
            </w:r>
          </w:p>
        </w:tc>
        <w:tc>
          <w:tcPr>
            <w:tcW w:w="920" w:type="dxa"/>
            <w:gridSpan w:val="2"/>
            <w:tcBorders>
              <w:top w:val="nil"/>
              <w:left w:val="nil"/>
              <w:bottom w:val="single" w:sz="4" w:space="0" w:color="000000"/>
              <w:right w:val="single" w:sz="4" w:space="0" w:color="000000"/>
            </w:tcBorders>
            <w:shd w:val="clear" w:color="auto" w:fill="auto"/>
            <w:vAlign w:val="center"/>
          </w:tcPr>
          <w:p w14:paraId="61BE10A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20" w:type="dxa"/>
            <w:gridSpan w:val="2"/>
            <w:tcBorders>
              <w:top w:val="nil"/>
              <w:left w:val="nil"/>
              <w:bottom w:val="single" w:sz="4" w:space="0" w:color="000000"/>
              <w:right w:val="single" w:sz="18" w:space="0" w:color="000000"/>
            </w:tcBorders>
            <w:shd w:val="clear" w:color="auto" w:fill="auto"/>
            <w:vAlign w:val="center"/>
          </w:tcPr>
          <w:p w14:paraId="53913C9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5CE64F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5A04381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0C8AC2FB"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6B943EF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314185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399BB61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25A4AD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39B036D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383460E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920" w:type="dxa"/>
            <w:gridSpan w:val="2"/>
            <w:tcBorders>
              <w:top w:val="nil"/>
              <w:left w:val="nil"/>
              <w:bottom w:val="single" w:sz="4" w:space="0" w:color="000000"/>
              <w:right w:val="single" w:sz="18" w:space="0" w:color="000000"/>
            </w:tcBorders>
            <w:shd w:val="clear" w:color="auto" w:fill="auto"/>
            <w:vAlign w:val="center"/>
          </w:tcPr>
          <w:p w14:paraId="4C76110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6877F93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5DA1356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2DCD97B6"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266D5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20" w:type="dxa"/>
            <w:gridSpan w:val="2"/>
            <w:tcBorders>
              <w:top w:val="nil"/>
              <w:left w:val="nil"/>
              <w:bottom w:val="single" w:sz="4" w:space="0" w:color="000000"/>
              <w:right w:val="single" w:sz="4" w:space="0" w:color="000000"/>
            </w:tcBorders>
            <w:shd w:val="clear" w:color="auto" w:fill="auto"/>
            <w:vAlign w:val="center"/>
          </w:tcPr>
          <w:p w14:paraId="7E22F3E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10,6   </w:t>
            </w:r>
          </w:p>
        </w:tc>
        <w:tc>
          <w:tcPr>
            <w:tcW w:w="920" w:type="dxa"/>
            <w:gridSpan w:val="2"/>
            <w:tcBorders>
              <w:top w:val="nil"/>
              <w:left w:val="nil"/>
              <w:bottom w:val="single" w:sz="4" w:space="0" w:color="000000"/>
              <w:right w:val="single" w:sz="4" w:space="0" w:color="000000"/>
            </w:tcBorders>
            <w:shd w:val="clear" w:color="auto" w:fill="auto"/>
            <w:vAlign w:val="center"/>
          </w:tcPr>
          <w:p w14:paraId="1DF4A86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5,7   </w:t>
            </w:r>
          </w:p>
        </w:tc>
        <w:tc>
          <w:tcPr>
            <w:tcW w:w="920" w:type="dxa"/>
            <w:gridSpan w:val="2"/>
            <w:tcBorders>
              <w:top w:val="nil"/>
              <w:left w:val="nil"/>
              <w:bottom w:val="single" w:sz="4" w:space="0" w:color="000000"/>
              <w:right w:val="single" w:sz="4" w:space="0" w:color="000000"/>
            </w:tcBorders>
            <w:shd w:val="clear" w:color="auto" w:fill="auto"/>
            <w:vAlign w:val="center"/>
          </w:tcPr>
          <w:p w14:paraId="4DEC96F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5,2   </w:t>
            </w:r>
          </w:p>
        </w:tc>
        <w:tc>
          <w:tcPr>
            <w:tcW w:w="920" w:type="dxa"/>
            <w:gridSpan w:val="2"/>
            <w:tcBorders>
              <w:top w:val="nil"/>
              <w:left w:val="nil"/>
              <w:bottom w:val="single" w:sz="4" w:space="0" w:color="000000"/>
              <w:right w:val="single" w:sz="4" w:space="0" w:color="000000"/>
            </w:tcBorders>
            <w:shd w:val="clear" w:color="auto" w:fill="auto"/>
            <w:vAlign w:val="center"/>
          </w:tcPr>
          <w:p w14:paraId="0869242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5,1   </w:t>
            </w:r>
          </w:p>
        </w:tc>
        <w:tc>
          <w:tcPr>
            <w:tcW w:w="920" w:type="dxa"/>
            <w:gridSpan w:val="2"/>
            <w:tcBorders>
              <w:top w:val="nil"/>
              <w:left w:val="nil"/>
              <w:bottom w:val="single" w:sz="4" w:space="0" w:color="000000"/>
              <w:right w:val="single" w:sz="4" w:space="0" w:color="000000"/>
            </w:tcBorders>
            <w:shd w:val="clear" w:color="auto" w:fill="auto"/>
            <w:vAlign w:val="center"/>
          </w:tcPr>
          <w:p w14:paraId="449CC78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   </w:t>
            </w:r>
          </w:p>
        </w:tc>
        <w:tc>
          <w:tcPr>
            <w:tcW w:w="920" w:type="dxa"/>
            <w:gridSpan w:val="2"/>
            <w:tcBorders>
              <w:top w:val="nil"/>
              <w:left w:val="nil"/>
              <w:bottom w:val="single" w:sz="4" w:space="0" w:color="000000"/>
              <w:right w:val="single" w:sz="18" w:space="0" w:color="000000"/>
            </w:tcBorders>
            <w:shd w:val="clear" w:color="auto" w:fill="auto"/>
            <w:vAlign w:val="center"/>
          </w:tcPr>
          <w:p w14:paraId="4D9E89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5619C44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-37,3%</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358AEDB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-66,5%</w:t>
            </w:r>
          </w:p>
        </w:tc>
      </w:tr>
      <w:tr w:rsidR="00A0251B" w:rsidRPr="00CC35F0" w14:paraId="531FE0FA"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341F6F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20" w:type="dxa"/>
            <w:gridSpan w:val="2"/>
            <w:tcBorders>
              <w:top w:val="nil"/>
              <w:left w:val="nil"/>
              <w:bottom w:val="single" w:sz="4" w:space="0" w:color="000000"/>
              <w:right w:val="single" w:sz="4" w:space="0" w:color="000000"/>
            </w:tcBorders>
            <w:shd w:val="clear" w:color="auto" w:fill="auto"/>
            <w:vAlign w:val="center"/>
          </w:tcPr>
          <w:p w14:paraId="54AD018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0C208C0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57A8EFA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06FE2D2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60175BC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18" w:space="0" w:color="000000"/>
            </w:tcBorders>
            <w:shd w:val="clear" w:color="auto" w:fill="auto"/>
            <w:vAlign w:val="center"/>
          </w:tcPr>
          <w:p w14:paraId="7B28D1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680C919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4539BD4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06620173" w14:textId="77777777">
        <w:trPr>
          <w:gridAfter w:val="1"/>
          <w:wAfter w:w="78" w:type="dxa"/>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0906C4E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20" w:type="dxa"/>
            <w:gridSpan w:val="2"/>
            <w:tcBorders>
              <w:top w:val="nil"/>
              <w:left w:val="nil"/>
              <w:bottom w:val="single" w:sz="4" w:space="0" w:color="000000"/>
              <w:right w:val="single" w:sz="4" w:space="0" w:color="000000"/>
            </w:tcBorders>
            <w:shd w:val="clear" w:color="auto" w:fill="auto"/>
            <w:vAlign w:val="center"/>
          </w:tcPr>
          <w:p w14:paraId="63BC322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gridSpan w:val="2"/>
            <w:tcBorders>
              <w:top w:val="nil"/>
              <w:left w:val="nil"/>
              <w:bottom w:val="single" w:sz="4" w:space="0" w:color="000000"/>
              <w:right w:val="single" w:sz="4" w:space="0" w:color="000000"/>
            </w:tcBorders>
            <w:shd w:val="clear" w:color="auto" w:fill="auto"/>
            <w:vAlign w:val="center"/>
          </w:tcPr>
          <w:p w14:paraId="45DCB50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3F1A4DA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6F21AD4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7A022E3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18" w:space="0" w:color="000000"/>
            </w:tcBorders>
            <w:shd w:val="clear" w:color="auto" w:fill="auto"/>
            <w:vAlign w:val="center"/>
          </w:tcPr>
          <w:p w14:paraId="40B3427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3809339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-8,7%</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540CB3F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26,2%</w:t>
            </w:r>
          </w:p>
        </w:tc>
      </w:tr>
      <w:tr w:rsidR="00A0251B" w:rsidRPr="00CC35F0" w14:paraId="03AF2F12"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8DE5B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20" w:type="dxa"/>
            <w:gridSpan w:val="2"/>
            <w:tcBorders>
              <w:top w:val="nil"/>
              <w:left w:val="nil"/>
              <w:bottom w:val="single" w:sz="4" w:space="0" w:color="000000"/>
              <w:right w:val="single" w:sz="4" w:space="0" w:color="000000"/>
            </w:tcBorders>
            <w:shd w:val="clear" w:color="auto" w:fill="auto"/>
            <w:vAlign w:val="center"/>
          </w:tcPr>
          <w:p w14:paraId="055671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10,5   </w:t>
            </w:r>
          </w:p>
        </w:tc>
        <w:tc>
          <w:tcPr>
            <w:tcW w:w="920" w:type="dxa"/>
            <w:gridSpan w:val="2"/>
            <w:tcBorders>
              <w:top w:val="nil"/>
              <w:left w:val="nil"/>
              <w:bottom w:val="single" w:sz="4" w:space="0" w:color="000000"/>
              <w:right w:val="single" w:sz="4" w:space="0" w:color="000000"/>
            </w:tcBorders>
            <w:shd w:val="clear" w:color="auto" w:fill="auto"/>
            <w:vAlign w:val="center"/>
          </w:tcPr>
          <w:p w14:paraId="6058E57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6,7   </w:t>
            </w:r>
          </w:p>
        </w:tc>
        <w:tc>
          <w:tcPr>
            <w:tcW w:w="920" w:type="dxa"/>
            <w:gridSpan w:val="2"/>
            <w:tcBorders>
              <w:top w:val="nil"/>
              <w:left w:val="nil"/>
              <w:bottom w:val="single" w:sz="4" w:space="0" w:color="000000"/>
              <w:right w:val="single" w:sz="4" w:space="0" w:color="000000"/>
            </w:tcBorders>
            <w:shd w:val="clear" w:color="auto" w:fill="auto"/>
            <w:vAlign w:val="center"/>
          </w:tcPr>
          <w:p w14:paraId="4D6718A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6,7   </w:t>
            </w:r>
          </w:p>
        </w:tc>
        <w:tc>
          <w:tcPr>
            <w:tcW w:w="920" w:type="dxa"/>
            <w:gridSpan w:val="2"/>
            <w:tcBorders>
              <w:top w:val="nil"/>
              <w:left w:val="nil"/>
              <w:bottom w:val="single" w:sz="4" w:space="0" w:color="000000"/>
              <w:right w:val="single" w:sz="4" w:space="0" w:color="000000"/>
            </w:tcBorders>
            <w:shd w:val="clear" w:color="auto" w:fill="auto"/>
            <w:vAlign w:val="center"/>
          </w:tcPr>
          <w:p w14:paraId="072ADC5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6,6   </w:t>
            </w:r>
          </w:p>
        </w:tc>
        <w:tc>
          <w:tcPr>
            <w:tcW w:w="920" w:type="dxa"/>
            <w:gridSpan w:val="2"/>
            <w:tcBorders>
              <w:top w:val="nil"/>
              <w:left w:val="nil"/>
              <w:bottom w:val="single" w:sz="4" w:space="0" w:color="000000"/>
              <w:right w:val="single" w:sz="4" w:space="0" w:color="000000"/>
            </w:tcBorders>
            <w:shd w:val="clear" w:color="auto" w:fill="auto"/>
            <w:vAlign w:val="center"/>
          </w:tcPr>
          <w:p w14:paraId="125415F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6,5   </w:t>
            </w:r>
          </w:p>
        </w:tc>
        <w:tc>
          <w:tcPr>
            <w:tcW w:w="920" w:type="dxa"/>
            <w:gridSpan w:val="2"/>
            <w:tcBorders>
              <w:top w:val="nil"/>
              <w:left w:val="nil"/>
              <w:bottom w:val="single" w:sz="4" w:space="0" w:color="000000"/>
              <w:right w:val="single" w:sz="18" w:space="0" w:color="000000"/>
            </w:tcBorders>
            <w:shd w:val="clear" w:color="auto" w:fill="auto"/>
            <w:vAlign w:val="center"/>
          </w:tcPr>
          <w:p w14:paraId="3EDB006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6,4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72AAD27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w:t>
            </w:r>
          </w:p>
        </w:tc>
        <w:tc>
          <w:tcPr>
            <w:tcW w:w="1285" w:type="dxa"/>
            <w:gridSpan w:val="2"/>
            <w:tcBorders>
              <w:top w:val="single" w:sz="4" w:space="0" w:color="000000"/>
              <w:left w:val="nil"/>
              <w:bottom w:val="single" w:sz="4" w:space="0" w:color="000000"/>
              <w:right w:val="single" w:sz="4" w:space="0" w:color="000000"/>
            </w:tcBorders>
            <w:shd w:val="clear" w:color="auto" w:fill="auto"/>
            <w:vAlign w:val="center"/>
          </w:tcPr>
          <w:p w14:paraId="1E5A27A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-38,5%</w:t>
            </w:r>
          </w:p>
        </w:tc>
      </w:tr>
      <w:tr w:rsidR="00A0251B" w:rsidRPr="00CC35F0" w14:paraId="08F0F5C2" w14:textId="77777777">
        <w:trPr>
          <w:gridAfter w:val="1"/>
          <w:wAfter w:w="78" w:type="dxa"/>
          <w:trHeight w:val="26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2AD885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20" w:type="dxa"/>
            <w:gridSpan w:val="2"/>
            <w:tcBorders>
              <w:top w:val="nil"/>
              <w:left w:val="nil"/>
              <w:bottom w:val="single" w:sz="4" w:space="0" w:color="000000"/>
              <w:right w:val="nil"/>
            </w:tcBorders>
            <w:shd w:val="clear" w:color="auto" w:fill="auto"/>
            <w:vAlign w:val="center"/>
          </w:tcPr>
          <w:p w14:paraId="0655A59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166,3   </w:t>
            </w:r>
          </w:p>
        </w:tc>
        <w:tc>
          <w:tcPr>
            <w:tcW w:w="920" w:type="dxa"/>
            <w:gridSpan w:val="2"/>
            <w:tcBorders>
              <w:top w:val="nil"/>
              <w:left w:val="single" w:sz="4" w:space="0" w:color="000000"/>
              <w:bottom w:val="single" w:sz="4" w:space="0" w:color="000000"/>
              <w:right w:val="nil"/>
            </w:tcBorders>
            <w:shd w:val="clear" w:color="auto" w:fill="auto"/>
            <w:vAlign w:val="center"/>
          </w:tcPr>
          <w:p w14:paraId="1EBF50A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144,1   </w:t>
            </w:r>
          </w:p>
        </w:tc>
        <w:tc>
          <w:tcPr>
            <w:tcW w:w="920" w:type="dxa"/>
            <w:gridSpan w:val="2"/>
            <w:tcBorders>
              <w:top w:val="nil"/>
              <w:left w:val="single" w:sz="4" w:space="0" w:color="000000"/>
              <w:bottom w:val="single" w:sz="4" w:space="0" w:color="000000"/>
              <w:right w:val="nil"/>
            </w:tcBorders>
            <w:shd w:val="clear" w:color="auto" w:fill="auto"/>
            <w:vAlign w:val="center"/>
          </w:tcPr>
          <w:p w14:paraId="2C86D21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140,0   </w:t>
            </w:r>
          </w:p>
        </w:tc>
        <w:tc>
          <w:tcPr>
            <w:tcW w:w="920" w:type="dxa"/>
            <w:gridSpan w:val="2"/>
            <w:tcBorders>
              <w:top w:val="nil"/>
              <w:left w:val="single" w:sz="4" w:space="0" w:color="000000"/>
              <w:bottom w:val="single" w:sz="4" w:space="0" w:color="000000"/>
              <w:right w:val="nil"/>
            </w:tcBorders>
            <w:shd w:val="clear" w:color="auto" w:fill="auto"/>
            <w:vAlign w:val="center"/>
          </w:tcPr>
          <w:p w14:paraId="4B37977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76,5   </w:t>
            </w:r>
          </w:p>
        </w:tc>
        <w:tc>
          <w:tcPr>
            <w:tcW w:w="920" w:type="dxa"/>
            <w:gridSpan w:val="2"/>
            <w:tcBorders>
              <w:top w:val="nil"/>
              <w:left w:val="single" w:sz="4" w:space="0" w:color="000000"/>
              <w:bottom w:val="single" w:sz="4" w:space="0" w:color="000000"/>
              <w:right w:val="nil"/>
            </w:tcBorders>
            <w:shd w:val="clear" w:color="auto" w:fill="auto"/>
            <w:vAlign w:val="center"/>
          </w:tcPr>
          <w:p w14:paraId="2EBBD1B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65,4   </w:t>
            </w:r>
          </w:p>
        </w:tc>
        <w:tc>
          <w:tcPr>
            <w:tcW w:w="920" w:type="dxa"/>
            <w:gridSpan w:val="2"/>
            <w:tcBorders>
              <w:top w:val="nil"/>
              <w:left w:val="single" w:sz="4" w:space="0" w:color="000000"/>
              <w:bottom w:val="single" w:sz="4" w:space="0" w:color="000000"/>
              <w:right w:val="single" w:sz="18" w:space="0" w:color="000000"/>
            </w:tcBorders>
            <w:shd w:val="clear" w:color="auto" w:fill="auto"/>
            <w:vAlign w:val="center"/>
          </w:tcPr>
          <w:p w14:paraId="7669D0A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58,0   </w:t>
            </w:r>
          </w:p>
        </w:tc>
        <w:tc>
          <w:tcPr>
            <w:tcW w:w="1243" w:type="dxa"/>
            <w:gridSpan w:val="2"/>
            <w:tcBorders>
              <w:top w:val="single" w:sz="4" w:space="0" w:color="000000"/>
              <w:left w:val="single" w:sz="18" w:space="0" w:color="000000"/>
              <w:bottom w:val="single" w:sz="6" w:space="0" w:color="000000"/>
              <w:right w:val="single" w:sz="4" w:space="0" w:color="000000"/>
            </w:tcBorders>
            <w:shd w:val="clear" w:color="auto" w:fill="auto"/>
            <w:vAlign w:val="center"/>
          </w:tcPr>
          <w:p w14:paraId="547712E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-54,6%</w:t>
            </w:r>
          </w:p>
        </w:tc>
        <w:tc>
          <w:tcPr>
            <w:tcW w:w="1285" w:type="dxa"/>
            <w:gridSpan w:val="2"/>
            <w:tcBorders>
              <w:top w:val="single" w:sz="4" w:space="0" w:color="000000"/>
              <w:left w:val="nil"/>
              <w:bottom w:val="single" w:sz="6" w:space="0" w:color="000000"/>
              <w:right w:val="single" w:sz="4" w:space="0" w:color="000000"/>
            </w:tcBorders>
            <w:shd w:val="clear" w:color="auto" w:fill="auto"/>
            <w:vAlign w:val="center"/>
          </w:tcPr>
          <w:p w14:paraId="771C04CC"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-60,7%</w:t>
            </w:r>
          </w:p>
        </w:tc>
      </w:tr>
      <w:tr w:rsidR="00A0251B" w:rsidRPr="00CC35F0" w14:paraId="3060943E" w14:textId="77777777">
        <w:trPr>
          <w:gridAfter w:val="1"/>
          <w:wAfter w:w="78" w:type="dxa"/>
          <w:trHeight w:val="260"/>
        </w:trPr>
        <w:tc>
          <w:tcPr>
            <w:tcW w:w="2040" w:type="dxa"/>
            <w:tcBorders>
              <w:top w:val="nil"/>
              <w:left w:val="nil"/>
              <w:bottom w:val="nil"/>
              <w:right w:val="nil"/>
            </w:tcBorders>
            <w:shd w:val="clear" w:color="auto" w:fill="FFFFFF"/>
            <w:vAlign w:val="center"/>
          </w:tcPr>
          <w:p w14:paraId="1F10B97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5FA7E79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476C722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266359D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4C7B797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37F049B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18499A4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gridSpan w:val="2"/>
            <w:tcBorders>
              <w:top w:val="nil"/>
              <w:left w:val="nil"/>
              <w:bottom w:val="nil"/>
              <w:right w:val="nil"/>
            </w:tcBorders>
            <w:shd w:val="clear" w:color="auto" w:fill="FFFFFF"/>
            <w:vAlign w:val="center"/>
          </w:tcPr>
          <w:p w14:paraId="5AB0354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85" w:type="dxa"/>
            <w:gridSpan w:val="2"/>
            <w:tcBorders>
              <w:top w:val="nil"/>
              <w:left w:val="nil"/>
              <w:bottom w:val="nil"/>
              <w:right w:val="nil"/>
            </w:tcBorders>
            <w:shd w:val="clear" w:color="auto" w:fill="FFFFFF"/>
            <w:vAlign w:val="center"/>
          </w:tcPr>
          <w:p w14:paraId="34F8304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76322ED8" w14:textId="77777777">
        <w:trPr>
          <w:gridAfter w:val="1"/>
          <w:wAfter w:w="78" w:type="dxa"/>
          <w:trHeight w:val="260"/>
        </w:trPr>
        <w:tc>
          <w:tcPr>
            <w:tcW w:w="2040" w:type="dxa"/>
            <w:tcBorders>
              <w:top w:val="nil"/>
              <w:left w:val="nil"/>
              <w:bottom w:val="single" w:sz="4" w:space="0" w:color="000000"/>
              <w:right w:val="nil"/>
            </w:tcBorders>
            <w:shd w:val="clear" w:color="auto" w:fill="FFFFFF"/>
            <w:vAlign w:val="center"/>
          </w:tcPr>
          <w:p w14:paraId="0423EB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Емисије NOx </w:t>
            </w:r>
          </w:p>
        </w:tc>
        <w:tc>
          <w:tcPr>
            <w:tcW w:w="920" w:type="dxa"/>
            <w:gridSpan w:val="2"/>
            <w:tcBorders>
              <w:top w:val="nil"/>
              <w:left w:val="nil"/>
              <w:bottom w:val="nil"/>
              <w:right w:val="nil"/>
            </w:tcBorders>
            <w:shd w:val="clear" w:color="auto" w:fill="FFFFFF"/>
            <w:vAlign w:val="center"/>
          </w:tcPr>
          <w:p w14:paraId="711A438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179CADD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70C6D6D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172C007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0E1ACED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357DE06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gridSpan w:val="2"/>
            <w:tcBorders>
              <w:top w:val="nil"/>
              <w:left w:val="nil"/>
              <w:bottom w:val="nil"/>
              <w:right w:val="nil"/>
            </w:tcBorders>
            <w:shd w:val="clear" w:color="auto" w:fill="FFFFFF"/>
            <w:vAlign w:val="center"/>
          </w:tcPr>
          <w:p w14:paraId="3915ADA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85" w:type="dxa"/>
            <w:gridSpan w:val="2"/>
            <w:tcBorders>
              <w:top w:val="nil"/>
              <w:left w:val="nil"/>
              <w:bottom w:val="nil"/>
              <w:right w:val="nil"/>
            </w:tcBorders>
            <w:shd w:val="clear" w:color="auto" w:fill="FFFFFF"/>
            <w:vAlign w:val="center"/>
          </w:tcPr>
          <w:p w14:paraId="0FB38CE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5DA27EB0" w14:textId="77777777">
        <w:trPr>
          <w:gridAfter w:val="1"/>
          <w:wAfter w:w="78" w:type="dxa"/>
          <w:trHeight w:val="250"/>
        </w:trPr>
        <w:tc>
          <w:tcPr>
            <w:tcW w:w="2040" w:type="dxa"/>
            <w:tcBorders>
              <w:top w:val="nil"/>
              <w:left w:val="single" w:sz="4" w:space="0" w:color="000000"/>
              <w:bottom w:val="nil"/>
              <w:right w:val="single" w:sz="4" w:space="0" w:color="000000"/>
            </w:tcBorders>
            <w:shd w:val="clear" w:color="auto" w:fill="DAEEF3"/>
            <w:vAlign w:val="center"/>
          </w:tcPr>
          <w:p w14:paraId="7E3C10F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WAM_B </w:t>
            </w:r>
          </w:p>
        </w:tc>
        <w:tc>
          <w:tcPr>
            <w:tcW w:w="920" w:type="dxa"/>
            <w:gridSpan w:val="2"/>
            <w:tcBorders>
              <w:top w:val="single" w:sz="4" w:space="0" w:color="000000"/>
              <w:left w:val="nil"/>
              <w:bottom w:val="single" w:sz="4" w:space="0" w:color="000000"/>
              <w:right w:val="nil"/>
            </w:tcBorders>
            <w:shd w:val="clear" w:color="auto" w:fill="DAEEF3"/>
            <w:vAlign w:val="center"/>
          </w:tcPr>
          <w:p w14:paraId="616502A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7B233F1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12385CA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1748347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4812588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02DA367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gridSpan w:val="2"/>
            <w:tcBorders>
              <w:top w:val="single" w:sz="4" w:space="0" w:color="000000"/>
              <w:left w:val="single" w:sz="12" w:space="0" w:color="000000"/>
              <w:bottom w:val="single" w:sz="4" w:space="0" w:color="000000"/>
              <w:right w:val="single" w:sz="4" w:space="0" w:color="000000"/>
            </w:tcBorders>
            <w:shd w:val="clear" w:color="auto" w:fill="DAEEF3"/>
            <w:vAlign w:val="center"/>
          </w:tcPr>
          <w:p w14:paraId="08673DE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85" w:type="dxa"/>
            <w:gridSpan w:val="2"/>
            <w:tcBorders>
              <w:top w:val="single" w:sz="4" w:space="0" w:color="000000"/>
              <w:left w:val="nil"/>
              <w:bottom w:val="single" w:sz="4" w:space="0" w:color="000000"/>
              <w:right w:val="single" w:sz="4" w:space="0" w:color="000000"/>
            </w:tcBorders>
            <w:shd w:val="clear" w:color="auto" w:fill="DAEEF3"/>
            <w:vAlign w:val="center"/>
          </w:tcPr>
          <w:p w14:paraId="7BBEB13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234DF436" w14:textId="77777777">
        <w:trPr>
          <w:gridAfter w:val="1"/>
          <w:wAfter w:w="78" w:type="dxa"/>
          <w:trHeight w:val="250"/>
        </w:trPr>
        <w:tc>
          <w:tcPr>
            <w:tcW w:w="20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31B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20" w:type="dxa"/>
            <w:gridSpan w:val="2"/>
            <w:tcBorders>
              <w:top w:val="nil"/>
              <w:left w:val="nil"/>
              <w:bottom w:val="single" w:sz="4" w:space="0" w:color="000000"/>
              <w:right w:val="single" w:sz="4" w:space="0" w:color="000000"/>
            </w:tcBorders>
            <w:shd w:val="clear" w:color="auto" w:fill="auto"/>
            <w:vAlign w:val="center"/>
          </w:tcPr>
          <w:p w14:paraId="4CA2D71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74,5   </w:t>
            </w:r>
          </w:p>
        </w:tc>
        <w:tc>
          <w:tcPr>
            <w:tcW w:w="920" w:type="dxa"/>
            <w:gridSpan w:val="2"/>
            <w:tcBorders>
              <w:top w:val="nil"/>
              <w:left w:val="nil"/>
              <w:bottom w:val="single" w:sz="4" w:space="0" w:color="000000"/>
              <w:right w:val="single" w:sz="4" w:space="0" w:color="000000"/>
            </w:tcBorders>
            <w:shd w:val="clear" w:color="auto" w:fill="auto"/>
            <w:vAlign w:val="center"/>
          </w:tcPr>
          <w:p w14:paraId="1E2356A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72,5   </w:t>
            </w:r>
          </w:p>
        </w:tc>
        <w:tc>
          <w:tcPr>
            <w:tcW w:w="920" w:type="dxa"/>
            <w:gridSpan w:val="2"/>
            <w:tcBorders>
              <w:top w:val="nil"/>
              <w:left w:val="nil"/>
              <w:bottom w:val="single" w:sz="4" w:space="0" w:color="000000"/>
              <w:right w:val="single" w:sz="4" w:space="0" w:color="000000"/>
            </w:tcBorders>
            <w:shd w:val="clear" w:color="auto" w:fill="auto"/>
            <w:vAlign w:val="center"/>
          </w:tcPr>
          <w:p w14:paraId="4CC09D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73,7   </w:t>
            </w:r>
          </w:p>
        </w:tc>
        <w:tc>
          <w:tcPr>
            <w:tcW w:w="920" w:type="dxa"/>
            <w:gridSpan w:val="2"/>
            <w:tcBorders>
              <w:top w:val="nil"/>
              <w:left w:val="nil"/>
              <w:bottom w:val="single" w:sz="4" w:space="0" w:color="000000"/>
              <w:right w:val="single" w:sz="4" w:space="0" w:color="000000"/>
            </w:tcBorders>
            <w:shd w:val="clear" w:color="auto" w:fill="auto"/>
            <w:vAlign w:val="center"/>
          </w:tcPr>
          <w:p w14:paraId="146777B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20,5   </w:t>
            </w:r>
          </w:p>
        </w:tc>
        <w:tc>
          <w:tcPr>
            <w:tcW w:w="920" w:type="dxa"/>
            <w:gridSpan w:val="2"/>
            <w:tcBorders>
              <w:top w:val="nil"/>
              <w:left w:val="nil"/>
              <w:bottom w:val="single" w:sz="4" w:space="0" w:color="000000"/>
              <w:right w:val="single" w:sz="4" w:space="0" w:color="000000"/>
            </w:tcBorders>
            <w:shd w:val="clear" w:color="auto" w:fill="auto"/>
            <w:vAlign w:val="center"/>
          </w:tcPr>
          <w:p w14:paraId="606797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17,5   </w:t>
            </w:r>
          </w:p>
        </w:tc>
        <w:tc>
          <w:tcPr>
            <w:tcW w:w="920" w:type="dxa"/>
            <w:gridSpan w:val="2"/>
            <w:tcBorders>
              <w:top w:val="nil"/>
              <w:left w:val="nil"/>
              <w:bottom w:val="single" w:sz="4" w:space="0" w:color="000000"/>
              <w:right w:val="nil"/>
            </w:tcBorders>
            <w:shd w:val="clear" w:color="auto" w:fill="auto"/>
            <w:vAlign w:val="center"/>
          </w:tcPr>
          <w:p w14:paraId="01306BD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14,4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39A57F4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-75,8%</w:t>
            </w:r>
          </w:p>
        </w:tc>
        <w:tc>
          <w:tcPr>
            <w:tcW w:w="1285" w:type="dxa"/>
            <w:gridSpan w:val="2"/>
            <w:tcBorders>
              <w:top w:val="nil"/>
              <w:left w:val="nil"/>
              <w:bottom w:val="single" w:sz="4" w:space="0" w:color="000000"/>
              <w:right w:val="single" w:sz="4" w:space="0" w:color="000000"/>
            </w:tcBorders>
            <w:shd w:val="clear" w:color="auto" w:fill="auto"/>
            <w:vAlign w:val="center"/>
          </w:tcPr>
          <w:p w14:paraId="1D10A9C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-76,5%</w:t>
            </w:r>
          </w:p>
        </w:tc>
      </w:tr>
      <w:tr w:rsidR="00A0251B" w:rsidRPr="00CC35F0" w14:paraId="60163B0B"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009E88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20" w:type="dxa"/>
            <w:gridSpan w:val="2"/>
            <w:tcBorders>
              <w:top w:val="nil"/>
              <w:left w:val="nil"/>
              <w:bottom w:val="single" w:sz="4" w:space="0" w:color="000000"/>
              <w:right w:val="single" w:sz="4" w:space="0" w:color="000000"/>
            </w:tcBorders>
            <w:shd w:val="clear" w:color="auto" w:fill="auto"/>
            <w:vAlign w:val="center"/>
          </w:tcPr>
          <w:p w14:paraId="5CF870C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17,2   </w:t>
            </w:r>
          </w:p>
        </w:tc>
        <w:tc>
          <w:tcPr>
            <w:tcW w:w="920" w:type="dxa"/>
            <w:gridSpan w:val="2"/>
            <w:tcBorders>
              <w:top w:val="nil"/>
              <w:left w:val="nil"/>
              <w:bottom w:val="single" w:sz="4" w:space="0" w:color="000000"/>
              <w:right w:val="single" w:sz="4" w:space="0" w:color="000000"/>
            </w:tcBorders>
            <w:shd w:val="clear" w:color="auto" w:fill="auto"/>
            <w:vAlign w:val="center"/>
          </w:tcPr>
          <w:p w14:paraId="420B32F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16,4   </w:t>
            </w:r>
          </w:p>
        </w:tc>
        <w:tc>
          <w:tcPr>
            <w:tcW w:w="920" w:type="dxa"/>
            <w:gridSpan w:val="2"/>
            <w:tcBorders>
              <w:top w:val="nil"/>
              <w:left w:val="nil"/>
              <w:bottom w:val="single" w:sz="4" w:space="0" w:color="000000"/>
              <w:right w:val="single" w:sz="4" w:space="0" w:color="000000"/>
            </w:tcBorders>
            <w:shd w:val="clear" w:color="auto" w:fill="auto"/>
            <w:vAlign w:val="center"/>
          </w:tcPr>
          <w:p w14:paraId="42B048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17,1   </w:t>
            </w:r>
          </w:p>
        </w:tc>
        <w:tc>
          <w:tcPr>
            <w:tcW w:w="920" w:type="dxa"/>
            <w:gridSpan w:val="2"/>
            <w:tcBorders>
              <w:top w:val="nil"/>
              <w:left w:val="nil"/>
              <w:bottom w:val="single" w:sz="4" w:space="0" w:color="000000"/>
              <w:right w:val="single" w:sz="4" w:space="0" w:color="000000"/>
            </w:tcBorders>
            <w:shd w:val="clear" w:color="auto" w:fill="auto"/>
            <w:vAlign w:val="center"/>
          </w:tcPr>
          <w:p w14:paraId="7FD9B3C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12,8   </w:t>
            </w:r>
          </w:p>
        </w:tc>
        <w:tc>
          <w:tcPr>
            <w:tcW w:w="920" w:type="dxa"/>
            <w:gridSpan w:val="2"/>
            <w:tcBorders>
              <w:top w:val="nil"/>
              <w:left w:val="nil"/>
              <w:bottom w:val="single" w:sz="4" w:space="0" w:color="000000"/>
              <w:right w:val="single" w:sz="4" w:space="0" w:color="000000"/>
            </w:tcBorders>
            <w:shd w:val="clear" w:color="auto" w:fill="auto"/>
            <w:vAlign w:val="center"/>
          </w:tcPr>
          <w:p w14:paraId="5DD3E2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9,9   </w:t>
            </w:r>
          </w:p>
        </w:tc>
        <w:tc>
          <w:tcPr>
            <w:tcW w:w="920" w:type="dxa"/>
            <w:gridSpan w:val="2"/>
            <w:tcBorders>
              <w:top w:val="nil"/>
              <w:left w:val="nil"/>
              <w:bottom w:val="single" w:sz="4" w:space="0" w:color="000000"/>
              <w:right w:val="nil"/>
            </w:tcBorders>
            <w:shd w:val="clear" w:color="auto" w:fill="auto"/>
            <w:vAlign w:val="center"/>
          </w:tcPr>
          <w:p w14:paraId="249A45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9,5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4D78744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-39,2%</w:t>
            </w:r>
          </w:p>
        </w:tc>
        <w:tc>
          <w:tcPr>
            <w:tcW w:w="1285" w:type="dxa"/>
            <w:gridSpan w:val="2"/>
            <w:tcBorders>
              <w:top w:val="nil"/>
              <w:left w:val="nil"/>
              <w:bottom w:val="single" w:sz="4" w:space="0" w:color="000000"/>
              <w:right w:val="single" w:sz="4" w:space="0" w:color="000000"/>
            </w:tcBorders>
            <w:shd w:val="clear" w:color="auto" w:fill="auto"/>
            <w:vAlign w:val="center"/>
          </w:tcPr>
          <w:p w14:paraId="21128F7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-42,3%</w:t>
            </w:r>
          </w:p>
        </w:tc>
      </w:tr>
      <w:tr w:rsidR="00A0251B" w:rsidRPr="00CC35F0" w14:paraId="48BF6ACD" w14:textId="77777777">
        <w:trPr>
          <w:gridAfter w:val="1"/>
          <w:wAfter w:w="78" w:type="dxa"/>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FE3F00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20" w:type="dxa"/>
            <w:gridSpan w:val="2"/>
            <w:tcBorders>
              <w:top w:val="nil"/>
              <w:left w:val="nil"/>
              <w:bottom w:val="single" w:sz="4" w:space="0" w:color="000000"/>
              <w:right w:val="single" w:sz="4" w:space="0" w:color="000000"/>
            </w:tcBorders>
            <w:shd w:val="clear" w:color="auto" w:fill="auto"/>
            <w:vAlign w:val="center"/>
          </w:tcPr>
          <w:p w14:paraId="767C575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6,0   </w:t>
            </w:r>
          </w:p>
        </w:tc>
        <w:tc>
          <w:tcPr>
            <w:tcW w:w="920" w:type="dxa"/>
            <w:gridSpan w:val="2"/>
            <w:tcBorders>
              <w:top w:val="nil"/>
              <w:left w:val="nil"/>
              <w:bottom w:val="single" w:sz="4" w:space="0" w:color="000000"/>
              <w:right w:val="single" w:sz="4" w:space="0" w:color="000000"/>
            </w:tcBorders>
            <w:shd w:val="clear" w:color="auto" w:fill="auto"/>
            <w:vAlign w:val="center"/>
          </w:tcPr>
          <w:p w14:paraId="1B2FAF2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4,9   </w:t>
            </w:r>
          </w:p>
        </w:tc>
        <w:tc>
          <w:tcPr>
            <w:tcW w:w="920" w:type="dxa"/>
            <w:gridSpan w:val="2"/>
            <w:tcBorders>
              <w:top w:val="nil"/>
              <w:left w:val="nil"/>
              <w:bottom w:val="single" w:sz="4" w:space="0" w:color="000000"/>
              <w:right w:val="single" w:sz="4" w:space="0" w:color="000000"/>
            </w:tcBorders>
            <w:shd w:val="clear" w:color="auto" w:fill="auto"/>
            <w:vAlign w:val="center"/>
          </w:tcPr>
          <w:p w14:paraId="0F5F191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4,4   </w:t>
            </w:r>
          </w:p>
        </w:tc>
        <w:tc>
          <w:tcPr>
            <w:tcW w:w="920" w:type="dxa"/>
            <w:gridSpan w:val="2"/>
            <w:tcBorders>
              <w:top w:val="nil"/>
              <w:left w:val="nil"/>
              <w:bottom w:val="single" w:sz="4" w:space="0" w:color="000000"/>
              <w:right w:val="single" w:sz="4" w:space="0" w:color="000000"/>
            </w:tcBorders>
            <w:shd w:val="clear" w:color="auto" w:fill="auto"/>
            <w:vAlign w:val="center"/>
          </w:tcPr>
          <w:p w14:paraId="4E52BB2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   </w:t>
            </w:r>
          </w:p>
        </w:tc>
        <w:tc>
          <w:tcPr>
            <w:tcW w:w="920" w:type="dxa"/>
            <w:gridSpan w:val="2"/>
            <w:tcBorders>
              <w:top w:val="nil"/>
              <w:left w:val="nil"/>
              <w:bottom w:val="single" w:sz="4" w:space="0" w:color="000000"/>
              <w:right w:val="single" w:sz="4" w:space="0" w:color="000000"/>
            </w:tcBorders>
            <w:shd w:val="clear" w:color="auto" w:fill="auto"/>
            <w:vAlign w:val="center"/>
          </w:tcPr>
          <w:p w14:paraId="56E3D18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4,1   </w:t>
            </w:r>
          </w:p>
        </w:tc>
        <w:tc>
          <w:tcPr>
            <w:tcW w:w="920" w:type="dxa"/>
            <w:gridSpan w:val="2"/>
            <w:tcBorders>
              <w:top w:val="nil"/>
              <w:left w:val="nil"/>
              <w:bottom w:val="single" w:sz="4" w:space="0" w:color="000000"/>
              <w:right w:val="nil"/>
            </w:tcBorders>
            <w:shd w:val="clear" w:color="auto" w:fill="auto"/>
            <w:vAlign w:val="center"/>
          </w:tcPr>
          <w:p w14:paraId="7CE98DD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4,3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26F2751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-15,5%</w:t>
            </w:r>
          </w:p>
        </w:tc>
        <w:tc>
          <w:tcPr>
            <w:tcW w:w="1285" w:type="dxa"/>
            <w:gridSpan w:val="2"/>
            <w:tcBorders>
              <w:top w:val="nil"/>
              <w:left w:val="nil"/>
              <w:bottom w:val="single" w:sz="4" w:space="0" w:color="000000"/>
              <w:right w:val="single" w:sz="4" w:space="0" w:color="000000"/>
            </w:tcBorders>
            <w:shd w:val="clear" w:color="auto" w:fill="auto"/>
            <w:vAlign w:val="center"/>
          </w:tcPr>
          <w:p w14:paraId="3E8328C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-30,9%</w:t>
            </w:r>
          </w:p>
        </w:tc>
      </w:tr>
      <w:tr w:rsidR="00A0251B" w:rsidRPr="00CC35F0" w14:paraId="0465D56F"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271098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20" w:type="dxa"/>
            <w:gridSpan w:val="2"/>
            <w:tcBorders>
              <w:top w:val="nil"/>
              <w:left w:val="nil"/>
              <w:bottom w:val="single" w:sz="4" w:space="0" w:color="000000"/>
              <w:right w:val="single" w:sz="4" w:space="0" w:color="000000"/>
            </w:tcBorders>
            <w:shd w:val="clear" w:color="auto" w:fill="auto"/>
            <w:vAlign w:val="center"/>
          </w:tcPr>
          <w:p w14:paraId="7587255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gridSpan w:val="2"/>
            <w:tcBorders>
              <w:top w:val="nil"/>
              <w:left w:val="nil"/>
              <w:bottom w:val="single" w:sz="4" w:space="0" w:color="000000"/>
              <w:right w:val="single" w:sz="4" w:space="0" w:color="000000"/>
            </w:tcBorders>
            <w:shd w:val="clear" w:color="auto" w:fill="auto"/>
            <w:vAlign w:val="center"/>
          </w:tcPr>
          <w:p w14:paraId="5CB0FF9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0D49C3C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61E8A2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34AFEAD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nil"/>
            </w:tcBorders>
            <w:shd w:val="clear" w:color="auto" w:fill="auto"/>
            <w:vAlign w:val="center"/>
          </w:tcPr>
          <w:p w14:paraId="5BD0ECC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7917A03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5,6%</w:t>
            </w:r>
          </w:p>
        </w:tc>
        <w:tc>
          <w:tcPr>
            <w:tcW w:w="1285" w:type="dxa"/>
            <w:gridSpan w:val="2"/>
            <w:tcBorders>
              <w:top w:val="nil"/>
              <w:left w:val="nil"/>
              <w:bottom w:val="single" w:sz="4" w:space="0" w:color="000000"/>
              <w:right w:val="single" w:sz="4" w:space="0" w:color="000000"/>
            </w:tcBorders>
            <w:shd w:val="clear" w:color="auto" w:fill="auto"/>
            <w:vAlign w:val="center"/>
          </w:tcPr>
          <w:p w14:paraId="1A6A8B1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-99,9%</w:t>
            </w:r>
          </w:p>
        </w:tc>
      </w:tr>
      <w:tr w:rsidR="00A0251B" w:rsidRPr="00CC35F0" w14:paraId="5F78B459"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1B9B70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20" w:type="dxa"/>
            <w:gridSpan w:val="2"/>
            <w:tcBorders>
              <w:top w:val="nil"/>
              <w:left w:val="nil"/>
              <w:bottom w:val="single" w:sz="4" w:space="0" w:color="000000"/>
              <w:right w:val="single" w:sz="4" w:space="0" w:color="000000"/>
            </w:tcBorders>
            <w:shd w:val="clear" w:color="auto" w:fill="auto"/>
            <w:vAlign w:val="center"/>
          </w:tcPr>
          <w:p w14:paraId="5CAF47C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4B60AA8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5679E6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1D818D2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0E1185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nil"/>
            </w:tcBorders>
            <w:shd w:val="clear" w:color="auto" w:fill="auto"/>
            <w:vAlign w:val="center"/>
          </w:tcPr>
          <w:p w14:paraId="513BB2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7A4475F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20,8%</w:t>
            </w:r>
          </w:p>
        </w:tc>
        <w:tc>
          <w:tcPr>
            <w:tcW w:w="1285" w:type="dxa"/>
            <w:gridSpan w:val="2"/>
            <w:tcBorders>
              <w:top w:val="nil"/>
              <w:left w:val="nil"/>
              <w:bottom w:val="single" w:sz="4" w:space="0" w:color="000000"/>
              <w:right w:val="single" w:sz="4" w:space="0" w:color="000000"/>
            </w:tcBorders>
            <w:shd w:val="clear" w:color="auto" w:fill="auto"/>
            <w:vAlign w:val="center"/>
          </w:tcPr>
          <w:p w14:paraId="2F6F64B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132,7%</w:t>
            </w:r>
          </w:p>
        </w:tc>
      </w:tr>
      <w:tr w:rsidR="00A0251B" w:rsidRPr="00CC35F0" w14:paraId="29D61797"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34ABA6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38262DB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44,8   </w:t>
            </w:r>
          </w:p>
        </w:tc>
        <w:tc>
          <w:tcPr>
            <w:tcW w:w="920" w:type="dxa"/>
            <w:gridSpan w:val="2"/>
            <w:tcBorders>
              <w:top w:val="nil"/>
              <w:left w:val="nil"/>
              <w:bottom w:val="single" w:sz="4" w:space="0" w:color="000000"/>
              <w:right w:val="single" w:sz="4" w:space="0" w:color="000000"/>
            </w:tcBorders>
            <w:shd w:val="clear" w:color="auto" w:fill="auto"/>
            <w:vAlign w:val="center"/>
          </w:tcPr>
          <w:p w14:paraId="2BB48A6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36,5   </w:t>
            </w:r>
          </w:p>
        </w:tc>
        <w:tc>
          <w:tcPr>
            <w:tcW w:w="920" w:type="dxa"/>
            <w:gridSpan w:val="2"/>
            <w:tcBorders>
              <w:top w:val="nil"/>
              <w:left w:val="nil"/>
              <w:bottom w:val="single" w:sz="4" w:space="0" w:color="000000"/>
              <w:right w:val="single" w:sz="4" w:space="0" w:color="000000"/>
            </w:tcBorders>
            <w:shd w:val="clear" w:color="auto" w:fill="auto"/>
            <w:vAlign w:val="center"/>
          </w:tcPr>
          <w:p w14:paraId="482EE28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31,1   </w:t>
            </w:r>
          </w:p>
        </w:tc>
        <w:tc>
          <w:tcPr>
            <w:tcW w:w="920" w:type="dxa"/>
            <w:gridSpan w:val="2"/>
            <w:tcBorders>
              <w:top w:val="nil"/>
              <w:left w:val="nil"/>
              <w:bottom w:val="single" w:sz="4" w:space="0" w:color="000000"/>
              <w:right w:val="single" w:sz="4" w:space="0" w:color="000000"/>
            </w:tcBorders>
            <w:shd w:val="clear" w:color="auto" w:fill="auto"/>
            <w:vAlign w:val="center"/>
          </w:tcPr>
          <w:p w14:paraId="49B5C6C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23,1   </w:t>
            </w:r>
          </w:p>
        </w:tc>
        <w:tc>
          <w:tcPr>
            <w:tcW w:w="920" w:type="dxa"/>
            <w:gridSpan w:val="2"/>
            <w:tcBorders>
              <w:top w:val="nil"/>
              <w:left w:val="nil"/>
              <w:bottom w:val="single" w:sz="4" w:space="0" w:color="000000"/>
              <w:right w:val="single" w:sz="4" w:space="0" w:color="000000"/>
            </w:tcBorders>
            <w:shd w:val="clear" w:color="auto" w:fill="auto"/>
            <w:vAlign w:val="center"/>
          </w:tcPr>
          <w:p w14:paraId="5D96FFA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15,8   </w:t>
            </w:r>
          </w:p>
        </w:tc>
        <w:tc>
          <w:tcPr>
            <w:tcW w:w="920" w:type="dxa"/>
            <w:gridSpan w:val="2"/>
            <w:tcBorders>
              <w:top w:val="nil"/>
              <w:left w:val="nil"/>
              <w:bottom w:val="single" w:sz="4" w:space="0" w:color="000000"/>
              <w:right w:val="nil"/>
            </w:tcBorders>
            <w:shd w:val="clear" w:color="auto" w:fill="auto"/>
            <w:vAlign w:val="center"/>
          </w:tcPr>
          <w:p w14:paraId="04D9A6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15,9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2CDCC10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-56,5%</w:t>
            </w:r>
          </w:p>
        </w:tc>
        <w:tc>
          <w:tcPr>
            <w:tcW w:w="1285" w:type="dxa"/>
            <w:gridSpan w:val="2"/>
            <w:tcBorders>
              <w:top w:val="nil"/>
              <w:left w:val="nil"/>
              <w:bottom w:val="single" w:sz="4" w:space="0" w:color="000000"/>
              <w:right w:val="single" w:sz="4" w:space="0" w:color="000000"/>
            </w:tcBorders>
            <w:shd w:val="clear" w:color="auto" w:fill="auto"/>
            <w:vAlign w:val="center"/>
          </w:tcPr>
          <w:p w14:paraId="2BE5CC2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-64,7%</w:t>
            </w:r>
          </w:p>
        </w:tc>
      </w:tr>
      <w:tr w:rsidR="00A0251B" w:rsidRPr="00CC35F0" w14:paraId="16081BB1"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553B56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4762F71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   </w:t>
            </w:r>
          </w:p>
        </w:tc>
        <w:tc>
          <w:tcPr>
            <w:tcW w:w="920" w:type="dxa"/>
            <w:gridSpan w:val="2"/>
            <w:tcBorders>
              <w:top w:val="nil"/>
              <w:left w:val="nil"/>
              <w:bottom w:val="single" w:sz="4" w:space="0" w:color="000000"/>
              <w:right w:val="single" w:sz="4" w:space="0" w:color="000000"/>
            </w:tcBorders>
            <w:shd w:val="clear" w:color="auto" w:fill="auto"/>
            <w:vAlign w:val="center"/>
          </w:tcPr>
          <w:p w14:paraId="3AAD78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gridSpan w:val="2"/>
            <w:tcBorders>
              <w:top w:val="nil"/>
              <w:left w:val="nil"/>
              <w:bottom w:val="single" w:sz="4" w:space="0" w:color="000000"/>
              <w:right w:val="single" w:sz="4" w:space="0" w:color="000000"/>
            </w:tcBorders>
            <w:shd w:val="clear" w:color="auto" w:fill="auto"/>
            <w:vAlign w:val="center"/>
          </w:tcPr>
          <w:p w14:paraId="2BFE70B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0,8   </w:t>
            </w:r>
          </w:p>
        </w:tc>
        <w:tc>
          <w:tcPr>
            <w:tcW w:w="920" w:type="dxa"/>
            <w:gridSpan w:val="2"/>
            <w:tcBorders>
              <w:top w:val="nil"/>
              <w:left w:val="nil"/>
              <w:bottom w:val="single" w:sz="4" w:space="0" w:color="000000"/>
              <w:right w:val="single" w:sz="4" w:space="0" w:color="000000"/>
            </w:tcBorders>
            <w:shd w:val="clear" w:color="auto" w:fill="auto"/>
            <w:vAlign w:val="center"/>
          </w:tcPr>
          <w:p w14:paraId="5B35CA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0,9   </w:t>
            </w:r>
          </w:p>
        </w:tc>
        <w:tc>
          <w:tcPr>
            <w:tcW w:w="920" w:type="dxa"/>
            <w:gridSpan w:val="2"/>
            <w:tcBorders>
              <w:top w:val="nil"/>
              <w:left w:val="nil"/>
              <w:bottom w:val="single" w:sz="4" w:space="0" w:color="000000"/>
              <w:right w:val="single" w:sz="4" w:space="0" w:color="000000"/>
            </w:tcBorders>
            <w:shd w:val="clear" w:color="auto" w:fill="auto"/>
            <w:vAlign w:val="center"/>
          </w:tcPr>
          <w:p w14:paraId="39B8DE1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20" w:type="dxa"/>
            <w:gridSpan w:val="2"/>
            <w:tcBorders>
              <w:top w:val="nil"/>
              <w:left w:val="nil"/>
              <w:bottom w:val="single" w:sz="4" w:space="0" w:color="000000"/>
              <w:right w:val="nil"/>
            </w:tcBorders>
            <w:shd w:val="clear" w:color="auto" w:fill="auto"/>
            <w:vAlign w:val="center"/>
          </w:tcPr>
          <w:p w14:paraId="042E041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745E812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85" w:type="dxa"/>
            <w:gridSpan w:val="2"/>
            <w:tcBorders>
              <w:top w:val="nil"/>
              <w:left w:val="nil"/>
              <w:bottom w:val="single" w:sz="4" w:space="0" w:color="000000"/>
              <w:right w:val="single" w:sz="4" w:space="0" w:color="000000"/>
            </w:tcBorders>
            <w:shd w:val="clear" w:color="auto" w:fill="auto"/>
            <w:vAlign w:val="center"/>
          </w:tcPr>
          <w:p w14:paraId="688D768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60FFC5C3"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01B0D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38D6245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0A3CC3A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582B5B7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12602CF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0EA8A4B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920" w:type="dxa"/>
            <w:gridSpan w:val="2"/>
            <w:tcBorders>
              <w:top w:val="nil"/>
              <w:left w:val="nil"/>
              <w:bottom w:val="single" w:sz="4" w:space="0" w:color="000000"/>
              <w:right w:val="nil"/>
            </w:tcBorders>
            <w:shd w:val="clear" w:color="auto" w:fill="auto"/>
            <w:vAlign w:val="center"/>
          </w:tcPr>
          <w:p w14:paraId="76C3DCC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52FA293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85" w:type="dxa"/>
            <w:gridSpan w:val="2"/>
            <w:tcBorders>
              <w:top w:val="nil"/>
              <w:left w:val="nil"/>
              <w:bottom w:val="single" w:sz="4" w:space="0" w:color="000000"/>
              <w:right w:val="single" w:sz="4" w:space="0" w:color="000000"/>
            </w:tcBorders>
            <w:shd w:val="clear" w:color="auto" w:fill="auto"/>
            <w:vAlign w:val="center"/>
          </w:tcPr>
          <w:p w14:paraId="620B27B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17B67165"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F52B6B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20" w:type="dxa"/>
            <w:gridSpan w:val="2"/>
            <w:tcBorders>
              <w:top w:val="nil"/>
              <w:left w:val="nil"/>
              <w:bottom w:val="single" w:sz="4" w:space="0" w:color="000000"/>
              <w:right w:val="single" w:sz="4" w:space="0" w:color="000000"/>
            </w:tcBorders>
            <w:shd w:val="clear" w:color="auto" w:fill="auto"/>
            <w:vAlign w:val="center"/>
          </w:tcPr>
          <w:p w14:paraId="33383B0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10,6   </w:t>
            </w:r>
          </w:p>
        </w:tc>
        <w:tc>
          <w:tcPr>
            <w:tcW w:w="920" w:type="dxa"/>
            <w:gridSpan w:val="2"/>
            <w:tcBorders>
              <w:top w:val="nil"/>
              <w:left w:val="nil"/>
              <w:bottom w:val="single" w:sz="4" w:space="0" w:color="000000"/>
              <w:right w:val="single" w:sz="4" w:space="0" w:color="000000"/>
            </w:tcBorders>
            <w:shd w:val="clear" w:color="auto" w:fill="auto"/>
            <w:vAlign w:val="center"/>
          </w:tcPr>
          <w:p w14:paraId="0F3D96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5,7   </w:t>
            </w:r>
          </w:p>
        </w:tc>
        <w:tc>
          <w:tcPr>
            <w:tcW w:w="920" w:type="dxa"/>
            <w:gridSpan w:val="2"/>
            <w:tcBorders>
              <w:top w:val="nil"/>
              <w:left w:val="nil"/>
              <w:bottom w:val="single" w:sz="4" w:space="0" w:color="000000"/>
              <w:right w:val="single" w:sz="4" w:space="0" w:color="000000"/>
            </w:tcBorders>
            <w:shd w:val="clear" w:color="auto" w:fill="auto"/>
            <w:vAlign w:val="center"/>
          </w:tcPr>
          <w:p w14:paraId="48CBF1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5,2   </w:t>
            </w:r>
          </w:p>
        </w:tc>
        <w:tc>
          <w:tcPr>
            <w:tcW w:w="920" w:type="dxa"/>
            <w:gridSpan w:val="2"/>
            <w:tcBorders>
              <w:top w:val="nil"/>
              <w:left w:val="nil"/>
              <w:bottom w:val="single" w:sz="4" w:space="0" w:color="000000"/>
              <w:right w:val="single" w:sz="4" w:space="0" w:color="000000"/>
            </w:tcBorders>
            <w:shd w:val="clear" w:color="auto" w:fill="auto"/>
            <w:vAlign w:val="center"/>
          </w:tcPr>
          <w:p w14:paraId="52FCA17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5,1   </w:t>
            </w:r>
          </w:p>
        </w:tc>
        <w:tc>
          <w:tcPr>
            <w:tcW w:w="920" w:type="dxa"/>
            <w:gridSpan w:val="2"/>
            <w:tcBorders>
              <w:top w:val="nil"/>
              <w:left w:val="nil"/>
              <w:bottom w:val="single" w:sz="4" w:space="0" w:color="000000"/>
              <w:right w:val="single" w:sz="4" w:space="0" w:color="000000"/>
            </w:tcBorders>
            <w:shd w:val="clear" w:color="auto" w:fill="auto"/>
            <w:vAlign w:val="center"/>
          </w:tcPr>
          <w:p w14:paraId="40CBA75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   </w:t>
            </w:r>
          </w:p>
        </w:tc>
        <w:tc>
          <w:tcPr>
            <w:tcW w:w="920" w:type="dxa"/>
            <w:gridSpan w:val="2"/>
            <w:tcBorders>
              <w:top w:val="nil"/>
              <w:left w:val="nil"/>
              <w:bottom w:val="single" w:sz="4" w:space="0" w:color="000000"/>
              <w:right w:val="nil"/>
            </w:tcBorders>
            <w:shd w:val="clear" w:color="auto" w:fill="auto"/>
            <w:vAlign w:val="center"/>
          </w:tcPr>
          <w:p w14:paraId="5FDF0B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0AC7DF2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-37,3%</w:t>
            </w:r>
          </w:p>
        </w:tc>
        <w:tc>
          <w:tcPr>
            <w:tcW w:w="1285" w:type="dxa"/>
            <w:gridSpan w:val="2"/>
            <w:tcBorders>
              <w:top w:val="nil"/>
              <w:left w:val="nil"/>
              <w:bottom w:val="single" w:sz="4" w:space="0" w:color="000000"/>
              <w:right w:val="single" w:sz="4" w:space="0" w:color="000000"/>
            </w:tcBorders>
            <w:shd w:val="clear" w:color="auto" w:fill="auto"/>
            <w:vAlign w:val="center"/>
          </w:tcPr>
          <w:p w14:paraId="30C8858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-66,5%</w:t>
            </w:r>
          </w:p>
        </w:tc>
      </w:tr>
      <w:tr w:rsidR="00A0251B" w:rsidRPr="00CC35F0" w14:paraId="11461F7F"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D28E6C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20" w:type="dxa"/>
            <w:gridSpan w:val="2"/>
            <w:tcBorders>
              <w:top w:val="nil"/>
              <w:left w:val="nil"/>
              <w:bottom w:val="single" w:sz="4" w:space="0" w:color="000000"/>
              <w:right w:val="single" w:sz="4" w:space="0" w:color="000000"/>
            </w:tcBorders>
            <w:shd w:val="clear" w:color="auto" w:fill="auto"/>
            <w:vAlign w:val="center"/>
          </w:tcPr>
          <w:p w14:paraId="3529B41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1BEE836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28334D2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5324738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3870635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nil"/>
            </w:tcBorders>
            <w:shd w:val="clear" w:color="auto" w:fill="auto"/>
            <w:vAlign w:val="center"/>
          </w:tcPr>
          <w:p w14:paraId="4A9F2ED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57D5813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85" w:type="dxa"/>
            <w:gridSpan w:val="2"/>
            <w:tcBorders>
              <w:top w:val="nil"/>
              <w:left w:val="nil"/>
              <w:bottom w:val="single" w:sz="4" w:space="0" w:color="000000"/>
              <w:right w:val="single" w:sz="4" w:space="0" w:color="000000"/>
            </w:tcBorders>
            <w:shd w:val="clear" w:color="auto" w:fill="auto"/>
            <w:vAlign w:val="center"/>
          </w:tcPr>
          <w:p w14:paraId="34CC00C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1EB89242" w14:textId="77777777">
        <w:trPr>
          <w:gridAfter w:val="1"/>
          <w:wAfter w:w="78" w:type="dxa"/>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A32F8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20" w:type="dxa"/>
            <w:gridSpan w:val="2"/>
            <w:tcBorders>
              <w:top w:val="nil"/>
              <w:left w:val="nil"/>
              <w:bottom w:val="single" w:sz="4" w:space="0" w:color="000000"/>
              <w:right w:val="single" w:sz="4" w:space="0" w:color="000000"/>
            </w:tcBorders>
            <w:shd w:val="clear" w:color="auto" w:fill="auto"/>
            <w:vAlign w:val="center"/>
          </w:tcPr>
          <w:p w14:paraId="207E68C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gridSpan w:val="2"/>
            <w:tcBorders>
              <w:top w:val="nil"/>
              <w:left w:val="nil"/>
              <w:bottom w:val="single" w:sz="4" w:space="0" w:color="000000"/>
              <w:right w:val="single" w:sz="4" w:space="0" w:color="000000"/>
            </w:tcBorders>
            <w:shd w:val="clear" w:color="auto" w:fill="auto"/>
            <w:vAlign w:val="center"/>
          </w:tcPr>
          <w:p w14:paraId="2C871BA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563D6CD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0D85B9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5E1A95A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nil"/>
            </w:tcBorders>
            <w:shd w:val="clear" w:color="auto" w:fill="auto"/>
            <w:vAlign w:val="center"/>
          </w:tcPr>
          <w:p w14:paraId="3CEBE98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416AD34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-8,7%</w:t>
            </w:r>
          </w:p>
        </w:tc>
        <w:tc>
          <w:tcPr>
            <w:tcW w:w="1285" w:type="dxa"/>
            <w:gridSpan w:val="2"/>
            <w:tcBorders>
              <w:top w:val="nil"/>
              <w:left w:val="nil"/>
              <w:bottom w:val="single" w:sz="4" w:space="0" w:color="000000"/>
              <w:right w:val="single" w:sz="4" w:space="0" w:color="000000"/>
            </w:tcBorders>
            <w:shd w:val="clear" w:color="auto" w:fill="auto"/>
            <w:vAlign w:val="center"/>
          </w:tcPr>
          <w:p w14:paraId="3A3858E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26,2%</w:t>
            </w:r>
          </w:p>
        </w:tc>
      </w:tr>
      <w:tr w:rsidR="00A0251B" w:rsidRPr="00CC35F0" w14:paraId="51691396"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9CFA1C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20" w:type="dxa"/>
            <w:gridSpan w:val="2"/>
            <w:tcBorders>
              <w:top w:val="nil"/>
              <w:left w:val="nil"/>
              <w:bottom w:val="single" w:sz="4" w:space="0" w:color="000000"/>
              <w:right w:val="single" w:sz="4" w:space="0" w:color="000000"/>
            </w:tcBorders>
            <w:shd w:val="clear" w:color="auto" w:fill="auto"/>
            <w:vAlign w:val="center"/>
          </w:tcPr>
          <w:p w14:paraId="1D7D304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10,5   </w:t>
            </w:r>
          </w:p>
        </w:tc>
        <w:tc>
          <w:tcPr>
            <w:tcW w:w="920" w:type="dxa"/>
            <w:gridSpan w:val="2"/>
            <w:tcBorders>
              <w:top w:val="nil"/>
              <w:left w:val="nil"/>
              <w:bottom w:val="single" w:sz="4" w:space="0" w:color="000000"/>
              <w:right w:val="single" w:sz="4" w:space="0" w:color="000000"/>
            </w:tcBorders>
            <w:shd w:val="clear" w:color="auto" w:fill="auto"/>
            <w:vAlign w:val="center"/>
          </w:tcPr>
          <w:p w14:paraId="66B29C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6,7   </w:t>
            </w:r>
          </w:p>
        </w:tc>
        <w:tc>
          <w:tcPr>
            <w:tcW w:w="920" w:type="dxa"/>
            <w:gridSpan w:val="2"/>
            <w:tcBorders>
              <w:top w:val="nil"/>
              <w:left w:val="nil"/>
              <w:bottom w:val="single" w:sz="4" w:space="0" w:color="000000"/>
              <w:right w:val="single" w:sz="4" w:space="0" w:color="000000"/>
            </w:tcBorders>
            <w:shd w:val="clear" w:color="auto" w:fill="auto"/>
            <w:vAlign w:val="center"/>
          </w:tcPr>
          <w:p w14:paraId="6D2B43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6,7   </w:t>
            </w:r>
          </w:p>
        </w:tc>
        <w:tc>
          <w:tcPr>
            <w:tcW w:w="920" w:type="dxa"/>
            <w:gridSpan w:val="2"/>
            <w:tcBorders>
              <w:top w:val="nil"/>
              <w:left w:val="nil"/>
              <w:bottom w:val="single" w:sz="4" w:space="0" w:color="000000"/>
              <w:right w:val="single" w:sz="4" w:space="0" w:color="000000"/>
            </w:tcBorders>
            <w:shd w:val="clear" w:color="auto" w:fill="auto"/>
            <w:vAlign w:val="center"/>
          </w:tcPr>
          <w:p w14:paraId="2FD027E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5,8   </w:t>
            </w:r>
          </w:p>
        </w:tc>
        <w:tc>
          <w:tcPr>
            <w:tcW w:w="920" w:type="dxa"/>
            <w:gridSpan w:val="2"/>
            <w:tcBorders>
              <w:top w:val="nil"/>
              <w:left w:val="nil"/>
              <w:bottom w:val="single" w:sz="4" w:space="0" w:color="000000"/>
              <w:right w:val="single" w:sz="4" w:space="0" w:color="000000"/>
            </w:tcBorders>
            <w:shd w:val="clear" w:color="auto" w:fill="auto"/>
            <w:vAlign w:val="center"/>
          </w:tcPr>
          <w:p w14:paraId="5F96A9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4,8   </w:t>
            </w:r>
          </w:p>
        </w:tc>
        <w:tc>
          <w:tcPr>
            <w:tcW w:w="920" w:type="dxa"/>
            <w:gridSpan w:val="2"/>
            <w:tcBorders>
              <w:top w:val="nil"/>
              <w:left w:val="nil"/>
              <w:bottom w:val="single" w:sz="4" w:space="0" w:color="000000"/>
              <w:right w:val="nil"/>
            </w:tcBorders>
            <w:shd w:val="clear" w:color="auto" w:fill="auto"/>
            <w:vAlign w:val="center"/>
          </w:tcPr>
          <w:p w14:paraId="31E1ED1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4350558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-28,6%</w:t>
            </w:r>
          </w:p>
        </w:tc>
        <w:tc>
          <w:tcPr>
            <w:tcW w:w="1285" w:type="dxa"/>
            <w:gridSpan w:val="2"/>
            <w:tcBorders>
              <w:top w:val="nil"/>
              <w:left w:val="nil"/>
              <w:bottom w:val="single" w:sz="4" w:space="0" w:color="000000"/>
              <w:right w:val="single" w:sz="4" w:space="0" w:color="000000"/>
            </w:tcBorders>
            <w:shd w:val="clear" w:color="auto" w:fill="auto"/>
            <w:vAlign w:val="center"/>
          </w:tcPr>
          <w:p w14:paraId="7BED15C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-54,3%</w:t>
            </w:r>
          </w:p>
        </w:tc>
      </w:tr>
      <w:tr w:rsidR="00A0251B" w:rsidRPr="00CC35F0" w14:paraId="62F9231C" w14:textId="77777777">
        <w:trPr>
          <w:gridAfter w:val="1"/>
          <w:wAfter w:w="78" w:type="dxa"/>
          <w:trHeight w:val="26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721466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20" w:type="dxa"/>
            <w:gridSpan w:val="2"/>
            <w:tcBorders>
              <w:top w:val="nil"/>
              <w:left w:val="nil"/>
              <w:bottom w:val="single" w:sz="4" w:space="0" w:color="000000"/>
              <w:right w:val="nil"/>
            </w:tcBorders>
            <w:shd w:val="clear" w:color="auto" w:fill="auto"/>
            <w:vAlign w:val="center"/>
          </w:tcPr>
          <w:p w14:paraId="62976A6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166,3   </w:t>
            </w:r>
          </w:p>
        </w:tc>
        <w:tc>
          <w:tcPr>
            <w:tcW w:w="920" w:type="dxa"/>
            <w:gridSpan w:val="2"/>
            <w:tcBorders>
              <w:top w:val="nil"/>
              <w:left w:val="single" w:sz="4" w:space="0" w:color="000000"/>
              <w:bottom w:val="single" w:sz="4" w:space="0" w:color="000000"/>
              <w:right w:val="nil"/>
            </w:tcBorders>
            <w:shd w:val="clear" w:color="auto" w:fill="auto"/>
            <w:vAlign w:val="center"/>
          </w:tcPr>
          <w:p w14:paraId="65DA1B6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144,1   </w:t>
            </w:r>
          </w:p>
        </w:tc>
        <w:tc>
          <w:tcPr>
            <w:tcW w:w="920" w:type="dxa"/>
            <w:gridSpan w:val="2"/>
            <w:tcBorders>
              <w:top w:val="nil"/>
              <w:left w:val="single" w:sz="4" w:space="0" w:color="000000"/>
              <w:bottom w:val="single" w:sz="4" w:space="0" w:color="000000"/>
              <w:right w:val="nil"/>
            </w:tcBorders>
            <w:shd w:val="clear" w:color="auto" w:fill="auto"/>
            <w:vAlign w:val="center"/>
          </w:tcPr>
          <w:p w14:paraId="7B5B2A4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140,0   </w:t>
            </w:r>
          </w:p>
        </w:tc>
        <w:tc>
          <w:tcPr>
            <w:tcW w:w="920" w:type="dxa"/>
            <w:gridSpan w:val="2"/>
            <w:tcBorders>
              <w:top w:val="nil"/>
              <w:left w:val="single" w:sz="4" w:space="0" w:color="000000"/>
              <w:bottom w:val="single" w:sz="4" w:space="0" w:color="000000"/>
              <w:right w:val="nil"/>
            </w:tcBorders>
            <w:shd w:val="clear" w:color="auto" w:fill="auto"/>
            <w:vAlign w:val="center"/>
          </w:tcPr>
          <w:p w14:paraId="737174B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72,6   </w:t>
            </w:r>
          </w:p>
        </w:tc>
        <w:tc>
          <w:tcPr>
            <w:tcW w:w="920" w:type="dxa"/>
            <w:gridSpan w:val="2"/>
            <w:tcBorders>
              <w:top w:val="nil"/>
              <w:left w:val="single" w:sz="4" w:space="0" w:color="000000"/>
              <w:bottom w:val="single" w:sz="4" w:space="0" w:color="000000"/>
              <w:right w:val="nil"/>
            </w:tcBorders>
            <w:shd w:val="clear" w:color="auto" w:fill="auto"/>
            <w:vAlign w:val="center"/>
          </w:tcPr>
          <w:p w14:paraId="6296FCE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57,8   </w:t>
            </w:r>
          </w:p>
        </w:tc>
        <w:tc>
          <w:tcPr>
            <w:tcW w:w="920" w:type="dxa"/>
            <w:gridSpan w:val="2"/>
            <w:tcBorders>
              <w:top w:val="nil"/>
              <w:left w:val="single" w:sz="4" w:space="0" w:color="000000"/>
              <w:bottom w:val="single" w:sz="4" w:space="0" w:color="000000"/>
              <w:right w:val="nil"/>
            </w:tcBorders>
            <w:shd w:val="clear" w:color="auto" w:fill="auto"/>
            <w:vAlign w:val="center"/>
          </w:tcPr>
          <w:p w14:paraId="5571DA5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52,6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0BD288C3"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-59,9%</w:t>
            </w:r>
          </w:p>
        </w:tc>
        <w:tc>
          <w:tcPr>
            <w:tcW w:w="1285" w:type="dxa"/>
            <w:gridSpan w:val="2"/>
            <w:tcBorders>
              <w:top w:val="nil"/>
              <w:left w:val="nil"/>
              <w:bottom w:val="single" w:sz="4" w:space="0" w:color="000000"/>
              <w:right w:val="single" w:sz="4" w:space="0" w:color="000000"/>
            </w:tcBorders>
            <w:shd w:val="clear" w:color="auto" w:fill="auto"/>
            <w:vAlign w:val="center"/>
          </w:tcPr>
          <w:p w14:paraId="26D5610E"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-65,3%</w:t>
            </w:r>
          </w:p>
        </w:tc>
      </w:tr>
      <w:tr w:rsidR="00A0251B" w:rsidRPr="00CC35F0" w14:paraId="34624D5D" w14:textId="77777777">
        <w:trPr>
          <w:gridAfter w:val="1"/>
          <w:wAfter w:w="78" w:type="dxa"/>
          <w:trHeight w:val="260"/>
        </w:trPr>
        <w:tc>
          <w:tcPr>
            <w:tcW w:w="2040" w:type="dxa"/>
            <w:tcBorders>
              <w:top w:val="nil"/>
              <w:left w:val="nil"/>
              <w:bottom w:val="nil"/>
              <w:right w:val="nil"/>
            </w:tcBorders>
            <w:shd w:val="clear" w:color="auto" w:fill="FFFFFF"/>
            <w:vAlign w:val="center"/>
          </w:tcPr>
          <w:p w14:paraId="0AC4DEE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3DA76BA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5AD9C08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6EBCEE1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6106AE6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585DEC0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26359CD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gridSpan w:val="2"/>
            <w:tcBorders>
              <w:top w:val="nil"/>
              <w:left w:val="nil"/>
              <w:bottom w:val="nil"/>
              <w:right w:val="nil"/>
            </w:tcBorders>
            <w:shd w:val="clear" w:color="auto" w:fill="FFFFFF"/>
            <w:vAlign w:val="center"/>
          </w:tcPr>
          <w:p w14:paraId="71CFCAE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85" w:type="dxa"/>
            <w:gridSpan w:val="2"/>
            <w:tcBorders>
              <w:top w:val="nil"/>
              <w:left w:val="nil"/>
              <w:bottom w:val="nil"/>
              <w:right w:val="nil"/>
            </w:tcBorders>
            <w:shd w:val="clear" w:color="auto" w:fill="FFFFFF"/>
            <w:vAlign w:val="center"/>
          </w:tcPr>
          <w:p w14:paraId="4BA92E4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54DF8560" w14:textId="77777777">
        <w:trPr>
          <w:gridAfter w:val="1"/>
          <w:wAfter w:w="78" w:type="dxa"/>
          <w:trHeight w:val="260"/>
        </w:trPr>
        <w:tc>
          <w:tcPr>
            <w:tcW w:w="2040" w:type="dxa"/>
            <w:tcBorders>
              <w:top w:val="nil"/>
              <w:left w:val="nil"/>
              <w:bottom w:val="single" w:sz="4" w:space="0" w:color="000000"/>
              <w:right w:val="nil"/>
            </w:tcBorders>
            <w:shd w:val="clear" w:color="auto" w:fill="FFFFFF"/>
            <w:vAlign w:val="center"/>
          </w:tcPr>
          <w:p w14:paraId="3A3EB94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Емисије NOx </w:t>
            </w:r>
          </w:p>
        </w:tc>
        <w:tc>
          <w:tcPr>
            <w:tcW w:w="920" w:type="dxa"/>
            <w:gridSpan w:val="2"/>
            <w:tcBorders>
              <w:top w:val="nil"/>
              <w:left w:val="nil"/>
              <w:bottom w:val="nil"/>
              <w:right w:val="nil"/>
            </w:tcBorders>
            <w:shd w:val="clear" w:color="auto" w:fill="FFFFFF"/>
            <w:vAlign w:val="center"/>
          </w:tcPr>
          <w:p w14:paraId="1355F5F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63C9C82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4F10DF6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55566A3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6F34F7D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gridSpan w:val="2"/>
            <w:tcBorders>
              <w:top w:val="nil"/>
              <w:left w:val="nil"/>
              <w:bottom w:val="nil"/>
              <w:right w:val="nil"/>
            </w:tcBorders>
            <w:shd w:val="clear" w:color="auto" w:fill="FFFFFF"/>
            <w:vAlign w:val="center"/>
          </w:tcPr>
          <w:p w14:paraId="5E14369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gridSpan w:val="2"/>
            <w:tcBorders>
              <w:top w:val="nil"/>
              <w:left w:val="nil"/>
              <w:bottom w:val="nil"/>
              <w:right w:val="nil"/>
            </w:tcBorders>
            <w:shd w:val="clear" w:color="auto" w:fill="FFFFFF"/>
            <w:vAlign w:val="center"/>
          </w:tcPr>
          <w:p w14:paraId="487E152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85" w:type="dxa"/>
            <w:gridSpan w:val="2"/>
            <w:tcBorders>
              <w:top w:val="nil"/>
              <w:left w:val="nil"/>
              <w:bottom w:val="nil"/>
              <w:right w:val="nil"/>
            </w:tcBorders>
            <w:shd w:val="clear" w:color="auto" w:fill="FFFFFF"/>
            <w:vAlign w:val="center"/>
          </w:tcPr>
          <w:p w14:paraId="27FDF65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0AFAAB2F" w14:textId="77777777">
        <w:trPr>
          <w:gridAfter w:val="1"/>
          <w:wAfter w:w="78" w:type="dxa"/>
          <w:trHeight w:val="250"/>
        </w:trPr>
        <w:tc>
          <w:tcPr>
            <w:tcW w:w="2040" w:type="dxa"/>
            <w:tcBorders>
              <w:top w:val="nil"/>
              <w:left w:val="single" w:sz="4" w:space="0" w:color="000000"/>
              <w:bottom w:val="nil"/>
              <w:right w:val="single" w:sz="4" w:space="0" w:color="000000"/>
            </w:tcBorders>
            <w:shd w:val="clear" w:color="auto" w:fill="DAEEF3"/>
            <w:vAlign w:val="center"/>
          </w:tcPr>
          <w:p w14:paraId="1E0C88B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 C </w:t>
            </w:r>
          </w:p>
        </w:tc>
        <w:tc>
          <w:tcPr>
            <w:tcW w:w="920" w:type="dxa"/>
            <w:gridSpan w:val="2"/>
            <w:tcBorders>
              <w:top w:val="single" w:sz="4" w:space="0" w:color="000000"/>
              <w:left w:val="nil"/>
              <w:bottom w:val="single" w:sz="4" w:space="0" w:color="000000"/>
              <w:right w:val="nil"/>
            </w:tcBorders>
            <w:shd w:val="clear" w:color="auto" w:fill="DAEEF3"/>
            <w:vAlign w:val="center"/>
          </w:tcPr>
          <w:p w14:paraId="61E4DFD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246B35E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3FFEFA9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33E0446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3DAC08B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20" w:type="dxa"/>
            <w:gridSpan w:val="2"/>
            <w:tcBorders>
              <w:top w:val="single" w:sz="4" w:space="0" w:color="000000"/>
              <w:left w:val="single" w:sz="4" w:space="0" w:color="000000"/>
              <w:bottom w:val="single" w:sz="4" w:space="0" w:color="000000"/>
              <w:right w:val="nil"/>
            </w:tcBorders>
            <w:shd w:val="clear" w:color="auto" w:fill="DAEEF3"/>
            <w:vAlign w:val="center"/>
          </w:tcPr>
          <w:p w14:paraId="0BD644C6"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gridSpan w:val="2"/>
            <w:tcBorders>
              <w:top w:val="single" w:sz="4" w:space="0" w:color="000000"/>
              <w:left w:val="single" w:sz="12" w:space="0" w:color="000000"/>
              <w:bottom w:val="single" w:sz="4" w:space="0" w:color="000000"/>
              <w:right w:val="single" w:sz="4" w:space="0" w:color="000000"/>
            </w:tcBorders>
            <w:shd w:val="clear" w:color="auto" w:fill="DAEEF3"/>
            <w:vAlign w:val="center"/>
          </w:tcPr>
          <w:p w14:paraId="3619049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85" w:type="dxa"/>
            <w:gridSpan w:val="2"/>
            <w:tcBorders>
              <w:top w:val="single" w:sz="4" w:space="0" w:color="000000"/>
              <w:left w:val="nil"/>
              <w:bottom w:val="single" w:sz="4" w:space="0" w:color="000000"/>
              <w:right w:val="single" w:sz="4" w:space="0" w:color="000000"/>
            </w:tcBorders>
            <w:shd w:val="clear" w:color="auto" w:fill="DAEEF3"/>
            <w:vAlign w:val="center"/>
          </w:tcPr>
          <w:p w14:paraId="78D1280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48CE6179" w14:textId="77777777">
        <w:trPr>
          <w:gridAfter w:val="1"/>
          <w:wAfter w:w="78" w:type="dxa"/>
          <w:trHeight w:val="250"/>
        </w:trPr>
        <w:tc>
          <w:tcPr>
            <w:tcW w:w="20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85D4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20" w:type="dxa"/>
            <w:gridSpan w:val="2"/>
            <w:tcBorders>
              <w:top w:val="nil"/>
              <w:left w:val="nil"/>
              <w:bottom w:val="single" w:sz="4" w:space="0" w:color="000000"/>
              <w:right w:val="single" w:sz="4" w:space="0" w:color="000000"/>
            </w:tcBorders>
            <w:shd w:val="clear" w:color="auto" w:fill="auto"/>
            <w:vAlign w:val="center"/>
          </w:tcPr>
          <w:p w14:paraId="22384B6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74,5   </w:t>
            </w:r>
          </w:p>
        </w:tc>
        <w:tc>
          <w:tcPr>
            <w:tcW w:w="920" w:type="dxa"/>
            <w:gridSpan w:val="2"/>
            <w:tcBorders>
              <w:top w:val="nil"/>
              <w:left w:val="nil"/>
              <w:bottom w:val="single" w:sz="4" w:space="0" w:color="000000"/>
              <w:right w:val="single" w:sz="4" w:space="0" w:color="000000"/>
            </w:tcBorders>
            <w:shd w:val="clear" w:color="auto" w:fill="auto"/>
            <w:vAlign w:val="center"/>
          </w:tcPr>
          <w:p w14:paraId="64B1F6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72,5   </w:t>
            </w:r>
          </w:p>
        </w:tc>
        <w:tc>
          <w:tcPr>
            <w:tcW w:w="920" w:type="dxa"/>
            <w:gridSpan w:val="2"/>
            <w:tcBorders>
              <w:top w:val="nil"/>
              <w:left w:val="nil"/>
              <w:bottom w:val="single" w:sz="4" w:space="0" w:color="000000"/>
              <w:right w:val="single" w:sz="4" w:space="0" w:color="000000"/>
            </w:tcBorders>
            <w:shd w:val="clear" w:color="auto" w:fill="auto"/>
            <w:vAlign w:val="center"/>
          </w:tcPr>
          <w:p w14:paraId="1A521F0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73,7   </w:t>
            </w:r>
          </w:p>
        </w:tc>
        <w:tc>
          <w:tcPr>
            <w:tcW w:w="920" w:type="dxa"/>
            <w:gridSpan w:val="2"/>
            <w:tcBorders>
              <w:top w:val="nil"/>
              <w:left w:val="nil"/>
              <w:bottom w:val="single" w:sz="4" w:space="0" w:color="000000"/>
              <w:right w:val="single" w:sz="4" w:space="0" w:color="000000"/>
            </w:tcBorders>
            <w:shd w:val="clear" w:color="auto" w:fill="auto"/>
            <w:vAlign w:val="center"/>
          </w:tcPr>
          <w:p w14:paraId="5B7CF58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20,5   </w:t>
            </w:r>
          </w:p>
        </w:tc>
        <w:tc>
          <w:tcPr>
            <w:tcW w:w="920" w:type="dxa"/>
            <w:gridSpan w:val="2"/>
            <w:tcBorders>
              <w:top w:val="nil"/>
              <w:left w:val="nil"/>
              <w:bottom w:val="single" w:sz="4" w:space="0" w:color="000000"/>
              <w:right w:val="single" w:sz="4" w:space="0" w:color="000000"/>
            </w:tcBorders>
            <w:shd w:val="clear" w:color="auto" w:fill="auto"/>
            <w:vAlign w:val="center"/>
          </w:tcPr>
          <w:p w14:paraId="63E43FC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17,5   </w:t>
            </w:r>
          </w:p>
        </w:tc>
        <w:tc>
          <w:tcPr>
            <w:tcW w:w="920" w:type="dxa"/>
            <w:gridSpan w:val="2"/>
            <w:tcBorders>
              <w:top w:val="nil"/>
              <w:left w:val="nil"/>
              <w:bottom w:val="single" w:sz="4" w:space="0" w:color="000000"/>
              <w:right w:val="nil"/>
            </w:tcBorders>
            <w:shd w:val="clear" w:color="auto" w:fill="auto"/>
            <w:vAlign w:val="center"/>
          </w:tcPr>
          <w:p w14:paraId="466F287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14,4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3170CE3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-75,8%</w:t>
            </w:r>
          </w:p>
        </w:tc>
        <w:tc>
          <w:tcPr>
            <w:tcW w:w="1285" w:type="dxa"/>
            <w:gridSpan w:val="2"/>
            <w:tcBorders>
              <w:top w:val="nil"/>
              <w:left w:val="nil"/>
              <w:bottom w:val="single" w:sz="4" w:space="0" w:color="000000"/>
              <w:right w:val="single" w:sz="4" w:space="0" w:color="000000"/>
            </w:tcBorders>
            <w:shd w:val="clear" w:color="auto" w:fill="auto"/>
            <w:vAlign w:val="center"/>
          </w:tcPr>
          <w:p w14:paraId="4FA35A5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-76,5%</w:t>
            </w:r>
          </w:p>
        </w:tc>
      </w:tr>
      <w:tr w:rsidR="00A0251B" w:rsidRPr="00CC35F0" w14:paraId="52278B61"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307E47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20" w:type="dxa"/>
            <w:gridSpan w:val="2"/>
            <w:tcBorders>
              <w:top w:val="nil"/>
              <w:left w:val="nil"/>
              <w:bottom w:val="single" w:sz="4" w:space="0" w:color="000000"/>
              <w:right w:val="single" w:sz="4" w:space="0" w:color="000000"/>
            </w:tcBorders>
            <w:shd w:val="clear" w:color="auto" w:fill="auto"/>
            <w:vAlign w:val="center"/>
          </w:tcPr>
          <w:p w14:paraId="779A61A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17,2   </w:t>
            </w:r>
          </w:p>
        </w:tc>
        <w:tc>
          <w:tcPr>
            <w:tcW w:w="920" w:type="dxa"/>
            <w:gridSpan w:val="2"/>
            <w:tcBorders>
              <w:top w:val="nil"/>
              <w:left w:val="nil"/>
              <w:bottom w:val="single" w:sz="4" w:space="0" w:color="000000"/>
              <w:right w:val="single" w:sz="4" w:space="0" w:color="000000"/>
            </w:tcBorders>
            <w:shd w:val="clear" w:color="auto" w:fill="auto"/>
            <w:vAlign w:val="center"/>
          </w:tcPr>
          <w:p w14:paraId="78A14EF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16,4   </w:t>
            </w:r>
          </w:p>
        </w:tc>
        <w:tc>
          <w:tcPr>
            <w:tcW w:w="920" w:type="dxa"/>
            <w:gridSpan w:val="2"/>
            <w:tcBorders>
              <w:top w:val="nil"/>
              <w:left w:val="nil"/>
              <w:bottom w:val="single" w:sz="4" w:space="0" w:color="000000"/>
              <w:right w:val="single" w:sz="4" w:space="0" w:color="000000"/>
            </w:tcBorders>
            <w:shd w:val="clear" w:color="auto" w:fill="auto"/>
            <w:vAlign w:val="center"/>
          </w:tcPr>
          <w:p w14:paraId="5F5F00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17,1   </w:t>
            </w:r>
          </w:p>
        </w:tc>
        <w:tc>
          <w:tcPr>
            <w:tcW w:w="920" w:type="dxa"/>
            <w:gridSpan w:val="2"/>
            <w:tcBorders>
              <w:top w:val="nil"/>
              <w:left w:val="nil"/>
              <w:bottom w:val="single" w:sz="4" w:space="0" w:color="000000"/>
              <w:right w:val="single" w:sz="4" w:space="0" w:color="000000"/>
            </w:tcBorders>
            <w:shd w:val="clear" w:color="auto" w:fill="auto"/>
            <w:vAlign w:val="center"/>
          </w:tcPr>
          <w:p w14:paraId="5AA791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12,8   </w:t>
            </w:r>
          </w:p>
        </w:tc>
        <w:tc>
          <w:tcPr>
            <w:tcW w:w="920" w:type="dxa"/>
            <w:gridSpan w:val="2"/>
            <w:tcBorders>
              <w:top w:val="nil"/>
              <w:left w:val="nil"/>
              <w:bottom w:val="single" w:sz="4" w:space="0" w:color="000000"/>
              <w:right w:val="single" w:sz="4" w:space="0" w:color="000000"/>
            </w:tcBorders>
            <w:shd w:val="clear" w:color="auto" w:fill="auto"/>
            <w:vAlign w:val="center"/>
          </w:tcPr>
          <w:p w14:paraId="698E6E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9,9   </w:t>
            </w:r>
          </w:p>
        </w:tc>
        <w:tc>
          <w:tcPr>
            <w:tcW w:w="920" w:type="dxa"/>
            <w:gridSpan w:val="2"/>
            <w:tcBorders>
              <w:top w:val="nil"/>
              <w:left w:val="nil"/>
              <w:bottom w:val="single" w:sz="4" w:space="0" w:color="000000"/>
              <w:right w:val="nil"/>
            </w:tcBorders>
            <w:shd w:val="clear" w:color="auto" w:fill="auto"/>
            <w:vAlign w:val="center"/>
          </w:tcPr>
          <w:p w14:paraId="183AAD7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9,5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1E1D642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-39,2%</w:t>
            </w:r>
          </w:p>
        </w:tc>
        <w:tc>
          <w:tcPr>
            <w:tcW w:w="1285" w:type="dxa"/>
            <w:gridSpan w:val="2"/>
            <w:tcBorders>
              <w:top w:val="nil"/>
              <w:left w:val="nil"/>
              <w:bottom w:val="single" w:sz="4" w:space="0" w:color="000000"/>
              <w:right w:val="single" w:sz="4" w:space="0" w:color="000000"/>
            </w:tcBorders>
            <w:shd w:val="clear" w:color="auto" w:fill="auto"/>
            <w:vAlign w:val="center"/>
          </w:tcPr>
          <w:p w14:paraId="68990A2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-42,3%</w:t>
            </w:r>
          </w:p>
        </w:tc>
      </w:tr>
      <w:tr w:rsidR="00A0251B" w:rsidRPr="00CC35F0" w14:paraId="57015559" w14:textId="77777777">
        <w:trPr>
          <w:gridAfter w:val="1"/>
          <w:wAfter w:w="78" w:type="dxa"/>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21AE2D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20" w:type="dxa"/>
            <w:gridSpan w:val="2"/>
            <w:tcBorders>
              <w:top w:val="nil"/>
              <w:left w:val="nil"/>
              <w:bottom w:val="single" w:sz="4" w:space="0" w:color="000000"/>
              <w:right w:val="single" w:sz="4" w:space="0" w:color="000000"/>
            </w:tcBorders>
            <w:shd w:val="clear" w:color="auto" w:fill="auto"/>
            <w:vAlign w:val="center"/>
          </w:tcPr>
          <w:p w14:paraId="6C7CA9A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6,0   </w:t>
            </w:r>
          </w:p>
        </w:tc>
        <w:tc>
          <w:tcPr>
            <w:tcW w:w="920" w:type="dxa"/>
            <w:gridSpan w:val="2"/>
            <w:tcBorders>
              <w:top w:val="nil"/>
              <w:left w:val="nil"/>
              <w:bottom w:val="single" w:sz="4" w:space="0" w:color="000000"/>
              <w:right w:val="single" w:sz="4" w:space="0" w:color="000000"/>
            </w:tcBorders>
            <w:shd w:val="clear" w:color="auto" w:fill="auto"/>
            <w:vAlign w:val="center"/>
          </w:tcPr>
          <w:p w14:paraId="0584F5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4,9   </w:t>
            </w:r>
          </w:p>
        </w:tc>
        <w:tc>
          <w:tcPr>
            <w:tcW w:w="920" w:type="dxa"/>
            <w:gridSpan w:val="2"/>
            <w:tcBorders>
              <w:top w:val="nil"/>
              <w:left w:val="nil"/>
              <w:bottom w:val="single" w:sz="4" w:space="0" w:color="000000"/>
              <w:right w:val="single" w:sz="4" w:space="0" w:color="000000"/>
            </w:tcBorders>
            <w:shd w:val="clear" w:color="auto" w:fill="auto"/>
            <w:vAlign w:val="center"/>
          </w:tcPr>
          <w:p w14:paraId="58CA68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4,4   </w:t>
            </w:r>
          </w:p>
        </w:tc>
        <w:tc>
          <w:tcPr>
            <w:tcW w:w="920" w:type="dxa"/>
            <w:gridSpan w:val="2"/>
            <w:tcBorders>
              <w:top w:val="nil"/>
              <w:left w:val="nil"/>
              <w:bottom w:val="single" w:sz="4" w:space="0" w:color="000000"/>
              <w:right w:val="single" w:sz="4" w:space="0" w:color="000000"/>
            </w:tcBorders>
            <w:shd w:val="clear" w:color="auto" w:fill="auto"/>
            <w:vAlign w:val="center"/>
          </w:tcPr>
          <w:p w14:paraId="6808369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   </w:t>
            </w:r>
          </w:p>
        </w:tc>
        <w:tc>
          <w:tcPr>
            <w:tcW w:w="920" w:type="dxa"/>
            <w:gridSpan w:val="2"/>
            <w:tcBorders>
              <w:top w:val="nil"/>
              <w:left w:val="nil"/>
              <w:bottom w:val="single" w:sz="4" w:space="0" w:color="000000"/>
              <w:right w:val="single" w:sz="4" w:space="0" w:color="000000"/>
            </w:tcBorders>
            <w:shd w:val="clear" w:color="auto" w:fill="auto"/>
            <w:vAlign w:val="center"/>
          </w:tcPr>
          <w:p w14:paraId="1E22F87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3,9   </w:t>
            </w:r>
          </w:p>
        </w:tc>
        <w:tc>
          <w:tcPr>
            <w:tcW w:w="920" w:type="dxa"/>
            <w:gridSpan w:val="2"/>
            <w:tcBorders>
              <w:top w:val="nil"/>
              <w:left w:val="nil"/>
              <w:bottom w:val="single" w:sz="4" w:space="0" w:color="000000"/>
              <w:right w:val="nil"/>
            </w:tcBorders>
            <w:shd w:val="clear" w:color="auto" w:fill="auto"/>
            <w:vAlign w:val="center"/>
          </w:tcPr>
          <w:p w14:paraId="3EA32DF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4,0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15267DA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w:t>
            </w:r>
          </w:p>
        </w:tc>
        <w:tc>
          <w:tcPr>
            <w:tcW w:w="1285" w:type="dxa"/>
            <w:gridSpan w:val="2"/>
            <w:tcBorders>
              <w:top w:val="nil"/>
              <w:left w:val="nil"/>
              <w:bottom w:val="single" w:sz="4" w:space="0" w:color="000000"/>
              <w:right w:val="single" w:sz="4" w:space="0" w:color="000000"/>
            </w:tcBorders>
            <w:shd w:val="clear" w:color="auto" w:fill="auto"/>
            <w:vAlign w:val="center"/>
          </w:tcPr>
          <w:p w14:paraId="00AF0FE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-34,6%</w:t>
            </w:r>
          </w:p>
        </w:tc>
      </w:tr>
      <w:tr w:rsidR="00A0251B" w:rsidRPr="00CC35F0" w14:paraId="39D15C8B"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6934280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D_Ненамерне</w:t>
            </w:r>
          </w:p>
        </w:tc>
        <w:tc>
          <w:tcPr>
            <w:tcW w:w="920" w:type="dxa"/>
            <w:gridSpan w:val="2"/>
            <w:tcBorders>
              <w:top w:val="nil"/>
              <w:left w:val="nil"/>
              <w:bottom w:val="single" w:sz="4" w:space="0" w:color="000000"/>
              <w:right w:val="single" w:sz="4" w:space="0" w:color="000000"/>
            </w:tcBorders>
            <w:shd w:val="clear" w:color="auto" w:fill="auto"/>
            <w:vAlign w:val="center"/>
          </w:tcPr>
          <w:p w14:paraId="10F05A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gridSpan w:val="2"/>
            <w:tcBorders>
              <w:top w:val="nil"/>
              <w:left w:val="nil"/>
              <w:bottom w:val="single" w:sz="4" w:space="0" w:color="000000"/>
              <w:right w:val="single" w:sz="4" w:space="0" w:color="000000"/>
            </w:tcBorders>
            <w:shd w:val="clear" w:color="auto" w:fill="auto"/>
            <w:vAlign w:val="center"/>
          </w:tcPr>
          <w:p w14:paraId="6FD3794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1EE0C89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307B8E5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0F1058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nil"/>
            </w:tcBorders>
            <w:shd w:val="clear" w:color="auto" w:fill="auto"/>
            <w:vAlign w:val="center"/>
          </w:tcPr>
          <w:p w14:paraId="011C35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322EA79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5,6%</w:t>
            </w:r>
          </w:p>
        </w:tc>
        <w:tc>
          <w:tcPr>
            <w:tcW w:w="1285" w:type="dxa"/>
            <w:gridSpan w:val="2"/>
            <w:tcBorders>
              <w:top w:val="nil"/>
              <w:left w:val="nil"/>
              <w:bottom w:val="single" w:sz="4" w:space="0" w:color="000000"/>
              <w:right w:val="single" w:sz="4" w:space="0" w:color="000000"/>
            </w:tcBorders>
            <w:shd w:val="clear" w:color="auto" w:fill="auto"/>
            <w:vAlign w:val="center"/>
          </w:tcPr>
          <w:p w14:paraId="42E0816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-99,9%</w:t>
            </w:r>
          </w:p>
        </w:tc>
      </w:tr>
      <w:tr w:rsidR="00A0251B" w:rsidRPr="00CC35F0" w14:paraId="1ED0209F"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FD815E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20" w:type="dxa"/>
            <w:gridSpan w:val="2"/>
            <w:tcBorders>
              <w:top w:val="nil"/>
              <w:left w:val="nil"/>
              <w:bottom w:val="single" w:sz="4" w:space="0" w:color="000000"/>
              <w:right w:val="single" w:sz="4" w:space="0" w:color="000000"/>
            </w:tcBorders>
            <w:shd w:val="clear" w:color="auto" w:fill="auto"/>
            <w:vAlign w:val="center"/>
          </w:tcPr>
          <w:p w14:paraId="0FCD8E8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5BE250D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1444735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2108C6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single" w:sz="4" w:space="0" w:color="000000"/>
            </w:tcBorders>
            <w:shd w:val="clear" w:color="auto" w:fill="auto"/>
            <w:vAlign w:val="center"/>
          </w:tcPr>
          <w:p w14:paraId="68A613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gridSpan w:val="2"/>
            <w:tcBorders>
              <w:top w:val="nil"/>
              <w:left w:val="nil"/>
              <w:bottom w:val="single" w:sz="4" w:space="0" w:color="000000"/>
              <w:right w:val="nil"/>
            </w:tcBorders>
            <w:shd w:val="clear" w:color="auto" w:fill="auto"/>
            <w:vAlign w:val="center"/>
          </w:tcPr>
          <w:p w14:paraId="4639318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1B2E060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20,8%</w:t>
            </w:r>
          </w:p>
        </w:tc>
        <w:tc>
          <w:tcPr>
            <w:tcW w:w="1285" w:type="dxa"/>
            <w:gridSpan w:val="2"/>
            <w:tcBorders>
              <w:top w:val="nil"/>
              <w:left w:val="nil"/>
              <w:bottom w:val="single" w:sz="4" w:space="0" w:color="000000"/>
              <w:right w:val="single" w:sz="4" w:space="0" w:color="000000"/>
            </w:tcBorders>
            <w:shd w:val="clear" w:color="auto" w:fill="auto"/>
            <w:vAlign w:val="center"/>
          </w:tcPr>
          <w:p w14:paraId="4FA8EE7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132,7%</w:t>
            </w:r>
          </w:p>
        </w:tc>
      </w:tr>
      <w:tr w:rsidR="00A0251B" w:rsidRPr="00CC35F0" w14:paraId="6C368AEC"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318036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1EC1261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44,8   </w:t>
            </w:r>
          </w:p>
        </w:tc>
        <w:tc>
          <w:tcPr>
            <w:tcW w:w="920" w:type="dxa"/>
            <w:gridSpan w:val="2"/>
            <w:tcBorders>
              <w:top w:val="nil"/>
              <w:left w:val="nil"/>
              <w:bottom w:val="single" w:sz="4" w:space="0" w:color="000000"/>
              <w:right w:val="single" w:sz="4" w:space="0" w:color="000000"/>
            </w:tcBorders>
            <w:shd w:val="clear" w:color="auto" w:fill="auto"/>
            <w:vAlign w:val="center"/>
          </w:tcPr>
          <w:p w14:paraId="72DE042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36,5   </w:t>
            </w:r>
          </w:p>
        </w:tc>
        <w:tc>
          <w:tcPr>
            <w:tcW w:w="920" w:type="dxa"/>
            <w:gridSpan w:val="2"/>
            <w:tcBorders>
              <w:top w:val="nil"/>
              <w:left w:val="nil"/>
              <w:bottom w:val="single" w:sz="4" w:space="0" w:color="000000"/>
              <w:right w:val="single" w:sz="4" w:space="0" w:color="000000"/>
            </w:tcBorders>
            <w:shd w:val="clear" w:color="auto" w:fill="auto"/>
            <w:vAlign w:val="center"/>
          </w:tcPr>
          <w:p w14:paraId="4A5181C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31,1   </w:t>
            </w:r>
          </w:p>
        </w:tc>
        <w:tc>
          <w:tcPr>
            <w:tcW w:w="920" w:type="dxa"/>
            <w:gridSpan w:val="2"/>
            <w:tcBorders>
              <w:top w:val="nil"/>
              <w:left w:val="nil"/>
              <w:bottom w:val="single" w:sz="4" w:space="0" w:color="000000"/>
              <w:right w:val="single" w:sz="4" w:space="0" w:color="000000"/>
            </w:tcBorders>
            <w:shd w:val="clear" w:color="auto" w:fill="auto"/>
            <w:vAlign w:val="center"/>
          </w:tcPr>
          <w:p w14:paraId="33EC07F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23,1   </w:t>
            </w:r>
          </w:p>
        </w:tc>
        <w:tc>
          <w:tcPr>
            <w:tcW w:w="920" w:type="dxa"/>
            <w:gridSpan w:val="2"/>
            <w:tcBorders>
              <w:top w:val="nil"/>
              <w:left w:val="nil"/>
              <w:bottom w:val="single" w:sz="4" w:space="0" w:color="000000"/>
              <w:right w:val="single" w:sz="4" w:space="0" w:color="000000"/>
            </w:tcBorders>
            <w:shd w:val="clear" w:color="auto" w:fill="auto"/>
            <w:vAlign w:val="center"/>
          </w:tcPr>
          <w:p w14:paraId="00FA0DF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15,8   </w:t>
            </w:r>
          </w:p>
        </w:tc>
        <w:tc>
          <w:tcPr>
            <w:tcW w:w="920" w:type="dxa"/>
            <w:gridSpan w:val="2"/>
            <w:tcBorders>
              <w:top w:val="nil"/>
              <w:left w:val="nil"/>
              <w:bottom w:val="single" w:sz="4" w:space="0" w:color="000000"/>
              <w:right w:val="nil"/>
            </w:tcBorders>
            <w:shd w:val="clear" w:color="auto" w:fill="auto"/>
            <w:vAlign w:val="center"/>
          </w:tcPr>
          <w:p w14:paraId="13F7371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15,9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0E085BB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-56,5%</w:t>
            </w:r>
          </w:p>
        </w:tc>
        <w:tc>
          <w:tcPr>
            <w:tcW w:w="1285" w:type="dxa"/>
            <w:gridSpan w:val="2"/>
            <w:tcBorders>
              <w:top w:val="nil"/>
              <w:left w:val="nil"/>
              <w:bottom w:val="single" w:sz="4" w:space="0" w:color="000000"/>
              <w:right w:val="single" w:sz="4" w:space="0" w:color="000000"/>
            </w:tcBorders>
            <w:shd w:val="clear" w:color="auto" w:fill="auto"/>
            <w:vAlign w:val="center"/>
          </w:tcPr>
          <w:p w14:paraId="71B29CC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-64,7%</w:t>
            </w:r>
          </w:p>
        </w:tc>
      </w:tr>
      <w:tr w:rsidR="00A0251B" w:rsidRPr="00CC35F0" w14:paraId="686A9676"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037C80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5A5BEAE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   </w:t>
            </w:r>
          </w:p>
        </w:tc>
        <w:tc>
          <w:tcPr>
            <w:tcW w:w="920" w:type="dxa"/>
            <w:gridSpan w:val="2"/>
            <w:tcBorders>
              <w:top w:val="nil"/>
              <w:left w:val="nil"/>
              <w:bottom w:val="single" w:sz="4" w:space="0" w:color="000000"/>
              <w:right w:val="single" w:sz="4" w:space="0" w:color="000000"/>
            </w:tcBorders>
            <w:shd w:val="clear" w:color="auto" w:fill="auto"/>
            <w:vAlign w:val="center"/>
          </w:tcPr>
          <w:p w14:paraId="134F5F4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gridSpan w:val="2"/>
            <w:tcBorders>
              <w:top w:val="nil"/>
              <w:left w:val="nil"/>
              <w:bottom w:val="single" w:sz="4" w:space="0" w:color="000000"/>
              <w:right w:val="single" w:sz="4" w:space="0" w:color="000000"/>
            </w:tcBorders>
            <w:shd w:val="clear" w:color="auto" w:fill="auto"/>
            <w:vAlign w:val="center"/>
          </w:tcPr>
          <w:p w14:paraId="670826C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0,8   </w:t>
            </w:r>
          </w:p>
        </w:tc>
        <w:tc>
          <w:tcPr>
            <w:tcW w:w="920" w:type="dxa"/>
            <w:gridSpan w:val="2"/>
            <w:tcBorders>
              <w:top w:val="nil"/>
              <w:left w:val="nil"/>
              <w:bottom w:val="single" w:sz="4" w:space="0" w:color="000000"/>
              <w:right w:val="single" w:sz="4" w:space="0" w:color="000000"/>
            </w:tcBorders>
            <w:shd w:val="clear" w:color="auto" w:fill="auto"/>
            <w:vAlign w:val="center"/>
          </w:tcPr>
          <w:p w14:paraId="3EC55CC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0,9   </w:t>
            </w:r>
          </w:p>
        </w:tc>
        <w:tc>
          <w:tcPr>
            <w:tcW w:w="920" w:type="dxa"/>
            <w:gridSpan w:val="2"/>
            <w:tcBorders>
              <w:top w:val="nil"/>
              <w:left w:val="nil"/>
              <w:bottom w:val="single" w:sz="4" w:space="0" w:color="000000"/>
              <w:right w:val="single" w:sz="4" w:space="0" w:color="000000"/>
            </w:tcBorders>
            <w:shd w:val="clear" w:color="auto" w:fill="auto"/>
            <w:vAlign w:val="center"/>
          </w:tcPr>
          <w:p w14:paraId="348594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20" w:type="dxa"/>
            <w:gridSpan w:val="2"/>
            <w:tcBorders>
              <w:top w:val="nil"/>
              <w:left w:val="nil"/>
              <w:bottom w:val="single" w:sz="4" w:space="0" w:color="000000"/>
              <w:right w:val="nil"/>
            </w:tcBorders>
            <w:shd w:val="clear" w:color="auto" w:fill="auto"/>
            <w:vAlign w:val="center"/>
          </w:tcPr>
          <w:p w14:paraId="03AACAD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4A33E3A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85" w:type="dxa"/>
            <w:gridSpan w:val="2"/>
            <w:tcBorders>
              <w:top w:val="nil"/>
              <w:left w:val="nil"/>
              <w:bottom w:val="single" w:sz="4" w:space="0" w:color="000000"/>
              <w:right w:val="single" w:sz="4" w:space="0" w:color="000000"/>
            </w:tcBorders>
            <w:shd w:val="clear" w:color="auto" w:fill="auto"/>
            <w:vAlign w:val="center"/>
          </w:tcPr>
          <w:p w14:paraId="43B095A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0D7B7F85"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C1B28C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20" w:type="dxa"/>
            <w:gridSpan w:val="2"/>
            <w:tcBorders>
              <w:top w:val="nil"/>
              <w:left w:val="nil"/>
              <w:bottom w:val="single" w:sz="4" w:space="0" w:color="000000"/>
              <w:right w:val="single" w:sz="4" w:space="0" w:color="000000"/>
            </w:tcBorders>
            <w:shd w:val="clear" w:color="auto" w:fill="auto"/>
            <w:vAlign w:val="center"/>
          </w:tcPr>
          <w:p w14:paraId="18F9049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2431A63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1FC3516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231664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gridSpan w:val="2"/>
            <w:tcBorders>
              <w:top w:val="nil"/>
              <w:left w:val="nil"/>
              <w:bottom w:val="single" w:sz="4" w:space="0" w:color="000000"/>
              <w:right w:val="single" w:sz="4" w:space="0" w:color="000000"/>
            </w:tcBorders>
            <w:shd w:val="clear" w:color="auto" w:fill="auto"/>
            <w:vAlign w:val="center"/>
          </w:tcPr>
          <w:p w14:paraId="2D15010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920" w:type="dxa"/>
            <w:gridSpan w:val="2"/>
            <w:tcBorders>
              <w:top w:val="nil"/>
              <w:left w:val="nil"/>
              <w:bottom w:val="single" w:sz="4" w:space="0" w:color="000000"/>
              <w:right w:val="nil"/>
            </w:tcBorders>
            <w:shd w:val="clear" w:color="auto" w:fill="auto"/>
            <w:vAlign w:val="center"/>
          </w:tcPr>
          <w:p w14:paraId="19D446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7F95ED4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85" w:type="dxa"/>
            <w:gridSpan w:val="2"/>
            <w:tcBorders>
              <w:top w:val="nil"/>
              <w:left w:val="nil"/>
              <w:bottom w:val="single" w:sz="4" w:space="0" w:color="000000"/>
              <w:right w:val="single" w:sz="4" w:space="0" w:color="000000"/>
            </w:tcBorders>
            <w:shd w:val="clear" w:color="auto" w:fill="auto"/>
            <w:vAlign w:val="center"/>
          </w:tcPr>
          <w:p w14:paraId="35BC224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41AE51CC"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5D7CB9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20" w:type="dxa"/>
            <w:gridSpan w:val="2"/>
            <w:tcBorders>
              <w:top w:val="nil"/>
              <w:left w:val="nil"/>
              <w:bottom w:val="single" w:sz="4" w:space="0" w:color="000000"/>
              <w:right w:val="single" w:sz="4" w:space="0" w:color="000000"/>
            </w:tcBorders>
            <w:shd w:val="clear" w:color="auto" w:fill="auto"/>
            <w:vAlign w:val="center"/>
          </w:tcPr>
          <w:p w14:paraId="52AB05A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10,6   </w:t>
            </w:r>
          </w:p>
        </w:tc>
        <w:tc>
          <w:tcPr>
            <w:tcW w:w="920" w:type="dxa"/>
            <w:gridSpan w:val="2"/>
            <w:tcBorders>
              <w:top w:val="nil"/>
              <w:left w:val="nil"/>
              <w:bottom w:val="single" w:sz="4" w:space="0" w:color="000000"/>
              <w:right w:val="single" w:sz="4" w:space="0" w:color="000000"/>
            </w:tcBorders>
            <w:shd w:val="clear" w:color="auto" w:fill="auto"/>
            <w:vAlign w:val="center"/>
          </w:tcPr>
          <w:p w14:paraId="0604935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5,7   </w:t>
            </w:r>
          </w:p>
        </w:tc>
        <w:tc>
          <w:tcPr>
            <w:tcW w:w="920" w:type="dxa"/>
            <w:gridSpan w:val="2"/>
            <w:tcBorders>
              <w:top w:val="nil"/>
              <w:left w:val="nil"/>
              <w:bottom w:val="single" w:sz="4" w:space="0" w:color="000000"/>
              <w:right w:val="single" w:sz="4" w:space="0" w:color="000000"/>
            </w:tcBorders>
            <w:shd w:val="clear" w:color="auto" w:fill="auto"/>
            <w:vAlign w:val="center"/>
          </w:tcPr>
          <w:p w14:paraId="78942E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5,2   </w:t>
            </w:r>
          </w:p>
        </w:tc>
        <w:tc>
          <w:tcPr>
            <w:tcW w:w="920" w:type="dxa"/>
            <w:gridSpan w:val="2"/>
            <w:tcBorders>
              <w:top w:val="nil"/>
              <w:left w:val="nil"/>
              <w:bottom w:val="single" w:sz="4" w:space="0" w:color="000000"/>
              <w:right w:val="single" w:sz="4" w:space="0" w:color="000000"/>
            </w:tcBorders>
            <w:shd w:val="clear" w:color="auto" w:fill="auto"/>
            <w:vAlign w:val="center"/>
          </w:tcPr>
          <w:p w14:paraId="67B6340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5,1   </w:t>
            </w:r>
          </w:p>
        </w:tc>
        <w:tc>
          <w:tcPr>
            <w:tcW w:w="920" w:type="dxa"/>
            <w:gridSpan w:val="2"/>
            <w:tcBorders>
              <w:top w:val="nil"/>
              <w:left w:val="nil"/>
              <w:bottom w:val="single" w:sz="4" w:space="0" w:color="000000"/>
              <w:right w:val="single" w:sz="4" w:space="0" w:color="000000"/>
            </w:tcBorders>
            <w:shd w:val="clear" w:color="auto" w:fill="auto"/>
            <w:vAlign w:val="center"/>
          </w:tcPr>
          <w:p w14:paraId="53F6019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   </w:t>
            </w:r>
          </w:p>
        </w:tc>
        <w:tc>
          <w:tcPr>
            <w:tcW w:w="920" w:type="dxa"/>
            <w:gridSpan w:val="2"/>
            <w:tcBorders>
              <w:top w:val="nil"/>
              <w:left w:val="nil"/>
              <w:bottom w:val="single" w:sz="4" w:space="0" w:color="000000"/>
              <w:right w:val="nil"/>
            </w:tcBorders>
            <w:shd w:val="clear" w:color="auto" w:fill="auto"/>
            <w:vAlign w:val="center"/>
          </w:tcPr>
          <w:p w14:paraId="1FA73DD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6DFD42D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-37,3%</w:t>
            </w:r>
          </w:p>
        </w:tc>
        <w:tc>
          <w:tcPr>
            <w:tcW w:w="1285" w:type="dxa"/>
            <w:gridSpan w:val="2"/>
            <w:tcBorders>
              <w:top w:val="nil"/>
              <w:left w:val="nil"/>
              <w:bottom w:val="single" w:sz="4" w:space="0" w:color="000000"/>
              <w:right w:val="single" w:sz="4" w:space="0" w:color="000000"/>
            </w:tcBorders>
            <w:shd w:val="clear" w:color="auto" w:fill="auto"/>
            <w:vAlign w:val="center"/>
          </w:tcPr>
          <w:p w14:paraId="27FA201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-66,5%</w:t>
            </w:r>
          </w:p>
        </w:tc>
      </w:tr>
      <w:tr w:rsidR="00A0251B" w:rsidRPr="00CC35F0" w14:paraId="4C3E5894"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784DC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20" w:type="dxa"/>
            <w:gridSpan w:val="2"/>
            <w:tcBorders>
              <w:top w:val="nil"/>
              <w:left w:val="nil"/>
              <w:bottom w:val="single" w:sz="4" w:space="0" w:color="000000"/>
              <w:right w:val="single" w:sz="4" w:space="0" w:color="000000"/>
            </w:tcBorders>
            <w:shd w:val="clear" w:color="auto" w:fill="auto"/>
            <w:vAlign w:val="center"/>
          </w:tcPr>
          <w:p w14:paraId="1F0ACD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7C88BB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248F09E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1E7ABC8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single" w:sz="4" w:space="0" w:color="000000"/>
            </w:tcBorders>
            <w:shd w:val="clear" w:color="auto" w:fill="auto"/>
            <w:vAlign w:val="center"/>
          </w:tcPr>
          <w:p w14:paraId="659E6A7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gridSpan w:val="2"/>
            <w:tcBorders>
              <w:top w:val="nil"/>
              <w:left w:val="nil"/>
              <w:bottom w:val="single" w:sz="4" w:space="0" w:color="000000"/>
              <w:right w:val="nil"/>
            </w:tcBorders>
            <w:shd w:val="clear" w:color="auto" w:fill="auto"/>
            <w:vAlign w:val="center"/>
          </w:tcPr>
          <w:p w14:paraId="0966592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367605E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85" w:type="dxa"/>
            <w:gridSpan w:val="2"/>
            <w:tcBorders>
              <w:top w:val="nil"/>
              <w:left w:val="nil"/>
              <w:bottom w:val="single" w:sz="4" w:space="0" w:color="000000"/>
              <w:right w:val="single" w:sz="4" w:space="0" w:color="000000"/>
            </w:tcBorders>
            <w:shd w:val="clear" w:color="auto" w:fill="auto"/>
            <w:vAlign w:val="center"/>
          </w:tcPr>
          <w:p w14:paraId="68CE451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32E471F3" w14:textId="77777777">
        <w:trPr>
          <w:gridAfter w:val="1"/>
          <w:wAfter w:w="78" w:type="dxa"/>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0ED906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20" w:type="dxa"/>
            <w:gridSpan w:val="2"/>
            <w:tcBorders>
              <w:top w:val="nil"/>
              <w:left w:val="nil"/>
              <w:bottom w:val="single" w:sz="4" w:space="0" w:color="000000"/>
              <w:right w:val="single" w:sz="4" w:space="0" w:color="000000"/>
            </w:tcBorders>
            <w:shd w:val="clear" w:color="auto" w:fill="auto"/>
            <w:vAlign w:val="center"/>
          </w:tcPr>
          <w:p w14:paraId="36EC624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gridSpan w:val="2"/>
            <w:tcBorders>
              <w:top w:val="nil"/>
              <w:left w:val="nil"/>
              <w:bottom w:val="single" w:sz="4" w:space="0" w:color="000000"/>
              <w:right w:val="single" w:sz="4" w:space="0" w:color="000000"/>
            </w:tcBorders>
            <w:shd w:val="clear" w:color="auto" w:fill="auto"/>
            <w:vAlign w:val="center"/>
          </w:tcPr>
          <w:p w14:paraId="258435D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5C1305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60C6CB6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single" w:sz="4" w:space="0" w:color="000000"/>
            </w:tcBorders>
            <w:shd w:val="clear" w:color="auto" w:fill="auto"/>
            <w:vAlign w:val="center"/>
          </w:tcPr>
          <w:p w14:paraId="4576085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gridSpan w:val="2"/>
            <w:tcBorders>
              <w:top w:val="nil"/>
              <w:left w:val="nil"/>
              <w:bottom w:val="single" w:sz="4" w:space="0" w:color="000000"/>
              <w:right w:val="nil"/>
            </w:tcBorders>
            <w:shd w:val="clear" w:color="auto" w:fill="auto"/>
            <w:vAlign w:val="center"/>
          </w:tcPr>
          <w:p w14:paraId="5C2A7D8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651E2C9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-8,7%</w:t>
            </w:r>
          </w:p>
        </w:tc>
        <w:tc>
          <w:tcPr>
            <w:tcW w:w="1285" w:type="dxa"/>
            <w:gridSpan w:val="2"/>
            <w:tcBorders>
              <w:top w:val="nil"/>
              <w:left w:val="nil"/>
              <w:bottom w:val="single" w:sz="4" w:space="0" w:color="000000"/>
              <w:right w:val="single" w:sz="4" w:space="0" w:color="000000"/>
            </w:tcBorders>
            <w:shd w:val="clear" w:color="auto" w:fill="auto"/>
            <w:vAlign w:val="center"/>
          </w:tcPr>
          <w:p w14:paraId="51A1451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26,2%</w:t>
            </w:r>
          </w:p>
        </w:tc>
      </w:tr>
      <w:tr w:rsidR="00A0251B" w:rsidRPr="00CC35F0" w14:paraId="56D06395" w14:textId="77777777">
        <w:trPr>
          <w:gridAfter w:val="1"/>
          <w:wAfter w:w="78" w:type="dxa"/>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00F4550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20" w:type="dxa"/>
            <w:gridSpan w:val="2"/>
            <w:tcBorders>
              <w:top w:val="nil"/>
              <w:left w:val="nil"/>
              <w:bottom w:val="single" w:sz="4" w:space="0" w:color="000000"/>
              <w:right w:val="single" w:sz="4" w:space="0" w:color="000000"/>
            </w:tcBorders>
            <w:shd w:val="clear" w:color="auto" w:fill="auto"/>
            <w:vAlign w:val="center"/>
          </w:tcPr>
          <w:p w14:paraId="386E36D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10,5   </w:t>
            </w:r>
          </w:p>
        </w:tc>
        <w:tc>
          <w:tcPr>
            <w:tcW w:w="920" w:type="dxa"/>
            <w:gridSpan w:val="2"/>
            <w:tcBorders>
              <w:top w:val="nil"/>
              <w:left w:val="nil"/>
              <w:bottom w:val="single" w:sz="4" w:space="0" w:color="000000"/>
              <w:right w:val="single" w:sz="4" w:space="0" w:color="000000"/>
            </w:tcBorders>
            <w:shd w:val="clear" w:color="auto" w:fill="auto"/>
            <w:vAlign w:val="center"/>
          </w:tcPr>
          <w:p w14:paraId="773AE5B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6,7   </w:t>
            </w:r>
          </w:p>
        </w:tc>
        <w:tc>
          <w:tcPr>
            <w:tcW w:w="920" w:type="dxa"/>
            <w:gridSpan w:val="2"/>
            <w:tcBorders>
              <w:top w:val="nil"/>
              <w:left w:val="nil"/>
              <w:bottom w:val="single" w:sz="4" w:space="0" w:color="000000"/>
              <w:right w:val="single" w:sz="4" w:space="0" w:color="000000"/>
            </w:tcBorders>
            <w:shd w:val="clear" w:color="auto" w:fill="auto"/>
            <w:vAlign w:val="center"/>
          </w:tcPr>
          <w:p w14:paraId="298C97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6,7   </w:t>
            </w:r>
          </w:p>
        </w:tc>
        <w:tc>
          <w:tcPr>
            <w:tcW w:w="920" w:type="dxa"/>
            <w:gridSpan w:val="2"/>
            <w:tcBorders>
              <w:top w:val="nil"/>
              <w:left w:val="nil"/>
              <w:bottom w:val="single" w:sz="4" w:space="0" w:color="000000"/>
              <w:right w:val="single" w:sz="4" w:space="0" w:color="000000"/>
            </w:tcBorders>
            <w:shd w:val="clear" w:color="auto" w:fill="auto"/>
            <w:vAlign w:val="center"/>
          </w:tcPr>
          <w:p w14:paraId="119125A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5,4   </w:t>
            </w:r>
          </w:p>
        </w:tc>
        <w:tc>
          <w:tcPr>
            <w:tcW w:w="920" w:type="dxa"/>
            <w:gridSpan w:val="2"/>
            <w:tcBorders>
              <w:top w:val="nil"/>
              <w:left w:val="nil"/>
              <w:bottom w:val="single" w:sz="4" w:space="0" w:color="000000"/>
              <w:right w:val="single" w:sz="4" w:space="0" w:color="000000"/>
            </w:tcBorders>
            <w:shd w:val="clear" w:color="auto" w:fill="auto"/>
            <w:vAlign w:val="center"/>
          </w:tcPr>
          <w:p w14:paraId="085ED60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4,0   </w:t>
            </w:r>
          </w:p>
        </w:tc>
        <w:tc>
          <w:tcPr>
            <w:tcW w:w="920" w:type="dxa"/>
            <w:gridSpan w:val="2"/>
            <w:tcBorders>
              <w:top w:val="nil"/>
              <w:left w:val="nil"/>
              <w:bottom w:val="single" w:sz="4" w:space="0" w:color="000000"/>
              <w:right w:val="nil"/>
            </w:tcBorders>
            <w:shd w:val="clear" w:color="auto" w:fill="auto"/>
            <w:vAlign w:val="center"/>
          </w:tcPr>
          <w:p w14:paraId="3946B5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689F3E8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-40,9%</w:t>
            </w:r>
          </w:p>
        </w:tc>
        <w:tc>
          <w:tcPr>
            <w:tcW w:w="1285" w:type="dxa"/>
            <w:gridSpan w:val="2"/>
            <w:tcBorders>
              <w:top w:val="nil"/>
              <w:left w:val="nil"/>
              <w:bottom w:val="single" w:sz="4" w:space="0" w:color="000000"/>
              <w:right w:val="single" w:sz="4" w:space="0" w:color="000000"/>
            </w:tcBorders>
            <w:shd w:val="clear" w:color="auto" w:fill="auto"/>
            <w:vAlign w:val="center"/>
          </w:tcPr>
          <w:p w14:paraId="402E99D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-62,2%</w:t>
            </w:r>
          </w:p>
        </w:tc>
      </w:tr>
      <w:tr w:rsidR="00A0251B" w:rsidRPr="00CC35F0" w14:paraId="7B0DE992" w14:textId="77777777">
        <w:trPr>
          <w:gridAfter w:val="1"/>
          <w:wAfter w:w="78" w:type="dxa"/>
          <w:trHeight w:val="26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38937D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20" w:type="dxa"/>
            <w:gridSpan w:val="2"/>
            <w:tcBorders>
              <w:top w:val="nil"/>
              <w:left w:val="nil"/>
              <w:bottom w:val="single" w:sz="4" w:space="0" w:color="000000"/>
              <w:right w:val="nil"/>
            </w:tcBorders>
            <w:shd w:val="clear" w:color="auto" w:fill="auto"/>
            <w:vAlign w:val="center"/>
          </w:tcPr>
          <w:p w14:paraId="12306F2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166,3   </w:t>
            </w:r>
          </w:p>
        </w:tc>
        <w:tc>
          <w:tcPr>
            <w:tcW w:w="920" w:type="dxa"/>
            <w:gridSpan w:val="2"/>
            <w:tcBorders>
              <w:top w:val="nil"/>
              <w:left w:val="single" w:sz="4" w:space="0" w:color="000000"/>
              <w:bottom w:val="single" w:sz="4" w:space="0" w:color="000000"/>
              <w:right w:val="nil"/>
            </w:tcBorders>
            <w:shd w:val="clear" w:color="auto" w:fill="auto"/>
            <w:vAlign w:val="center"/>
          </w:tcPr>
          <w:p w14:paraId="6725E80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144,1   </w:t>
            </w:r>
          </w:p>
        </w:tc>
        <w:tc>
          <w:tcPr>
            <w:tcW w:w="920" w:type="dxa"/>
            <w:gridSpan w:val="2"/>
            <w:tcBorders>
              <w:top w:val="nil"/>
              <w:left w:val="single" w:sz="4" w:space="0" w:color="000000"/>
              <w:bottom w:val="single" w:sz="4" w:space="0" w:color="000000"/>
              <w:right w:val="nil"/>
            </w:tcBorders>
            <w:shd w:val="clear" w:color="auto" w:fill="auto"/>
            <w:vAlign w:val="center"/>
          </w:tcPr>
          <w:p w14:paraId="3443A78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140,0   </w:t>
            </w:r>
          </w:p>
        </w:tc>
        <w:tc>
          <w:tcPr>
            <w:tcW w:w="920" w:type="dxa"/>
            <w:gridSpan w:val="2"/>
            <w:tcBorders>
              <w:top w:val="nil"/>
              <w:left w:val="single" w:sz="4" w:space="0" w:color="000000"/>
              <w:bottom w:val="single" w:sz="4" w:space="0" w:color="000000"/>
              <w:right w:val="nil"/>
            </w:tcBorders>
            <w:shd w:val="clear" w:color="auto" w:fill="auto"/>
            <w:vAlign w:val="center"/>
          </w:tcPr>
          <w:p w14:paraId="227F462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72,1   </w:t>
            </w:r>
          </w:p>
        </w:tc>
        <w:tc>
          <w:tcPr>
            <w:tcW w:w="920" w:type="dxa"/>
            <w:gridSpan w:val="2"/>
            <w:tcBorders>
              <w:top w:val="nil"/>
              <w:left w:val="single" w:sz="4" w:space="0" w:color="000000"/>
              <w:bottom w:val="single" w:sz="4" w:space="0" w:color="000000"/>
              <w:right w:val="nil"/>
            </w:tcBorders>
            <w:shd w:val="clear" w:color="auto" w:fill="auto"/>
            <w:vAlign w:val="center"/>
          </w:tcPr>
          <w:p w14:paraId="07B32B0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56,7   </w:t>
            </w:r>
          </w:p>
        </w:tc>
        <w:tc>
          <w:tcPr>
            <w:tcW w:w="920" w:type="dxa"/>
            <w:gridSpan w:val="2"/>
            <w:tcBorders>
              <w:top w:val="nil"/>
              <w:left w:val="single" w:sz="4" w:space="0" w:color="000000"/>
              <w:bottom w:val="single" w:sz="4" w:space="0" w:color="000000"/>
              <w:right w:val="nil"/>
            </w:tcBorders>
            <w:shd w:val="clear" w:color="auto" w:fill="auto"/>
            <w:vAlign w:val="center"/>
          </w:tcPr>
          <w:p w14:paraId="7F864B6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52,3   </w:t>
            </w:r>
          </w:p>
        </w:tc>
        <w:tc>
          <w:tcPr>
            <w:tcW w:w="1243" w:type="dxa"/>
            <w:gridSpan w:val="2"/>
            <w:tcBorders>
              <w:top w:val="nil"/>
              <w:left w:val="single" w:sz="12" w:space="0" w:color="000000"/>
              <w:bottom w:val="single" w:sz="4" w:space="0" w:color="000000"/>
              <w:right w:val="single" w:sz="4" w:space="0" w:color="000000"/>
            </w:tcBorders>
            <w:shd w:val="clear" w:color="auto" w:fill="auto"/>
            <w:vAlign w:val="center"/>
          </w:tcPr>
          <w:p w14:paraId="5E06F65F"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-60,6%</w:t>
            </w:r>
          </w:p>
        </w:tc>
        <w:tc>
          <w:tcPr>
            <w:tcW w:w="1285" w:type="dxa"/>
            <w:gridSpan w:val="2"/>
            <w:tcBorders>
              <w:top w:val="nil"/>
              <w:left w:val="nil"/>
              <w:bottom w:val="single" w:sz="4" w:space="0" w:color="000000"/>
              <w:right w:val="single" w:sz="4" w:space="0" w:color="000000"/>
            </w:tcBorders>
            <w:shd w:val="clear" w:color="auto" w:fill="auto"/>
            <w:vAlign w:val="center"/>
          </w:tcPr>
          <w:p w14:paraId="4C267972"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-65,9%</w:t>
            </w:r>
          </w:p>
        </w:tc>
      </w:tr>
      <w:tr w:rsidR="00A0251B" w:rsidRPr="00CC35F0" w14:paraId="7A3231BB" w14:textId="77777777">
        <w:trPr>
          <w:trHeight w:val="250"/>
        </w:trPr>
        <w:tc>
          <w:tcPr>
            <w:tcW w:w="2056" w:type="dxa"/>
            <w:gridSpan w:val="2"/>
            <w:tcBorders>
              <w:top w:val="nil"/>
              <w:left w:val="nil"/>
              <w:bottom w:val="single" w:sz="4" w:space="0" w:color="000000"/>
              <w:right w:val="nil"/>
            </w:tcBorders>
            <w:shd w:val="clear" w:color="auto" w:fill="FFFFFF"/>
            <w:vAlign w:val="center"/>
          </w:tcPr>
          <w:p w14:paraId="5FC67A1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Емисије SO</w:t>
            </w:r>
            <w:r w:rsidRPr="00CC35F0">
              <w:rPr>
                <w:rFonts w:ascii="Times New Roman" w:eastAsia="Times New Roman" w:hAnsi="Times New Roman"/>
                <w:b/>
                <w:sz w:val="24"/>
                <w:szCs w:val="24"/>
                <w:vertAlign w:val="subscript"/>
                <w:lang w:val="sr-Cyrl-CS"/>
              </w:rPr>
              <w:t>2</w:t>
            </w:r>
            <w:r w:rsidRPr="00CC35F0">
              <w:rPr>
                <w:rFonts w:ascii="Times New Roman" w:eastAsia="Times New Roman" w:hAnsi="Times New Roman"/>
                <w:b/>
                <w:sz w:val="24"/>
                <w:szCs w:val="24"/>
                <w:lang w:val="sr-Cyrl-CS"/>
              </w:rPr>
              <w:t xml:space="preserve"> </w:t>
            </w:r>
          </w:p>
        </w:tc>
        <w:tc>
          <w:tcPr>
            <w:tcW w:w="936" w:type="dxa"/>
            <w:gridSpan w:val="2"/>
            <w:tcBorders>
              <w:top w:val="nil"/>
              <w:left w:val="nil"/>
              <w:bottom w:val="nil"/>
              <w:right w:val="nil"/>
            </w:tcBorders>
            <w:shd w:val="clear" w:color="auto" w:fill="FFFFFF"/>
            <w:vAlign w:val="center"/>
          </w:tcPr>
          <w:p w14:paraId="5C471F3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gridSpan w:val="2"/>
            <w:tcBorders>
              <w:top w:val="nil"/>
              <w:left w:val="nil"/>
              <w:bottom w:val="nil"/>
              <w:right w:val="nil"/>
            </w:tcBorders>
            <w:shd w:val="clear" w:color="auto" w:fill="FFFFFF"/>
            <w:vAlign w:val="center"/>
          </w:tcPr>
          <w:p w14:paraId="2F85972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gridSpan w:val="2"/>
            <w:tcBorders>
              <w:top w:val="nil"/>
              <w:left w:val="nil"/>
              <w:bottom w:val="nil"/>
              <w:right w:val="nil"/>
            </w:tcBorders>
            <w:shd w:val="clear" w:color="auto" w:fill="FFFFFF"/>
            <w:vAlign w:val="center"/>
          </w:tcPr>
          <w:p w14:paraId="3303F3D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gridSpan w:val="2"/>
            <w:tcBorders>
              <w:top w:val="nil"/>
              <w:left w:val="nil"/>
              <w:bottom w:val="nil"/>
              <w:right w:val="nil"/>
            </w:tcBorders>
            <w:shd w:val="clear" w:color="auto" w:fill="FFFFFF"/>
            <w:vAlign w:val="center"/>
          </w:tcPr>
          <w:p w14:paraId="39AEDFB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gridSpan w:val="2"/>
            <w:tcBorders>
              <w:top w:val="nil"/>
              <w:left w:val="nil"/>
              <w:bottom w:val="nil"/>
              <w:right w:val="nil"/>
            </w:tcBorders>
            <w:shd w:val="clear" w:color="auto" w:fill="FFFFFF"/>
            <w:vAlign w:val="center"/>
          </w:tcPr>
          <w:p w14:paraId="04CA44E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44" w:type="dxa"/>
            <w:gridSpan w:val="2"/>
            <w:tcBorders>
              <w:top w:val="nil"/>
              <w:left w:val="nil"/>
              <w:bottom w:val="nil"/>
              <w:right w:val="nil"/>
            </w:tcBorders>
            <w:shd w:val="clear" w:color="auto" w:fill="FFFFFF"/>
            <w:vAlign w:val="center"/>
          </w:tcPr>
          <w:p w14:paraId="5EC32E2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gridSpan w:val="2"/>
            <w:tcBorders>
              <w:top w:val="nil"/>
              <w:left w:val="nil"/>
              <w:bottom w:val="single" w:sz="4" w:space="0" w:color="000000"/>
              <w:right w:val="nil"/>
            </w:tcBorders>
            <w:shd w:val="clear" w:color="auto" w:fill="FFFFFF"/>
            <w:vAlign w:val="center"/>
          </w:tcPr>
          <w:p w14:paraId="00CFA51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gridSpan w:val="2"/>
            <w:tcBorders>
              <w:top w:val="nil"/>
              <w:left w:val="nil"/>
              <w:bottom w:val="nil"/>
              <w:right w:val="nil"/>
            </w:tcBorders>
            <w:shd w:val="clear" w:color="auto" w:fill="FFFFFF"/>
            <w:vAlign w:val="center"/>
          </w:tcPr>
          <w:p w14:paraId="38FDC31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3CFF6B12" w14:textId="77777777">
        <w:trPr>
          <w:trHeight w:val="360"/>
        </w:trPr>
        <w:tc>
          <w:tcPr>
            <w:tcW w:w="2056" w:type="dxa"/>
            <w:gridSpan w:val="2"/>
            <w:tcBorders>
              <w:top w:val="nil"/>
              <w:left w:val="single" w:sz="4" w:space="0" w:color="000000"/>
              <w:bottom w:val="nil"/>
              <w:right w:val="single" w:sz="4" w:space="0" w:color="000000"/>
            </w:tcBorders>
            <w:shd w:val="clear" w:color="auto" w:fill="DAEEF3"/>
            <w:vAlign w:val="center"/>
          </w:tcPr>
          <w:p w14:paraId="72AAB93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WEM </w:t>
            </w:r>
          </w:p>
        </w:tc>
        <w:tc>
          <w:tcPr>
            <w:tcW w:w="936" w:type="dxa"/>
            <w:gridSpan w:val="2"/>
            <w:tcBorders>
              <w:top w:val="single" w:sz="4" w:space="0" w:color="000000"/>
              <w:left w:val="nil"/>
              <w:bottom w:val="single" w:sz="4" w:space="0" w:color="000000"/>
              <w:right w:val="nil"/>
            </w:tcBorders>
            <w:shd w:val="clear" w:color="auto" w:fill="DAEEF3"/>
            <w:vAlign w:val="center"/>
          </w:tcPr>
          <w:p w14:paraId="1A902436"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gridSpan w:val="2"/>
            <w:tcBorders>
              <w:top w:val="single" w:sz="4" w:space="0" w:color="000000"/>
              <w:left w:val="single" w:sz="4" w:space="0" w:color="000000"/>
              <w:bottom w:val="single" w:sz="4" w:space="0" w:color="000000"/>
              <w:right w:val="nil"/>
            </w:tcBorders>
            <w:shd w:val="clear" w:color="auto" w:fill="DAEEF3"/>
            <w:vAlign w:val="center"/>
          </w:tcPr>
          <w:p w14:paraId="26C9EC2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gridSpan w:val="2"/>
            <w:tcBorders>
              <w:top w:val="single" w:sz="4" w:space="0" w:color="000000"/>
              <w:left w:val="single" w:sz="4" w:space="0" w:color="000000"/>
              <w:bottom w:val="single" w:sz="4" w:space="0" w:color="000000"/>
              <w:right w:val="nil"/>
            </w:tcBorders>
            <w:shd w:val="clear" w:color="auto" w:fill="DAEEF3"/>
            <w:vAlign w:val="center"/>
          </w:tcPr>
          <w:p w14:paraId="2B7496E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gridSpan w:val="2"/>
            <w:tcBorders>
              <w:top w:val="single" w:sz="4" w:space="0" w:color="000000"/>
              <w:left w:val="single" w:sz="4" w:space="0" w:color="000000"/>
              <w:bottom w:val="single" w:sz="4" w:space="0" w:color="000000"/>
              <w:right w:val="nil"/>
            </w:tcBorders>
            <w:shd w:val="clear" w:color="auto" w:fill="DAEEF3"/>
            <w:vAlign w:val="center"/>
          </w:tcPr>
          <w:p w14:paraId="32CD67B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gridSpan w:val="2"/>
            <w:tcBorders>
              <w:top w:val="single" w:sz="4" w:space="0" w:color="000000"/>
              <w:left w:val="single" w:sz="4" w:space="0" w:color="000000"/>
              <w:bottom w:val="single" w:sz="4" w:space="0" w:color="000000"/>
              <w:right w:val="nil"/>
            </w:tcBorders>
            <w:shd w:val="clear" w:color="auto" w:fill="DAEEF3"/>
            <w:vAlign w:val="center"/>
          </w:tcPr>
          <w:p w14:paraId="0D0FDA5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44" w:type="dxa"/>
            <w:gridSpan w:val="2"/>
            <w:tcBorders>
              <w:top w:val="single" w:sz="4" w:space="0" w:color="000000"/>
              <w:left w:val="single" w:sz="4" w:space="0" w:color="000000"/>
              <w:bottom w:val="single" w:sz="4" w:space="0" w:color="000000"/>
              <w:right w:val="single" w:sz="18" w:space="0" w:color="000000"/>
            </w:tcBorders>
            <w:shd w:val="clear" w:color="auto" w:fill="DAEEF3"/>
            <w:vAlign w:val="center"/>
          </w:tcPr>
          <w:p w14:paraId="34387B7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DAEEF3"/>
            <w:vAlign w:val="center"/>
          </w:tcPr>
          <w:p w14:paraId="75E697F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gridSpan w:val="2"/>
            <w:tcBorders>
              <w:top w:val="single" w:sz="4" w:space="0" w:color="000000"/>
              <w:left w:val="nil"/>
              <w:bottom w:val="single" w:sz="4" w:space="0" w:color="000000"/>
              <w:right w:val="single" w:sz="4" w:space="0" w:color="000000"/>
            </w:tcBorders>
            <w:shd w:val="clear" w:color="auto" w:fill="DAEEF3"/>
            <w:vAlign w:val="center"/>
          </w:tcPr>
          <w:p w14:paraId="2A5FEC7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44B84B38" w14:textId="77777777">
        <w:trPr>
          <w:trHeight w:val="250"/>
        </w:trPr>
        <w:tc>
          <w:tcPr>
            <w:tcW w:w="20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DBB63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gridSpan w:val="2"/>
            <w:tcBorders>
              <w:top w:val="nil"/>
              <w:left w:val="nil"/>
              <w:bottom w:val="single" w:sz="4" w:space="0" w:color="000000"/>
              <w:right w:val="single" w:sz="4" w:space="0" w:color="000000"/>
            </w:tcBorders>
            <w:shd w:val="clear" w:color="auto" w:fill="auto"/>
            <w:vAlign w:val="center"/>
          </w:tcPr>
          <w:p w14:paraId="08D9E8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394,3   </w:t>
            </w:r>
          </w:p>
        </w:tc>
        <w:tc>
          <w:tcPr>
            <w:tcW w:w="936" w:type="dxa"/>
            <w:gridSpan w:val="2"/>
            <w:tcBorders>
              <w:top w:val="nil"/>
              <w:left w:val="nil"/>
              <w:bottom w:val="single" w:sz="4" w:space="0" w:color="000000"/>
              <w:right w:val="single" w:sz="4" w:space="0" w:color="000000"/>
            </w:tcBorders>
            <w:shd w:val="clear" w:color="auto" w:fill="auto"/>
            <w:vAlign w:val="center"/>
          </w:tcPr>
          <w:p w14:paraId="2AA662F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330,9   </w:t>
            </w:r>
          </w:p>
        </w:tc>
        <w:tc>
          <w:tcPr>
            <w:tcW w:w="936" w:type="dxa"/>
            <w:gridSpan w:val="2"/>
            <w:tcBorders>
              <w:top w:val="nil"/>
              <w:left w:val="nil"/>
              <w:bottom w:val="single" w:sz="4" w:space="0" w:color="000000"/>
              <w:right w:val="single" w:sz="4" w:space="0" w:color="000000"/>
            </w:tcBorders>
            <w:shd w:val="clear" w:color="auto" w:fill="auto"/>
            <w:vAlign w:val="center"/>
          </w:tcPr>
          <w:p w14:paraId="4C2EF66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333,5   </w:t>
            </w:r>
          </w:p>
        </w:tc>
        <w:tc>
          <w:tcPr>
            <w:tcW w:w="936" w:type="dxa"/>
            <w:gridSpan w:val="2"/>
            <w:tcBorders>
              <w:top w:val="nil"/>
              <w:left w:val="nil"/>
              <w:bottom w:val="single" w:sz="4" w:space="0" w:color="000000"/>
              <w:right w:val="single" w:sz="4" w:space="0" w:color="000000"/>
            </w:tcBorders>
            <w:shd w:val="clear" w:color="auto" w:fill="auto"/>
            <w:vAlign w:val="center"/>
          </w:tcPr>
          <w:p w14:paraId="40AF4CA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21,3   </w:t>
            </w:r>
          </w:p>
        </w:tc>
        <w:tc>
          <w:tcPr>
            <w:tcW w:w="936" w:type="dxa"/>
            <w:gridSpan w:val="2"/>
            <w:tcBorders>
              <w:top w:val="nil"/>
              <w:left w:val="nil"/>
              <w:bottom w:val="single" w:sz="4" w:space="0" w:color="000000"/>
              <w:right w:val="single" w:sz="4" w:space="0" w:color="000000"/>
            </w:tcBorders>
            <w:shd w:val="clear" w:color="auto" w:fill="auto"/>
            <w:vAlign w:val="center"/>
          </w:tcPr>
          <w:p w14:paraId="201D1D0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19,3   </w:t>
            </w:r>
          </w:p>
        </w:tc>
        <w:tc>
          <w:tcPr>
            <w:tcW w:w="944" w:type="dxa"/>
            <w:gridSpan w:val="2"/>
            <w:tcBorders>
              <w:top w:val="nil"/>
              <w:left w:val="nil"/>
              <w:bottom w:val="single" w:sz="4" w:space="0" w:color="000000"/>
              <w:right w:val="single" w:sz="18" w:space="0" w:color="000000"/>
            </w:tcBorders>
            <w:shd w:val="clear" w:color="auto" w:fill="auto"/>
            <w:vAlign w:val="center"/>
          </w:tcPr>
          <w:p w14:paraId="17EE83E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11,9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34464AB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-94,2%</w:t>
            </w:r>
          </w:p>
        </w:tc>
        <w:tc>
          <w:tcPr>
            <w:tcW w:w="1243" w:type="dxa"/>
            <w:gridSpan w:val="2"/>
            <w:tcBorders>
              <w:top w:val="nil"/>
              <w:left w:val="nil"/>
              <w:bottom w:val="single" w:sz="4" w:space="0" w:color="000000"/>
              <w:right w:val="single" w:sz="4" w:space="0" w:color="000000"/>
            </w:tcBorders>
            <w:shd w:val="clear" w:color="auto" w:fill="auto"/>
            <w:vAlign w:val="center"/>
          </w:tcPr>
          <w:p w14:paraId="07AE4C7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-95,1%</w:t>
            </w:r>
          </w:p>
        </w:tc>
      </w:tr>
      <w:tr w:rsidR="00A0251B" w:rsidRPr="00CC35F0" w14:paraId="73E8F40B"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6D2A82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gridSpan w:val="2"/>
            <w:tcBorders>
              <w:top w:val="nil"/>
              <w:left w:val="nil"/>
              <w:bottom w:val="single" w:sz="4" w:space="0" w:color="000000"/>
              <w:right w:val="single" w:sz="4" w:space="0" w:color="000000"/>
            </w:tcBorders>
            <w:shd w:val="clear" w:color="auto" w:fill="auto"/>
            <w:vAlign w:val="center"/>
          </w:tcPr>
          <w:p w14:paraId="12EE9BC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26,1   </w:t>
            </w:r>
          </w:p>
        </w:tc>
        <w:tc>
          <w:tcPr>
            <w:tcW w:w="936" w:type="dxa"/>
            <w:gridSpan w:val="2"/>
            <w:tcBorders>
              <w:top w:val="nil"/>
              <w:left w:val="nil"/>
              <w:bottom w:val="single" w:sz="4" w:space="0" w:color="000000"/>
              <w:right w:val="single" w:sz="4" w:space="0" w:color="000000"/>
            </w:tcBorders>
            <w:shd w:val="clear" w:color="auto" w:fill="auto"/>
            <w:vAlign w:val="center"/>
          </w:tcPr>
          <w:p w14:paraId="66DB636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25,4   </w:t>
            </w:r>
          </w:p>
        </w:tc>
        <w:tc>
          <w:tcPr>
            <w:tcW w:w="936" w:type="dxa"/>
            <w:gridSpan w:val="2"/>
            <w:tcBorders>
              <w:top w:val="nil"/>
              <w:left w:val="nil"/>
              <w:bottom w:val="single" w:sz="4" w:space="0" w:color="000000"/>
              <w:right w:val="single" w:sz="4" w:space="0" w:color="000000"/>
            </w:tcBorders>
            <w:shd w:val="clear" w:color="auto" w:fill="auto"/>
            <w:vAlign w:val="center"/>
          </w:tcPr>
          <w:p w14:paraId="0982650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27,5   </w:t>
            </w:r>
          </w:p>
        </w:tc>
        <w:tc>
          <w:tcPr>
            <w:tcW w:w="936" w:type="dxa"/>
            <w:gridSpan w:val="2"/>
            <w:tcBorders>
              <w:top w:val="nil"/>
              <w:left w:val="nil"/>
              <w:bottom w:val="single" w:sz="4" w:space="0" w:color="000000"/>
              <w:right w:val="single" w:sz="4" w:space="0" w:color="000000"/>
            </w:tcBorders>
            <w:shd w:val="clear" w:color="auto" w:fill="auto"/>
            <w:vAlign w:val="center"/>
          </w:tcPr>
          <w:p w14:paraId="6A699C5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17,3   </w:t>
            </w:r>
          </w:p>
        </w:tc>
        <w:tc>
          <w:tcPr>
            <w:tcW w:w="936" w:type="dxa"/>
            <w:gridSpan w:val="2"/>
            <w:tcBorders>
              <w:top w:val="nil"/>
              <w:left w:val="nil"/>
              <w:bottom w:val="single" w:sz="4" w:space="0" w:color="000000"/>
              <w:right w:val="single" w:sz="4" w:space="0" w:color="000000"/>
            </w:tcBorders>
            <w:shd w:val="clear" w:color="auto" w:fill="auto"/>
            <w:vAlign w:val="center"/>
          </w:tcPr>
          <w:p w14:paraId="70A0CD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15,5   </w:t>
            </w:r>
          </w:p>
        </w:tc>
        <w:tc>
          <w:tcPr>
            <w:tcW w:w="944" w:type="dxa"/>
            <w:gridSpan w:val="2"/>
            <w:tcBorders>
              <w:top w:val="nil"/>
              <w:left w:val="nil"/>
              <w:bottom w:val="single" w:sz="4" w:space="0" w:color="000000"/>
              <w:right w:val="single" w:sz="18" w:space="0" w:color="000000"/>
            </w:tcBorders>
            <w:shd w:val="clear" w:color="auto" w:fill="auto"/>
            <w:vAlign w:val="center"/>
          </w:tcPr>
          <w:p w14:paraId="63F9151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14,2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65AB395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-39,2%</w:t>
            </w:r>
          </w:p>
        </w:tc>
        <w:tc>
          <w:tcPr>
            <w:tcW w:w="1243" w:type="dxa"/>
            <w:gridSpan w:val="2"/>
            <w:tcBorders>
              <w:top w:val="nil"/>
              <w:left w:val="nil"/>
              <w:bottom w:val="single" w:sz="4" w:space="0" w:color="000000"/>
              <w:right w:val="single" w:sz="4" w:space="0" w:color="000000"/>
            </w:tcBorders>
            <w:shd w:val="clear" w:color="auto" w:fill="auto"/>
            <w:vAlign w:val="center"/>
          </w:tcPr>
          <w:p w14:paraId="74C2E57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-40,8%</w:t>
            </w:r>
          </w:p>
        </w:tc>
      </w:tr>
      <w:tr w:rsidR="00A0251B" w:rsidRPr="00CC35F0" w14:paraId="42E6C816" w14:textId="77777777">
        <w:trPr>
          <w:trHeight w:val="50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4AE73BA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gridSpan w:val="2"/>
            <w:tcBorders>
              <w:top w:val="nil"/>
              <w:left w:val="nil"/>
              <w:bottom w:val="single" w:sz="4" w:space="0" w:color="000000"/>
              <w:right w:val="single" w:sz="4" w:space="0" w:color="000000"/>
            </w:tcBorders>
            <w:shd w:val="clear" w:color="auto" w:fill="auto"/>
            <w:vAlign w:val="center"/>
          </w:tcPr>
          <w:p w14:paraId="23E8B1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20,2   </w:t>
            </w:r>
          </w:p>
        </w:tc>
        <w:tc>
          <w:tcPr>
            <w:tcW w:w="936" w:type="dxa"/>
            <w:gridSpan w:val="2"/>
            <w:tcBorders>
              <w:top w:val="nil"/>
              <w:left w:val="nil"/>
              <w:bottom w:val="single" w:sz="4" w:space="0" w:color="000000"/>
              <w:right w:val="single" w:sz="4" w:space="0" w:color="000000"/>
            </w:tcBorders>
            <w:shd w:val="clear" w:color="auto" w:fill="auto"/>
            <w:vAlign w:val="center"/>
          </w:tcPr>
          <w:p w14:paraId="30E9170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9,0   </w:t>
            </w:r>
          </w:p>
        </w:tc>
        <w:tc>
          <w:tcPr>
            <w:tcW w:w="936" w:type="dxa"/>
            <w:gridSpan w:val="2"/>
            <w:tcBorders>
              <w:top w:val="nil"/>
              <w:left w:val="nil"/>
              <w:bottom w:val="single" w:sz="4" w:space="0" w:color="000000"/>
              <w:right w:val="single" w:sz="4" w:space="0" w:color="000000"/>
            </w:tcBorders>
            <w:shd w:val="clear" w:color="auto" w:fill="auto"/>
            <w:vAlign w:val="center"/>
          </w:tcPr>
          <w:p w14:paraId="7924292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4,3   </w:t>
            </w:r>
          </w:p>
        </w:tc>
        <w:tc>
          <w:tcPr>
            <w:tcW w:w="936" w:type="dxa"/>
            <w:gridSpan w:val="2"/>
            <w:tcBorders>
              <w:top w:val="nil"/>
              <w:left w:val="nil"/>
              <w:bottom w:val="single" w:sz="4" w:space="0" w:color="000000"/>
              <w:right w:val="single" w:sz="4" w:space="0" w:color="000000"/>
            </w:tcBorders>
            <w:shd w:val="clear" w:color="auto" w:fill="auto"/>
            <w:vAlign w:val="center"/>
          </w:tcPr>
          <w:p w14:paraId="7B4B81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   </w:t>
            </w:r>
          </w:p>
        </w:tc>
        <w:tc>
          <w:tcPr>
            <w:tcW w:w="936" w:type="dxa"/>
            <w:gridSpan w:val="2"/>
            <w:tcBorders>
              <w:top w:val="nil"/>
              <w:left w:val="nil"/>
              <w:bottom w:val="single" w:sz="4" w:space="0" w:color="000000"/>
              <w:right w:val="single" w:sz="4" w:space="0" w:color="000000"/>
            </w:tcBorders>
            <w:shd w:val="clear" w:color="auto" w:fill="auto"/>
            <w:vAlign w:val="center"/>
          </w:tcPr>
          <w:p w14:paraId="1AC53DE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   </w:t>
            </w:r>
          </w:p>
        </w:tc>
        <w:tc>
          <w:tcPr>
            <w:tcW w:w="944" w:type="dxa"/>
            <w:gridSpan w:val="2"/>
            <w:tcBorders>
              <w:top w:val="nil"/>
              <w:left w:val="nil"/>
              <w:bottom w:val="single" w:sz="4" w:space="0" w:color="000000"/>
              <w:right w:val="single" w:sz="18" w:space="0" w:color="000000"/>
            </w:tcBorders>
            <w:shd w:val="clear" w:color="auto" w:fill="auto"/>
            <w:vAlign w:val="center"/>
          </w:tcPr>
          <w:p w14:paraId="1BE41BF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2,4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1912695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-67,3%</w:t>
            </w:r>
          </w:p>
        </w:tc>
        <w:tc>
          <w:tcPr>
            <w:tcW w:w="1243" w:type="dxa"/>
            <w:gridSpan w:val="2"/>
            <w:tcBorders>
              <w:top w:val="nil"/>
              <w:left w:val="nil"/>
              <w:bottom w:val="single" w:sz="4" w:space="0" w:color="000000"/>
              <w:right w:val="single" w:sz="4" w:space="0" w:color="000000"/>
            </w:tcBorders>
            <w:shd w:val="clear" w:color="auto" w:fill="auto"/>
            <w:vAlign w:val="center"/>
          </w:tcPr>
          <w:p w14:paraId="725F08F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-85,4%</w:t>
            </w:r>
          </w:p>
        </w:tc>
      </w:tr>
      <w:tr w:rsidR="00A0251B" w:rsidRPr="00CC35F0" w14:paraId="4B0149E1"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2A96D93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gridSpan w:val="2"/>
            <w:tcBorders>
              <w:top w:val="nil"/>
              <w:left w:val="nil"/>
              <w:bottom w:val="single" w:sz="4" w:space="0" w:color="000000"/>
              <w:right w:val="single" w:sz="4" w:space="0" w:color="000000"/>
            </w:tcBorders>
            <w:shd w:val="clear" w:color="auto" w:fill="auto"/>
            <w:vAlign w:val="center"/>
          </w:tcPr>
          <w:p w14:paraId="7818226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   </w:t>
            </w:r>
          </w:p>
        </w:tc>
        <w:tc>
          <w:tcPr>
            <w:tcW w:w="936" w:type="dxa"/>
            <w:gridSpan w:val="2"/>
            <w:tcBorders>
              <w:top w:val="nil"/>
              <w:left w:val="nil"/>
              <w:bottom w:val="single" w:sz="4" w:space="0" w:color="000000"/>
              <w:right w:val="single" w:sz="4" w:space="0" w:color="000000"/>
            </w:tcBorders>
            <w:shd w:val="clear" w:color="auto" w:fill="auto"/>
            <w:vAlign w:val="center"/>
          </w:tcPr>
          <w:p w14:paraId="50EC497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13CC47A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1EE5CC8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70E512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44" w:type="dxa"/>
            <w:gridSpan w:val="2"/>
            <w:tcBorders>
              <w:top w:val="nil"/>
              <w:left w:val="nil"/>
              <w:bottom w:val="single" w:sz="4" w:space="0" w:color="000000"/>
              <w:right w:val="single" w:sz="18" w:space="0" w:color="000000"/>
            </w:tcBorders>
            <w:shd w:val="clear" w:color="auto" w:fill="auto"/>
            <w:vAlign w:val="center"/>
          </w:tcPr>
          <w:p w14:paraId="1F1199B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1434EB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w:t>
            </w:r>
          </w:p>
        </w:tc>
        <w:tc>
          <w:tcPr>
            <w:tcW w:w="1243" w:type="dxa"/>
            <w:gridSpan w:val="2"/>
            <w:tcBorders>
              <w:top w:val="nil"/>
              <w:left w:val="nil"/>
              <w:bottom w:val="single" w:sz="4" w:space="0" w:color="000000"/>
              <w:right w:val="single" w:sz="4" w:space="0" w:color="000000"/>
            </w:tcBorders>
            <w:shd w:val="clear" w:color="auto" w:fill="auto"/>
            <w:vAlign w:val="center"/>
          </w:tcPr>
          <w:p w14:paraId="0E2F634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-100,0%</w:t>
            </w:r>
          </w:p>
        </w:tc>
      </w:tr>
      <w:tr w:rsidR="00A0251B" w:rsidRPr="00CC35F0" w14:paraId="1DAD0ED8"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0B7C17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gridSpan w:val="2"/>
            <w:tcBorders>
              <w:top w:val="nil"/>
              <w:left w:val="nil"/>
              <w:bottom w:val="single" w:sz="4" w:space="0" w:color="000000"/>
              <w:right w:val="single" w:sz="4" w:space="0" w:color="000000"/>
            </w:tcBorders>
            <w:shd w:val="clear" w:color="auto" w:fill="auto"/>
            <w:vAlign w:val="center"/>
          </w:tcPr>
          <w:p w14:paraId="32B02B0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2B6EC2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5319E34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2331B1C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447CF61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44" w:type="dxa"/>
            <w:gridSpan w:val="2"/>
            <w:tcBorders>
              <w:top w:val="nil"/>
              <w:left w:val="nil"/>
              <w:bottom w:val="single" w:sz="4" w:space="0" w:color="000000"/>
              <w:right w:val="single" w:sz="18" w:space="0" w:color="000000"/>
            </w:tcBorders>
            <w:shd w:val="clear" w:color="auto" w:fill="auto"/>
            <w:vAlign w:val="center"/>
          </w:tcPr>
          <w:p w14:paraId="08FA3E1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32D528D"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gridSpan w:val="2"/>
            <w:tcBorders>
              <w:top w:val="nil"/>
              <w:left w:val="nil"/>
              <w:bottom w:val="single" w:sz="4" w:space="0" w:color="000000"/>
              <w:right w:val="single" w:sz="4" w:space="0" w:color="000000"/>
            </w:tcBorders>
            <w:shd w:val="clear" w:color="auto" w:fill="auto"/>
            <w:vAlign w:val="center"/>
          </w:tcPr>
          <w:p w14:paraId="7CC49C4C"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1151C7FB" w14:textId="77777777">
        <w:trPr>
          <w:trHeight w:val="29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131F28F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gridSpan w:val="2"/>
            <w:tcBorders>
              <w:top w:val="nil"/>
              <w:left w:val="nil"/>
              <w:bottom w:val="single" w:sz="4" w:space="0" w:color="000000"/>
              <w:right w:val="single" w:sz="4" w:space="0" w:color="000000"/>
            </w:tcBorders>
            <w:shd w:val="clear" w:color="auto" w:fill="auto"/>
            <w:vAlign w:val="center"/>
          </w:tcPr>
          <w:p w14:paraId="2D747EC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gridSpan w:val="2"/>
            <w:tcBorders>
              <w:top w:val="nil"/>
              <w:left w:val="nil"/>
              <w:bottom w:val="single" w:sz="4" w:space="0" w:color="000000"/>
              <w:right w:val="single" w:sz="4" w:space="0" w:color="000000"/>
            </w:tcBorders>
            <w:shd w:val="clear" w:color="auto" w:fill="auto"/>
            <w:vAlign w:val="center"/>
          </w:tcPr>
          <w:p w14:paraId="69305E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7FA076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49E2106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009D50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44" w:type="dxa"/>
            <w:gridSpan w:val="2"/>
            <w:tcBorders>
              <w:top w:val="nil"/>
              <w:left w:val="nil"/>
              <w:bottom w:val="single" w:sz="4" w:space="0" w:color="000000"/>
              <w:right w:val="single" w:sz="18" w:space="0" w:color="000000"/>
            </w:tcBorders>
            <w:shd w:val="clear" w:color="auto" w:fill="auto"/>
            <w:vAlign w:val="center"/>
          </w:tcPr>
          <w:p w14:paraId="2E31F0E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4CF4011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31,0%</w:t>
            </w:r>
          </w:p>
        </w:tc>
        <w:tc>
          <w:tcPr>
            <w:tcW w:w="1243" w:type="dxa"/>
            <w:gridSpan w:val="2"/>
            <w:tcBorders>
              <w:top w:val="nil"/>
              <w:left w:val="nil"/>
              <w:bottom w:val="single" w:sz="4" w:space="0" w:color="000000"/>
              <w:right w:val="single" w:sz="4" w:space="0" w:color="000000"/>
            </w:tcBorders>
            <w:shd w:val="clear" w:color="auto" w:fill="auto"/>
            <w:vAlign w:val="center"/>
          </w:tcPr>
          <w:p w14:paraId="47DA007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-97,0%</w:t>
            </w:r>
          </w:p>
        </w:tc>
      </w:tr>
      <w:tr w:rsidR="00A0251B" w:rsidRPr="00CC35F0" w14:paraId="772843A6"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0971925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gridSpan w:val="2"/>
            <w:tcBorders>
              <w:top w:val="nil"/>
              <w:left w:val="nil"/>
              <w:bottom w:val="single" w:sz="4" w:space="0" w:color="000000"/>
              <w:right w:val="single" w:sz="4" w:space="0" w:color="000000"/>
            </w:tcBorders>
            <w:shd w:val="clear" w:color="auto" w:fill="auto"/>
            <w:vAlign w:val="center"/>
          </w:tcPr>
          <w:p w14:paraId="6509041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gridSpan w:val="2"/>
            <w:tcBorders>
              <w:top w:val="nil"/>
              <w:left w:val="nil"/>
              <w:bottom w:val="single" w:sz="4" w:space="0" w:color="000000"/>
              <w:right w:val="single" w:sz="4" w:space="0" w:color="000000"/>
            </w:tcBorders>
            <w:shd w:val="clear" w:color="auto" w:fill="auto"/>
            <w:vAlign w:val="center"/>
          </w:tcPr>
          <w:p w14:paraId="25EF3F2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gridSpan w:val="2"/>
            <w:tcBorders>
              <w:top w:val="nil"/>
              <w:left w:val="nil"/>
              <w:bottom w:val="single" w:sz="4" w:space="0" w:color="000000"/>
              <w:right w:val="single" w:sz="4" w:space="0" w:color="000000"/>
            </w:tcBorders>
            <w:shd w:val="clear" w:color="auto" w:fill="auto"/>
            <w:vAlign w:val="center"/>
          </w:tcPr>
          <w:p w14:paraId="665574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gridSpan w:val="2"/>
            <w:tcBorders>
              <w:top w:val="nil"/>
              <w:left w:val="nil"/>
              <w:bottom w:val="single" w:sz="4" w:space="0" w:color="000000"/>
              <w:right w:val="single" w:sz="4" w:space="0" w:color="000000"/>
            </w:tcBorders>
            <w:shd w:val="clear" w:color="auto" w:fill="auto"/>
            <w:vAlign w:val="center"/>
          </w:tcPr>
          <w:p w14:paraId="776D10E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gridSpan w:val="2"/>
            <w:tcBorders>
              <w:top w:val="nil"/>
              <w:left w:val="nil"/>
              <w:bottom w:val="single" w:sz="4" w:space="0" w:color="000000"/>
              <w:right w:val="single" w:sz="4" w:space="0" w:color="000000"/>
            </w:tcBorders>
            <w:shd w:val="clear" w:color="auto" w:fill="auto"/>
            <w:vAlign w:val="center"/>
          </w:tcPr>
          <w:p w14:paraId="2E2EC41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44" w:type="dxa"/>
            <w:gridSpan w:val="2"/>
            <w:tcBorders>
              <w:top w:val="nil"/>
              <w:left w:val="nil"/>
              <w:bottom w:val="single" w:sz="4" w:space="0" w:color="000000"/>
              <w:right w:val="single" w:sz="18" w:space="0" w:color="000000"/>
            </w:tcBorders>
            <w:shd w:val="clear" w:color="auto" w:fill="auto"/>
            <w:vAlign w:val="center"/>
          </w:tcPr>
          <w:p w14:paraId="532478B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3939168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gridSpan w:val="2"/>
            <w:tcBorders>
              <w:top w:val="nil"/>
              <w:left w:val="nil"/>
              <w:bottom w:val="single" w:sz="4" w:space="0" w:color="000000"/>
              <w:right w:val="single" w:sz="4" w:space="0" w:color="000000"/>
            </w:tcBorders>
            <w:shd w:val="clear" w:color="auto" w:fill="auto"/>
            <w:vAlign w:val="center"/>
          </w:tcPr>
          <w:p w14:paraId="5E22C68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299850A0"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5EB8202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gridSpan w:val="2"/>
            <w:tcBorders>
              <w:top w:val="nil"/>
              <w:left w:val="nil"/>
              <w:bottom w:val="single" w:sz="4" w:space="0" w:color="000000"/>
              <w:right w:val="single" w:sz="4" w:space="0" w:color="000000"/>
            </w:tcBorders>
            <w:shd w:val="clear" w:color="auto" w:fill="auto"/>
            <w:vAlign w:val="center"/>
          </w:tcPr>
          <w:p w14:paraId="58B5705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43A2EDE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5C8E8BC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6394C2E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gridSpan w:val="2"/>
            <w:tcBorders>
              <w:top w:val="nil"/>
              <w:left w:val="nil"/>
              <w:bottom w:val="single" w:sz="4" w:space="0" w:color="000000"/>
              <w:right w:val="single" w:sz="4" w:space="0" w:color="000000"/>
            </w:tcBorders>
            <w:shd w:val="clear" w:color="auto" w:fill="auto"/>
            <w:vAlign w:val="center"/>
          </w:tcPr>
          <w:p w14:paraId="5D061CE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44" w:type="dxa"/>
            <w:gridSpan w:val="2"/>
            <w:tcBorders>
              <w:top w:val="nil"/>
              <w:left w:val="nil"/>
              <w:bottom w:val="single" w:sz="4" w:space="0" w:color="000000"/>
              <w:right w:val="single" w:sz="18" w:space="0" w:color="000000"/>
            </w:tcBorders>
            <w:shd w:val="clear" w:color="auto" w:fill="auto"/>
            <w:vAlign w:val="center"/>
          </w:tcPr>
          <w:p w14:paraId="4E9026A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B27D93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gridSpan w:val="2"/>
            <w:tcBorders>
              <w:top w:val="nil"/>
              <w:left w:val="nil"/>
              <w:bottom w:val="single" w:sz="4" w:space="0" w:color="000000"/>
              <w:right w:val="single" w:sz="4" w:space="0" w:color="000000"/>
            </w:tcBorders>
            <w:shd w:val="clear" w:color="auto" w:fill="auto"/>
            <w:vAlign w:val="center"/>
          </w:tcPr>
          <w:p w14:paraId="12C4F93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358A2D34" w14:textId="77777777">
        <w:trPr>
          <w:trHeight w:val="31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5359C7B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gridSpan w:val="2"/>
            <w:tcBorders>
              <w:top w:val="nil"/>
              <w:left w:val="nil"/>
              <w:bottom w:val="single" w:sz="4" w:space="0" w:color="000000"/>
              <w:right w:val="single" w:sz="4" w:space="0" w:color="000000"/>
            </w:tcBorders>
            <w:shd w:val="clear" w:color="auto" w:fill="auto"/>
            <w:vAlign w:val="center"/>
          </w:tcPr>
          <w:p w14:paraId="364F9D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274CF40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4E3A8A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36F2A23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1546DC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44" w:type="dxa"/>
            <w:gridSpan w:val="2"/>
            <w:tcBorders>
              <w:top w:val="nil"/>
              <w:left w:val="nil"/>
              <w:bottom w:val="single" w:sz="4" w:space="0" w:color="000000"/>
              <w:right w:val="single" w:sz="18" w:space="0" w:color="000000"/>
            </w:tcBorders>
            <w:shd w:val="clear" w:color="auto" w:fill="auto"/>
            <w:vAlign w:val="center"/>
          </w:tcPr>
          <w:p w14:paraId="5A97012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6E1371A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-24,6%</w:t>
            </w:r>
          </w:p>
        </w:tc>
        <w:tc>
          <w:tcPr>
            <w:tcW w:w="1243" w:type="dxa"/>
            <w:gridSpan w:val="2"/>
            <w:tcBorders>
              <w:top w:val="nil"/>
              <w:left w:val="nil"/>
              <w:bottom w:val="single" w:sz="4" w:space="0" w:color="000000"/>
              <w:right w:val="single" w:sz="4" w:space="0" w:color="000000"/>
            </w:tcBorders>
            <w:shd w:val="clear" w:color="auto" w:fill="auto"/>
            <w:vAlign w:val="center"/>
          </w:tcPr>
          <w:p w14:paraId="7AFC20F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99,6%</w:t>
            </w:r>
          </w:p>
        </w:tc>
      </w:tr>
      <w:tr w:rsidR="00A0251B" w:rsidRPr="00CC35F0" w14:paraId="41328E7B"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10F4ECA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gridSpan w:val="2"/>
            <w:tcBorders>
              <w:top w:val="nil"/>
              <w:left w:val="nil"/>
              <w:bottom w:val="single" w:sz="4" w:space="0" w:color="000000"/>
              <w:right w:val="single" w:sz="4" w:space="0" w:color="000000"/>
            </w:tcBorders>
            <w:shd w:val="clear" w:color="auto" w:fill="auto"/>
            <w:vAlign w:val="center"/>
          </w:tcPr>
          <w:p w14:paraId="1F275E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445184A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0659DA0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400DE13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6F86987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44" w:type="dxa"/>
            <w:gridSpan w:val="2"/>
            <w:tcBorders>
              <w:top w:val="nil"/>
              <w:left w:val="nil"/>
              <w:bottom w:val="single" w:sz="4" w:space="0" w:color="000000"/>
              <w:right w:val="single" w:sz="18" w:space="0" w:color="000000"/>
            </w:tcBorders>
            <w:shd w:val="clear" w:color="auto" w:fill="auto"/>
            <w:vAlign w:val="center"/>
          </w:tcPr>
          <w:p w14:paraId="19939C4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4EDFB05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gridSpan w:val="2"/>
            <w:tcBorders>
              <w:top w:val="nil"/>
              <w:left w:val="nil"/>
              <w:bottom w:val="single" w:sz="4" w:space="0" w:color="000000"/>
              <w:right w:val="single" w:sz="4" w:space="0" w:color="000000"/>
            </w:tcBorders>
            <w:shd w:val="clear" w:color="auto" w:fill="auto"/>
            <w:vAlign w:val="center"/>
          </w:tcPr>
          <w:p w14:paraId="767D54F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5F91FADC" w14:textId="77777777">
        <w:trPr>
          <w:trHeight w:val="50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4B90E86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gridSpan w:val="2"/>
            <w:tcBorders>
              <w:top w:val="nil"/>
              <w:left w:val="nil"/>
              <w:bottom w:val="single" w:sz="4" w:space="0" w:color="000000"/>
              <w:right w:val="single" w:sz="4" w:space="0" w:color="000000"/>
            </w:tcBorders>
            <w:shd w:val="clear" w:color="auto" w:fill="auto"/>
            <w:vAlign w:val="center"/>
          </w:tcPr>
          <w:p w14:paraId="1130FB4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1F24CBA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61A59E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29D0F0C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4FB2DEB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44" w:type="dxa"/>
            <w:gridSpan w:val="2"/>
            <w:tcBorders>
              <w:top w:val="nil"/>
              <w:left w:val="nil"/>
              <w:bottom w:val="single" w:sz="4" w:space="0" w:color="000000"/>
              <w:right w:val="single" w:sz="18" w:space="0" w:color="000000"/>
            </w:tcBorders>
            <w:shd w:val="clear" w:color="auto" w:fill="auto"/>
            <w:vAlign w:val="center"/>
          </w:tcPr>
          <w:p w14:paraId="1C16B7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2E92F240"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gridSpan w:val="2"/>
            <w:tcBorders>
              <w:top w:val="nil"/>
              <w:left w:val="nil"/>
              <w:bottom w:val="single" w:sz="4" w:space="0" w:color="000000"/>
              <w:right w:val="single" w:sz="4" w:space="0" w:color="000000"/>
            </w:tcBorders>
            <w:shd w:val="clear" w:color="auto" w:fill="auto"/>
            <w:vAlign w:val="center"/>
          </w:tcPr>
          <w:p w14:paraId="56644403"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6E786CF4"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7E51A69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gridSpan w:val="2"/>
            <w:tcBorders>
              <w:top w:val="nil"/>
              <w:left w:val="nil"/>
              <w:bottom w:val="single" w:sz="4" w:space="0" w:color="000000"/>
              <w:right w:val="single" w:sz="4" w:space="0" w:color="000000"/>
            </w:tcBorders>
            <w:shd w:val="clear" w:color="auto" w:fill="auto"/>
            <w:vAlign w:val="center"/>
          </w:tcPr>
          <w:p w14:paraId="1D717C9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gridSpan w:val="2"/>
            <w:tcBorders>
              <w:top w:val="nil"/>
              <w:left w:val="nil"/>
              <w:bottom w:val="single" w:sz="4" w:space="0" w:color="000000"/>
              <w:right w:val="single" w:sz="4" w:space="0" w:color="000000"/>
            </w:tcBorders>
            <w:shd w:val="clear" w:color="auto" w:fill="auto"/>
            <w:vAlign w:val="center"/>
          </w:tcPr>
          <w:p w14:paraId="25C5CFD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gridSpan w:val="2"/>
            <w:tcBorders>
              <w:top w:val="nil"/>
              <w:left w:val="nil"/>
              <w:bottom w:val="single" w:sz="4" w:space="0" w:color="000000"/>
              <w:right w:val="single" w:sz="4" w:space="0" w:color="000000"/>
            </w:tcBorders>
            <w:shd w:val="clear" w:color="auto" w:fill="auto"/>
            <w:vAlign w:val="center"/>
          </w:tcPr>
          <w:p w14:paraId="30C2AE1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gridSpan w:val="2"/>
            <w:tcBorders>
              <w:top w:val="nil"/>
              <w:left w:val="nil"/>
              <w:bottom w:val="single" w:sz="4" w:space="0" w:color="000000"/>
              <w:right w:val="single" w:sz="4" w:space="0" w:color="000000"/>
            </w:tcBorders>
            <w:shd w:val="clear" w:color="auto" w:fill="auto"/>
            <w:vAlign w:val="center"/>
          </w:tcPr>
          <w:p w14:paraId="379E6DE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gridSpan w:val="2"/>
            <w:tcBorders>
              <w:top w:val="nil"/>
              <w:left w:val="nil"/>
              <w:bottom w:val="single" w:sz="4" w:space="0" w:color="000000"/>
              <w:right w:val="single" w:sz="4" w:space="0" w:color="000000"/>
            </w:tcBorders>
            <w:shd w:val="clear" w:color="auto" w:fill="auto"/>
            <w:vAlign w:val="center"/>
          </w:tcPr>
          <w:p w14:paraId="53EBB2F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44" w:type="dxa"/>
            <w:gridSpan w:val="2"/>
            <w:tcBorders>
              <w:top w:val="nil"/>
              <w:left w:val="nil"/>
              <w:bottom w:val="single" w:sz="4" w:space="0" w:color="000000"/>
              <w:right w:val="single" w:sz="18" w:space="0" w:color="000000"/>
            </w:tcBorders>
            <w:shd w:val="clear" w:color="auto" w:fill="auto"/>
            <w:vAlign w:val="center"/>
          </w:tcPr>
          <w:p w14:paraId="143DFC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28FF747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5,7%</w:t>
            </w:r>
          </w:p>
        </w:tc>
        <w:tc>
          <w:tcPr>
            <w:tcW w:w="1243" w:type="dxa"/>
            <w:gridSpan w:val="2"/>
            <w:tcBorders>
              <w:top w:val="nil"/>
              <w:left w:val="nil"/>
              <w:bottom w:val="single" w:sz="4" w:space="0" w:color="000000"/>
              <w:right w:val="single" w:sz="4" w:space="0" w:color="000000"/>
            </w:tcBorders>
            <w:shd w:val="clear" w:color="auto" w:fill="auto"/>
            <w:vAlign w:val="center"/>
          </w:tcPr>
          <w:p w14:paraId="6B24666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129,0%</w:t>
            </w:r>
          </w:p>
        </w:tc>
      </w:tr>
      <w:tr w:rsidR="00A0251B" w:rsidRPr="00CC35F0" w14:paraId="1EE67E73" w14:textId="77777777">
        <w:trPr>
          <w:trHeight w:val="26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1CF8C50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gridSpan w:val="2"/>
            <w:tcBorders>
              <w:top w:val="nil"/>
              <w:left w:val="nil"/>
              <w:bottom w:val="single" w:sz="4" w:space="0" w:color="000000"/>
              <w:right w:val="nil"/>
            </w:tcBorders>
            <w:shd w:val="clear" w:color="auto" w:fill="auto"/>
            <w:vAlign w:val="center"/>
          </w:tcPr>
          <w:p w14:paraId="0EAC59A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444,8   </w:t>
            </w:r>
          </w:p>
        </w:tc>
        <w:tc>
          <w:tcPr>
            <w:tcW w:w="936" w:type="dxa"/>
            <w:gridSpan w:val="2"/>
            <w:tcBorders>
              <w:top w:val="nil"/>
              <w:left w:val="single" w:sz="4" w:space="0" w:color="000000"/>
              <w:bottom w:val="single" w:sz="4" w:space="0" w:color="000000"/>
              <w:right w:val="nil"/>
            </w:tcBorders>
            <w:shd w:val="clear" w:color="auto" w:fill="auto"/>
            <w:vAlign w:val="center"/>
          </w:tcPr>
          <w:p w14:paraId="04F8B5B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366,0   </w:t>
            </w:r>
          </w:p>
        </w:tc>
        <w:tc>
          <w:tcPr>
            <w:tcW w:w="936" w:type="dxa"/>
            <w:gridSpan w:val="2"/>
            <w:tcBorders>
              <w:top w:val="nil"/>
              <w:left w:val="single" w:sz="4" w:space="0" w:color="000000"/>
              <w:bottom w:val="single" w:sz="4" w:space="0" w:color="000000"/>
              <w:right w:val="nil"/>
            </w:tcBorders>
            <w:shd w:val="clear" w:color="auto" w:fill="auto"/>
            <w:vAlign w:val="center"/>
          </w:tcPr>
          <w:p w14:paraId="545FD09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366,0   </w:t>
            </w:r>
          </w:p>
        </w:tc>
        <w:tc>
          <w:tcPr>
            <w:tcW w:w="936" w:type="dxa"/>
            <w:gridSpan w:val="2"/>
            <w:tcBorders>
              <w:top w:val="nil"/>
              <w:left w:val="single" w:sz="4" w:space="0" w:color="000000"/>
              <w:bottom w:val="single" w:sz="4" w:space="0" w:color="000000"/>
              <w:right w:val="nil"/>
            </w:tcBorders>
            <w:shd w:val="clear" w:color="auto" w:fill="auto"/>
            <w:vAlign w:val="center"/>
          </w:tcPr>
          <w:p w14:paraId="7AD344D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42,9   </w:t>
            </w:r>
          </w:p>
        </w:tc>
        <w:tc>
          <w:tcPr>
            <w:tcW w:w="936" w:type="dxa"/>
            <w:gridSpan w:val="2"/>
            <w:tcBorders>
              <w:top w:val="nil"/>
              <w:left w:val="single" w:sz="4" w:space="0" w:color="000000"/>
              <w:bottom w:val="single" w:sz="4" w:space="0" w:color="000000"/>
              <w:right w:val="nil"/>
            </w:tcBorders>
            <w:shd w:val="clear" w:color="auto" w:fill="auto"/>
            <w:vAlign w:val="center"/>
          </w:tcPr>
          <w:p w14:paraId="1605E21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38,4   </w:t>
            </w:r>
          </w:p>
        </w:tc>
        <w:tc>
          <w:tcPr>
            <w:tcW w:w="944" w:type="dxa"/>
            <w:gridSpan w:val="2"/>
            <w:tcBorders>
              <w:top w:val="nil"/>
              <w:left w:val="single" w:sz="4" w:space="0" w:color="000000"/>
              <w:bottom w:val="single" w:sz="4" w:space="0" w:color="000000"/>
              <w:right w:val="single" w:sz="18" w:space="0" w:color="000000"/>
            </w:tcBorders>
            <w:shd w:val="clear" w:color="auto" w:fill="auto"/>
            <w:vAlign w:val="center"/>
          </w:tcPr>
          <w:p w14:paraId="7ABEBC4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29,3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02490327"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-89,5%</w:t>
            </w:r>
          </w:p>
        </w:tc>
        <w:tc>
          <w:tcPr>
            <w:tcW w:w="1243" w:type="dxa"/>
            <w:gridSpan w:val="2"/>
            <w:tcBorders>
              <w:top w:val="nil"/>
              <w:left w:val="nil"/>
              <w:bottom w:val="single" w:sz="4" w:space="0" w:color="000000"/>
              <w:right w:val="single" w:sz="4" w:space="0" w:color="000000"/>
            </w:tcBorders>
            <w:shd w:val="clear" w:color="auto" w:fill="auto"/>
            <w:vAlign w:val="center"/>
          </w:tcPr>
          <w:p w14:paraId="460A9442"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-91,4%</w:t>
            </w:r>
          </w:p>
        </w:tc>
      </w:tr>
      <w:tr w:rsidR="00A0251B" w:rsidRPr="00CC35F0" w14:paraId="3675C024" w14:textId="77777777">
        <w:trPr>
          <w:trHeight w:val="260"/>
        </w:trPr>
        <w:tc>
          <w:tcPr>
            <w:tcW w:w="2056" w:type="dxa"/>
            <w:gridSpan w:val="2"/>
            <w:tcBorders>
              <w:top w:val="nil"/>
              <w:left w:val="nil"/>
              <w:bottom w:val="nil"/>
              <w:right w:val="nil"/>
            </w:tcBorders>
            <w:shd w:val="clear" w:color="auto" w:fill="auto"/>
            <w:vAlign w:val="center"/>
          </w:tcPr>
          <w:p w14:paraId="0B8DBD6C"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936" w:type="dxa"/>
            <w:gridSpan w:val="2"/>
            <w:tcBorders>
              <w:top w:val="nil"/>
              <w:left w:val="nil"/>
              <w:bottom w:val="nil"/>
              <w:right w:val="nil"/>
            </w:tcBorders>
            <w:shd w:val="clear" w:color="auto" w:fill="FFFFFF"/>
            <w:vAlign w:val="center"/>
          </w:tcPr>
          <w:p w14:paraId="57A8A23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gridSpan w:val="2"/>
            <w:tcBorders>
              <w:top w:val="nil"/>
              <w:left w:val="nil"/>
              <w:bottom w:val="nil"/>
              <w:right w:val="nil"/>
            </w:tcBorders>
            <w:shd w:val="clear" w:color="auto" w:fill="FFFFFF"/>
            <w:vAlign w:val="center"/>
          </w:tcPr>
          <w:p w14:paraId="7B62EFF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gridSpan w:val="2"/>
            <w:tcBorders>
              <w:top w:val="nil"/>
              <w:left w:val="nil"/>
              <w:bottom w:val="nil"/>
              <w:right w:val="nil"/>
            </w:tcBorders>
            <w:shd w:val="clear" w:color="auto" w:fill="FFFFFF"/>
            <w:vAlign w:val="center"/>
          </w:tcPr>
          <w:p w14:paraId="1D9DB3F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gridSpan w:val="2"/>
            <w:tcBorders>
              <w:top w:val="nil"/>
              <w:left w:val="nil"/>
              <w:bottom w:val="nil"/>
              <w:right w:val="nil"/>
            </w:tcBorders>
            <w:shd w:val="clear" w:color="auto" w:fill="FFFFFF"/>
            <w:vAlign w:val="center"/>
          </w:tcPr>
          <w:p w14:paraId="460E230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gridSpan w:val="2"/>
            <w:tcBorders>
              <w:top w:val="nil"/>
              <w:left w:val="nil"/>
              <w:bottom w:val="nil"/>
              <w:right w:val="nil"/>
            </w:tcBorders>
            <w:shd w:val="clear" w:color="auto" w:fill="FFFFFF"/>
            <w:vAlign w:val="center"/>
          </w:tcPr>
          <w:p w14:paraId="2763DAD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44" w:type="dxa"/>
            <w:gridSpan w:val="2"/>
            <w:tcBorders>
              <w:top w:val="nil"/>
              <w:left w:val="nil"/>
              <w:bottom w:val="nil"/>
              <w:right w:val="nil"/>
            </w:tcBorders>
            <w:shd w:val="clear" w:color="auto" w:fill="FFFFFF"/>
            <w:vAlign w:val="center"/>
          </w:tcPr>
          <w:p w14:paraId="3CCFC65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gridSpan w:val="2"/>
            <w:tcBorders>
              <w:top w:val="nil"/>
              <w:left w:val="nil"/>
              <w:bottom w:val="nil"/>
              <w:right w:val="nil"/>
            </w:tcBorders>
            <w:shd w:val="clear" w:color="auto" w:fill="FFFFFF"/>
            <w:vAlign w:val="center"/>
          </w:tcPr>
          <w:p w14:paraId="09F80B9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gridSpan w:val="2"/>
            <w:tcBorders>
              <w:top w:val="nil"/>
              <w:left w:val="nil"/>
              <w:bottom w:val="nil"/>
              <w:right w:val="nil"/>
            </w:tcBorders>
            <w:shd w:val="clear" w:color="auto" w:fill="FFFFFF"/>
            <w:vAlign w:val="center"/>
          </w:tcPr>
          <w:p w14:paraId="0BE049A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4357687E" w14:textId="77777777">
        <w:trPr>
          <w:trHeight w:val="300"/>
        </w:trPr>
        <w:tc>
          <w:tcPr>
            <w:tcW w:w="2056" w:type="dxa"/>
            <w:gridSpan w:val="2"/>
            <w:tcBorders>
              <w:top w:val="nil"/>
              <w:left w:val="nil"/>
              <w:bottom w:val="single" w:sz="4" w:space="0" w:color="000000"/>
              <w:right w:val="nil"/>
            </w:tcBorders>
            <w:shd w:val="clear" w:color="auto" w:fill="FFFFFF"/>
            <w:vAlign w:val="center"/>
          </w:tcPr>
          <w:p w14:paraId="5E58FB5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SO</w:t>
            </w:r>
            <w:r w:rsidRPr="00CC35F0">
              <w:rPr>
                <w:rFonts w:ascii="Times New Roman" w:eastAsia="Times New Roman" w:hAnsi="Times New Roman"/>
                <w:sz w:val="24"/>
                <w:szCs w:val="24"/>
                <w:vertAlign w:val="subscript"/>
                <w:lang w:val="sr-Cyrl-CS"/>
              </w:rPr>
              <w:t>2</w:t>
            </w:r>
          </w:p>
        </w:tc>
        <w:tc>
          <w:tcPr>
            <w:tcW w:w="936" w:type="dxa"/>
            <w:gridSpan w:val="2"/>
            <w:tcBorders>
              <w:top w:val="nil"/>
              <w:left w:val="nil"/>
              <w:bottom w:val="nil"/>
              <w:right w:val="nil"/>
            </w:tcBorders>
            <w:shd w:val="clear" w:color="auto" w:fill="FFFFFF"/>
            <w:vAlign w:val="center"/>
          </w:tcPr>
          <w:p w14:paraId="16AE554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gridSpan w:val="2"/>
            <w:tcBorders>
              <w:top w:val="nil"/>
              <w:left w:val="nil"/>
              <w:bottom w:val="nil"/>
              <w:right w:val="nil"/>
            </w:tcBorders>
            <w:shd w:val="clear" w:color="auto" w:fill="FFFFFF"/>
            <w:vAlign w:val="center"/>
          </w:tcPr>
          <w:p w14:paraId="390957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gridSpan w:val="2"/>
            <w:tcBorders>
              <w:top w:val="nil"/>
              <w:left w:val="nil"/>
              <w:bottom w:val="nil"/>
              <w:right w:val="nil"/>
            </w:tcBorders>
            <w:shd w:val="clear" w:color="auto" w:fill="FFFFFF"/>
            <w:vAlign w:val="center"/>
          </w:tcPr>
          <w:p w14:paraId="3673C47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gridSpan w:val="2"/>
            <w:tcBorders>
              <w:top w:val="nil"/>
              <w:left w:val="nil"/>
              <w:bottom w:val="nil"/>
              <w:right w:val="nil"/>
            </w:tcBorders>
            <w:shd w:val="clear" w:color="auto" w:fill="FFFFFF"/>
            <w:vAlign w:val="center"/>
          </w:tcPr>
          <w:p w14:paraId="124497D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gridSpan w:val="2"/>
            <w:tcBorders>
              <w:top w:val="nil"/>
              <w:left w:val="nil"/>
              <w:bottom w:val="nil"/>
              <w:right w:val="nil"/>
            </w:tcBorders>
            <w:shd w:val="clear" w:color="auto" w:fill="FFFFFF"/>
            <w:vAlign w:val="center"/>
          </w:tcPr>
          <w:p w14:paraId="6C81FD0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44" w:type="dxa"/>
            <w:gridSpan w:val="2"/>
            <w:tcBorders>
              <w:top w:val="nil"/>
              <w:left w:val="nil"/>
              <w:bottom w:val="nil"/>
              <w:right w:val="nil"/>
            </w:tcBorders>
            <w:shd w:val="clear" w:color="auto" w:fill="FFFFFF"/>
            <w:vAlign w:val="center"/>
          </w:tcPr>
          <w:p w14:paraId="51D5D5C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gridSpan w:val="2"/>
            <w:tcBorders>
              <w:top w:val="nil"/>
              <w:left w:val="nil"/>
              <w:bottom w:val="single" w:sz="4" w:space="0" w:color="000000"/>
              <w:right w:val="nil"/>
            </w:tcBorders>
            <w:shd w:val="clear" w:color="auto" w:fill="FFFFFF"/>
            <w:vAlign w:val="center"/>
          </w:tcPr>
          <w:p w14:paraId="13772F7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gridSpan w:val="2"/>
            <w:tcBorders>
              <w:top w:val="nil"/>
              <w:left w:val="nil"/>
              <w:bottom w:val="nil"/>
              <w:right w:val="nil"/>
            </w:tcBorders>
            <w:shd w:val="clear" w:color="auto" w:fill="FFFFFF"/>
            <w:vAlign w:val="center"/>
          </w:tcPr>
          <w:p w14:paraId="5E6427C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r>
      <w:tr w:rsidR="00A0251B" w:rsidRPr="00CC35F0" w14:paraId="155363A5" w14:textId="77777777">
        <w:trPr>
          <w:trHeight w:val="270"/>
        </w:trPr>
        <w:tc>
          <w:tcPr>
            <w:tcW w:w="2056" w:type="dxa"/>
            <w:gridSpan w:val="2"/>
            <w:tcBorders>
              <w:top w:val="nil"/>
              <w:left w:val="single" w:sz="4" w:space="0" w:color="000000"/>
              <w:bottom w:val="nil"/>
              <w:right w:val="single" w:sz="4" w:space="0" w:color="000000"/>
            </w:tcBorders>
            <w:shd w:val="clear" w:color="auto" w:fill="DAEEF3"/>
            <w:vAlign w:val="center"/>
          </w:tcPr>
          <w:p w14:paraId="0B508A2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WAM_A </w:t>
            </w:r>
          </w:p>
        </w:tc>
        <w:tc>
          <w:tcPr>
            <w:tcW w:w="936" w:type="dxa"/>
            <w:gridSpan w:val="2"/>
            <w:tcBorders>
              <w:top w:val="single" w:sz="4" w:space="0" w:color="000000"/>
              <w:left w:val="nil"/>
              <w:bottom w:val="single" w:sz="4" w:space="0" w:color="000000"/>
              <w:right w:val="nil"/>
            </w:tcBorders>
            <w:shd w:val="clear" w:color="auto" w:fill="DAEEF3"/>
            <w:vAlign w:val="center"/>
          </w:tcPr>
          <w:p w14:paraId="2BD0047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gridSpan w:val="2"/>
            <w:tcBorders>
              <w:top w:val="single" w:sz="4" w:space="0" w:color="000000"/>
              <w:left w:val="single" w:sz="4" w:space="0" w:color="000000"/>
              <w:bottom w:val="single" w:sz="4" w:space="0" w:color="000000"/>
              <w:right w:val="nil"/>
            </w:tcBorders>
            <w:shd w:val="clear" w:color="auto" w:fill="DAEEF3"/>
            <w:vAlign w:val="center"/>
          </w:tcPr>
          <w:p w14:paraId="6647C8A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gridSpan w:val="2"/>
            <w:tcBorders>
              <w:top w:val="single" w:sz="4" w:space="0" w:color="000000"/>
              <w:left w:val="single" w:sz="4" w:space="0" w:color="000000"/>
              <w:bottom w:val="single" w:sz="4" w:space="0" w:color="000000"/>
              <w:right w:val="nil"/>
            </w:tcBorders>
            <w:shd w:val="clear" w:color="auto" w:fill="DAEEF3"/>
            <w:vAlign w:val="center"/>
          </w:tcPr>
          <w:p w14:paraId="6AE8B74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gridSpan w:val="2"/>
            <w:tcBorders>
              <w:top w:val="single" w:sz="4" w:space="0" w:color="000000"/>
              <w:left w:val="single" w:sz="4" w:space="0" w:color="000000"/>
              <w:bottom w:val="single" w:sz="4" w:space="0" w:color="000000"/>
              <w:right w:val="nil"/>
            </w:tcBorders>
            <w:shd w:val="clear" w:color="auto" w:fill="DAEEF3"/>
            <w:vAlign w:val="center"/>
          </w:tcPr>
          <w:p w14:paraId="7CCD1DF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gridSpan w:val="2"/>
            <w:tcBorders>
              <w:top w:val="single" w:sz="4" w:space="0" w:color="000000"/>
              <w:left w:val="single" w:sz="4" w:space="0" w:color="000000"/>
              <w:bottom w:val="single" w:sz="4" w:space="0" w:color="000000"/>
              <w:right w:val="nil"/>
            </w:tcBorders>
            <w:shd w:val="clear" w:color="auto" w:fill="DAEEF3"/>
            <w:vAlign w:val="center"/>
          </w:tcPr>
          <w:p w14:paraId="6403D65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44" w:type="dxa"/>
            <w:gridSpan w:val="2"/>
            <w:tcBorders>
              <w:top w:val="single" w:sz="4" w:space="0" w:color="000000"/>
              <w:left w:val="single" w:sz="4" w:space="0" w:color="000000"/>
              <w:bottom w:val="single" w:sz="4" w:space="0" w:color="000000"/>
              <w:right w:val="single" w:sz="18" w:space="0" w:color="000000"/>
            </w:tcBorders>
            <w:shd w:val="clear" w:color="auto" w:fill="DAEEF3"/>
            <w:vAlign w:val="center"/>
          </w:tcPr>
          <w:p w14:paraId="02437FD6"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DAEEF3"/>
            <w:vAlign w:val="center"/>
          </w:tcPr>
          <w:p w14:paraId="728BE43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gridSpan w:val="2"/>
            <w:tcBorders>
              <w:top w:val="single" w:sz="4" w:space="0" w:color="000000"/>
              <w:left w:val="nil"/>
              <w:bottom w:val="single" w:sz="4" w:space="0" w:color="000000"/>
              <w:right w:val="single" w:sz="4" w:space="0" w:color="000000"/>
            </w:tcBorders>
            <w:shd w:val="clear" w:color="auto" w:fill="DAEEF3"/>
            <w:vAlign w:val="center"/>
          </w:tcPr>
          <w:p w14:paraId="7BC024D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015787B1" w14:textId="77777777">
        <w:trPr>
          <w:trHeight w:val="250"/>
        </w:trPr>
        <w:tc>
          <w:tcPr>
            <w:tcW w:w="205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B22625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gridSpan w:val="2"/>
            <w:tcBorders>
              <w:top w:val="nil"/>
              <w:left w:val="nil"/>
              <w:bottom w:val="single" w:sz="4" w:space="0" w:color="000000"/>
              <w:right w:val="single" w:sz="4" w:space="0" w:color="000000"/>
            </w:tcBorders>
            <w:shd w:val="clear" w:color="auto" w:fill="auto"/>
            <w:vAlign w:val="center"/>
          </w:tcPr>
          <w:p w14:paraId="3122B22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394,3   </w:t>
            </w:r>
          </w:p>
        </w:tc>
        <w:tc>
          <w:tcPr>
            <w:tcW w:w="936" w:type="dxa"/>
            <w:gridSpan w:val="2"/>
            <w:tcBorders>
              <w:top w:val="nil"/>
              <w:left w:val="nil"/>
              <w:bottom w:val="single" w:sz="4" w:space="0" w:color="000000"/>
              <w:right w:val="single" w:sz="4" w:space="0" w:color="000000"/>
            </w:tcBorders>
            <w:shd w:val="clear" w:color="auto" w:fill="auto"/>
            <w:vAlign w:val="center"/>
          </w:tcPr>
          <w:p w14:paraId="1B19CE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330,9   </w:t>
            </w:r>
          </w:p>
        </w:tc>
        <w:tc>
          <w:tcPr>
            <w:tcW w:w="936" w:type="dxa"/>
            <w:gridSpan w:val="2"/>
            <w:tcBorders>
              <w:top w:val="nil"/>
              <w:left w:val="nil"/>
              <w:bottom w:val="single" w:sz="4" w:space="0" w:color="000000"/>
              <w:right w:val="single" w:sz="4" w:space="0" w:color="000000"/>
            </w:tcBorders>
            <w:shd w:val="clear" w:color="auto" w:fill="auto"/>
            <w:vAlign w:val="center"/>
          </w:tcPr>
          <w:p w14:paraId="482504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333,5   </w:t>
            </w:r>
          </w:p>
        </w:tc>
        <w:tc>
          <w:tcPr>
            <w:tcW w:w="936" w:type="dxa"/>
            <w:gridSpan w:val="2"/>
            <w:tcBorders>
              <w:top w:val="nil"/>
              <w:left w:val="nil"/>
              <w:bottom w:val="single" w:sz="4" w:space="0" w:color="000000"/>
              <w:right w:val="single" w:sz="4" w:space="0" w:color="000000"/>
            </w:tcBorders>
            <w:shd w:val="clear" w:color="auto" w:fill="auto"/>
            <w:vAlign w:val="center"/>
          </w:tcPr>
          <w:p w14:paraId="4F17C8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21,1   </w:t>
            </w:r>
          </w:p>
        </w:tc>
        <w:tc>
          <w:tcPr>
            <w:tcW w:w="936" w:type="dxa"/>
            <w:gridSpan w:val="2"/>
            <w:tcBorders>
              <w:top w:val="nil"/>
              <w:left w:val="nil"/>
              <w:bottom w:val="single" w:sz="4" w:space="0" w:color="000000"/>
              <w:right w:val="single" w:sz="4" w:space="0" w:color="000000"/>
            </w:tcBorders>
            <w:shd w:val="clear" w:color="auto" w:fill="auto"/>
            <w:vAlign w:val="center"/>
          </w:tcPr>
          <w:p w14:paraId="5E7C2E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19,0   </w:t>
            </w:r>
          </w:p>
        </w:tc>
        <w:tc>
          <w:tcPr>
            <w:tcW w:w="944" w:type="dxa"/>
            <w:gridSpan w:val="2"/>
            <w:tcBorders>
              <w:top w:val="nil"/>
              <w:left w:val="nil"/>
              <w:bottom w:val="single" w:sz="4" w:space="0" w:color="000000"/>
              <w:right w:val="single" w:sz="18" w:space="0" w:color="000000"/>
            </w:tcBorders>
            <w:shd w:val="clear" w:color="auto" w:fill="auto"/>
            <w:vAlign w:val="center"/>
          </w:tcPr>
          <w:p w14:paraId="5D17C2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11,7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7388855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-94,2%</w:t>
            </w:r>
          </w:p>
        </w:tc>
        <w:tc>
          <w:tcPr>
            <w:tcW w:w="1243" w:type="dxa"/>
            <w:gridSpan w:val="2"/>
            <w:tcBorders>
              <w:top w:val="nil"/>
              <w:left w:val="nil"/>
              <w:bottom w:val="single" w:sz="4" w:space="0" w:color="000000"/>
              <w:right w:val="single" w:sz="4" w:space="0" w:color="000000"/>
            </w:tcBorders>
            <w:shd w:val="clear" w:color="auto" w:fill="auto"/>
            <w:vAlign w:val="center"/>
          </w:tcPr>
          <w:p w14:paraId="5770116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-95,2%</w:t>
            </w:r>
          </w:p>
        </w:tc>
      </w:tr>
      <w:tr w:rsidR="00A0251B" w:rsidRPr="00CC35F0" w14:paraId="7DF009BB"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15FD2F6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gridSpan w:val="2"/>
            <w:tcBorders>
              <w:top w:val="nil"/>
              <w:left w:val="nil"/>
              <w:bottom w:val="single" w:sz="4" w:space="0" w:color="000000"/>
              <w:right w:val="single" w:sz="4" w:space="0" w:color="000000"/>
            </w:tcBorders>
            <w:shd w:val="clear" w:color="auto" w:fill="auto"/>
            <w:vAlign w:val="center"/>
          </w:tcPr>
          <w:p w14:paraId="2D111CD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26,1   </w:t>
            </w:r>
          </w:p>
        </w:tc>
        <w:tc>
          <w:tcPr>
            <w:tcW w:w="936" w:type="dxa"/>
            <w:gridSpan w:val="2"/>
            <w:tcBorders>
              <w:top w:val="nil"/>
              <w:left w:val="nil"/>
              <w:bottom w:val="single" w:sz="4" w:space="0" w:color="000000"/>
              <w:right w:val="single" w:sz="4" w:space="0" w:color="000000"/>
            </w:tcBorders>
            <w:shd w:val="clear" w:color="auto" w:fill="auto"/>
            <w:vAlign w:val="center"/>
          </w:tcPr>
          <w:p w14:paraId="048BA0C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25,4   </w:t>
            </w:r>
          </w:p>
        </w:tc>
        <w:tc>
          <w:tcPr>
            <w:tcW w:w="936" w:type="dxa"/>
            <w:gridSpan w:val="2"/>
            <w:tcBorders>
              <w:top w:val="nil"/>
              <w:left w:val="nil"/>
              <w:bottom w:val="single" w:sz="4" w:space="0" w:color="000000"/>
              <w:right w:val="single" w:sz="4" w:space="0" w:color="000000"/>
            </w:tcBorders>
            <w:shd w:val="clear" w:color="auto" w:fill="auto"/>
            <w:vAlign w:val="center"/>
          </w:tcPr>
          <w:p w14:paraId="7BA3FDD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27,5   </w:t>
            </w:r>
          </w:p>
        </w:tc>
        <w:tc>
          <w:tcPr>
            <w:tcW w:w="936" w:type="dxa"/>
            <w:gridSpan w:val="2"/>
            <w:tcBorders>
              <w:top w:val="nil"/>
              <w:left w:val="nil"/>
              <w:bottom w:val="single" w:sz="4" w:space="0" w:color="000000"/>
              <w:right w:val="single" w:sz="4" w:space="0" w:color="000000"/>
            </w:tcBorders>
            <w:shd w:val="clear" w:color="auto" w:fill="auto"/>
            <w:vAlign w:val="center"/>
          </w:tcPr>
          <w:p w14:paraId="5D4E40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11,7   </w:t>
            </w:r>
          </w:p>
        </w:tc>
        <w:tc>
          <w:tcPr>
            <w:tcW w:w="936" w:type="dxa"/>
            <w:gridSpan w:val="2"/>
            <w:tcBorders>
              <w:top w:val="nil"/>
              <w:left w:val="nil"/>
              <w:bottom w:val="single" w:sz="4" w:space="0" w:color="000000"/>
              <w:right w:val="single" w:sz="4" w:space="0" w:color="000000"/>
            </w:tcBorders>
            <w:shd w:val="clear" w:color="auto" w:fill="auto"/>
            <w:vAlign w:val="center"/>
          </w:tcPr>
          <w:p w14:paraId="1E02601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9,5   </w:t>
            </w:r>
          </w:p>
        </w:tc>
        <w:tc>
          <w:tcPr>
            <w:tcW w:w="944" w:type="dxa"/>
            <w:gridSpan w:val="2"/>
            <w:tcBorders>
              <w:top w:val="nil"/>
              <w:left w:val="nil"/>
              <w:bottom w:val="single" w:sz="4" w:space="0" w:color="000000"/>
              <w:right w:val="single" w:sz="18" w:space="0" w:color="000000"/>
            </w:tcBorders>
            <w:shd w:val="clear" w:color="auto" w:fill="auto"/>
            <w:vAlign w:val="center"/>
          </w:tcPr>
          <w:p w14:paraId="5C2C16B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8,7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22710AB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-62,7%</w:t>
            </w:r>
          </w:p>
        </w:tc>
        <w:tc>
          <w:tcPr>
            <w:tcW w:w="1243" w:type="dxa"/>
            <w:gridSpan w:val="2"/>
            <w:tcBorders>
              <w:top w:val="nil"/>
              <w:left w:val="nil"/>
              <w:bottom w:val="single" w:sz="4" w:space="0" w:color="000000"/>
              <w:right w:val="single" w:sz="4" w:space="0" w:color="000000"/>
            </w:tcBorders>
            <w:shd w:val="clear" w:color="auto" w:fill="auto"/>
            <w:vAlign w:val="center"/>
          </w:tcPr>
          <w:p w14:paraId="65B5790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-63,7%</w:t>
            </w:r>
          </w:p>
        </w:tc>
      </w:tr>
      <w:tr w:rsidR="00A0251B" w:rsidRPr="00CC35F0" w14:paraId="50264634" w14:textId="77777777">
        <w:trPr>
          <w:trHeight w:val="50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7CB23A2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C_Остали стационарни извори</w:t>
            </w:r>
          </w:p>
        </w:tc>
        <w:tc>
          <w:tcPr>
            <w:tcW w:w="936" w:type="dxa"/>
            <w:gridSpan w:val="2"/>
            <w:tcBorders>
              <w:top w:val="nil"/>
              <w:left w:val="nil"/>
              <w:bottom w:val="single" w:sz="4" w:space="0" w:color="000000"/>
              <w:right w:val="single" w:sz="4" w:space="0" w:color="000000"/>
            </w:tcBorders>
            <w:shd w:val="clear" w:color="auto" w:fill="auto"/>
            <w:vAlign w:val="center"/>
          </w:tcPr>
          <w:p w14:paraId="5C6CCCB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20,2   </w:t>
            </w:r>
          </w:p>
        </w:tc>
        <w:tc>
          <w:tcPr>
            <w:tcW w:w="936" w:type="dxa"/>
            <w:gridSpan w:val="2"/>
            <w:tcBorders>
              <w:top w:val="nil"/>
              <w:left w:val="nil"/>
              <w:bottom w:val="single" w:sz="4" w:space="0" w:color="000000"/>
              <w:right w:val="single" w:sz="4" w:space="0" w:color="000000"/>
            </w:tcBorders>
            <w:shd w:val="clear" w:color="auto" w:fill="auto"/>
            <w:vAlign w:val="center"/>
          </w:tcPr>
          <w:p w14:paraId="54F77D3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9,0   </w:t>
            </w:r>
          </w:p>
        </w:tc>
        <w:tc>
          <w:tcPr>
            <w:tcW w:w="936" w:type="dxa"/>
            <w:gridSpan w:val="2"/>
            <w:tcBorders>
              <w:top w:val="nil"/>
              <w:left w:val="nil"/>
              <w:bottom w:val="single" w:sz="4" w:space="0" w:color="000000"/>
              <w:right w:val="single" w:sz="4" w:space="0" w:color="000000"/>
            </w:tcBorders>
            <w:shd w:val="clear" w:color="auto" w:fill="auto"/>
            <w:vAlign w:val="center"/>
          </w:tcPr>
          <w:p w14:paraId="358CCD2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4,3   </w:t>
            </w:r>
          </w:p>
        </w:tc>
        <w:tc>
          <w:tcPr>
            <w:tcW w:w="936" w:type="dxa"/>
            <w:gridSpan w:val="2"/>
            <w:tcBorders>
              <w:top w:val="nil"/>
              <w:left w:val="nil"/>
              <w:bottom w:val="single" w:sz="4" w:space="0" w:color="000000"/>
              <w:right w:val="single" w:sz="4" w:space="0" w:color="000000"/>
            </w:tcBorders>
            <w:shd w:val="clear" w:color="auto" w:fill="auto"/>
            <w:vAlign w:val="center"/>
          </w:tcPr>
          <w:p w14:paraId="75A62C6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   </w:t>
            </w:r>
          </w:p>
        </w:tc>
        <w:tc>
          <w:tcPr>
            <w:tcW w:w="936" w:type="dxa"/>
            <w:gridSpan w:val="2"/>
            <w:tcBorders>
              <w:top w:val="nil"/>
              <w:left w:val="nil"/>
              <w:bottom w:val="single" w:sz="4" w:space="0" w:color="000000"/>
              <w:right w:val="single" w:sz="4" w:space="0" w:color="000000"/>
            </w:tcBorders>
            <w:shd w:val="clear" w:color="auto" w:fill="auto"/>
            <w:vAlign w:val="center"/>
          </w:tcPr>
          <w:p w14:paraId="030234D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2,4   </w:t>
            </w:r>
          </w:p>
        </w:tc>
        <w:tc>
          <w:tcPr>
            <w:tcW w:w="944" w:type="dxa"/>
            <w:gridSpan w:val="2"/>
            <w:tcBorders>
              <w:top w:val="nil"/>
              <w:left w:val="nil"/>
              <w:bottom w:val="single" w:sz="4" w:space="0" w:color="000000"/>
              <w:right w:val="single" w:sz="18" w:space="0" w:color="000000"/>
            </w:tcBorders>
            <w:shd w:val="clear" w:color="auto" w:fill="auto"/>
            <w:vAlign w:val="center"/>
          </w:tcPr>
          <w:p w14:paraId="06B242F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7FC011A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-72,9%</w:t>
            </w:r>
          </w:p>
        </w:tc>
        <w:tc>
          <w:tcPr>
            <w:tcW w:w="1243" w:type="dxa"/>
            <w:gridSpan w:val="2"/>
            <w:tcBorders>
              <w:top w:val="nil"/>
              <w:left w:val="nil"/>
              <w:bottom w:val="single" w:sz="4" w:space="0" w:color="000000"/>
              <w:right w:val="single" w:sz="4" w:space="0" w:color="000000"/>
            </w:tcBorders>
            <w:shd w:val="clear" w:color="auto" w:fill="auto"/>
            <w:vAlign w:val="center"/>
          </w:tcPr>
          <w:p w14:paraId="0671A07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-87,9%</w:t>
            </w:r>
          </w:p>
        </w:tc>
      </w:tr>
      <w:tr w:rsidR="00A0251B" w:rsidRPr="00CC35F0" w14:paraId="16244C18"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6760299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gridSpan w:val="2"/>
            <w:tcBorders>
              <w:top w:val="nil"/>
              <w:left w:val="nil"/>
              <w:bottom w:val="single" w:sz="4" w:space="0" w:color="000000"/>
              <w:right w:val="single" w:sz="4" w:space="0" w:color="000000"/>
            </w:tcBorders>
            <w:shd w:val="clear" w:color="auto" w:fill="auto"/>
            <w:vAlign w:val="center"/>
          </w:tcPr>
          <w:p w14:paraId="6F281A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   </w:t>
            </w:r>
          </w:p>
        </w:tc>
        <w:tc>
          <w:tcPr>
            <w:tcW w:w="936" w:type="dxa"/>
            <w:gridSpan w:val="2"/>
            <w:tcBorders>
              <w:top w:val="nil"/>
              <w:left w:val="nil"/>
              <w:bottom w:val="single" w:sz="4" w:space="0" w:color="000000"/>
              <w:right w:val="single" w:sz="4" w:space="0" w:color="000000"/>
            </w:tcBorders>
            <w:shd w:val="clear" w:color="auto" w:fill="auto"/>
            <w:vAlign w:val="center"/>
          </w:tcPr>
          <w:p w14:paraId="708079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0BBC3F4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4FD32D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738E0A3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44" w:type="dxa"/>
            <w:gridSpan w:val="2"/>
            <w:tcBorders>
              <w:top w:val="nil"/>
              <w:left w:val="nil"/>
              <w:bottom w:val="single" w:sz="4" w:space="0" w:color="000000"/>
              <w:right w:val="single" w:sz="18" w:space="0" w:color="000000"/>
            </w:tcBorders>
            <w:shd w:val="clear" w:color="auto" w:fill="auto"/>
            <w:vAlign w:val="center"/>
          </w:tcPr>
          <w:p w14:paraId="2B2BC5E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4954704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w:t>
            </w:r>
          </w:p>
        </w:tc>
        <w:tc>
          <w:tcPr>
            <w:tcW w:w="1243" w:type="dxa"/>
            <w:gridSpan w:val="2"/>
            <w:tcBorders>
              <w:top w:val="nil"/>
              <w:left w:val="nil"/>
              <w:bottom w:val="single" w:sz="4" w:space="0" w:color="000000"/>
              <w:right w:val="single" w:sz="4" w:space="0" w:color="000000"/>
            </w:tcBorders>
            <w:shd w:val="clear" w:color="auto" w:fill="auto"/>
            <w:vAlign w:val="center"/>
          </w:tcPr>
          <w:p w14:paraId="4765596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-100,0%</w:t>
            </w:r>
          </w:p>
        </w:tc>
      </w:tr>
      <w:tr w:rsidR="00A0251B" w:rsidRPr="00CC35F0" w14:paraId="2DBD40A8"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0987EF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gridSpan w:val="2"/>
            <w:tcBorders>
              <w:top w:val="nil"/>
              <w:left w:val="nil"/>
              <w:bottom w:val="single" w:sz="4" w:space="0" w:color="000000"/>
              <w:right w:val="single" w:sz="4" w:space="0" w:color="000000"/>
            </w:tcBorders>
            <w:shd w:val="clear" w:color="auto" w:fill="auto"/>
            <w:vAlign w:val="center"/>
          </w:tcPr>
          <w:p w14:paraId="3F002B0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047FB95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32F4D8A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762847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023A830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44" w:type="dxa"/>
            <w:gridSpan w:val="2"/>
            <w:tcBorders>
              <w:top w:val="nil"/>
              <w:left w:val="nil"/>
              <w:bottom w:val="single" w:sz="4" w:space="0" w:color="000000"/>
              <w:right w:val="single" w:sz="18" w:space="0" w:color="000000"/>
            </w:tcBorders>
            <w:shd w:val="clear" w:color="auto" w:fill="auto"/>
            <w:vAlign w:val="center"/>
          </w:tcPr>
          <w:p w14:paraId="19C1A4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34D066C5"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gridSpan w:val="2"/>
            <w:tcBorders>
              <w:top w:val="nil"/>
              <w:left w:val="nil"/>
              <w:bottom w:val="single" w:sz="4" w:space="0" w:color="000000"/>
              <w:right w:val="single" w:sz="4" w:space="0" w:color="000000"/>
            </w:tcBorders>
            <w:shd w:val="clear" w:color="auto" w:fill="auto"/>
            <w:vAlign w:val="center"/>
          </w:tcPr>
          <w:p w14:paraId="3A035AC0"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1E7AB26E"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50663CC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gridSpan w:val="2"/>
            <w:tcBorders>
              <w:top w:val="nil"/>
              <w:left w:val="nil"/>
              <w:bottom w:val="single" w:sz="4" w:space="0" w:color="000000"/>
              <w:right w:val="single" w:sz="4" w:space="0" w:color="000000"/>
            </w:tcBorders>
            <w:shd w:val="clear" w:color="auto" w:fill="auto"/>
            <w:vAlign w:val="center"/>
          </w:tcPr>
          <w:p w14:paraId="7D359C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gridSpan w:val="2"/>
            <w:tcBorders>
              <w:top w:val="nil"/>
              <w:left w:val="nil"/>
              <w:bottom w:val="single" w:sz="4" w:space="0" w:color="000000"/>
              <w:right w:val="single" w:sz="4" w:space="0" w:color="000000"/>
            </w:tcBorders>
            <w:shd w:val="clear" w:color="auto" w:fill="auto"/>
            <w:vAlign w:val="center"/>
          </w:tcPr>
          <w:p w14:paraId="0CB3FD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70198AB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1EEC10B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6148E10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44" w:type="dxa"/>
            <w:gridSpan w:val="2"/>
            <w:tcBorders>
              <w:top w:val="nil"/>
              <w:left w:val="nil"/>
              <w:bottom w:val="single" w:sz="4" w:space="0" w:color="000000"/>
              <w:right w:val="single" w:sz="18" w:space="0" w:color="000000"/>
            </w:tcBorders>
            <w:shd w:val="clear" w:color="auto" w:fill="auto"/>
            <w:vAlign w:val="center"/>
          </w:tcPr>
          <w:p w14:paraId="43ED2F5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7D3D209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25,6%</w:t>
            </w:r>
          </w:p>
        </w:tc>
        <w:tc>
          <w:tcPr>
            <w:tcW w:w="1243" w:type="dxa"/>
            <w:gridSpan w:val="2"/>
            <w:tcBorders>
              <w:top w:val="nil"/>
              <w:left w:val="nil"/>
              <w:bottom w:val="single" w:sz="4" w:space="0" w:color="000000"/>
              <w:right w:val="single" w:sz="4" w:space="0" w:color="000000"/>
            </w:tcBorders>
            <w:shd w:val="clear" w:color="auto" w:fill="auto"/>
            <w:vAlign w:val="center"/>
          </w:tcPr>
          <w:p w14:paraId="2D18762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-97,1%</w:t>
            </w:r>
          </w:p>
        </w:tc>
      </w:tr>
      <w:tr w:rsidR="00A0251B" w:rsidRPr="00CC35F0" w14:paraId="42128C33"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641BF92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gridSpan w:val="2"/>
            <w:tcBorders>
              <w:top w:val="nil"/>
              <w:left w:val="nil"/>
              <w:bottom w:val="single" w:sz="4" w:space="0" w:color="000000"/>
              <w:right w:val="single" w:sz="4" w:space="0" w:color="000000"/>
            </w:tcBorders>
            <w:shd w:val="clear" w:color="auto" w:fill="auto"/>
            <w:vAlign w:val="center"/>
          </w:tcPr>
          <w:p w14:paraId="203158A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gridSpan w:val="2"/>
            <w:tcBorders>
              <w:top w:val="nil"/>
              <w:left w:val="nil"/>
              <w:bottom w:val="single" w:sz="4" w:space="0" w:color="000000"/>
              <w:right w:val="single" w:sz="4" w:space="0" w:color="000000"/>
            </w:tcBorders>
            <w:shd w:val="clear" w:color="auto" w:fill="auto"/>
            <w:vAlign w:val="center"/>
          </w:tcPr>
          <w:p w14:paraId="2022ED9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gridSpan w:val="2"/>
            <w:tcBorders>
              <w:top w:val="nil"/>
              <w:left w:val="nil"/>
              <w:bottom w:val="single" w:sz="4" w:space="0" w:color="000000"/>
              <w:right w:val="single" w:sz="4" w:space="0" w:color="000000"/>
            </w:tcBorders>
            <w:shd w:val="clear" w:color="auto" w:fill="auto"/>
            <w:vAlign w:val="center"/>
          </w:tcPr>
          <w:p w14:paraId="770080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gridSpan w:val="2"/>
            <w:tcBorders>
              <w:top w:val="nil"/>
              <w:left w:val="nil"/>
              <w:bottom w:val="single" w:sz="4" w:space="0" w:color="000000"/>
              <w:right w:val="single" w:sz="4" w:space="0" w:color="000000"/>
            </w:tcBorders>
            <w:shd w:val="clear" w:color="auto" w:fill="auto"/>
            <w:vAlign w:val="center"/>
          </w:tcPr>
          <w:p w14:paraId="6950C03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gridSpan w:val="2"/>
            <w:tcBorders>
              <w:top w:val="nil"/>
              <w:left w:val="nil"/>
              <w:bottom w:val="single" w:sz="4" w:space="0" w:color="000000"/>
              <w:right w:val="single" w:sz="4" w:space="0" w:color="000000"/>
            </w:tcBorders>
            <w:shd w:val="clear" w:color="auto" w:fill="auto"/>
            <w:vAlign w:val="center"/>
          </w:tcPr>
          <w:p w14:paraId="59EB0F4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44" w:type="dxa"/>
            <w:gridSpan w:val="2"/>
            <w:tcBorders>
              <w:top w:val="nil"/>
              <w:left w:val="nil"/>
              <w:bottom w:val="single" w:sz="4" w:space="0" w:color="000000"/>
              <w:right w:val="single" w:sz="18" w:space="0" w:color="000000"/>
            </w:tcBorders>
            <w:shd w:val="clear" w:color="auto" w:fill="auto"/>
            <w:vAlign w:val="center"/>
          </w:tcPr>
          <w:p w14:paraId="29B5854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33C621D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-25,3%</w:t>
            </w:r>
          </w:p>
        </w:tc>
        <w:tc>
          <w:tcPr>
            <w:tcW w:w="1243" w:type="dxa"/>
            <w:gridSpan w:val="2"/>
            <w:tcBorders>
              <w:top w:val="nil"/>
              <w:left w:val="nil"/>
              <w:bottom w:val="single" w:sz="4" w:space="0" w:color="000000"/>
              <w:right w:val="single" w:sz="4" w:space="0" w:color="000000"/>
            </w:tcBorders>
            <w:shd w:val="clear" w:color="auto" w:fill="auto"/>
            <w:vAlign w:val="center"/>
          </w:tcPr>
          <w:p w14:paraId="530D58B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-60,5%</w:t>
            </w:r>
          </w:p>
        </w:tc>
      </w:tr>
      <w:tr w:rsidR="00A0251B" w:rsidRPr="00CC35F0" w14:paraId="1AF5301E"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5C99612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gridSpan w:val="2"/>
            <w:tcBorders>
              <w:top w:val="nil"/>
              <w:left w:val="nil"/>
              <w:bottom w:val="single" w:sz="4" w:space="0" w:color="000000"/>
              <w:right w:val="single" w:sz="4" w:space="0" w:color="000000"/>
            </w:tcBorders>
            <w:shd w:val="clear" w:color="auto" w:fill="auto"/>
            <w:vAlign w:val="center"/>
          </w:tcPr>
          <w:p w14:paraId="03322E0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371D8AB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035FF1E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12CF8D0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gridSpan w:val="2"/>
            <w:tcBorders>
              <w:top w:val="nil"/>
              <w:left w:val="nil"/>
              <w:bottom w:val="single" w:sz="4" w:space="0" w:color="000000"/>
              <w:right w:val="single" w:sz="4" w:space="0" w:color="000000"/>
            </w:tcBorders>
            <w:shd w:val="clear" w:color="auto" w:fill="auto"/>
            <w:vAlign w:val="center"/>
          </w:tcPr>
          <w:p w14:paraId="3F61E6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44" w:type="dxa"/>
            <w:gridSpan w:val="2"/>
            <w:tcBorders>
              <w:top w:val="nil"/>
              <w:left w:val="nil"/>
              <w:bottom w:val="single" w:sz="4" w:space="0" w:color="000000"/>
              <w:right w:val="single" w:sz="18" w:space="0" w:color="000000"/>
            </w:tcBorders>
            <w:shd w:val="clear" w:color="auto" w:fill="auto"/>
            <w:vAlign w:val="center"/>
          </w:tcPr>
          <w:p w14:paraId="29E085E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257E3F5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gridSpan w:val="2"/>
            <w:tcBorders>
              <w:top w:val="nil"/>
              <w:left w:val="nil"/>
              <w:bottom w:val="single" w:sz="4" w:space="0" w:color="000000"/>
              <w:right w:val="single" w:sz="4" w:space="0" w:color="000000"/>
            </w:tcBorders>
            <w:shd w:val="clear" w:color="auto" w:fill="auto"/>
            <w:vAlign w:val="center"/>
          </w:tcPr>
          <w:p w14:paraId="7751DF6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6068EA6F"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4B43A8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gridSpan w:val="2"/>
            <w:tcBorders>
              <w:top w:val="nil"/>
              <w:left w:val="nil"/>
              <w:bottom w:val="single" w:sz="4" w:space="0" w:color="000000"/>
              <w:right w:val="single" w:sz="4" w:space="0" w:color="000000"/>
            </w:tcBorders>
            <w:shd w:val="clear" w:color="auto" w:fill="auto"/>
            <w:vAlign w:val="center"/>
          </w:tcPr>
          <w:p w14:paraId="7D9F043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587101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025377C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5726AC7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01B31A4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44" w:type="dxa"/>
            <w:gridSpan w:val="2"/>
            <w:tcBorders>
              <w:top w:val="nil"/>
              <w:left w:val="nil"/>
              <w:bottom w:val="single" w:sz="4" w:space="0" w:color="000000"/>
              <w:right w:val="single" w:sz="18" w:space="0" w:color="000000"/>
            </w:tcBorders>
            <w:shd w:val="clear" w:color="auto" w:fill="auto"/>
            <w:vAlign w:val="center"/>
          </w:tcPr>
          <w:p w14:paraId="4F04572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749178C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-90,5%</w:t>
            </w:r>
          </w:p>
        </w:tc>
        <w:tc>
          <w:tcPr>
            <w:tcW w:w="1243" w:type="dxa"/>
            <w:gridSpan w:val="2"/>
            <w:tcBorders>
              <w:top w:val="nil"/>
              <w:left w:val="nil"/>
              <w:bottom w:val="single" w:sz="4" w:space="0" w:color="000000"/>
              <w:right w:val="single" w:sz="4" w:space="0" w:color="000000"/>
            </w:tcBorders>
            <w:shd w:val="clear" w:color="auto" w:fill="auto"/>
            <w:vAlign w:val="center"/>
          </w:tcPr>
          <w:p w14:paraId="0BD408F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-74,8%</w:t>
            </w:r>
          </w:p>
        </w:tc>
      </w:tr>
      <w:tr w:rsidR="00A0251B" w:rsidRPr="00CC35F0" w14:paraId="5E84F8BD"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33F6841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gridSpan w:val="2"/>
            <w:tcBorders>
              <w:top w:val="nil"/>
              <w:left w:val="nil"/>
              <w:bottom w:val="single" w:sz="4" w:space="0" w:color="000000"/>
              <w:right w:val="single" w:sz="4" w:space="0" w:color="000000"/>
            </w:tcBorders>
            <w:shd w:val="clear" w:color="auto" w:fill="auto"/>
            <w:vAlign w:val="center"/>
          </w:tcPr>
          <w:p w14:paraId="1335F8B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18934B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65B9427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0F36AB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gridSpan w:val="2"/>
            <w:tcBorders>
              <w:top w:val="nil"/>
              <w:left w:val="nil"/>
              <w:bottom w:val="single" w:sz="4" w:space="0" w:color="000000"/>
              <w:right w:val="single" w:sz="4" w:space="0" w:color="000000"/>
            </w:tcBorders>
            <w:shd w:val="clear" w:color="auto" w:fill="auto"/>
            <w:vAlign w:val="center"/>
          </w:tcPr>
          <w:p w14:paraId="3F503F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44" w:type="dxa"/>
            <w:gridSpan w:val="2"/>
            <w:tcBorders>
              <w:top w:val="nil"/>
              <w:left w:val="nil"/>
              <w:bottom w:val="single" w:sz="4" w:space="0" w:color="000000"/>
              <w:right w:val="single" w:sz="18" w:space="0" w:color="000000"/>
            </w:tcBorders>
            <w:shd w:val="clear" w:color="auto" w:fill="auto"/>
            <w:vAlign w:val="center"/>
          </w:tcPr>
          <w:p w14:paraId="04A0C6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26EDD9C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gridSpan w:val="2"/>
            <w:tcBorders>
              <w:top w:val="nil"/>
              <w:left w:val="nil"/>
              <w:bottom w:val="single" w:sz="4" w:space="0" w:color="000000"/>
              <w:right w:val="single" w:sz="4" w:space="0" w:color="000000"/>
            </w:tcBorders>
            <w:shd w:val="clear" w:color="auto" w:fill="auto"/>
            <w:vAlign w:val="center"/>
          </w:tcPr>
          <w:p w14:paraId="0DC876D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4CAC5B13" w14:textId="77777777">
        <w:trPr>
          <w:trHeight w:val="50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2E475F8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gridSpan w:val="2"/>
            <w:tcBorders>
              <w:top w:val="nil"/>
              <w:left w:val="nil"/>
              <w:bottom w:val="single" w:sz="4" w:space="0" w:color="000000"/>
              <w:right w:val="single" w:sz="4" w:space="0" w:color="000000"/>
            </w:tcBorders>
            <w:shd w:val="clear" w:color="auto" w:fill="auto"/>
            <w:vAlign w:val="center"/>
          </w:tcPr>
          <w:p w14:paraId="032965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662727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0732AB4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3DE2866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gridSpan w:val="2"/>
            <w:tcBorders>
              <w:top w:val="nil"/>
              <w:left w:val="nil"/>
              <w:bottom w:val="single" w:sz="4" w:space="0" w:color="000000"/>
              <w:right w:val="single" w:sz="4" w:space="0" w:color="000000"/>
            </w:tcBorders>
            <w:shd w:val="clear" w:color="auto" w:fill="auto"/>
            <w:vAlign w:val="center"/>
          </w:tcPr>
          <w:p w14:paraId="364B310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44" w:type="dxa"/>
            <w:gridSpan w:val="2"/>
            <w:tcBorders>
              <w:top w:val="nil"/>
              <w:left w:val="nil"/>
              <w:bottom w:val="single" w:sz="4" w:space="0" w:color="000000"/>
              <w:right w:val="single" w:sz="18" w:space="0" w:color="000000"/>
            </w:tcBorders>
            <w:shd w:val="clear" w:color="auto" w:fill="auto"/>
            <w:vAlign w:val="center"/>
          </w:tcPr>
          <w:p w14:paraId="7DA4AC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318B5366"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gridSpan w:val="2"/>
            <w:tcBorders>
              <w:top w:val="nil"/>
              <w:left w:val="nil"/>
              <w:bottom w:val="single" w:sz="4" w:space="0" w:color="000000"/>
              <w:right w:val="single" w:sz="4" w:space="0" w:color="000000"/>
            </w:tcBorders>
            <w:shd w:val="clear" w:color="auto" w:fill="auto"/>
            <w:vAlign w:val="center"/>
          </w:tcPr>
          <w:p w14:paraId="490B2C39"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287766D0" w14:textId="77777777">
        <w:trPr>
          <w:trHeight w:val="25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0B2ED5F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gridSpan w:val="2"/>
            <w:tcBorders>
              <w:top w:val="nil"/>
              <w:left w:val="nil"/>
              <w:bottom w:val="single" w:sz="4" w:space="0" w:color="000000"/>
              <w:right w:val="single" w:sz="4" w:space="0" w:color="000000"/>
            </w:tcBorders>
            <w:shd w:val="clear" w:color="auto" w:fill="auto"/>
            <w:vAlign w:val="center"/>
          </w:tcPr>
          <w:p w14:paraId="1ED384C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gridSpan w:val="2"/>
            <w:tcBorders>
              <w:top w:val="nil"/>
              <w:left w:val="nil"/>
              <w:bottom w:val="single" w:sz="4" w:space="0" w:color="000000"/>
              <w:right w:val="single" w:sz="4" w:space="0" w:color="000000"/>
            </w:tcBorders>
            <w:shd w:val="clear" w:color="auto" w:fill="auto"/>
            <w:vAlign w:val="center"/>
          </w:tcPr>
          <w:p w14:paraId="33999F8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gridSpan w:val="2"/>
            <w:tcBorders>
              <w:top w:val="nil"/>
              <w:left w:val="nil"/>
              <w:bottom w:val="single" w:sz="4" w:space="0" w:color="000000"/>
              <w:right w:val="single" w:sz="4" w:space="0" w:color="000000"/>
            </w:tcBorders>
            <w:shd w:val="clear" w:color="auto" w:fill="auto"/>
            <w:vAlign w:val="center"/>
          </w:tcPr>
          <w:p w14:paraId="278A0B0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gridSpan w:val="2"/>
            <w:tcBorders>
              <w:top w:val="nil"/>
              <w:left w:val="nil"/>
              <w:bottom w:val="single" w:sz="4" w:space="0" w:color="000000"/>
              <w:right w:val="single" w:sz="4" w:space="0" w:color="000000"/>
            </w:tcBorders>
            <w:shd w:val="clear" w:color="auto" w:fill="auto"/>
            <w:vAlign w:val="center"/>
          </w:tcPr>
          <w:p w14:paraId="75D7127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gridSpan w:val="2"/>
            <w:tcBorders>
              <w:top w:val="nil"/>
              <w:left w:val="nil"/>
              <w:bottom w:val="single" w:sz="4" w:space="0" w:color="000000"/>
              <w:right w:val="single" w:sz="4" w:space="0" w:color="000000"/>
            </w:tcBorders>
            <w:shd w:val="clear" w:color="auto" w:fill="auto"/>
            <w:vAlign w:val="center"/>
          </w:tcPr>
          <w:p w14:paraId="56EB6AA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44" w:type="dxa"/>
            <w:gridSpan w:val="2"/>
            <w:tcBorders>
              <w:top w:val="nil"/>
              <w:left w:val="nil"/>
              <w:bottom w:val="single" w:sz="4" w:space="0" w:color="000000"/>
              <w:right w:val="single" w:sz="18" w:space="0" w:color="000000"/>
            </w:tcBorders>
            <w:shd w:val="clear" w:color="auto" w:fill="auto"/>
            <w:vAlign w:val="center"/>
          </w:tcPr>
          <w:p w14:paraId="2066FD8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2A18153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5,7%</w:t>
            </w:r>
          </w:p>
        </w:tc>
        <w:tc>
          <w:tcPr>
            <w:tcW w:w="1243" w:type="dxa"/>
            <w:gridSpan w:val="2"/>
            <w:tcBorders>
              <w:top w:val="nil"/>
              <w:left w:val="nil"/>
              <w:bottom w:val="single" w:sz="4" w:space="0" w:color="000000"/>
              <w:right w:val="single" w:sz="4" w:space="0" w:color="000000"/>
            </w:tcBorders>
            <w:shd w:val="clear" w:color="auto" w:fill="auto"/>
            <w:vAlign w:val="center"/>
          </w:tcPr>
          <w:p w14:paraId="78F34A5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129,0%</w:t>
            </w:r>
          </w:p>
        </w:tc>
      </w:tr>
      <w:tr w:rsidR="00A0251B" w:rsidRPr="00CC35F0" w14:paraId="6C6CA444" w14:textId="77777777">
        <w:trPr>
          <w:trHeight w:val="260"/>
        </w:trPr>
        <w:tc>
          <w:tcPr>
            <w:tcW w:w="2056" w:type="dxa"/>
            <w:gridSpan w:val="2"/>
            <w:tcBorders>
              <w:top w:val="nil"/>
              <w:left w:val="single" w:sz="4" w:space="0" w:color="000000"/>
              <w:bottom w:val="single" w:sz="4" w:space="0" w:color="000000"/>
              <w:right w:val="single" w:sz="4" w:space="0" w:color="000000"/>
            </w:tcBorders>
            <w:shd w:val="clear" w:color="auto" w:fill="auto"/>
            <w:vAlign w:val="center"/>
          </w:tcPr>
          <w:p w14:paraId="07AFFB6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gridSpan w:val="2"/>
            <w:tcBorders>
              <w:top w:val="nil"/>
              <w:left w:val="nil"/>
              <w:bottom w:val="single" w:sz="4" w:space="0" w:color="000000"/>
              <w:right w:val="nil"/>
            </w:tcBorders>
            <w:shd w:val="clear" w:color="auto" w:fill="auto"/>
            <w:vAlign w:val="center"/>
          </w:tcPr>
          <w:p w14:paraId="054D517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444,8   </w:t>
            </w:r>
          </w:p>
        </w:tc>
        <w:tc>
          <w:tcPr>
            <w:tcW w:w="936" w:type="dxa"/>
            <w:gridSpan w:val="2"/>
            <w:tcBorders>
              <w:top w:val="nil"/>
              <w:left w:val="single" w:sz="4" w:space="0" w:color="000000"/>
              <w:bottom w:val="single" w:sz="4" w:space="0" w:color="000000"/>
              <w:right w:val="nil"/>
            </w:tcBorders>
            <w:shd w:val="clear" w:color="auto" w:fill="auto"/>
            <w:vAlign w:val="center"/>
          </w:tcPr>
          <w:p w14:paraId="023B76B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366,0   </w:t>
            </w:r>
          </w:p>
        </w:tc>
        <w:tc>
          <w:tcPr>
            <w:tcW w:w="936" w:type="dxa"/>
            <w:gridSpan w:val="2"/>
            <w:tcBorders>
              <w:top w:val="nil"/>
              <w:left w:val="single" w:sz="4" w:space="0" w:color="000000"/>
              <w:bottom w:val="single" w:sz="4" w:space="0" w:color="000000"/>
              <w:right w:val="nil"/>
            </w:tcBorders>
            <w:shd w:val="clear" w:color="auto" w:fill="auto"/>
            <w:vAlign w:val="center"/>
          </w:tcPr>
          <w:p w14:paraId="3E46D3B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366,0   </w:t>
            </w:r>
          </w:p>
        </w:tc>
        <w:tc>
          <w:tcPr>
            <w:tcW w:w="936" w:type="dxa"/>
            <w:gridSpan w:val="2"/>
            <w:tcBorders>
              <w:top w:val="nil"/>
              <w:left w:val="single" w:sz="4" w:space="0" w:color="000000"/>
              <w:bottom w:val="single" w:sz="4" w:space="0" w:color="000000"/>
              <w:right w:val="nil"/>
            </w:tcBorders>
            <w:shd w:val="clear" w:color="auto" w:fill="auto"/>
            <w:vAlign w:val="center"/>
          </w:tcPr>
          <w:p w14:paraId="3E3560B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36,4   </w:t>
            </w:r>
          </w:p>
        </w:tc>
        <w:tc>
          <w:tcPr>
            <w:tcW w:w="936" w:type="dxa"/>
            <w:gridSpan w:val="2"/>
            <w:tcBorders>
              <w:top w:val="nil"/>
              <w:left w:val="single" w:sz="4" w:space="0" w:color="000000"/>
              <w:bottom w:val="single" w:sz="4" w:space="0" w:color="000000"/>
              <w:right w:val="nil"/>
            </w:tcBorders>
            <w:shd w:val="clear" w:color="auto" w:fill="auto"/>
            <w:vAlign w:val="center"/>
          </w:tcPr>
          <w:p w14:paraId="20CC044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31,5   </w:t>
            </w:r>
          </w:p>
        </w:tc>
        <w:tc>
          <w:tcPr>
            <w:tcW w:w="944" w:type="dxa"/>
            <w:gridSpan w:val="2"/>
            <w:tcBorders>
              <w:top w:val="nil"/>
              <w:left w:val="single" w:sz="4" w:space="0" w:color="000000"/>
              <w:bottom w:val="single" w:sz="4" w:space="0" w:color="000000"/>
              <w:right w:val="single" w:sz="18" w:space="0" w:color="000000"/>
            </w:tcBorders>
            <w:shd w:val="clear" w:color="auto" w:fill="auto"/>
            <w:vAlign w:val="center"/>
          </w:tcPr>
          <w:p w14:paraId="4DCDE42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23,0   </w:t>
            </w:r>
          </w:p>
        </w:tc>
        <w:tc>
          <w:tcPr>
            <w:tcW w:w="1243" w:type="dxa"/>
            <w:gridSpan w:val="2"/>
            <w:tcBorders>
              <w:top w:val="single" w:sz="4" w:space="0" w:color="000000"/>
              <w:left w:val="single" w:sz="18" w:space="0" w:color="000000"/>
              <w:bottom w:val="single" w:sz="4" w:space="0" w:color="000000"/>
              <w:right w:val="single" w:sz="4" w:space="0" w:color="000000"/>
            </w:tcBorders>
            <w:shd w:val="clear" w:color="auto" w:fill="auto"/>
            <w:vAlign w:val="center"/>
          </w:tcPr>
          <w:p w14:paraId="6EB762E5"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-91,4%</w:t>
            </w:r>
          </w:p>
        </w:tc>
        <w:tc>
          <w:tcPr>
            <w:tcW w:w="1243" w:type="dxa"/>
            <w:gridSpan w:val="2"/>
            <w:tcBorders>
              <w:top w:val="nil"/>
              <w:left w:val="nil"/>
              <w:bottom w:val="single" w:sz="4" w:space="0" w:color="000000"/>
              <w:right w:val="single" w:sz="4" w:space="0" w:color="000000"/>
            </w:tcBorders>
            <w:shd w:val="clear" w:color="auto" w:fill="auto"/>
            <w:vAlign w:val="center"/>
          </w:tcPr>
          <w:p w14:paraId="0C59CF26"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-92,9%</w:t>
            </w:r>
          </w:p>
        </w:tc>
      </w:tr>
    </w:tbl>
    <w:p w14:paraId="1EE6BF23" w14:textId="77777777" w:rsidR="00A0251B" w:rsidRPr="00CC35F0" w:rsidRDefault="00A0251B">
      <w:pPr>
        <w:rPr>
          <w:rFonts w:ascii="Times New Roman" w:eastAsia="Times New Roman" w:hAnsi="Times New Roman"/>
          <w:sz w:val="24"/>
          <w:szCs w:val="24"/>
          <w:lang w:val="sr-Cyrl-CS"/>
        </w:rPr>
      </w:pPr>
    </w:p>
    <w:p w14:paraId="153F7410" w14:textId="77777777" w:rsidR="00A0251B" w:rsidRPr="00CC35F0" w:rsidRDefault="008D6506" w:rsidP="00D6395C">
      <w:pPr>
        <w:spacing w:after="160"/>
        <w:jc w:val="left"/>
        <w:rPr>
          <w:rFonts w:ascii="Times New Roman" w:eastAsia="Times New Roman" w:hAnsi="Times New Roman"/>
          <w:sz w:val="24"/>
          <w:szCs w:val="24"/>
          <w:lang w:val="sr-Cyrl-CS"/>
        </w:rPr>
      </w:pPr>
      <w:r w:rsidRPr="00CC35F0">
        <w:rPr>
          <w:lang w:val="sr-Cyrl-CS"/>
        </w:rPr>
        <w:br w:type="page"/>
      </w:r>
    </w:p>
    <w:tbl>
      <w:tblPr>
        <w:tblStyle w:val="afffff2"/>
        <w:tblW w:w="10158" w:type="dxa"/>
        <w:tblLayout w:type="fixed"/>
        <w:tblLook w:val="0400" w:firstRow="0" w:lastRow="0" w:firstColumn="0" w:lastColumn="0" w:noHBand="0" w:noVBand="1"/>
      </w:tblPr>
      <w:tblGrid>
        <w:gridCol w:w="2056"/>
        <w:gridCol w:w="936"/>
        <w:gridCol w:w="936"/>
        <w:gridCol w:w="936"/>
        <w:gridCol w:w="936"/>
        <w:gridCol w:w="936"/>
        <w:gridCol w:w="936"/>
        <w:gridCol w:w="1243"/>
        <w:gridCol w:w="1243"/>
      </w:tblGrid>
      <w:tr w:rsidR="00A0251B" w:rsidRPr="00CC35F0" w14:paraId="7177AC33" w14:textId="77777777">
        <w:trPr>
          <w:trHeight w:val="260"/>
        </w:trPr>
        <w:tc>
          <w:tcPr>
            <w:tcW w:w="2056" w:type="dxa"/>
            <w:tcBorders>
              <w:top w:val="nil"/>
              <w:left w:val="nil"/>
              <w:bottom w:val="nil"/>
              <w:right w:val="nil"/>
            </w:tcBorders>
            <w:shd w:val="clear" w:color="auto" w:fill="FFFFFF"/>
            <w:vAlign w:val="center"/>
          </w:tcPr>
          <w:p w14:paraId="3E54553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lastRenderedPageBreak/>
              <w:t> </w:t>
            </w:r>
          </w:p>
        </w:tc>
        <w:tc>
          <w:tcPr>
            <w:tcW w:w="936" w:type="dxa"/>
            <w:tcBorders>
              <w:top w:val="nil"/>
              <w:left w:val="nil"/>
              <w:bottom w:val="nil"/>
              <w:right w:val="nil"/>
            </w:tcBorders>
            <w:shd w:val="clear" w:color="auto" w:fill="FFFFFF"/>
            <w:vAlign w:val="center"/>
          </w:tcPr>
          <w:p w14:paraId="4455084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D2C411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5CA2EB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86F7CD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81469D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22C557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59D858B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5BD0B9E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72D1569F" w14:textId="77777777">
        <w:trPr>
          <w:trHeight w:val="260"/>
        </w:trPr>
        <w:tc>
          <w:tcPr>
            <w:tcW w:w="2056" w:type="dxa"/>
            <w:tcBorders>
              <w:top w:val="nil"/>
              <w:left w:val="nil"/>
              <w:bottom w:val="single" w:sz="4" w:space="0" w:color="000000"/>
              <w:right w:val="nil"/>
            </w:tcBorders>
            <w:shd w:val="clear" w:color="auto" w:fill="FFFFFF"/>
            <w:vAlign w:val="center"/>
          </w:tcPr>
          <w:p w14:paraId="17161AF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SO</w:t>
            </w:r>
            <w:r w:rsidRPr="00CC35F0">
              <w:rPr>
                <w:rFonts w:ascii="Times New Roman" w:eastAsia="Times New Roman" w:hAnsi="Times New Roman"/>
                <w:sz w:val="24"/>
                <w:szCs w:val="24"/>
                <w:vertAlign w:val="subscript"/>
                <w:lang w:val="sr-Cyrl-CS"/>
              </w:rPr>
              <w:t>2</w:t>
            </w:r>
          </w:p>
        </w:tc>
        <w:tc>
          <w:tcPr>
            <w:tcW w:w="936" w:type="dxa"/>
            <w:tcBorders>
              <w:top w:val="nil"/>
              <w:left w:val="nil"/>
              <w:bottom w:val="nil"/>
              <w:right w:val="nil"/>
            </w:tcBorders>
            <w:shd w:val="clear" w:color="auto" w:fill="FFFFFF"/>
            <w:vAlign w:val="center"/>
          </w:tcPr>
          <w:p w14:paraId="461521B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3BB34D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2FE7AB6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5A81D5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D7B251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849E46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45CD0F2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66CA1D4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3DDF3E8F" w14:textId="77777777">
        <w:trPr>
          <w:trHeight w:val="405"/>
        </w:trPr>
        <w:tc>
          <w:tcPr>
            <w:tcW w:w="2056" w:type="dxa"/>
            <w:tcBorders>
              <w:top w:val="nil"/>
              <w:left w:val="single" w:sz="4" w:space="0" w:color="000000"/>
              <w:bottom w:val="nil"/>
              <w:right w:val="single" w:sz="4" w:space="0" w:color="000000"/>
            </w:tcBorders>
            <w:shd w:val="clear" w:color="auto" w:fill="DAEEF3"/>
            <w:vAlign w:val="center"/>
          </w:tcPr>
          <w:p w14:paraId="63F5164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WAM_B </w:t>
            </w:r>
          </w:p>
        </w:tc>
        <w:tc>
          <w:tcPr>
            <w:tcW w:w="936" w:type="dxa"/>
            <w:tcBorders>
              <w:top w:val="single" w:sz="4" w:space="0" w:color="000000"/>
              <w:left w:val="nil"/>
              <w:bottom w:val="single" w:sz="4" w:space="0" w:color="000000"/>
              <w:right w:val="nil"/>
            </w:tcBorders>
            <w:shd w:val="clear" w:color="auto" w:fill="DAEEF3"/>
            <w:vAlign w:val="center"/>
          </w:tcPr>
          <w:p w14:paraId="4C65BAF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75C2E05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5025231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3BBF760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3B1FDA7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500DAF1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2" w:space="0" w:color="000000"/>
              <w:bottom w:val="single" w:sz="4" w:space="0" w:color="000000"/>
              <w:right w:val="single" w:sz="4" w:space="0" w:color="000000"/>
            </w:tcBorders>
            <w:shd w:val="clear" w:color="auto" w:fill="DAEEF3"/>
            <w:vAlign w:val="center"/>
          </w:tcPr>
          <w:p w14:paraId="38041D9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10EF0D5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023806FA"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FD52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3550436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394,3   </w:t>
            </w:r>
          </w:p>
        </w:tc>
        <w:tc>
          <w:tcPr>
            <w:tcW w:w="936" w:type="dxa"/>
            <w:tcBorders>
              <w:top w:val="nil"/>
              <w:left w:val="nil"/>
              <w:bottom w:val="single" w:sz="4" w:space="0" w:color="000000"/>
              <w:right w:val="single" w:sz="4" w:space="0" w:color="000000"/>
            </w:tcBorders>
            <w:shd w:val="clear" w:color="auto" w:fill="auto"/>
            <w:vAlign w:val="center"/>
          </w:tcPr>
          <w:p w14:paraId="6335CB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330,9   </w:t>
            </w:r>
          </w:p>
        </w:tc>
        <w:tc>
          <w:tcPr>
            <w:tcW w:w="936" w:type="dxa"/>
            <w:tcBorders>
              <w:top w:val="nil"/>
              <w:left w:val="nil"/>
              <w:bottom w:val="single" w:sz="4" w:space="0" w:color="000000"/>
              <w:right w:val="single" w:sz="4" w:space="0" w:color="000000"/>
            </w:tcBorders>
            <w:shd w:val="clear" w:color="auto" w:fill="auto"/>
            <w:vAlign w:val="center"/>
          </w:tcPr>
          <w:p w14:paraId="21D6C46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333,5   </w:t>
            </w:r>
          </w:p>
        </w:tc>
        <w:tc>
          <w:tcPr>
            <w:tcW w:w="936" w:type="dxa"/>
            <w:tcBorders>
              <w:top w:val="nil"/>
              <w:left w:val="nil"/>
              <w:bottom w:val="single" w:sz="4" w:space="0" w:color="000000"/>
              <w:right w:val="single" w:sz="4" w:space="0" w:color="000000"/>
            </w:tcBorders>
            <w:shd w:val="clear" w:color="auto" w:fill="auto"/>
            <w:vAlign w:val="center"/>
          </w:tcPr>
          <w:p w14:paraId="473A08C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20,8   </w:t>
            </w:r>
          </w:p>
        </w:tc>
        <w:tc>
          <w:tcPr>
            <w:tcW w:w="936" w:type="dxa"/>
            <w:tcBorders>
              <w:top w:val="nil"/>
              <w:left w:val="nil"/>
              <w:bottom w:val="single" w:sz="4" w:space="0" w:color="000000"/>
              <w:right w:val="single" w:sz="4" w:space="0" w:color="000000"/>
            </w:tcBorders>
            <w:shd w:val="clear" w:color="auto" w:fill="auto"/>
            <w:vAlign w:val="center"/>
          </w:tcPr>
          <w:p w14:paraId="186F6DD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18,8   </w:t>
            </w:r>
          </w:p>
        </w:tc>
        <w:tc>
          <w:tcPr>
            <w:tcW w:w="936" w:type="dxa"/>
            <w:tcBorders>
              <w:top w:val="nil"/>
              <w:left w:val="nil"/>
              <w:bottom w:val="single" w:sz="4" w:space="0" w:color="000000"/>
              <w:right w:val="nil"/>
            </w:tcBorders>
            <w:shd w:val="clear" w:color="auto" w:fill="auto"/>
            <w:vAlign w:val="center"/>
          </w:tcPr>
          <w:p w14:paraId="05D5D01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769D977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-94,3%</w:t>
            </w:r>
          </w:p>
        </w:tc>
        <w:tc>
          <w:tcPr>
            <w:tcW w:w="1243" w:type="dxa"/>
            <w:tcBorders>
              <w:top w:val="nil"/>
              <w:left w:val="nil"/>
              <w:bottom w:val="single" w:sz="4" w:space="0" w:color="000000"/>
              <w:right w:val="single" w:sz="4" w:space="0" w:color="000000"/>
            </w:tcBorders>
            <w:shd w:val="clear" w:color="auto" w:fill="auto"/>
            <w:vAlign w:val="center"/>
          </w:tcPr>
          <w:p w14:paraId="16C798A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-95,2%</w:t>
            </w:r>
          </w:p>
        </w:tc>
      </w:tr>
      <w:tr w:rsidR="00A0251B" w:rsidRPr="00CC35F0" w14:paraId="3596997B"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A7063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0498FA8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26,1   </w:t>
            </w:r>
          </w:p>
        </w:tc>
        <w:tc>
          <w:tcPr>
            <w:tcW w:w="936" w:type="dxa"/>
            <w:tcBorders>
              <w:top w:val="nil"/>
              <w:left w:val="nil"/>
              <w:bottom w:val="single" w:sz="4" w:space="0" w:color="000000"/>
              <w:right w:val="single" w:sz="4" w:space="0" w:color="000000"/>
            </w:tcBorders>
            <w:shd w:val="clear" w:color="auto" w:fill="auto"/>
            <w:vAlign w:val="center"/>
          </w:tcPr>
          <w:p w14:paraId="7BD00D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25,4   </w:t>
            </w:r>
          </w:p>
        </w:tc>
        <w:tc>
          <w:tcPr>
            <w:tcW w:w="936" w:type="dxa"/>
            <w:tcBorders>
              <w:top w:val="nil"/>
              <w:left w:val="nil"/>
              <w:bottom w:val="single" w:sz="4" w:space="0" w:color="000000"/>
              <w:right w:val="single" w:sz="4" w:space="0" w:color="000000"/>
            </w:tcBorders>
            <w:shd w:val="clear" w:color="auto" w:fill="auto"/>
            <w:vAlign w:val="center"/>
          </w:tcPr>
          <w:p w14:paraId="77AA3AC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27,5   </w:t>
            </w:r>
          </w:p>
        </w:tc>
        <w:tc>
          <w:tcPr>
            <w:tcW w:w="936" w:type="dxa"/>
            <w:tcBorders>
              <w:top w:val="nil"/>
              <w:left w:val="nil"/>
              <w:bottom w:val="single" w:sz="4" w:space="0" w:color="000000"/>
              <w:right w:val="single" w:sz="4" w:space="0" w:color="000000"/>
            </w:tcBorders>
            <w:shd w:val="clear" w:color="auto" w:fill="auto"/>
            <w:vAlign w:val="center"/>
          </w:tcPr>
          <w:p w14:paraId="589DF1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10,5   </w:t>
            </w:r>
          </w:p>
        </w:tc>
        <w:tc>
          <w:tcPr>
            <w:tcW w:w="936" w:type="dxa"/>
            <w:tcBorders>
              <w:top w:val="nil"/>
              <w:left w:val="nil"/>
              <w:bottom w:val="single" w:sz="4" w:space="0" w:color="000000"/>
              <w:right w:val="single" w:sz="4" w:space="0" w:color="000000"/>
            </w:tcBorders>
            <w:shd w:val="clear" w:color="auto" w:fill="auto"/>
            <w:vAlign w:val="center"/>
          </w:tcPr>
          <w:p w14:paraId="3E4D97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8,2   </w:t>
            </w:r>
          </w:p>
        </w:tc>
        <w:tc>
          <w:tcPr>
            <w:tcW w:w="936" w:type="dxa"/>
            <w:tcBorders>
              <w:top w:val="nil"/>
              <w:left w:val="nil"/>
              <w:bottom w:val="single" w:sz="4" w:space="0" w:color="000000"/>
              <w:right w:val="nil"/>
            </w:tcBorders>
            <w:shd w:val="clear" w:color="auto" w:fill="auto"/>
            <w:vAlign w:val="center"/>
          </w:tcPr>
          <w:p w14:paraId="41AB64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7,4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73077A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-67,9%</w:t>
            </w:r>
          </w:p>
        </w:tc>
        <w:tc>
          <w:tcPr>
            <w:tcW w:w="1243" w:type="dxa"/>
            <w:tcBorders>
              <w:top w:val="nil"/>
              <w:left w:val="nil"/>
              <w:bottom w:val="single" w:sz="4" w:space="0" w:color="000000"/>
              <w:right w:val="single" w:sz="4" w:space="0" w:color="000000"/>
            </w:tcBorders>
            <w:shd w:val="clear" w:color="auto" w:fill="auto"/>
            <w:vAlign w:val="center"/>
          </w:tcPr>
          <w:p w14:paraId="496B548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-68,8%</w:t>
            </w:r>
          </w:p>
        </w:tc>
      </w:tr>
      <w:tr w:rsidR="00A0251B" w:rsidRPr="00CC35F0" w14:paraId="2360FA82"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D8AE6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04C2BF7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20,2   </w:t>
            </w:r>
          </w:p>
        </w:tc>
        <w:tc>
          <w:tcPr>
            <w:tcW w:w="936" w:type="dxa"/>
            <w:tcBorders>
              <w:top w:val="nil"/>
              <w:left w:val="nil"/>
              <w:bottom w:val="single" w:sz="4" w:space="0" w:color="000000"/>
              <w:right w:val="single" w:sz="4" w:space="0" w:color="000000"/>
            </w:tcBorders>
            <w:shd w:val="clear" w:color="auto" w:fill="auto"/>
            <w:vAlign w:val="center"/>
          </w:tcPr>
          <w:p w14:paraId="3E3749B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9,0   </w:t>
            </w:r>
          </w:p>
        </w:tc>
        <w:tc>
          <w:tcPr>
            <w:tcW w:w="936" w:type="dxa"/>
            <w:tcBorders>
              <w:top w:val="nil"/>
              <w:left w:val="nil"/>
              <w:bottom w:val="single" w:sz="4" w:space="0" w:color="000000"/>
              <w:right w:val="single" w:sz="4" w:space="0" w:color="000000"/>
            </w:tcBorders>
            <w:shd w:val="clear" w:color="auto" w:fill="auto"/>
            <w:vAlign w:val="center"/>
          </w:tcPr>
          <w:p w14:paraId="6A13A80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4,3   </w:t>
            </w:r>
          </w:p>
        </w:tc>
        <w:tc>
          <w:tcPr>
            <w:tcW w:w="936" w:type="dxa"/>
            <w:tcBorders>
              <w:top w:val="nil"/>
              <w:left w:val="nil"/>
              <w:bottom w:val="single" w:sz="4" w:space="0" w:color="000000"/>
              <w:right w:val="single" w:sz="4" w:space="0" w:color="000000"/>
            </w:tcBorders>
            <w:shd w:val="clear" w:color="auto" w:fill="auto"/>
            <w:vAlign w:val="center"/>
          </w:tcPr>
          <w:p w14:paraId="0F21F76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   </w:t>
            </w:r>
          </w:p>
        </w:tc>
        <w:tc>
          <w:tcPr>
            <w:tcW w:w="936" w:type="dxa"/>
            <w:tcBorders>
              <w:top w:val="nil"/>
              <w:left w:val="nil"/>
              <w:bottom w:val="single" w:sz="4" w:space="0" w:color="000000"/>
              <w:right w:val="single" w:sz="4" w:space="0" w:color="000000"/>
            </w:tcBorders>
            <w:shd w:val="clear" w:color="auto" w:fill="auto"/>
            <w:vAlign w:val="center"/>
          </w:tcPr>
          <w:p w14:paraId="251BE7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2,4   </w:t>
            </w:r>
          </w:p>
        </w:tc>
        <w:tc>
          <w:tcPr>
            <w:tcW w:w="936" w:type="dxa"/>
            <w:tcBorders>
              <w:top w:val="nil"/>
              <w:left w:val="nil"/>
              <w:bottom w:val="single" w:sz="4" w:space="0" w:color="000000"/>
              <w:right w:val="nil"/>
            </w:tcBorders>
            <w:shd w:val="clear" w:color="auto" w:fill="auto"/>
            <w:vAlign w:val="center"/>
          </w:tcPr>
          <w:p w14:paraId="3A96B4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29F0BD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-72,9%</w:t>
            </w:r>
          </w:p>
        </w:tc>
        <w:tc>
          <w:tcPr>
            <w:tcW w:w="1243" w:type="dxa"/>
            <w:tcBorders>
              <w:top w:val="nil"/>
              <w:left w:val="nil"/>
              <w:bottom w:val="single" w:sz="4" w:space="0" w:color="000000"/>
              <w:right w:val="single" w:sz="4" w:space="0" w:color="000000"/>
            </w:tcBorders>
            <w:shd w:val="clear" w:color="auto" w:fill="auto"/>
            <w:vAlign w:val="center"/>
          </w:tcPr>
          <w:p w14:paraId="6A964EF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-87,9%</w:t>
            </w:r>
          </w:p>
        </w:tc>
      </w:tr>
      <w:tr w:rsidR="00A0251B" w:rsidRPr="00CC35F0" w14:paraId="3A441F07"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A7702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22A2083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   </w:t>
            </w:r>
          </w:p>
        </w:tc>
        <w:tc>
          <w:tcPr>
            <w:tcW w:w="936" w:type="dxa"/>
            <w:tcBorders>
              <w:top w:val="nil"/>
              <w:left w:val="nil"/>
              <w:bottom w:val="single" w:sz="4" w:space="0" w:color="000000"/>
              <w:right w:val="single" w:sz="4" w:space="0" w:color="000000"/>
            </w:tcBorders>
            <w:shd w:val="clear" w:color="auto" w:fill="auto"/>
            <w:vAlign w:val="center"/>
          </w:tcPr>
          <w:p w14:paraId="3D2217C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FF7C39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F16CF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92D8B9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1350DD3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043A47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w:t>
            </w:r>
          </w:p>
        </w:tc>
        <w:tc>
          <w:tcPr>
            <w:tcW w:w="1243" w:type="dxa"/>
            <w:tcBorders>
              <w:top w:val="nil"/>
              <w:left w:val="nil"/>
              <w:bottom w:val="single" w:sz="4" w:space="0" w:color="000000"/>
              <w:right w:val="single" w:sz="4" w:space="0" w:color="000000"/>
            </w:tcBorders>
            <w:shd w:val="clear" w:color="auto" w:fill="auto"/>
            <w:vAlign w:val="center"/>
          </w:tcPr>
          <w:p w14:paraId="5E09D52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-100,0%</w:t>
            </w:r>
          </w:p>
        </w:tc>
      </w:tr>
      <w:tr w:rsidR="00A0251B" w:rsidRPr="00CC35F0" w14:paraId="60D7A3B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26716C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27E286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848CF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5C5DE83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19A2E23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18CC6BF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75558C8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DFC4B83"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02E9DD33"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4D205F67"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BAFF06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37A5AE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6A2CE8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7D56D3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1CC55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704DD3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60A63EF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4CB9E3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23,8%</w:t>
            </w:r>
          </w:p>
        </w:tc>
        <w:tc>
          <w:tcPr>
            <w:tcW w:w="1243" w:type="dxa"/>
            <w:tcBorders>
              <w:top w:val="nil"/>
              <w:left w:val="nil"/>
              <w:bottom w:val="single" w:sz="4" w:space="0" w:color="000000"/>
              <w:right w:val="single" w:sz="4" w:space="0" w:color="000000"/>
            </w:tcBorders>
            <w:shd w:val="clear" w:color="auto" w:fill="auto"/>
            <w:vAlign w:val="center"/>
          </w:tcPr>
          <w:p w14:paraId="7280AAA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-97,2%</w:t>
            </w:r>
          </w:p>
        </w:tc>
      </w:tr>
      <w:tr w:rsidR="00A0251B" w:rsidRPr="00CC35F0" w14:paraId="0AE9F2A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DF8C0D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7B0BE54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1268C77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58B8E9E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48F1722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71B4D6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nil"/>
            </w:tcBorders>
            <w:shd w:val="clear" w:color="auto" w:fill="auto"/>
            <w:vAlign w:val="center"/>
          </w:tcPr>
          <w:p w14:paraId="419A822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F7FFDB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-25,3%</w:t>
            </w:r>
          </w:p>
        </w:tc>
        <w:tc>
          <w:tcPr>
            <w:tcW w:w="1243" w:type="dxa"/>
            <w:tcBorders>
              <w:top w:val="nil"/>
              <w:left w:val="nil"/>
              <w:bottom w:val="single" w:sz="4" w:space="0" w:color="000000"/>
              <w:right w:val="single" w:sz="4" w:space="0" w:color="000000"/>
            </w:tcBorders>
            <w:shd w:val="clear" w:color="auto" w:fill="auto"/>
            <w:vAlign w:val="center"/>
          </w:tcPr>
          <w:p w14:paraId="4C343BE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-60,5%</w:t>
            </w:r>
          </w:p>
        </w:tc>
      </w:tr>
      <w:tr w:rsidR="00A0251B" w:rsidRPr="00CC35F0" w14:paraId="1DBB5866"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C0E577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5D3F556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1BC98C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B3DD8E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EB6916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2CF5B9F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nil"/>
            </w:tcBorders>
            <w:shd w:val="clear" w:color="auto" w:fill="auto"/>
            <w:vAlign w:val="center"/>
          </w:tcPr>
          <w:p w14:paraId="69EC41D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7A70B1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4E61EC8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32E7BBDC"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73B0FB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6FD7482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0F719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2ABFB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AEA0CA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FF515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6857E1A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E79478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-90,5%</w:t>
            </w:r>
          </w:p>
        </w:tc>
        <w:tc>
          <w:tcPr>
            <w:tcW w:w="1243" w:type="dxa"/>
            <w:tcBorders>
              <w:top w:val="nil"/>
              <w:left w:val="nil"/>
              <w:bottom w:val="single" w:sz="4" w:space="0" w:color="000000"/>
              <w:right w:val="single" w:sz="4" w:space="0" w:color="000000"/>
            </w:tcBorders>
            <w:shd w:val="clear" w:color="auto" w:fill="auto"/>
            <w:vAlign w:val="center"/>
          </w:tcPr>
          <w:p w14:paraId="5DB9907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-74,8%</w:t>
            </w:r>
          </w:p>
        </w:tc>
      </w:tr>
      <w:tr w:rsidR="00A0251B" w:rsidRPr="00CC35F0" w14:paraId="6AAE20B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F1EBB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5901141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96C411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909286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F5FE19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C5E467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07C1BF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EEA2E1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68F71A0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64D19D9E"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529B9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1CB8F70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7EEABED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0EA8D18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7D7B903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0859970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7004C9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2BBD604"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7B0E0B3A"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731C3999"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898966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70CDFB3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292BC0C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0E9065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549277A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120421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nil"/>
            </w:tcBorders>
            <w:shd w:val="clear" w:color="auto" w:fill="auto"/>
            <w:vAlign w:val="center"/>
          </w:tcPr>
          <w:p w14:paraId="438D8B1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81D107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-64,8%</w:t>
            </w:r>
          </w:p>
        </w:tc>
        <w:tc>
          <w:tcPr>
            <w:tcW w:w="1243" w:type="dxa"/>
            <w:tcBorders>
              <w:top w:val="nil"/>
              <w:left w:val="nil"/>
              <w:bottom w:val="single" w:sz="4" w:space="0" w:color="000000"/>
              <w:right w:val="single" w:sz="4" w:space="0" w:color="000000"/>
            </w:tcBorders>
            <w:shd w:val="clear" w:color="auto" w:fill="auto"/>
            <w:vAlign w:val="center"/>
          </w:tcPr>
          <w:p w14:paraId="7E0DD11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-23,7%</w:t>
            </w:r>
          </w:p>
        </w:tc>
      </w:tr>
      <w:tr w:rsidR="00A0251B" w:rsidRPr="00CC35F0" w14:paraId="5A638B81"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CDA8A5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06FAB4E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444,8   </w:t>
            </w:r>
          </w:p>
        </w:tc>
        <w:tc>
          <w:tcPr>
            <w:tcW w:w="936" w:type="dxa"/>
            <w:tcBorders>
              <w:top w:val="nil"/>
              <w:left w:val="single" w:sz="4" w:space="0" w:color="000000"/>
              <w:bottom w:val="single" w:sz="4" w:space="0" w:color="000000"/>
              <w:right w:val="nil"/>
            </w:tcBorders>
            <w:shd w:val="clear" w:color="auto" w:fill="auto"/>
            <w:vAlign w:val="center"/>
          </w:tcPr>
          <w:p w14:paraId="5AFBC93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366,0   </w:t>
            </w:r>
          </w:p>
        </w:tc>
        <w:tc>
          <w:tcPr>
            <w:tcW w:w="936" w:type="dxa"/>
            <w:tcBorders>
              <w:top w:val="nil"/>
              <w:left w:val="single" w:sz="4" w:space="0" w:color="000000"/>
              <w:bottom w:val="single" w:sz="4" w:space="0" w:color="000000"/>
              <w:right w:val="nil"/>
            </w:tcBorders>
            <w:shd w:val="clear" w:color="auto" w:fill="auto"/>
            <w:vAlign w:val="center"/>
          </w:tcPr>
          <w:p w14:paraId="0862B95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366,0   </w:t>
            </w:r>
          </w:p>
        </w:tc>
        <w:tc>
          <w:tcPr>
            <w:tcW w:w="936" w:type="dxa"/>
            <w:tcBorders>
              <w:top w:val="nil"/>
              <w:left w:val="single" w:sz="4" w:space="0" w:color="000000"/>
              <w:bottom w:val="single" w:sz="4" w:space="0" w:color="000000"/>
              <w:right w:val="nil"/>
            </w:tcBorders>
            <w:shd w:val="clear" w:color="auto" w:fill="auto"/>
            <w:vAlign w:val="center"/>
          </w:tcPr>
          <w:p w14:paraId="4E6C21B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34,9   </w:t>
            </w:r>
          </w:p>
        </w:tc>
        <w:tc>
          <w:tcPr>
            <w:tcW w:w="936" w:type="dxa"/>
            <w:tcBorders>
              <w:top w:val="nil"/>
              <w:left w:val="single" w:sz="4" w:space="0" w:color="000000"/>
              <w:bottom w:val="single" w:sz="4" w:space="0" w:color="000000"/>
              <w:right w:val="nil"/>
            </w:tcBorders>
            <w:shd w:val="clear" w:color="auto" w:fill="auto"/>
            <w:vAlign w:val="center"/>
          </w:tcPr>
          <w:p w14:paraId="2555E8F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29,8   </w:t>
            </w:r>
          </w:p>
        </w:tc>
        <w:tc>
          <w:tcPr>
            <w:tcW w:w="936" w:type="dxa"/>
            <w:tcBorders>
              <w:top w:val="nil"/>
              <w:left w:val="single" w:sz="4" w:space="0" w:color="000000"/>
              <w:bottom w:val="single" w:sz="4" w:space="0" w:color="000000"/>
              <w:right w:val="nil"/>
            </w:tcBorders>
            <w:shd w:val="clear" w:color="auto" w:fill="auto"/>
            <w:vAlign w:val="center"/>
          </w:tcPr>
          <w:p w14:paraId="6BD6CE6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21,2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ABA1A1E"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-91,9%</w:t>
            </w:r>
          </w:p>
        </w:tc>
        <w:tc>
          <w:tcPr>
            <w:tcW w:w="1243" w:type="dxa"/>
            <w:tcBorders>
              <w:top w:val="nil"/>
              <w:left w:val="nil"/>
              <w:bottom w:val="single" w:sz="4" w:space="0" w:color="000000"/>
              <w:right w:val="single" w:sz="4" w:space="0" w:color="000000"/>
            </w:tcBorders>
            <w:shd w:val="clear" w:color="auto" w:fill="auto"/>
            <w:vAlign w:val="center"/>
          </w:tcPr>
          <w:p w14:paraId="4088C7BE"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-93,3%</w:t>
            </w:r>
          </w:p>
        </w:tc>
      </w:tr>
      <w:tr w:rsidR="00A0251B" w:rsidRPr="00CC35F0" w14:paraId="307162B8" w14:textId="77777777">
        <w:trPr>
          <w:trHeight w:val="260"/>
        </w:trPr>
        <w:tc>
          <w:tcPr>
            <w:tcW w:w="2056" w:type="dxa"/>
            <w:tcBorders>
              <w:top w:val="nil"/>
              <w:left w:val="nil"/>
              <w:bottom w:val="nil"/>
              <w:right w:val="nil"/>
            </w:tcBorders>
            <w:shd w:val="clear" w:color="auto" w:fill="FFFFFF"/>
            <w:vAlign w:val="center"/>
          </w:tcPr>
          <w:p w14:paraId="37EBB8A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917512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E92373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A5DFDB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2DB5E8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44C61CF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F52D55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27D097F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0861F14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71334684" w14:textId="77777777">
        <w:trPr>
          <w:trHeight w:val="260"/>
        </w:trPr>
        <w:tc>
          <w:tcPr>
            <w:tcW w:w="2056" w:type="dxa"/>
            <w:tcBorders>
              <w:top w:val="nil"/>
              <w:left w:val="nil"/>
              <w:bottom w:val="single" w:sz="4" w:space="0" w:color="000000"/>
              <w:right w:val="nil"/>
            </w:tcBorders>
            <w:shd w:val="clear" w:color="auto" w:fill="FFFFFF"/>
            <w:vAlign w:val="center"/>
          </w:tcPr>
          <w:p w14:paraId="08E4FC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SO</w:t>
            </w:r>
            <w:r w:rsidRPr="00CC35F0">
              <w:rPr>
                <w:rFonts w:ascii="Times New Roman" w:eastAsia="Times New Roman" w:hAnsi="Times New Roman"/>
                <w:sz w:val="24"/>
                <w:szCs w:val="24"/>
                <w:vertAlign w:val="subscript"/>
                <w:lang w:val="sr-Cyrl-CS"/>
              </w:rPr>
              <w:t>2</w:t>
            </w:r>
          </w:p>
        </w:tc>
        <w:tc>
          <w:tcPr>
            <w:tcW w:w="936" w:type="dxa"/>
            <w:tcBorders>
              <w:top w:val="nil"/>
              <w:left w:val="nil"/>
              <w:bottom w:val="nil"/>
              <w:right w:val="nil"/>
            </w:tcBorders>
            <w:shd w:val="clear" w:color="auto" w:fill="FFFFFF"/>
            <w:vAlign w:val="center"/>
          </w:tcPr>
          <w:p w14:paraId="53B18B1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D31EA5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EF8D90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BAB13A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D1D97E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35A4A0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29D6836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257AC06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436B46A6" w14:textId="77777777">
        <w:trPr>
          <w:trHeight w:val="250"/>
        </w:trPr>
        <w:tc>
          <w:tcPr>
            <w:tcW w:w="2056" w:type="dxa"/>
            <w:tcBorders>
              <w:top w:val="nil"/>
              <w:left w:val="single" w:sz="4" w:space="0" w:color="000000"/>
              <w:bottom w:val="nil"/>
              <w:right w:val="single" w:sz="4" w:space="0" w:color="000000"/>
            </w:tcBorders>
            <w:shd w:val="clear" w:color="auto" w:fill="DAEEF3"/>
            <w:vAlign w:val="center"/>
          </w:tcPr>
          <w:p w14:paraId="57252AC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WAM_C </w:t>
            </w:r>
          </w:p>
        </w:tc>
        <w:tc>
          <w:tcPr>
            <w:tcW w:w="936" w:type="dxa"/>
            <w:tcBorders>
              <w:top w:val="single" w:sz="4" w:space="0" w:color="000000"/>
              <w:left w:val="nil"/>
              <w:bottom w:val="single" w:sz="4" w:space="0" w:color="000000"/>
              <w:right w:val="nil"/>
            </w:tcBorders>
            <w:shd w:val="clear" w:color="auto" w:fill="DAEEF3"/>
            <w:vAlign w:val="center"/>
          </w:tcPr>
          <w:p w14:paraId="47E681E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71139AC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1825557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6B4C0D8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5FB0757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0F98677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2" w:space="0" w:color="000000"/>
              <w:bottom w:val="single" w:sz="4" w:space="0" w:color="000000"/>
              <w:right w:val="single" w:sz="4" w:space="0" w:color="000000"/>
            </w:tcBorders>
            <w:shd w:val="clear" w:color="auto" w:fill="DAEEF3"/>
            <w:vAlign w:val="center"/>
          </w:tcPr>
          <w:p w14:paraId="64C65AB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2893A69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7347083A"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22CF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6E02DCD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394,3   </w:t>
            </w:r>
          </w:p>
        </w:tc>
        <w:tc>
          <w:tcPr>
            <w:tcW w:w="936" w:type="dxa"/>
            <w:tcBorders>
              <w:top w:val="nil"/>
              <w:left w:val="nil"/>
              <w:bottom w:val="single" w:sz="4" w:space="0" w:color="000000"/>
              <w:right w:val="single" w:sz="4" w:space="0" w:color="000000"/>
            </w:tcBorders>
            <w:shd w:val="clear" w:color="auto" w:fill="auto"/>
            <w:vAlign w:val="center"/>
          </w:tcPr>
          <w:p w14:paraId="7EDEDBE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330,9   </w:t>
            </w:r>
          </w:p>
        </w:tc>
        <w:tc>
          <w:tcPr>
            <w:tcW w:w="936" w:type="dxa"/>
            <w:tcBorders>
              <w:top w:val="nil"/>
              <w:left w:val="nil"/>
              <w:bottom w:val="single" w:sz="4" w:space="0" w:color="000000"/>
              <w:right w:val="single" w:sz="4" w:space="0" w:color="000000"/>
            </w:tcBorders>
            <w:shd w:val="clear" w:color="auto" w:fill="auto"/>
            <w:vAlign w:val="center"/>
          </w:tcPr>
          <w:p w14:paraId="46A7F96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333,5   </w:t>
            </w:r>
          </w:p>
        </w:tc>
        <w:tc>
          <w:tcPr>
            <w:tcW w:w="936" w:type="dxa"/>
            <w:tcBorders>
              <w:top w:val="nil"/>
              <w:left w:val="nil"/>
              <w:bottom w:val="single" w:sz="4" w:space="0" w:color="000000"/>
              <w:right w:val="single" w:sz="4" w:space="0" w:color="000000"/>
            </w:tcBorders>
            <w:shd w:val="clear" w:color="auto" w:fill="auto"/>
            <w:vAlign w:val="center"/>
          </w:tcPr>
          <w:p w14:paraId="3516AF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20,8   </w:t>
            </w:r>
          </w:p>
        </w:tc>
        <w:tc>
          <w:tcPr>
            <w:tcW w:w="936" w:type="dxa"/>
            <w:tcBorders>
              <w:top w:val="nil"/>
              <w:left w:val="nil"/>
              <w:bottom w:val="single" w:sz="4" w:space="0" w:color="000000"/>
              <w:right w:val="single" w:sz="4" w:space="0" w:color="000000"/>
            </w:tcBorders>
            <w:shd w:val="clear" w:color="auto" w:fill="auto"/>
            <w:vAlign w:val="center"/>
          </w:tcPr>
          <w:p w14:paraId="42564F0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18,8   </w:t>
            </w:r>
          </w:p>
        </w:tc>
        <w:tc>
          <w:tcPr>
            <w:tcW w:w="936" w:type="dxa"/>
            <w:tcBorders>
              <w:top w:val="nil"/>
              <w:left w:val="nil"/>
              <w:bottom w:val="single" w:sz="4" w:space="0" w:color="000000"/>
              <w:right w:val="nil"/>
            </w:tcBorders>
            <w:shd w:val="clear" w:color="auto" w:fill="auto"/>
            <w:vAlign w:val="center"/>
          </w:tcPr>
          <w:p w14:paraId="0422C7D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559461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-94,3%</w:t>
            </w:r>
          </w:p>
        </w:tc>
        <w:tc>
          <w:tcPr>
            <w:tcW w:w="1243" w:type="dxa"/>
            <w:tcBorders>
              <w:top w:val="nil"/>
              <w:left w:val="nil"/>
              <w:bottom w:val="single" w:sz="4" w:space="0" w:color="000000"/>
              <w:right w:val="single" w:sz="4" w:space="0" w:color="000000"/>
            </w:tcBorders>
            <w:shd w:val="clear" w:color="auto" w:fill="auto"/>
            <w:vAlign w:val="center"/>
          </w:tcPr>
          <w:p w14:paraId="0CE2C90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-95,2%</w:t>
            </w:r>
          </w:p>
        </w:tc>
      </w:tr>
      <w:tr w:rsidR="00A0251B" w:rsidRPr="00CC35F0" w14:paraId="5639ED6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7138E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144DF6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26,1   </w:t>
            </w:r>
          </w:p>
        </w:tc>
        <w:tc>
          <w:tcPr>
            <w:tcW w:w="936" w:type="dxa"/>
            <w:tcBorders>
              <w:top w:val="nil"/>
              <w:left w:val="nil"/>
              <w:bottom w:val="single" w:sz="4" w:space="0" w:color="000000"/>
              <w:right w:val="single" w:sz="4" w:space="0" w:color="000000"/>
            </w:tcBorders>
            <w:shd w:val="clear" w:color="auto" w:fill="auto"/>
            <w:vAlign w:val="center"/>
          </w:tcPr>
          <w:p w14:paraId="0E01E27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25,4   </w:t>
            </w:r>
          </w:p>
        </w:tc>
        <w:tc>
          <w:tcPr>
            <w:tcW w:w="936" w:type="dxa"/>
            <w:tcBorders>
              <w:top w:val="nil"/>
              <w:left w:val="nil"/>
              <w:bottom w:val="single" w:sz="4" w:space="0" w:color="000000"/>
              <w:right w:val="single" w:sz="4" w:space="0" w:color="000000"/>
            </w:tcBorders>
            <w:shd w:val="clear" w:color="auto" w:fill="auto"/>
            <w:vAlign w:val="center"/>
          </w:tcPr>
          <w:p w14:paraId="795936A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27,5   </w:t>
            </w:r>
          </w:p>
        </w:tc>
        <w:tc>
          <w:tcPr>
            <w:tcW w:w="936" w:type="dxa"/>
            <w:tcBorders>
              <w:top w:val="nil"/>
              <w:left w:val="nil"/>
              <w:bottom w:val="single" w:sz="4" w:space="0" w:color="000000"/>
              <w:right w:val="single" w:sz="4" w:space="0" w:color="000000"/>
            </w:tcBorders>
            <w:shd w:val="clear" w:color="auto" w:fill="auto"/>
            <w:vAlign w:val="center"/>
          </w:tcPr>
          <w:p w14:paraId="6E92C5E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10,1   </w:t>
            </w:r>
          </w:p>
        </w:tc>
        <w:tc>
          <w:tcPr>
            <w:tcW w:w="936" w:type="dxa"/>
            <w:tcBorders>
              <w:top w:val="nil"/>
              <w:left w:val="nil"/>
              <w:bottom w:val="single" w:sz="4" w:space="0" w:color="000000"/>
              <w:right w:val="single" w:sz="4" w:space="0" w:color="000000"/>
            </w:tcBorders>
            <w:shd w:val="clear" w:color="auto" w:fill="auto"/>
            <w:vAlign w:val="center"/>
          </w:tcPr>
          <w:p w14:paraId="0FBF77A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7,8   </w:t>
            </w:r>
          </w:p>
        </w:tc>
        <w:tc>
          <w:tcPr>
            <w:tcW w:w="936" w:type="dxa"/>
            <w:tcBorders>
              <w:top w:val="nil"/>
              <w:left w:val="nil"/>
              <w:bottom w:val="single" w:sz="4" w:space="0" w:color="000000"/>
              <w:right w:val="nil"/>
            </w:tcBorders>
            <w:shd w:val="clear" w:color="auto" w:fill="auto"/>
            <w:vAlign w:val="center"/>
          </w:tcPr>
          <w:p w14:paraId="3F5E0CD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161EB54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-69,1%</w:t>
            </w:r>
          </w:p>
        </w:tc>
        <w:tc>
          <w:tcPr>
            <w:tcW w:w="1243" w:type="dxa"/>
            <w:tcBorders>
              <w:top w:val="nil"/>
              <w:left w:val="nil"/>
              <w:bottom w:val="single" w:sz="4" w:space="0" w:color="000000"/>
              <w:right w:val="single" w:sz="4" w:space="0" w:color="000000"/>
            </w:tcBorders>
            <w:shd w:val="clear" w:color="auto" w:fill="auto"/>
            <w:vAlign w:val="center"/>
          </w:tcPr>
          <w:p w14:paraId="331C0D6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-70,0%</w:t>
            </w:r>
          </w:p>
        </w:tc>
      </w:tr>
      <w:tr w:rsidR="00A0251B" w:rsidRPr="00CC35F0" w14:paraId="750A3036"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7552D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69BFAA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20,2   </w:t>
            </w:r>
          </w:p>
        </w:tc>
        <w:tc>
          <w:tcPr>
            <w:tcW w:w="936" w:type="dxa"/>
            <w:tcBorders>
              <w:top w:val="nil"/>
              <w:left w:val="nil"/>
              <w:bottom w:val="single" w:sz="4" w:space="0" w:color="000000"/>
              <w:right w:val="single" w:sz="4" w:space="0" w:color="000000"/>
            </w:tcBorders>
            <w:shd w:val="clear" w:color="auto" w:fill="auto"/>
            <w:vAlign w:val="center"/>
          </w:tcPr>
          <w:p w14:paraId="790439A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9,0   </w:t>
            </w:r>
          </w:p>
        </w:tc>
        <w:tc>
          <w:tcPr>
            <w:tcW w:w="936" w:type="dxa"/>
            <w:tcBorders>
              <w:top w:val="nil"/>
              <w:left w:val="nil"/>
              <w:bottom w:val="single" w:sz="4" w:space="0" w:color="000000"/>
              <w:right w:val="single" w:sz="4" w:space="0" w:color="000000"/>
            </w:tcBorders>
            <w:shd w:val="clear" w:color="auto" w:fill="auto"/>
            <w:vAlign w:val="center"/>
          </w:tcPr>
          <w:p w14:paraId="3225282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4,3   </w:t>
            </w:r>
          </w:p>
        </w:tc>
        <w:tc>
          <w:tcPr>
            <w:tcW w:w="936" w:type="dxa"/>
            <w:tcBorders>
              <w:top w:val="nil"/>
              <w:left w:val="nil"/>
              <w:bottom w:val="single" w:sz="4" w:space="0" w:color="000000"/>
              <w:right w:val="single" w:sz="4" w:space="0" w:color="000000"/>
            </w:tcBorders>
            <w:shd w:val="clear" w:color="auto" w:fill="auto"/>
            <w:vAlign w:val="center"/>
          </w:tcPr>
          <w:p w14:paraId="5681D0C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   </w:t>
            </w:r>
          </w:p>
        </w:tc>
        <w:tc>
          <w:tcPr>
            <w:tcW w:w="936" w:type="dxa"/>
            <w:tcBorders>
              <w:top w:val="nil"/>
              <w:left w:val="nil"/>
              <w:bottom w:val="single" w:sz="4" w:space="0" w:color="000000"/>
              <w:right w:val="single" w:sz="4" w:space="0" w:color="000000"/>
            </w:tcBorders>
            <w:shd w:val="clear" w:color="auto" w:fill="auto"/>
            <w:vAlign w:val="center"/>
          </w:tcPr>
          <w:p w14:paraId="4D3465F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2,4   </w:t>
            </w:r>
          </w:p>
        </w:tc>
        <w:tc>
          <w:tcPr>
            <w:tcW w:w="936" w:type="dxa"/>
            <w:tcBorders>
              <w:top w:val="nil"/>
              <w:left w:val="nil"/>
              <w:bottom w:val="single" w:sz="4" w:space="0" w:color="000000"/>
              <w:right w:val="nil"/>
            </w:tcBorders>
            <w:shd w:val="clear" w:color="auto" w:fill="auto"/>
            <w:vAlign w:val="center"/>
          </w:tcPr>
          <w:p w14:paraId="6E38D3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152810F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-73,5%</w:t>
            </w:r>
          </w:p>
        </w:tc>
        <w:tc>
          <w:tcPr>
            <w:tcW w:w="1243" w:type="dxa"/>
            <w:tcBorders>
              <w:top w:val="nil"/>
              <w:left w:val="nil"/>
              <w:bottom w:val="single" w:sz="4" w:space="0" w:color="000000"/>
              <w:right w:val="single" w:sz="4" w:space="0" w:color="000000"/>
            </w:tcBorders>
            <w:shd w:val="clear" w:color="auto" w:fill="auto"/>
            <w:vAlign w:val="center"/>
          </w:tcPr>
          <w:p w14:paraId="3D1F4E4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-88,1%</w:t>
            </w:r>
          </w:p>
        </w:tc>
      </w:tr>
      <w:tr w:rsidR="00A0251B" w:rsidRPr="00CC35F0" w14:paraId="3491977C"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2E8799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4B8D2D9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   </w:t>
            </w:r>
          </w:p>
        </w:tc>
        <w:tc>
          <w:tcPr>
            <w:tcW w:w="936" w:type="dxa"/>
            <w:tcBorders>
              <w:top w:val="nil"/>
              <w:left w:val="nil"/>
              <w:bottom w:val="single" w:sz="4" w:space="0" w:color="000000"/>
              <w:right w:val="single" w:sz="4" w:space="0" w:color="000000"/>
            </w:tcBorders>
            <w:shd w:val="clear" w:color="auto" w:fill="auto"/>
            <w:vAlign w:val="center"/>
          </w:tcPr>
          <w:p w14:paraId="021B83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48CD61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9FD273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FD730A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5D71E97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7616EEB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w:t>
            </w:r>
          </w:p>
        </w:tc>
        <w:tc>
          <w:tcPr>
            <w:tcW w:w="1243" w:type="dxa"/>
            <w:tcBorders>
              <w:top w:val="nil"/>
              <w:left w:val="nil"/>
              <w:bottom w:val="single" w:sz="4" w:space="0" w:color="000000"/>
              <w:right w:val="single" w:sz="4" w:space="0" w:color="000000"/>
            </w:tcBorders>
            <w:shd w:val="clear" w:color="auto" w:fill="auto"/>
            <w:vAlign w:val="center"/>
          </w:tcPr>
          <w:p w14:paraId="68D0FD4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-100,0%</w:t>
            </w:r>
          </w:p>
        </w:tc>
      </w:tr>
      <w:tr w:rsidR="00A0251B" w:rsidRPr="00CC35F0" w14:paraId="05ABB929"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06D52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0CF76CC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0B1510F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4238CB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17E557F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546D12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777600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500447F"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765067D1"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0DFA8A09"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7EB13A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005E3C5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3A3CEE4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E8E07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9C22BA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910F54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4A9DFE8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A397BA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23,8%</w:t>
            </w:r>
          </w:p>
        </w:tc>
        <w:tc>
          <w:tcPr>
            <w:tcW w:w="1243" w:type="dxa"/>
            <w:tcBorders>
              <w:top w:val="nil"/>
              <w:left w:val="nil"/>
              <w:bottom w:val="single" w:sz="4" w:space="0" w:color="000000"/>
              <w:right w:val="single" w:sz="4" w:space="0" w:color="000000"/>
            </w:tcBorders>
            <w:shd w:val="clear" w:color="auto" w:fill="auto"/>
            <w:vAlign w:val="center"/>
          </w:tcPr>
          <w:p w14:paraId="7A4A430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-97,2%</w:t>
            </w:r>
          </w:p>
        </w:tc>
      </w:tr>
      <w:tr w:rsidR="00A0251B" w:rsidRPr="00CC35F0" w14:paraId="09B7846C"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F8E46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7024FEB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564C51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48E81CA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0BA0AC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2E0B748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nil"/>
            </w:tcBorders>
            <w:shd w:val="clear" w:color="auto" w:fill="auto"/>
            <w:vAlign w:val="center"/>
          </w:tcPr>
          <w:p w14:paraId="0882494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9428B7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-25,3%</w:t>
            </w:r>
          </w:p>
        </w:tc>
        <w:tc>
          <w:tcPr>
            <w:tcW w:w="1243" w:type="dxa"/>
            <w:tcBorders>
              <w:top w:val="nil"/>
              <w:left w:val="nil"/>
              <w:bottom w:val="single" w:sz="4" w:space="0" w:color="000000"/>
              <w:right w:val="single" w:sz="4" w:space="0" w:color="000000"/>
            </w:tcBorders>
            <w:shd w:val="clear" w:color="auto" w:fill="auto"/>
            <w:vAlign w:val="center"/>
          </w:tcPr>
          <w:p w14:paraId="58ECA66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-60,5%</w:t>
            </w:r>
          </w:p>
        </w:tc>
      </w:tr>
      <w:tr w:rsidR="00A0251B" w:rsidRPr="00CC35F0" w14:paraId="6265B061"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05FEB0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5AC7D2B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EEC98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595841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3F9D04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41B837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nil"/>
            </w:tcBorders>
            <w:shd w:val="clear" w:color="auto" w:fill="auto"/>
            <w:vAlign w:val="center"/>
          </w:tcPr>
          <w:p w14:paraId="532849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BA7027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6117A01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1D3631EF"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22C562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29F1D2A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D2A81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2AA332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67A160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4AC95E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2BFF02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711F1EC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-90,5%</w:t>
            </w:r>
          </w:p>
        </w:tc>
        <w:tc>
          <w:tcPr>
            <w:tcW w:w="1243" w:type="dxa"/>
            <w:tcBorders>
              <w:top w:val="nil"/>
              <w:left w:val="nil"/>
              <w:bottom w:val="single" w:sz="4" w:space="0" w:color="000000"/>
              <w:right w:val="single" w:sz="4" w:space="0" w:color="000000"/>
            </w:tcBorders>
            <w:shd w:val="clear" w:color="auto" w:fill="auto"/>
            <w:vAlign w:val="center"/>
          </w:tcPr>
          <w:p w14:paraId="51ED71D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-74,8%</w:t>
            </w:r>
          </w:p>
        </w:tc>
      </w:tr>
      <w:tr w:rsidR="00A0251B" w:rsidRPr="00CC35F0" w14:paraId="1B9D8E9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32660F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32628D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9DFAE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535747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EC27D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65C64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7191690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7277C8A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785979A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1F19D4E1"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673AE8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1EFBB7C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9C535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5DB0357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4BFF78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22C3C25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4B03FF4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736598BD"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1BA18937" w14:textId="77777777" w:rsidR="00A0251B" w:rsidRPr="00CC35F0" w:rsidRDefault="008D6506">
            <w:pPr>
              <w:spacing w:after="0" w:line="240" w:lineRule="auto"/>
              <w:jc w:val="cente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2A47585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D0883A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0AB01F5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21AF66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60F0E70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14DBE75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5346A86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58B67EC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C2AADE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-100,0%</w:t>
            </w:r>
          </w:p>
        </w:tc>
        <w:tc>
          <w:tcPr>
            <w:tcW w:w="1243" w:type="dxa"/>
            <w:tcBorders>
              <w:top w:val="nil"/>
              <w:left w:val="nil"/>
              <w:bottom w:val="single" w:sz="4" w:space="0" w:color="000000"/>
              <w:right w:val="single" w:sz="4" w:space="0" w:color="000000"/>
            </w:tcBorders>
            <w:shd w:val="clear" w:color="auto" w:fill="auto"/>
            <w:vAlign w:val="center"/>
          </w:tcPr>
          <w:p w14:paraId="3C5F2CD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-100,0%</w:t>
            </w:r>
          </w:p>
        </w:tc>
      </w:tr>
      <w:tr w:rsidR="00A0251B" w:rsidRPr="00CC35F0" w14:paraId="345D0E7E"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E14081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318682E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444,8   </w:t>
            </w:r>
          </w:p>
        </w:tc>
        <w:tc>
          <w:tcPr>
            <w:tcW w:w="936" w:type="dxa"/>
            <w:tcBorders>
              <w:top w:val="nil"/>
              <w:left w:val="single" w:sz="4" w:space="0" w:color="000000"/>
              <w:bottom w:val="single" w:sz="4" w:space="0" w:color="000000"/>
              <w:right w:val="nil"/>
            </w:tcBorders>
            <w:shd w:val="clear" w:color="auto" w:fill="auto"/>
            <w:vAlign w:val="center"/>
          </w:tcPr>
          <w:p w14:paraId="105925D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366,0   </w:t>
            </w:r>
          </w:p>
        </w:tc>
        <w:tc>
          <w:tcPr>
            <w:tcW w:w="936" w:type="dxa"/>
            <w:tcBorders>
              <w:top w:val="nil"/>
              <w:left w:val="single" w:sz="4" w:space="0" w:color="000000"/>
              <w:bottom w:val="single" w:sz="4" w:space="0" w:color="000000"/>
              <w:right w:val="nil"/>
            </w:tcBorders>
            <w:shd w:val="clear" w:color="auto" w:fill="auto"/>
            <w:vAlign w:val="center"/>
          </w:tcPr>
          <w:p w14:paraId="470CC8D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366,0   </w:t>
            </w:r>
          </w:p>
        </w:tc>
        <w:tc>
          <w:tcPr>
            <w:tcW w:w="936" w:type="dxa"/>
            <w:tcBorders>
              <w:top w:val="nil"/>
              <w:left w:val="single" w:sz="4" w:space="0" w:color="000000"/>
              <w:bottom w:val="single" w:sz="4" w:space="0" w:color="000000"/>
              <w:right w:val="nil"/>
            </w:tcBorders>
            <w:shd w:val="clear" w:color="auto" w:fill="auto"/>
            <w:vAlign w:val="center"/>
          </w:tcPr>
          <w:p w14:paraId="508110D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34,4   </w:t>
            </w:r>
          </w:p>
        </w:tc>
        <w:tc>
          <w:tcPr>
            <w:tcW w:w="936" w:type="dxa"/>
            <w:tcBorders>
              <w:top w:val="nil"/>
              <w:left w:val="single" w:sz="4" w:space="0" w:color="000000"/>
              <w:bottom w:val="single" w:sz="4" w:space="0" w:color="000000"/>
              <w:right w:val="nil"/>
            </w:tcBorders>
            <w:shd w:val="clear" w:color="auto" w:fill="auto"/>
            <w:vAlign w:val="center"/>
          </w:tcPr>
          <w:p w14:paraId="026F8E7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29,3   </w:t>
            </w:r>
          </w:p>
        </w:tc>
        <w:tc>
          <w:tcPr>
            <w:tcW w:w="936" w:type="dxa"/>
            <w:tcBorders>
              <w:top w:val="nil"/>
              <w:left w:val="single" w:sz="4" w:space="0" w:color="000000"/>
              <w:bottom w:val="single" w:sz="4" w:space="0" w:color="000000"/>
              <w:right w:val="nil"/>
            </w:tcBorders>
            <w:shd w:val="clear" w:color="auto" w:fill="auto"/>
            <w:vAlign w:val="center"/>
          </w:tcPr>
          <w:p w14:paraId="0CB9A2A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20,8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8A1D3AF"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-92,0%</w:t>
            </w:r>
          </w:p>
        </w:tc>
        <w:tc>
          <w:tcPr>
            <w:tcW w:w="1243" w:type="dxa"/>
            <w:tcBorders>
              <w:top w:val="nil"/>
              <w:left w:val="nil"/>
              <w:bottom w:val="single" w:sz="4" w:space="0" w:color="000000"/>
              <w:right w:val="single" w:sz="4" w:space="0" w:color="000000"/>
            </w:tcBorders>
            <w:shd w:val="clear" w:color="auto" w:fill="auto"/>
            <w:vAlign w:val="center"/>
          </w:tcPr>
          <w:p w14:paraId="0342CA71"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-93,4%</w:t>
            </w:r>
          </w:p>
        </w:tc>
      </w:tr>
    </w:tbl>
    <w:p w14:paraId="7101CF84"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tbl>
      <w:tblPr>
        <w:tblStyle w:val="afffff3"/>
        <w:tblW w:w="10158" w:type="dxa"/>
        <w:tblLayout w:type="fixed"/>
        <w:tblLook w:val="0400" w:firstRow="0" w:lastRow="0" w:firstColumn="0" w:lastColumn="0" w:noHBand="0" w:noVBand="1"/>
      </w:tblPr>
      <w:tblGrid>
        <w:gridCol w:w="2056"/>
        <w:gridCol w:w="936"/>
        <w:gridCol w:w="936"/>
        <w:gridCol w:w="936"/>
        <w:gridCol w:w="936"/>
        <w:gridCol w:w="936"/>
        <w:gridCol w:w="936"/>
        <w:gridCol w:w="1243"/>
        <w:gridCol w:w="1243"/>
      </w:tblGrid>
      <w:tr w:rsidR="00A0251B" w:rsidRPr="00CC35F0" w14:paraId="7537FEEB" w14:textId="77777777">
        <w:trPr>
          <w:trHeight w:val="250"/>
        </w:trPr>
        <w:tc>
          <w:tcPr>
            <w:tcW w:w="2056" w:type="dxa"/>
            <w:tcBorders>
              <w:top w:val="nil"/>
              <w:left w:val="nil"/>
              <w:bottom w:val="single" w:sz="4" w:space="0" w:color="000000"/>
              <w:right w:val="nil"/>
            </w:tcBorders>
            <w:shd w:val="clear" w:color="auto" w:fill="FFFFFF"/>
            <w:vAlign w:val="center"/>
          </w:tcPr>
          <w:p w14:paraId="6D82E05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lastRenderedPageBreak/>
              <w:t>Емисије PM</w:t>
            </w:r>
            <w:r w:rsidRPr="00CC35F0">
              <w:rPr>
                <w:rFonts w:ascii="Times New Roman" w:eastAsia="Times New Roman" w:hAnsi="Times New Roman"/>
                <w:b/>
                <w:sz w:val="24"/>
                <w:szCs w:val="24"/>
                <w:vertAlign w:val="subscript"/>
                <w:lang w:val="sr-Cyrl-CS"/>
              </w:rPr>
              <w:t>10</w:t>
            </w:r>
            <w:r w:rsidRPr="00CC35F0">
              <w:rPr>
                <w:rFonts w:ascii="Times New Roman" w:eastAsia="Times New Roman" w:hAnsi="Times New Roman"/>
                <w:b/>
                <w:sz w:val="24"/>
                <w:szCs w:val="24"/>
                <w:lang w:val="sr-Cyrl-CS"/>
              </w:rPr>
              <w:t xml:space="preserve"> </w:t>
            </w:r>
          </w:p>
        </w:tc>
        <w:tc>
          <w:tcPr>
            <w:tcW w:w="936" w:type="dxa"/>
            <w:tcBorders>
              <w:top w:val="nil"/>
              <w:left w:val="nil"/>
              <w:bottom w:val="nil"/>
              <w:right w:val="nil"/>
            </w:tcBorders>
            <w:shd w:val="clear" w:color="auto" w:fill="FFFFFF"/>
            <w:vAlign w:val="center"/>
          </w:tcPr>
          <w:p w14:paraId="50E4ED9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797B12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017C84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20F5FE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182B701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55787D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tcBorders>
              <w:top w:val="nil"/>
              <w:left w:val="nil"/>
              <w:bottom w:val="single" w:sz="4" w:space="0" w:color="000000"/>
              <w:right w:val="nil"/>
            </w:tcBorders>
            <w:shd w:val="clear" w:color="auto" w:fill="FFFFFF"/>
            <w:vAlign w:val="center"/>
          </w:tcPr>
          <w:p w14:paraId="0A788C6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tcBorders>
              <w:top w:val="nil"/>
              <w:left w:val="nil"/>
              <w:bottom w:val="nil"/>
              <w:right w:val="nil"/>
            </w:tcBorders>
            <w:shd w:val="clear" w:color="auto" w:fill="FFFFFF"/>
            <w:vAlign w:val="center"/>
          </w:tcPr>
          <w:p w14:paraId="4DB008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r>
      <w:tr w:rsidR="00A0251B" w:rsidRPr="00CC35F0" w14:paraId="2E76F522" w14:textId="77777777">
        <w:trPr>
          <w:trHeight w:val="360"/>
        </w:trPr>
        <w:tc>
          <w:tcPr>
            <w:tcW w:w="2056" w:type="dxa"/>
            <w:tcBorders>
              <w:top w:val="nil"/>
              <w:left w:val="single" w:sz="4" w:space="0" w:color="000000"/>
              <w:bottom w:val="nil"/>
              <w:right w:val="single" w:sz="4" w:space="0" w:color="000000"/>
            </w:tcBorders>
            <w:shd w:val="clear" w:color="auto" w:fill="DAEEF3"/>
            <w:vAlign w:val="center"/>
          </w:tcPr>
          <w:p w14:paraId="003B6E8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WEM </w:t>
            </w:r>
          </w:p>
        </w:tc>
        <w:tc>
          <w:tcPr>
            <w:tcW w:w="936" w:type="dxa"/>
            <w:tcBorders>
              <w:top w:val="single" w:sz="4" w:space="0" w:color="000000"/>
              <w:left w:val="nil"/>
              <w:bottom w:val="single" w:sz="4" w:space="0" w:color="000000"/>
              <w:right w:val="nil"/>
            </w:tcBorders>
            <w:shd w:val="clear" w:color="auto" w:fill="DAEEF3"/>
            <w:vAlign w:val="center"/>
          </w:tcPr>
          <w:p w14:paraId="030B7C3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6AA9480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7B3C70D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58C2F41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4A1B623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single" w:sz="18" w:space="0" w:color="000000"/>
            </w:tcBorders>
            <w:shd w:val="clear" w:color="auto" w:fill="DAEEF3"/>
            <w:vAlign w:val="center"/>
          </w:tcPr>
          <w:p w14:paraId="17947B0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8" w:space="0" w:color="000000"/>
              <w:bottom w:val="single" w:sz="4" w:space="0" w:color="000000"/>
              <w:right w:val="single" w:sz="4" w:space="0" w:color="000000"/>
            </w:tcBorders>
            <w:shd w:val="clear" w:color="auto" w:fill="DAEEF3"/>
            <w:vAlign w:val="center"/>
          </w:tcPr>
          <w:p w14:paraId="363F9BB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4145D130"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15D5EAB4"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6D2E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2EF588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single" w:sz="4" w:space="0" w:color="000000"/>
            </w:tcBorders>
            <w:shd w:val="clear" w:color="auto" w:fill="auto"/>
            <w:vAlign w:val="center"/>
          </w:tcPr>
          <w:p w14:paraId="1C77647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12,1   </w:t>
            </w:r>
          </w:p>
        </w:tc>
        <w:tc>
          <w:tcPr>
            <w:tcW w:w="936" w:type="dxa"/>
            <w:tcBorders>
              <w:top w:val="nil"/>
              <w:left w:val="nil"/>
              <w:bottom w:val="single" w:sz="4" w:space="0" w:color="000000"/>
              <w:right w:val="single" w:sz="4" w:space="0" w:color="000000"/>
            </w:tcBorders>
            <w:shd w:val="clear" w:color="auto" w:fill="auto"/>
            <w:vAlign w:val="center"/>
          </w:tcPr>
          <w:p w14:paraId="2B563C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12,2   </w:t>
            </w:r>
          </w:p>
        </w:tc>
        <w:tc>
          <w:tcPr>
            <w:tcW w:w="936" w:type="dxa"/>
            <w:tcBorders>
              <w:top w:val="nil"/>
              <w:left w:val="nil"/>
              <w:bottom w:val="single" w:sz="4" w:space="0" w:color="000000"/>
              <w:right w:val="single" w:sz="4" w:space="0" w:color="000000"/>
            </w:tcBorders>
            <w:shd w:val="clear" w:color="auto" w:fill="auto"/>
            <w:vAlign w:val="center"/>
          </w:tcPr>
          <w:p w14:paraId="264EF8A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4,7   </w:t>
            </w:r>
          </w:p>
        </w:tc>
        <w:tc>
          <w:tcPr>
            <w:tcW w:w="936" w:type="dxa"/>
            <w:tcBorders>
              <w:top w:val="nil"/>
              <w:left w:val="nil"/>
              <w:bottom w:val="single" w:sz="4" w:space="0" w:color="000000"/>
              <w:right w:val="single" w:sz="4" w:space="0" w:color="000000"/>
            </w:tcBorders>
            <w:shd w:val="clear" w:color="auto" w:fill="auto"/>
            <w:vAlign w:val="center"/>
          </w:tcPr>
          <w:p w14:paraId="3EA670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   </w:t>
            </w:r>
          </w:p>
        </w:tc>
        <w:tc>
          <w:tcPr>
            <w:tcW w:w="936" w:type="dxa"/>
            <w:tcBorders>
              <w:top w:val="nil"/>
              <w:left w:val="nil"/>
              <w:bottom w:val="single" w:sz="4" w:space="0" w:color="000000"/>
              <w:right w:val="single" w:sz="18" w:space="0" w:color="000000"/>
            </w:tcBorders>
            <w:shd w:val="clear" w:color="auto" w:fill="auto"/>
            <w:vAlign w:val="center"/>
          </w:tcPr>
          <w:p w14:paraId="123E157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2CA1D9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-75,6%</w:t>
            </w:r>
          </w:p>
        </w:tc>
        <w:tc>
          <w:tcPr>
            <w:tcW w:w="1243" w:type="dxa"/>
            <w:tcBorders>
              <w:top w:val="nil"/>
              <w:left w:val="nil"/>
              <w:bottom w:val="single" w:sz="4" w:space="0" w:color="000000"/>
              <w:right w:val="single" w:sz="4" w:space="0" w:color="000000"/>
            </w:tcBorders>
            <w:shd w:val="clear" w:color="auto" w:fill="auto"/>
            <w:vAlign w:val="center"/>
          </w:tcPr>
          <w:p w14:paraId="4EDD2B6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14,0%</w:t>
            </w:r>
          </w:p>
        </w:tc>
      </w:tr>
      <w:tr w:rsidR="00A0251B" w:rsidRPr="00CC35F0" w14:paraId="39FAF754"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A99B34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057FE4B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6,4   </w:t>
            </w:r>
          </w:p>
        </w:tc>
        <w:tc>
          <w:tcPr>
            <w:tcW w:w="936" w:type="dxa"/>
            <w:tcBorders>
              <w:top w:val="nil"/>
              <w:left w:val="nil"/>
              <w:bottom w:val="single" w:sz="4" w:space="0" w:color="000000"/>
              <w:right w:val="single" w:sz="4" w:space="0" w:color="000000"/>
            </w:tcBorders>
            <w:shd w:val="clear" w:color="auto" w:fill="auto"/>
            <w:vAlign w:val="center"/>
          </w:tcPr>
          <w:p w14:paraId="167526B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8,2   </w:t>
            </w:r>
          </w:p>
        </w:tc>
        <w:tc>
          <w:tcPr>
            <w:tcW w:w="936" w:type="dxa"/>
            <w:tcBorders>
              <w:top w:val="nil"/>
              <w:left w:val="nil"/>
              <w:bottom w:val="single" w:sz="4" w:space="0" w:color="000000"/>
              <w:right w:val="single" w:sz="4" w:space="0" w:color="000000"/>
            </w:tcBorders>
            <w:shd w:val="clear" w:color="auto" w:fill="auto"/>
            <w:vAlign w:val="center"/>
          </w:tcPr>
          <w:p w14:paraId="275B91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9,3   </w:t>
            </w:r>
          </w:p>
        </w:tc>
        <w:tc>
          <w:tcPr>
            <w:tcW w:w="936" w:type="dxa"/>
            <w:tcBorders>
              <w:top w:val="nil"/>
              <w:left w:val="nil"/>
              <w:bottom w:val="single" w:sz="4" w:space="0" w:color="000000"/>
              <w:right w:val="single" w:sz="4" w:space="0" w:color="000000"/>
            </w:tcBorders>
            <w:shd w:val="clear" w:color="auto" w:fill="auto"/>
            <w:vAlign w:val="center"/>
          </w:tcPr>
          <w:p w14:paraId="7EF906B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5,5   </w:t>
            </w:r>
          </w:p>
        </w:tc>
        <w:tc>
          <w:tcPr>
            <w:tcW w:w="936" w:type="dxa"/>
            <w:tcBorders>
              <w:top w:val="nil"/>
              <w:left w:val="nil"/>
              <w:bottom w:val="single" w:sz="4" w:space="0" w:color="000000"/>
              <w:right w:val="single" w:sz="4" w:space="0" w:color="000000"/>
            </w:tcBorders>
            <w:shd w:val="clear" w:color="auto" w:fill="auto"/>
            <w:vAlign w:val="center"/>
          </w:tcPr>
          <w:p w14:paraId="32834C0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6,0   </w:t>
            </w:r>
          </w:p>
        </w:tc>
        <w:tc>
          <w:tcPr>
            <w:tcW w:w="936" w:type="dxa"/>
            <w:tcBorders>
              <w:top w:val="nil"/>
              <w:left w:val="nil"/>
              <w:bottom w:val="single" w:sz="4" w:space="0" w:color="000000"/>
              <w:right w:val="single" w:sz="18" w:space="0" w:color="000000"/>
            </w:tcBorders>
            <w:shd w:val="clear" w:color="auto" w:fill="auto"/>
            <w:vAlign w:val="center"/>
          </w:tcPr>
          <w:p w14:paraId="7207C51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F21C1F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-26,8%</w:t>
            </w:r>
          </w:p>
        </w:tc>
        <w:tc>
          <w:tcPr>
            <w:tcW w:w="1243" w:type="dxa"/>
            <w:tcBorders>
              <w:top w:val="nil"/>
              <w:left w:val="nil"/>
              <w:bottom w:val="single" w:sz="4" w:space="0" w:color="000000"/>
              <w:right w:val="single" w:sz="4" w:space="0" w:color="000000"/>
            </w:tcBorders>
            <w:shd w:val="clear" w:color="auto" w:fill="auto"/>
            <w:vAlign w:val="center"/>
          </w:tcPr>
          <w:p w14:paraId="3D1A6E0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-6,3%</w:t>
            </w:r>
          </w:p>
        </w:tc>
      </w:tr>
      <w:tr w:rsidR="00A0251B" w:rsidRPr="00CC35F0" w14:paraId="0327D956"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BEF18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4E90741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32,6   </w:t>
            </w:r>
          </w:p>
        </w:tc>
        <w:tc>
          <w:tcPr>
            <w:tcW w:w="936" w:type="dxa"/>
            <w:tcBorders>
              <w:top w:val="nil"/>
              <w:left w:val="nil"/>
              <w:bottom w:val="single" w:sz="4" w:space="0" w:color="000000"/>
              <w:right w:val="single" w:sz="4" w:space="0" w:color="000000"/>
            </w:tcBorders>
            <w:shd w:val="clear" w:color="auto" w:fill="auto"/>
            <w:vAlign w:val="center"/>
          </w:tcPr>
          <w:p w14:paraId="16C15DA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35,9   </w:t>
            </w:r>
          </w:p>
        </w:tc>
        <w:tc>
          <w:tcPr>
            <w:tcW w:w="936" w:type="dxa"/>
            <w:tcBorders>
              <w:top w:val="nil"/>
              <w:left w:val="nil"/>
              <w:bottom w:val="single" w:sz="4" w:space="0" w:color="000000"/>
              <w:right w:val="single" w:sz="4" w:space="0" w:color="000000"/>
            </w:tcBorders>
            <w:shd w:val="clear" w:color="auto" w:fill="auto"/>
            <w:vAlign w:val="center"/>
          </w:tcPr>
          <w:p w14:paraId="1332D9B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36,9   </w:t>
            </w:r>
          </w:p>
        </w:tc>
        <w:tc>
          <w:tcPr>
            <w:tcW w:w="936" w:type="dxa"/>
            <w:tcBorders>
              <w:top w:val="nil"/>
              <w:left w:val="nil"/>
              <w:bottom w:val="single" w:sz="4" w:space="0" w:color="000000"/>
              <w:right w:val="single" w:sz="4" w:space="0" w:color="000000"/>
            </w:tcBorders>
            <w:shd w:val="clear" w:color="auto" w:fill="auto"/>
            <w:vAlign w:val="center"/>
          </w:tcPr>
          <w:p w14:paraId="20D5FEB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36,0   </w:t>
            </w:r>
          </w:p>
        </w:tc>
        <w:tc>
          <w:tcPr>
            <w:tcW w:w="936" w:type="dxa"/>
            <w:tcBorders>
              <w:top w:val="nil"/>
              <w:left w:val="nil"/>
              <w:bottom w:val="single" w:sz="4" w:space="0" w:color="000000"/>
              <w:right w:val="single" w:sz="4" w:space="0" w:color="000000"/>
            </w:tcBorders>
            <w:shd w:val="clear" w:color="auto" w:fill="auto"/>
            <w:vAlign w:val="center"/>
          </w:tcPr>
          <w:p w14:paraId="4C9A95A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34,6   </w:t>
            </w:r>
          </w:p>
        </w:tc>
        <w:tc>
          <w:tcPr>
            <w:tcW w:w="936" w:type="dxa"/>
            <w:tcBorders>
              <w:top w:val="nil"/>
              <w:left w:val="nil"/>
              <w:bottom w:val="single" w:sz="4" w:space="0" w:color="000000"/>
              <w:right w:val="single" w:sz="18" w:space="0" w:color="000000"/>
            </w:tcBorders>
            <w:shd w:val="clear" w:color="auto" w:fill="auto"/>
            <w:vAlign w:val="center"/>
          </w:tcPr>
          <w:p w14:paraId="616B8D8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34,5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620F21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-3,6%</w:t>
            </w:r>
          </w:p>
        </w:tc>
        <w:tc>
          <w:tcPr>
            <w:tcW w:w="1243" w:type="dxa"/>
            <w:tcBorders>
              <w:top w:val="nil"/>
              <w:left w:val="nil"/>
              <w:bottom w:val="single" w:sz="4" w:space="0" w:color="000000"/>
              <w:right w:val="single" w:sz="4" w:space="0" w:color="000000"/>
            </w:tcBorders>
            <w:shd w:val="clear" w:color="auto" w:fill="auto"/>
            <w:vAlign w:val="center"/>
          </w:tcPr>
          <w:p w14:paraId="68F4673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6,1%</w:t>
            </w:r>
          </w:p>
        </w:tc>
      </w:tr>
      <w:tr w:rsidR="00A0251B" w:rsidRPr="00CC35F0" w14:paraId="0B363479"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AC968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0BBAA91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12F5460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668D15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4D8917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1F56BF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36" w:type="dxa"/>
            <w:tcBorders>
              <w:top w:val="nil"/>
              <w:left w:val="nil"/>
              <w:bottom w:val="single" w:sz="4" w:space="0" w:color="000000"/>
              <w:right w:val="single" w:sz="18" w:space="0" w:color="000000"/>
            </w:tcBorders>
            <w:shd w:val="clear" w:color="auto" w:fill="auto"/>
            <w:vAlign w:val="center"/>
          </w:tcPr>
          <w:p w14:paraId="5E020CD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FB3FC1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-16,2%</w:t>
            </w:r>
          </w:p>
        </w:tc>
        <w:tc>
          <w:tcPr>
            <w:tcW w:w="1243" w:type="dxa"/>
            <w:tcBorders>
              <w:top w:val="nil"/>
              <w:left w:val="nil"/>
              <w:bottom w:val="single" w:sz="4" w:space="0" w:color="000000"/>
              <w:right w:val="single" w:sz="4" w:space="0" w:color="000000"/>
            </w:tcBorders>
            <w:shd w:val="clear" w:color="auto" w:fill="auto"/>
            <w:vAlign w:val="center"/>
          </w:tcPr>
          <w:p w14:paraId="06DA994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-15,8%</w:t>
            </w:r>
          </w:p>
        </w:tc>
      </w:tr>
      <w:tr w:rsidR="00A0251B" w:rsidRPr="00CC35F0" w14:paraId="114C154D"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987C1F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28295A4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0,8   </w:t>
            </w:r>
          </w:p>
        </w:tc>
        <w:tc>
          <w:tcPr>
            <w:tcW w:w="936" w:type="dxa"/>
            <w:tcBorders>
              <w:top w:val="nil"/>
              <w:left w:val="nil"/>
              <w:bottom w:val="single" w:sz="4" w:space="0" w:color="000000"/>
              <w:right w:val="single" w:sz="4" w:space="0" w:color="000000"/>
            </w:tcBorders>
            <w:shd w:val="clear" w:color="auto" w:fill="auto"/>
            <w:vAlign w:val="center"/>
          </w:tcPr>
          <w:p w14:paraId="55783F9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36" w:type="dxa"/>
            <w:tcBorders>
              <w:top w:val="nil"/>
              <w:left w:val="nil"/>
              <w:bottom w:val="single" w:sz="4" w:space="0" w:color="000000"/>
              <w:right w:val="single" w:sz="4" w:space="0" w:color="000000"/>
            </w:tcBorders>
            <w:shd w:val="clear" w:color="auto" w:fill="auto"/>
            <w:vAlign w:val="center"/>
          </w:tcPr>
          <w:p w14:paraId="012B49E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4" w:space="0" w:color="000000"/>
            </w:tcBorders>
            <w:shd w:val="clear" w:color="auto" w:fill="auto"/>
            <w:vAlign w:val="center"/>
          </w:tcPr>
          <w:p w14:paraId="74BE436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4" w:space="0" w:color="000000"/>
            </w:tcBorders>
            <w:shd w:val="clear" w:color="auto" w:fill="auto"/>
            <w:vAlign w:val="center"/>
          </w:tcPr>
          <w:p w14:paraId="422BF01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18" w:space="0" w:color="000000"/>
            </w:tcBorders>
            <w:shd w:val="clear" w:color="auto" w:fill="auto"/>
            <w:vAlign w:val="center"/>
          </w:tcPr>
          <w:p w14:paraId="2AA6F13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618151D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c>
          <w:tcPr>
            <w:tcW w:w="1243" w:type="dxa"/>
            <w:tcBorders>
              <w:top w:val="nil"/>
              <w:left w:val="nil"/>
              <w:bottom w:val="single" w:sz="4" w:space="0" w:color="000000"/>
              <w:right w:val="single" w:sz="4" w:space="0" w:color="000000"/>
            </w:tcBorders>
            <w:shd w:val="clear" w:color="auto" w:fill="auto"/>
            <w:vAlign w:val="center"/>
          </w:tcPr>
          <w:p w14:paraId="392D135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97,5%</w:t>
            </w:r>
          </w:p>
        </w:tc>
      </w:tr>
      <w:tr w:rsidR="00A0251B" w:rsidRPr="00CC35F0" w14:paraId="546EE1CA" w14:textId="77777777">
        <w:trPr>
          <w:trHeight w:val="29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ED9E7E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78A1E32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936" w:type="dxa"/>
            <w:tcBorders>
              <w:top w:val="nil"/>
              <w:left w:val="nil"/>
              <w:bottom w:val="single" w:sz="4" w:space="0" w:color="000000"/>
              <w:right w:val="single" w:sz="4" w:space="0" w:color="000000"/>
            </w:tcBorders>
            <w:shd w:val="clear" w:color="auto" w:fill="auto"/>
            <w:vAlign w:val="center"/>
          </w:tcPr>
          <w:p w14:paraId="75943A6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4" w:space="0" w:color="000000"/>
            </w:tcBorders>
            <w:shd w:val="clear" w:color="auto" w:fill="auto"/>
            <w:vAlign w:val="center"/>
          </w:tcPr>
          <w:p w14:paraId="5290E5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single" w:sz="4" w:space="0" w:color="000000"/>
            </w:tcBorders>
            <w:shd w:val="clear" w:color="auto" w:fill="auto"/>
            <w:vAlign w:val="center"/>
          </w:tcPr>
          <w:p w14:paraId="1BC0100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2,4   </w:t>
            </w:r>
          </w:p>
        </w:tc>
        <w:tc>
          <w:tcPr>
            <w:tcW w:w="936" w:type="dxa"/>
            <w:tcBorders>
              <w:top w:val="nil"/>
              <w:left w:val="nil"/>
              <w:bottom w:val="single" w:sz="4" w:space="0" w:color="000000"/>
              <w:right w:val="single" w:sz="4" w:space="0" w:color="000000"/>
            </w:tcBorders>
            <w:shd w:val="clear" w:color="auto" w:fill="auto"/>
            <w:vAlign w:val="center"/>
          </w:tcPr>
          <w:p w14:paraId="3233917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2,2   </w:t>
            </w:r>
          </w:p>
        </w:tc>
        <w:tc>
          <w:tcPr>
            <w:tcW w:w="936" w:type="dxa"/>
            <w:tcBorders>
              <w:top w:val="nil"/>
              <w:left w:val="nil"/>
              <w:bottom w:val="single" w:sz="4" w:space="0" w:color="000000"/>
              <w:right w:val="single" w:sz="18" w:space="0" w:color="000000"/>
            </w:tcBorders>
            <w:shd w:val="clear" w:color="auto" w:fill="auto"/>
            <w:vAlign w:val="center"/>
          </w:tcPr>
          <w:p w14:paraId="7F5F7F0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D992DB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-21,7%</w:t>
            </w:r>
          </w:p>
        </w:tc>
        <w:tc>
          <w:tcPr>
            <w:tcW w:w="1243" w:type="dxa"/>
            <w:tcBorders>
              <w:top w:val="nil"/>
              <w:left w:val="nil"/>
              <w:bottom w:val="single" w:sz="4" w:space="0" w:color="000000"/>
              <w:right w:val="single" w:sz="4" w:space="0" w:color="000000"/>
            </w:tcBorders>
            <w:shd w:val="clear" w:color="auto" w:fill="auto"/>
            <w:vAlign w:val="center"/>
          </w:tcPr>
          <w:p w14:paraId="487BE78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-11,6%</w:t>
            </w:r>
          </w:p>
        </w:tc>
      </w:tr>
      <w:tr w:rsidR="00A0251B" w:rsidRPr="00CC35F0" w14:paraId="1832DD6C"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CD8ECD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69036BA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43465E5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7D9E9D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4915CC2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6445B71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18" w:space="0" w:color="000000"/>
            </w:tcBorders>
            <w:shd w:val="clear" w:color="auto" w:fill="auto"/>
            <w:vAlign w:val="center"/>
          </w:tcPr>
          <w:p w14:paraId="618D5B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70E33E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46E9F39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2A47040B"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2652B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2E42172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87FFF2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16D356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5A71C1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6EC9B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5E28C3E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CF1297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2AD0E0A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46E2A6ED" w14:textId="77777777">
        <w:trPr>
          <w:trHeight w:val="31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172D54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2D6C5F2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318C3A8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6BAD678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766A780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6D8AB6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18" w:space="0" w:color="000000"/>
            </w:tcBorders>
            <w:shd w:val="clear" w:color="auto" w:fill="auto"/>
            <w:vAlign w:val="center"/>
          </w:tcPr>
          <w:p w14:paraId="7D8CE02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07F414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-21,4%</w:t>
            </w:r>
          </w:p>
        </w:tc>
        <w:tc>
          <w:tcPr>
            <w:tcW w:w="1243" w:type="dxa"/>
            <w:tcBorders>
              <w:top w:val="nil"/>
              <w:left w:val="nil"/>
              <w:bottom w:val="single" w:sz="4" w:space="0" w:color="000000"/>
              <w:right w:val="single" w:sz="4" w:space="0" w:color="000000"/>
            </w:tcBorders>
            <w:shd w:val="clear" w:color="auto" w:fill="auto"/>
            <w:vAlign w:val="center"/>
          </w:tcPr>
          <w:p w14:paraId="4CF750C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311,3%</w:t>
            </w:r>
          </w:p>
        </w:tc>
      </w:tr>
      <w:tr w:rsidR="00A0251B" w:rsidRPr="00CC35F0" w14:paraId="0A5A564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02ABAA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02464E8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E3ECEE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A938D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9A4961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A1FAD6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6C4B29C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A8F3C7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04108F6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5AA80CC7"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6ABF4C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4DDA1EC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36" w:type="dxa"/>
            <w:tcBorders>
              <w:top w:val="nil"/>
              <w:left w:val="nil"/>
              <w:bottom w:val="single" w:sz="4" w:space="0" w:color="000000"/>
              <w:right w:val="single" w:sz="4" w:space="0" w:color="000000"/>
            </w:tcBorders>
            <w:shd w:val="clear" w:color="auto" w:fill="auto"/>
            <w:vAlign w:val="center"/>
          </w:tcPr>
          <w:p w14:paraId="43DAAF4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3781FB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109EE6A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3B03004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18" w:space="0" w:color="000000"/>
            </w:tcBorders>
            <w:shd w:val="clear" w:color="auto" w:fill="auto"/>
            <w:vAlign w:val="center"/>
          </w:tcPr>
          <w:p w14:paraId="7D2EE12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A7FD5C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w:t>
            </w:r>
          </w:p>
        </w:tc>
        <w:tc>
          <w:tcPr>
            <w:tcW w:w="1243" w:type="dxa"/>
            <w:tcBorders>
              <w:top w:val="nil"/>
              <w:left w:val="nil"/>
              <w:bottom w:val="single" w:sz="4" w:space="0" w:color="000000"/>
              <w:right w:val="single" w:sz="4" w:space="0" w:color="000000"/>
            </w:tcBorders>
            <w:shd w:val="clear" w:color="auto" w:fill="auto"/>
            <w:vAlign w:val="center"/>
          </w:tcPr>
          <w:p w14:paraId="65391A0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w:t>
            </w:r>
          </w:p>
        </w:tc>
      </w:tr>
      <w:tr w:rsidR="00A0251B" w:rsidRPr="00CC35F0" w14:paraId="5E62C1D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BFF1BC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04D8F02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7,3   </w:t>
            </w:r>
          </w:p>
        </w:tc>
        <w:tc>
          <w:tcPr>
            <w:tcW w:w="936" w:type="dxa"/>
            <w:tcBorders>
              <w:top w:val="nil"/>
              <w:left w:val="nil"/>
              <w:bottom w:val="single" w:sz="4" w:space="0" w:color="000000"/>
              <w:right w:val="single" w:sz="4" w:space="0" w:color="000000"/>
            </w:tcBorders>
            <w:shd w:val="clear" w:color="auto" w:fill="auto"/>
            <w:vAlign w:val="center"/>
          </w:tcPr>
          <w:p w14:paraId="118168E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13,0   </w:t>
            </w:r>
          </w:p>
        </w:tc>
        <w:tc>
          <w:tcPr>
            <w:tcW w:w="936" w:type="dxa"/>
            <w:tcBorders>
              <w:top w:val="nil"/>
              <w:left w:val="nil"/>
              <w:bottom w:val="single" w:sz="4" w:space="0" w:color="000000"/>
              <w:right w:val="single" w:sz="4" w:space="0" w:color="000000"/>
            </w:tcBorders>
            <w:shd w:val="clear" w:color="auto" w:fill="auto"/>
            <w:vAlign w:val="center"/>
          </w:tcPr>
          <w:p w14:paraId="2CA3096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single" w:sz="4" w:space="0" w:color="000000"/>
            </w:tcBorders>
            <w:shd w:val="clear" w:color="auto" w:fill="auto"/>
            <w:vAlign w:val="center"/>
          </w:tcPr>
          <w:p w14:paraId="05AC0B2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single" w:sz="4" w:space="0" w:color="000000"/>
            </w:tcBorders>
            <w:shd w:val="clear" w:color="auto" w:fill="auto"/>
            <w:vAlign w:val="center"/>
          </w:tcPr>
          <w:p w14:paraId="3433ED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single" w:sz="18" w:space="0" w:color="000000"/>
            </w:tcBorders>
            <w:shd w:val="clear" w:color="auto" w:fill="auto"/>
            <w:vAlign w:val="center"/>
          </w:tcPr>
          <w:p w14:paraId="473D1C0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13,9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E69500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w:t>
            </w:r>
          </w:p>
        </w:tc>
        <w:tc>
          <w:tcPr>
            <w:tcW w:w="1243" w:type="dxa"/>
            <w:tcBorders>
              <w:top w:val="nil"/>
              <w:left w:val="nil"/>
              <w:bottom w:val="single" w:sz="4" w:space="0" w:color="000000"/>
              <w:right w:val="single" w:sz="4" w:space="0" w:color="000000"/>
            </w:tcBorders>
            <w:shd w:val="clear" w:color="auto" w:fill="auto"/>
            <w:vAlign w:val="center"/>
          </w:tcPr>
          <w:p w14:paraId="7930C0D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82,9%</w:t>
            </w:r>
          </w:p>
        </w:tc>
      </w:tr>
      <w:tr w:rsidR="00A0251B" w:rsidRPr="00CC35F0" w14:paraId="1A045CC7"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DB2FE6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26D61F6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56,0   </w:t>
            </w:r>
          </w:p>
        </w:tc>
        <w:tc>
          <w:tcPr>
            <w:tcW w:w="936" w:type="dxa"/>
            <w:tcBorders>
              <w:top w:val="nil"/>
              <w:left w:val="single" w:sz="4" w:space="0" w:color="000000"/>
              <w:bottom w:val="single" w:sz="4" w:space="0" w:color="000000"/>
              <w:right w:val="nil"/>
            </w:tcBorders>
            <w:shd w:val="clear" w:color="auto" w:fill="auto"/>
            <w:vAlign w:val="center"/>
          </w:tcPr>
          <w:p w14:paraId="7F7F09B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76,9   </w:t>
            </w:r>
          </w:p>
        </w:tc>
        <w:tc>
          <w:tcPr>
            <w:tcW w:w="936" w:type="dxa"/>
            <w:tcBorders>
              <w:top w:val="nil"/>
              <w:left w:val="single" w:sz="4" w:space="0" w:color="000000"/>
              <w:bottom w:val="single" w:sz="4" w:space="0" w:color="000000"/>
              <w:right w:val="nil"/>
            </w:tcBorders>
            <w:shd w:val="clear" w:color="auto" w:fill="auto"/>
            <w:vAlign w:val="center"/>
          </w:tcPr>
          <w:p w14:paraId="47A532E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79,5   </w:t>
            </w:r>
          </w:p>
        </w:tc>
        <w:tc>
          <w:tcPr>
            <w:tcW w:w="936" w:type="dxa"/>
            <w:tcBorders>
              <w:top w:val="nil"/>
              <w:left w:val="single" w:sz="4" w:space="0" w:color="000000"/>
              <w:bottom w:val="single" w:sz="4" w:space="0" w:color="000000"/>
              <w:right w:val="nil"/>
            </w:tcBorders>
            <w:shd w:val="clear" w:color="auto" w:fill="auto"/>
            <w:vAlign w:val="center"/>
          </w:tcPr>
          <w:p w14:paraId="279FD92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66,9   </w:t>
            </w:r>
          </w:p>
        </w:tc>
        <w:tc>
          <w:tcPr>
            <w:tcW w:w="936" w:type="dxa"/>
            <w:tcBorders>
              <w:top w:val="nil"/>
              <w:left w:val="single" w:sz="4" w:space="0" w:color="000000"/>
              <w:bottom w:val="single" w:sz="4" w:space="0" w:color="000000"/>
              <w:right w:val="nil"/>
            </w:tcBorders>
            <w:shd w:val="clear" w:color="auto" w:fill="auto"/>
            <w:vAlign w:val="center"/>
          </w:tcPr>
          <w:p w14:paraId="3A5AC7A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64,0   </w:t>
            </w:r>
          </w:p>
        </w:tc>
        <w:tc>
          <w:tcPr>
            <w:tcW w:w="936" w:type="dxa"/>
            <w:tcBorders>
              <w:top w:val="nil"/>
              <w:left w:val="single" w:sz="4" w:space="0" w:color="000000"/>
              <w:bottom w:val="single" w:sz="4" w:space="0" w:color="000000"/>
              <w:right w:val="nil"/>
            </w:tcBorders>
            <w:shd w:val="clear" w:color="auto" w:fill="auto"/>
            <w:vAlign w:val="center"/>
          </w:tcPr>
          <w:p w14:paraId="47AAD9C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62,8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071FF17"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-16,8%</w:t>
            </w:r>
          </w:p>
        </w:tc>
        <w:tc>
          <w:tcPr>
            <w:tcW w:w="1243" w:type="dxa"/>
            <w:tcBorders>
              <w:top w:val="nil"/>
              <w:left w:val="nil"/>
              <w:bottom w:val="single" w:sz="4" w:space="0" w:color="000000"/>
              <w:right w:val="single" w:sz="4" w:space="0" w:color="000000"/>
            </w:tcBorders>
            <w:shd w:val="clear" w:color="auto" w:fill="auto"/>
            <w:vAlign w:val="center"/>
          </w:tcPr>
          <w:p w14:paraId="3053CDA1"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14,2%</w:t>
            </w:r>
          </w:p>
        </w:tc>
      </w:tr>
      <w:tr w:rsidR="00A0251B" w:rsidRPr="00CC35F0" w14:paraId="2F14A077" w14:textId="77777777">
        <w:trPr>
          <w:trHeight w:val="260"/>
        </w:trPr>
        <w:tc>
          <w:tcPr>
            <w:tcW w:w="2056" w:type="dxa"/>
            <w:tcBorders>
              <w:top w:val="nil"/>
              <w:left w:val="nil"/>
              <w:bottom w:val="nil"/>
              <w:right w:val="nil"/>
            </w:tcBorders>
            <w:shd w:val="clear" w:color="auto" w:fill="auto"/>
            <w:vAlign w:val="center"/>
          </w:tcPr>
          <w:p w14:paraId="3468019E"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936" w:type="dxa"/>
            <w:tcBorders>
              <w:top w:val="nil"/>
              <w:left w:val="nil"/>
              <w:bottom w:val="nil"/>
              <w:right w:val="nil"/>
            </w:tcBorders>
            <w:shd w:val="clear" w:color="auto" w:fill="FFFFFF"/>
            <w:vAlign w:val="center"/>
          </w:tcPr>
          <w:p w14:paraId="1512D8E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F174D6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C021F5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4878E21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085BB1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567751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6D04BAD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6981AE9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6FC6D004" w14:textId="77777777">
        <w:trPr>
          <w:trHeight w:val="300"/>
        </w:trPr>
        <w:tc>
          <w:tcPr>
            <w:tcW w:w="2056" w:type="dxa"/>
            <w:tcBorders>
              <w:top w:val="nil"/>
              <w:left w:val="nil"/>
              <w:bottom w:val="single" w:sz="4" w:space="0" w:color="000000"/>
              <w:right w:val="nil"/>
            </w:tcBorders>
            <w:shd w:val="clear" w:color="auto" w:fill="FFFFFF"/>
            <w:vAlign w:val="center"/>
          </w:tcPr>
          <w:p w14:paraId="455CD07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10</w:t>
            </w:r>
          </w:p>
        </w:tc>
        <w:tc>
          <w:tcPr>
            <w:tcW w:w="936" w:type="dxa"/>
            <w:tcBorders>
              <w:top w:val="nil"/>
              <w:left w:val="nil"/>
              <w:bottom w:val="nil"/>
              <w:right w:val="nil"/>
            </w:tcBorders>
            <w:shd w:val="clear" w:color="auto" w:fill="FFFFFF"/>
            <w:vAlign w:val="center"/>
          </w:tcPr>
          <w:p w14:paraId="14B754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583B47E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75434A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319996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6C2BD80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690BE3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tcBorders>
              <w:top w:val="nil"/>
              <w:left w:val="nil"/>
              <w:bottom w:val="single" w:sz="4" w:space="0" w:color="000000"/>
              <w:right w:val="nil"/>
            </w:tcBorders>
            <w:shd w:val="clear" w:color="auto" w:fill="FFFFFF"/>
            <w:vAlign w:val="center"/>
          </w:tcPr>
          <w:p w14:paraId="082A615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tcBorders>
              <w:top w:val="nil"/>
              <w:left w:val="nil"/>
              <w:bottom w:val="nil"/>
              <w:right w:val="nil"/>
            </w:tcBorders>
            <w:shd w:val="clear" w:color="auto" w:fill="FFFFFF"/>
            <w:vAlign w:val="center"/>
          </w:tcPr>
          <w:p w14:paraId="5CE59D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r>
      <w:tr w:rsidR="00A0251B" w:rsidRPr="00CC35F0" w14:paraId="5A90D871" w14:textId="77777777">
        <w:trPr>
          <w:trHeight w:val="270"/>
        </w:trPr>
        <w:tc>
          <w:tcPr>
            <w:tcW w:w="2056" w:type="dxa"/>
            <w:tcBorders>
              <w:top w:val="nil"/>
              <w:left w:val="single" w:sz="4" w:space="0" w:color="000000"/>
              <w:bottom w:val="nil"/>
              <w:right w:val="single" w:sz="4" w:space="0" w:color="000000"/>
            </w:tcBorders>
            <w:shd w:val="clear" w:color="auto" w:fill="DAEEF3"/>
            <w:vAlign w:val="center"/>
          </w:tcPr>
          <w:p w14:paraId="3927108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WAM_A </w:t>
            </w:r>
          </w:p>
        </w:tc>
        <w:tc>
          <w:tcPr>
            <w:tcW w:w="936" w:type="dxa"/>
            <w:tcBorders>
              <w:top w:val="single" w:sz="4" w:space="0" w:color="000000"/>
              <w:left w:val="nil"/>
              <w:bottom w:val="single" w:sz="4" w:space="0" w:color="000000"/>
              <w:right w:val="nil"/>
            </w:tcBorders>
            <w:shd w:val="clear" w:color="auto" w:fill="DAEEF3"/>
            <w:vAlign w:val="center"/>
          </w:tcPr>
          <w:p w14:paraId="2AB2EF0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D88B86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711757F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796143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439357E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single" w:sz="18" w:space="0" w:color="000000"/>
            </w:tcBorders>
            <w:shd w:val="clear" w:color="auto" w:fill="DAEEF3"/>
            <w:vAlign w:val="center"/>
          </w:tcPr>
          <w:p w14:paraId="069F25E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8" w:space="0" w:color="000000"/>
              <w:bottom w:val="single" w:sz="4" w:space="0" w:color="000000"/>
              <w:right w:val="single" w:sz="4" w:space="0" w:color="000000"/>
            </w:tcBorders>
            <w:shd w:val="clear" w:color="auto" w:fill="DAEEF3"/>
            <w:vAlign w:val="center"/>
          </w:tcPr>
          <w:p w14:paraId="227E26F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5CA900C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4C76DCE4"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C5FB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187FA75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single" w:sz="4" w:space="0" w:color="000000"/>
            </w:tcBorders>
            <w:shd w:val="clear" w:color="auto" w:fill="auto"/>
            <w:vAlign w:val="center"/>
          </w:tcPr>
          <w:p w14:paraId="7443D4F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12,1   </w:t>
            </w:r>
          </w:p>
        </w:tc>
        <w:tc>
          <w:tcPr>
            <w:tcW w:w="936" w:type="dxa"/>
            <w:tcBorders>
              <w:top w:val="nil"/>
              <w:left w:val="nil"/>
              <w:bottom w:val="single" w:sz="4" w:space="0" w:color="000000"/>
              <w:right w:val="single" w:sz="4" w:space="0" w:color="000000"/>
            </w:tcBorders>
            <w:shd w:val="clear" w:color="auto" w:fill="auto"/>
            <w:vAlign w:val="center"/>
          </w:tcPr>
          <w:p w14:paraId="694D7A6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12,2   </w:t>
            </w:r>
          </w:p>
        </w:tc>
        <w:tc>
          <w:tcPr>
            <w:tcW w:w="936" w:type="dxa"/>
            <w:tcBorders>
              <w:top w:val="nil"/>
              <w:left w:val="nil"/>
              <w:bottom w:val="single" w:sz="4" w:space="0" w:color="000000"/>
              <w:right w:val="single" w:sz="4" w:space="0" w:color="000000"/>
            </w:tcBorders>
            <w:shd w:val="clear" w:color="auto" w:fill="auto"/>
            <w:vAlign w:val="center"/>
          </w:tcPr>
          <w:p w14:paraId="5C5D41F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36" w:type="dxa"/>
            <w:tcBorders>
              <w:top w:val="nil"/>
              <w:left w:val="nil"/>
              <w:bottom w:val="single" w:sz="4" w:space="0" w:color="000000"/>
              <w:right w:val="single" w:sz="4" w:space="0" w:color="000000"/>
            </w:tcBorders>
            <w:shd w:val="clear" w:color="auto" w:fill="auto"/>
            <w:vAlign w:val="center"/>
          </w:tcPr>
          <w:p w14:paraId="00B79EC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   </w:t>
            </w:r>
          </w:p>
        </w:tc>
        <w:tc>
          <w:tcPr>
            <w:tcW w:w="936" w:type="dxa"/>
            <w:tcBorders>
              <w:top w:val="nil"/>
              <w:left w:val="nil"/>
              <w:bottom w:val="single" w:sz="4" w:space="0" w:color="000000"/>
              <w:right w:val="single" w:sz="18" w:space="0" w:color="000000"/>
            </w:tcBorders>
            <w:shd w:val="clear" w:color="auto" w:fill="auto"/>
            <w:vAlign w:val="center"/>
          </w:tcPr>
          <w:p w14:paraId="1F54200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95D623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-76,3%</w:t>
            </w:r>
          </w:p>
        </w:tc>
        <w:tc>
          <w:tcPr>
            <w:tcW w:w="1243" w:type="dxa"/>
            <w:tcBorders>
              <w:top w:val="nil"/>
              <w:left w:val="nil"/>
              <w:bottom w:val="single" w:sz="4" w:space="0" w:color="000000"/>
              <w:right w:val="single" w:sz="4" w:space="0" w:color="000000"/>
            </w:tcBorders>
            <w:shd w:val="clear" w:color="auto" w:fill="auto"/>
            <w:vAlign w:val="center"/>
          </w:tcPr>
          <w:p w14:paraId="0E8CD93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10,9%</w:t>
            </w:r>
          </w:p>
        </w:tc>
      </w:tr>
      <w:tr w:rsidR="00A0251B" w:rsidRPr="00CC35F0" w14:paraId="02259A86"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704E79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6235D17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6,4   </w:t>
            </w:r>
          </w:p>
        </w:tc>
        <w:tc>
          <w:tcPr>
            <w:tcW w:w="936" w:type="dxa"/>
            <w:tcBorders>
              <w:top w:val="nil"/>
              <w:left w:val="nil"/>
              <w:bottom w:val="single" w:sz="4" w:space="0" w:color="000000"/>
              <w:right w:val="single" w:sz="4" w:space="0" w:color="000000"/>
            </w:tcBorders>
            <w:shd w:val="clear" w:color="auto" w:fill="auto"/>
            <w:vAlign w:val="center"/>
          </w:tcPr>
          <w:p w14:paraId="45B0B5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8,2   </w:t>
            </w:r>
          </w:p>
        </w:tc>
        <w:tc>
          <w:tcPr>
            <w:tcW w:w="936" w:type="dxa"/>
            <w:tcBorders>
              <w:top w:val="nil"/>
              <w:left w:val="nil"/>
              <w:bottom w:val="single" w:sz="4" w:space="0" w:color="000000"/>
              <w:right w:val="single" w:sz="4" w:space="0" w:color="000000"/>
            </w:tcBorders>
            <w:shd w:val="clear" w:color="auto" w:fill="auto"/>
            <w:vAlign w:val="center"/>
          </w:tcPr>
          <w:p w14:paraId="272A9E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9,3   </w:t>
            </w:r>
          </w:p>
        </w:tc>
        <w:tc>
          <w:tcPr>
            <w:tcW w:w="936" w:type="dxa"/>
            <w:tcBorders>
              <w:top w:val="nil"/>
              <w:left w:val="nil"/>
              <w:bottom w:val="single" w:sz="4" w:space="0" w:color="000000"/>
              <w:right w:val="single" w:sz="4" w:space="0" w:color="000000"/>
            </w:tcBorders>
            <w:shd w:val="clear" w:color="auto" w:fill="auto"/>
            <w:vAlign w:val="center"/>
          </w:tcPr>
          <w:p w14:paraId="290BCBA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4,9   </w:t>
            </w:r>
          </w:p>
        </w:tc>
        <w:tc>
          <w:tcPr>
            <w:tcW w:w="936" w:type="dxa"/>
            <w:tcBorders>
              <w:top w:val="nil"/>
              <w:left w:val="nil"/>
              <w:bottom w:val="single" w:sz="4" w:space="0" w:color="000000"/>
              <w:right w:val="single" w:sz="4" w:space="0" w:color="000000"/>
            </w:tcBorders>
            <w:shd w:val="clear" w:color="auto" w:fill="auto"/>
            <w:vAlign w:val="center"/>
          </w:tcPr>
          <w:p w14:paraId="4490B7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4,9   </w:t>
            </w:r>
          </w:p>
        </w:tc>
        <w:tc>
          <w:tcPr>
            <w:tcW w:w="936" w:type="dxa"/>
            <w:tcBorders>
              <w:top w:val="nil"/>
              <w:left w:val="nil"/>
              <w:bottom w:val="single" w:sz="4" w:space="0" w:color="000000"/>
              <w:right w:val="single" w:sz="18" w:space="0" w:color="000000"/>
            </w:tcBorders>
            <w:shd w:val="clear" w:color="auto" w:fill="auto"/>
            <w:vAlign w:val="center"/>
          </w:tcPr>
          <w:p w14:paraId="7EE1A64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5,4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1B3F4B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-40,1%</w:t>
            </w:r>
          </w:p>
        </w:tc>
        <w:tc>
          <w:tcPr>
            <w:tcW w:w="1243" w:type="dxa"/>
            <w:tcBorders>
              <w:top w:val="nil"/>
              <w:left w:val="nil"/>
              <w:bottom w:val="single" w:sz="4" w:space="0" w:color="000000"/>
              <w:right w:val="single" w:sz="4" w:space="0" w:color="000000"/>
            </w:tcBorders>
            <w:shd w:val="clear" w:color="auto" w:fill="auto"/>
            <w:vAlign w:val="center"/>
          </w:tcPr>
          <w:p w14:paraId="5FC0CA8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-23,3%</w:t>
            </w:r>
          </w:p>
        </w:tc>
      </w:tr>
      <w:tr w:rsidR="00A0251B" w:rsidRPr="00CC35F0" w14:paraId="49AF82AD"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7A5AA1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297C3DE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32,6   </w:t>
            </w:r>
          </w:p>
        </w:tc>
        <w:tc>
          <w:tcPr>
            <w:tcW w:w="936" w:type="dxa"/>
            <w:tcBorders>
              <w:top w:val="nil"/>
              <w:left w:val="nil"/>
              <w:bottom w:val="single" w:sz="4" w:space="0" w:color="000000"/>
              <w:right w:val="single" w:sz="4" w:space="0" w:color="000000"/>
            </w:tcBorders>
            <w:shd w:val="clear" w:color="auto" w:fill="auto"/>
            <w:vAlign w:val="center"/>
          </w:tcPr>
          <w:p w14:paraId="1E5ED0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35,9   </w:t>
            </w:r>
          </w:p>
        </w:tc>
        <w:tc>
          <w:tcPr>
            <w:tcW w:w="936" w:type="dxa"/>
            <w:tcBorders>
              <w:top w:val="nil"/>
              <w:left w:val="nil"/>
              <w:bottom w:val="single" w:sz="4" w:space="0" w:color="000000"/>
              <w:right w:val="single" w:sz="4" w:space="0" w:color="000000"/>
            </w:tcBorders>
            <w:shd w:val="clear" w:color="auto" w:fill="auto"/>
            <w:vAlign w:val="center"/>
          </w:tcPr>
          <w:p w14:paraId="367B6B2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36,9   </w:t>
            </w:r>
          </w:p>
        </w:tc>
        <w:tc>
          <w:tcPr>
            <w:tcW w:w="936" w:type="dxa"/>
            <w:tcBorders>
              <w:top w:val="nil"/>
              <w:left w:val="nil"/>
              <w:bottom w:val="single" w:sz="4" w:space="0" w:color="000000"/>
              <w:right w:val="single" w:sz="4" w:space="0" w:color="000000"/>
            </w:tcBorders>
            <w:shd w:val="clear" w:color="auto" w:fill="auto"/>
            <w:vAlign w:val="center"/>
          </w:tcPr>
          <w:p w14:paraId="37CABEB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34,5   </w:t>
            </w:r>
          </w:p>
        </w:tc>
        <w:tc>
          <w:tcPr>
            <w:tcW w:w="936" w:type="dxa"/>
            <w:tcBorders>
              <w:top w:val="nil"/>
              <w:left w:val="nil"/>
              <w:bottom w:val="single" w:sz="4" w:space="0" w:color="000000"/>
              <w:right w:val="single" w:sz="4" w:space="0" w:color="000000"/>
            </w:tcBorders>
            <w:shd w:val="clear" w:color="auto" w:fill="auto"/>
            <w:vAlign w:val="center"/>
          </w:tcPr>
          <w:p w14:paraId="78033C8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26,3   </w:t>
            </w:r>
          </w:p>
        </w:tc>
        <w:tc>
          <w:tcPr>
            <w:tcW w:w="936" w:type="dxa"/>
            <w:tcBorders>
              <w:top w:val="nil"/>
              <w:left w:val="nil"/>
              <w:bottom w:val="single" w:sz="4" w:space="0" w:color="000000"/>
              <w:right w:val="single" w:sz="18" w:space="0" w:color="000000"/>
            </w:tcBorders>
            <w:shd w:val="clear" w:color="auto" w:fill="auto"/>
            <w:vAlign w:val="center"/>
          </w:tcPr>
          <w:p w14:paraId="2F3532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6E8BC6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-26,9%</w:t>
            </w:r>
          </w:p>
        </w:tc>
        <w:tc>
          <w:tcPr>
            <w:tcW w:w="1243" w:type="dxa"/>
            <w:tcBorders>
              <w:top w:val="nil"/>
              <w:left w:val="nil"/>
              <w:bottom w:val="single" w:sz="4" w:space="0" w:color="000000"/>
              <w:right w:val="single" w:sz="4" w:space="0" w:color="000000"/>
            </w:tcBorders>
            <w:shd w:val="clear" w:color="auto" w:fill="auto"/>
            <w:vAlign w:val="center"/>
          </w:tcPr>
          <w:p w14:paraId="49908E4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-19,5%</w:t>
            </w:r>
          </w:p>
        </w:tc>
      </w:tr>
      <w:tr w:rsidR="00A0251B" w:rsidRPr="00CC35F0" w14:paraId="74A8FE0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D34FFD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2548930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6C3D7A5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0D8B2C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2F3DD7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727C07E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18" w:space="0" w:color="000000"/>
            </w:tcBorders>
            <w:shd w:val="clear" w:color="auto" w:fill="auto"/>
            <w:vAlign w:val="center"/>
          </w:tcPr>
          <w:p w14:paraId="1B4882E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7D2011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-13,7%</w:t>
            </w:r>
          </w:p>
        </w:tc>
        <w:tc>
          <w:tcPr>
            <w:tcW w:w="1243" w:type="dxa"/>
            <w:tcBorders>
              <w:top w:val="nil"/>
              <w:left w:val="nil"/>
              <w:bottom w:val="single" w:sz="4" w:space="0" w:color="000000"/>
              <w:right w:val="single" w:sz="4" w:space="0" w:color="000000"/>
            </w:tcBorders>
            <w:shd w:val="clear" w:color="auto" w:fill="auto"/>
            <w:vAlign w:val="center"/>
          </w:tcPr>
          <w:p w14:paraId="5E80221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r>
      <w:tr w:rsidR="00A0251B" w:rsidRPr="00CC35F0" w14:paraId="5F0E322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225864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449CBC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0,8   </w:t>
            </w:r>
          </w:p>
        </w:tc>
        <w:tc>
          <w:tcPr>
            <w:tcW w:w="936" w:type="dxa"/>
            <w:tcBorders>
              <w:top w:val="nil"/>
              <w:left w:val="nil"/>
              <w:bottom w:val="single" w:sz="4" w:space="0" w:color="000000"/>
              <w:right w:val="single" w:sz="4" w:space="0" w:color="000000"/>
            </w:tcBorders>
            <w:shd w:val="clear" w:color="auto" w:fill="auto"/>
            <w:vAlign w:val="center"/>
          </w:tcPr>
          <w:p w14:paraId="4BEA77F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36" w:type="dxa"/>
            <w:tcBorders>
              <w:top w:val="nil"/>
              <w:left w:val="nil"/>
              <w:bottom w:val="single" w:sz="4" w:space="0" w:color="000000"/>
              <w:right w:val="single" w:sz="4" w:space="0" w:color="000000"/>
            </w:tcBorders>
            <w:shd w:val="clear" w:color="auto" w:fill="auto"/>
            <w:vAlign w:val="center"/>
          </w:tcPr>
          <w:p w14:paraId="7D08EB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4" w:space="0" w:color="000000"/>
            </w:tcBorders>
            <w:shd w:val="clear" w:color="auto" w:fill="auto"/>
            <w:vAlign w:val="center"/>
          </w:tcPr>
          <w:p w14:paraId="5A4978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4" w:space="0" w:color="000000"/>
            </w:tcBorders>
            <w:shd w:val="clear" w:color="auto" w:fill="auto"/>
            <w:vAlign w:val="center"/>
          </w:tcPr>
          <w:p w14:paraId="4F8F46E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18" w:space="0" w:color="000000"/>
            </w:tcBorders>
            <w:shd w:val="clear" w:color="auto" w:fill="auto"/>
            <w:vAlign w:val="center"/>
          </w:tcPr>
          <w:p w14:paraId="469F6D3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6D2D053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c>
          <w:tcPr>
            <w:tcW w:w="1243" w:type="dxa"/>
            <w:tcBorders>
              <w:top w:val="nil"/>
              <w:left w:val="nil"/>
              <w:bottom w:val="single" w:sz="4" w:space="0" w:color="000000"/>
              <w:right w:val="single" w:sz="4" w:space="0" w:color="000000"/>
            </w:tcBorders>
            <w:shd w:val="clear" w:color="auto" w:fill="auto"/>
            <w:vAlign w:val="center"/>
          </w:tcPr>
          <w:p w14:paraId="732EA21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97,5%</w:t>
            </w:r>
          </w:p>
        </w:tc>
      </w:tr>
      <w:tr w:rsidR="00A0251B" w:rsidRPr="00CC35F0" w14:paraId="791885C7"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EA64F7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0D427D0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936" w:type="dxa"/>
            <w:tcBorders>
              <w:top w:val="nil"/>
              <w:left w:val="nil"/>
              <w:bottom w:val="single" w:sz="4" w:space="0" w:color="000000"/>
              <w:right w:val="single" w:sz="4" w:space="0" w:color="000000"/>
            </w:tcBorders>
            <w:shd w:val="clear" w:color="auto" w:fill="auto"/>
            <w:vAlign w:val="center"/>
          </w:tcPr>
          <w:p w14:paraId="4AC2C9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4" w:space="0" w:color="000000"/>
            </w:tcBorders>
            <w:shd w:val="clear" w:color="auto" w:fill="auto"/>
            <w:vAlign w:val="center"/>
          </w:tcPr>
          <w:p w14:paraId="2DBB5B4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single" w:sz="4" w:space="0" w:color="000000"/>
            </w:tcBorders>
            <w:shd w:val="clear" w:color="auto" w:fill="auto"/>
            <w:vAlign w:val="center"/>
          </w:tcPr>
          <w:p w14:paraId="07A87A1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2,3   </w:t>
            </w:r>
          </w:p>
        </w:tc>
        <w:tc>
          <w:tcPr>
            <w:tcW w:w="936" w:type="dxa"/>
            <w:tcBorders>
              <w:top w:val="nil"/>
              <w:left w:val="nil"/>
              <w:bottom w:val="single" w:sz="4" w:space="0" w:color="000000"/>
              <w:right w:val="single" w:sz="4" w:space="0" w:color="000000"/>
            </w:tcBorders>
            <w:shd w:val="clear" w:color="auto" w:fill="auto"/>
            <w:vAlign w:val="center"/>
          </w:tcPr>
          <w:p w14:paraId="6560CE5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   </w:t>
            </w:r>
          </w:p>
        </w:tc>
        <w:tc>
          <w:tcPr>
            <w:tcW w:w="936" w:type="dxa"/>
            <w:tcBorders>
              <w:top w:val="nil"/>
              <w:left w:val="nil"/>
              <w:bottom w:val="single" w:sz="4" w:space="0" w:color="000000"/>
              <w:right w:val="single" w:sz="18" w:space="0" w:color="000000"/>
            </w:tcBorders>
            <w:shd w:val="clear" w:color="auto" w:fill="auto"/>
            <w:vAlign w:val="center"/>
          </w:tcPr>
          <w:p w14:paraId="4DDA02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FA5A3D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-25,5%</w:t>
            </w:r>
          </w:p>
        </w:tc>
        <w:tc>
          <w:tcPr>
            <w:tcW w:w="1243" w:type="dxa"/>
            <w:tcBorders>
              <w:top w:val="nil"/>
              <w:left w:val="nil"/>
              <w:bottom w:val="single" w:sz="4" w:space="0" w:color="000000"/>
              <w:right w:val="single" w:sz="4" w:space="0" w:color="000000"/>
            </w:tcBorders>
            <w:shd w:val="clear" w:color="auto" w:fill="auto"/>
            <w:vAlign w:val="center"/>
          </w:tcPr>
          <w:p w14:paraId="508AD4F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-15,8%</w:t>
            </w:r>
          </w:p>
        </w:tc>
      </w:tr>
      <w:tr w:rsidR="00A0251B" w:rsidRPr="00CC35F0" w14:paraId="764D62FE"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CD12E2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3FE3BE8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1F10CAF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62460BC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343E28F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4FB709A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18" w:space="0" w:color="000000"/>
            </w:tcBorders>
            <w:shd w:val="clear" w:color="auto" w:fill="auto"/>
            <w:vAlign w:val="center"/>
          </w:tcPr>
          <w:p w14:paraId="3BFA88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552F31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2A43638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366A4799"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1DB924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2F8765C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857DDF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DEBAE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591D63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6D2D50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5143C6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015F17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54DCD1D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6A51CB8F"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64978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6B8F386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7074A62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4617306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02A90A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2A151DA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18" w:space="0" w:color="000000"/>
            </w:tcBorders>
            <w:shd w:val="clear" w:color="auto" w:fill="auto"/>
            <w:vAlign w:val="center"/>
          </w:tcPr>
          <w:p w14:paraId="072098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887FDE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-47,5%</w:t>
            </w:r>
          </w:p>
        </w:tc>
        <w:tc>
          <w:tcPr>
            <w:tcW w:w="1243" w:type="dxa"/>
            <w:tcBorders>
              <w:top w:val="nil"/>
              <w:left w:val="nil"/>
              <w:bottom w:val="single" w:sz="4" w:space="0" w:color="000000"/>
              <w:right w:val="single" w:sz="4" w:space="0" w:color="000000"/>
            </w:tcBorders>
            <w:shd w:val="clear" w:color="auto" w:fill="auto"/>
            <w:vAlign w:val="center"/>
          </w:tcPr>
          <w:p w14:paraId="6424941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174,4%</w:t>
            </w:r>
          </w:p>
        </w:tc>
      </w:tr>
      <w:tr w:rsidR="00A0251B" w:rsidRPr="00CC35F0" w14:paraId="75A3CB96"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EFB164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61934A4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A95A2D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99507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54E44F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6B9AFA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6C9431F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C4CE51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7CFC49A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1795E291"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7C6340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79C5BD3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36" w:type="dxa"/>
            <w:tcBorders>
              <w:top w:val="nil"/>
              <w:left w:val="nil"/>
              <w:bottom w:val="single" w:sz="4" w:space="0" w:color="000000"/>
              <w:right w:val="single" w:sz="4" w:space="0" w:color="000000"/>
            </w:tcBorders>
            <w:shd w:val="clear" w:color="auto" w:fill="auto"/>
            <w:vAlign w:val="center"/>
          </w:tcPr>
          <w:p w14:paraId="31F9B3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537406B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253226E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100BE50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18" w:space="0" w:color="000000"/>
            </w:tcBorders>
            <w:shd w:val="clear" w:color="auto" w:fill="auto"/>
            <w:vAlign w:val="center"/>
          </w:tcPr>
          <w:p w14:paraId="335F22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63AFEFB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w:t>
            </w:r>
          </w:p>
        </w:tc>
        <w:tc>
          <w:tcPr>
            <w:tcW w:w="1243" w:type="dxa"/>
            <w:tcBorders>
              <w:top w:val="nil"/>
              <w:left w:val="nil"/>
              <w:bottom w:val="single" w:sz="4" w:space="0" w:color="000000"/>
              <w:right w:val="single" w:sz="4" w:space="0" w:color="000000"/>
            </w:tcBorders>
            <w:shd w:val="clear" w:color="auto" w:fill="auto"/>
            <w:vAlign w:val="center"/>
          </w:tcPr>
          <w:p w14:paraId="6F8D377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w:t>
            </w:r>
          </w:p>
        </w:tc>
      </w:tr>
      <w:tr w:rsidR="00A0251B" w:rsidRPr="00CC35F0" w14:paraId="0B42D51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C21A4C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61BB207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7,3   </w:t>
            </w:r>
          </w:p>
        </w:tc>
        <w:tc>
          <w:tcPr>
            <w:tcW w:w="936" w:type="dxa"/>
            <w:tcBorders>
              <w:top w:val="nil"/>
              <w:left w:val="nil"/>
              <w:bottom w:val="single" w:sz="4" w:space="0" w:color="000000"/>
              <w:right w:val="single" w:sz="4" w:space="0" w:color="000000"/>
            </w:tcBorders>
            <w:shd w:val="clear" w:color="auto" w:fill="auto"/>
            <w:vAlign w:val="center"/>
          </w:tcPr>
          <w:p w14:paraId="62D840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13,0   </w:t>
            </w:r>
          </w:p>
        </w:tc>
        <w:tc>
          <w:tcPr>
            <w:tcW w:w="936" w:type="dxa"/>
            <w:tcBorders>
              <w:top w:val="nil"/>
              <w:left w:val="nil"/>
              <w:bottom w:val="single" w:sz="4" w:space="0" w:color="000000"/>
              <w:right w:val="single" w:sz="4" w:space="0" w:color="000000"/>
            </w:tcBorders>
            <w:shd w:val="clear" w:color="auto" w:fill="auto"/>
            <w:vAlign w:val="center"/>
          </w:tcPr>
          <w:p w14:paraId="1D3809D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single" w:sz="4" w:space="0" w:color="000000"/>
            </w:tcBorders>
            <w:shd w:val="clear" w:color="auto" w:fill="auto"/>
            <w:vAlign w:val="center"/>
          </w:tcPr>
          <w:p w14:paraId="09DD86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single" w:sz="4" w:space="0" w:color="000000"/>
            </w:tcBorders>
            <w:shd w:val="clear" w:color="auto" w:fill="auto"/>
            <w:vAlign w:val="center"/>
          </w:tcPr>
          <w:p w14:paraId="127D7B6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single" w:sz="18" w:space="0" w:color="000000"/>
            </w:tcBorders>
            <w:shd w:val="clear" w:color="auto" w:fill="auto"/>
            <w:vAlign w:val="center"/>
          </w:tcPr>
          <w:p w14:paraId="72F2BF0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13,9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65986A3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w:t>
            </w:r>
          </w:p>
        </w:tc>
        <w:tc>
          <w:tcPr>
            <w:tcW w:w="1243" w:type="dxa"/>
            <w:tcBorders>
              <w:top w:val="nil"/>
              <w:left w:val="nil"/>
              <w:bottom w:val="single" w:sz="4" w:space="0" w:color="000000"/>
              <w:right w:val="single" w:sz="4" w:space="0" w:color="000000"/>
            </w:tcBorders>
            <w:shd w:val="clear" w:color="auto" w:fill="auto"/>
            <w:vAlign w:val="center"/>
          </w:tcPr>
          <w:p w14:paraId="233033E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82,9%</w:t>
            </w:r>
          </w:p>
        </w:tc>
      </w:tr>
      <w:tr w:rsidR="00A0251B" w:rsidRPr="00CC35F0" w14:paraId="17A49902"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DF4CBF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lastRenderedPageBreak/>
              <w:t>Укупно</w:t>
            </w:r>
          </w:p>
        </w:tc>
        <w:tc>
          <w:tcPr>
            <w:tcW w:w="936" w:type="dxa"/>
            <w:tcBorders>
              <w:top w:val="nil"/>
              <w:left w:val="nil"/>
              <w:bottom w:val="single" w:sz="4" w:space="0" w:color="000000"/>
              <w:right w:val="nil"/>
            </w:tcBorders>
            <w:shd w:val="clear" w:color="auto" w:fill="auto"/>
            <w:vAlign w:val="center"/>
          </w:tcPr>
          <w:p w14:paraId="53416D9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56,0   </w:t>
            </w:r>
          </w:p>
        </w:tc>
        <w:tc>
          <w:tcPr>
            <w:tcW w:w="936" w:type="dxa"/>
            <w:tcBorders>
              <w:top w:val="nil"/>
              <w:left w:val="single" w:sz="4" w:space="0" w:color="000000"/>
              <w:bottom w:val="single" w:sz="4" w:space="0" w:color="000000"/>
              <w:right w:val="nil"/>
            </w:tcBorders>
            <w:shd w:val="clear" w:color="auto" w:fill="auto"/>
            <w:vAlign w:val="center"/>
          </w:tcPr>
          <w:p w14:paraId="10160FC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76,9   </w:t>
            </w:r>
          </w:p>
        </w:tc>
        <w:tc>
          <w:tcPr>
            <w:tcW w:w="936" w:type="dxa"/>
            <w:tcBorders>
              <w:top w:val="nil"/>
              <w:left w:val="single" w:sz="4" w:space="0" w:color="000000"/>
              <w:bottom w:val="single" w:sz="4" w:space="0" w:color="000000"/>
              <w:right w:val="nil"/>
            </w:tcBorders>
            <w:shd w:val="clear" w:color="auto" w:fill="auto"/>
            <w:vAlign w:val="center"/>
          </w:tcPr>
          <w:p w14:paraId="3968EC1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79,5   </w:t>
            </w:r>
          </w:p>
        </w:tc>
        <w:tc>
          <w:tcPr>
            <w:tcW w:w="936" w:type="dxa"/>
            <w:tcBorders>
              <w:top w:val="nil"/>
              <w:left w:val="single" w:sz="4" w:space="0" w:color="000000"/>
              <w:bottom w:val="single" w:sz="4" w:space="0" w:color="000000"/>
              <w:right w:val="nil"/>
            </w:tcBorders>
            <w:shd w:val="clear" w:color="auto" w:fill="auto"/>
            <w:vAlign w:val="center"/>
          </w:tcPr>
          <w:p w14:paraId="0934EB5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64,7   </w:t>
            </w:r>
          </w:p>
        </w:tc>
        <w:tc>
          <w:tcPr>
            <w:tcW w:w="936" w:type="dxa"/>
            <w:tcBorders>
              <w:top w:val="nil"/>
              <w:left w:val="single" w:sz="4" w:space="0" w:color="000000"/>
              <w:bottom w:val="single" w:sz="4" w:space="0" w:color="000000"/>
              <w:right w:val="nil"/>
            </w:tcBorders>
            <w:shd w:val="clear" w:color="auto" w:fill="auto"/>
            <w:vAlign w:val="center"/>
          </w:tcPr>
          <w:p w14:paraId="4E34638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54,3   </w:t>
            </w:r>
          </w:p>
        </w:tc>
        <w:tc>
          <w:tcPr>
            <w:tcW w:w="936" w:type="dxa"/>
            <w:tcBorders>
              <w:top w:val="nil"/>
              <w:left w:val="single" w:sz="4" w:space="0" w:color="000000"/>
              <w:bottom w:val="single" w:sz="4" w:space="0" w:color="000000"/>
              <w:right w:val="single" w:sz="18" w:space="0" w:color="000000"/>
            </w:tcBorders>
            <w:shd w:val="clear" w:color="auto" w:fill="auto"/>
            <w:vAlign w:val="center"/>
          </w:tcPr>
          <w:p w14:paraId="4ADB41D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46,1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87951A8"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-29,4%</w:t>
            </w:r>
          </w:p>
        </w:tc>
        <w:tc>
          <w:tcPr>
            <w:tcW w:w="1243" w:type="dxa"/>
            <w:tcBorders>
              <w:top w:val="nil"/>
              <w:left w:val="nil"/>
              <w:bottom w:val="single" w:sz="4" w:space="0" w:color="000000"/>
              <w:right w:val="single" w:sz="4" w:space="0" w:color="000000"/>
            </w:tcBorders>
            <w:shd w:val="clear" w:color="auto" w:fill="auto"/>
            <w:vAlign w:val="center"/>
          </w:tcPr>
          <w:p w14:paraId="413E8C99"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-3,1%</w:t>
            </w:r>
          </w:p>
        </w:tc>
      </w:tr>
    </w:tbl>
    <w:p w14:paraId="208EA9E2" w14:textId="77777777" w:rsidR="00A0251B" w:rsidRPr="00CC35F0" w:rsidRDefault="00A0251B">
      <w:pPr>
        <w:rPr>
          <w:rFonts w:ascii="Times New Roman" w:eastAsia="Times New Roman" w:hAnsi="Times New Roman"/>
          <w:sz w:val="24"/>
          <w:szCs w:val="24"/>
          <w:lang w:val="sr-Cyrl-CS"/>
        </w:rPr>
      </w:pPr>
    </w:p>
    <w:p w14:paraId="1C1819DF"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p w14:paraId="63A54086" w14:textId="77777777" w:rsidR="00A0251B" w:rsidRPr="00CC35F0" w:rsidRDefault="00A0251B">
      <w:pPr>
        <w:rPr>
          <w:rFonts w:ascii="Times New Roman" w:eastAsia="Times New Roman" w:hAnsi="Times New Roman"/>
          <w:sz w:val="24"/>
          <w:szCs w:val="24"/>
          <w:lang w:val="sr-Cyrl-CS"/>
        </w:rPr>
      </w:pPr>
    </w:p>
    <w:tbl>
      <w:tblPr>
        <w:tblStyle w:val="afffff4"/>
        <w:tblW w:w="10158" w:type="dxa"/>
        <w:tblLayout w:type="fixed"/>
        <w:tblLook w:val="0400" w:firstRow="0" w:lastRow="0" w:firstColumn="0" w:lastColumn="0" w:noHBand="0" w:noVBand="1"/>
      </w:tblPr>
      <w:tblGrid>
        <w:gridCol w:w="2056"/>
        <w:gridCol w:w="936"/>
        <w:gridCol w:w="936"/>
        <w:gridCol w:w="936"/>
        <w:gridCol w:w="936"/>
        <w:gridCol w:w="936"/>
        <w:gridCol w:w="936"/>
        <w:gridCol w:w="1243"/>
        <w:gridCol w:w="1243"/>
      </w:tblGrid>
      <w:tr w:rsidR="00A0251B" w:rsidRPr="00CC35F0" w14:paraId="1D638F2D" w14:textId="77777777">
        <w:trPr>
          <w:trHeight w:val="260"/>
        </w:trPr>
        <w:tc>
          <w:tcPr>
            <w:tcW w:w="2056" w:type="dxa"/>
            <w:tcBorders>
              <w:top w:val="nil"/>
              <w:left w:val="nil"/>
              <w:bottom w:val="nil"/>
              <w:right w:val="nil"/>
            </w:tcBorders>
            <w:shd w:val="clear" w:color="auto" w:fill="FFFFFF"/>
            <w:vAlign w:val="center"/>
          </w:tcPr>
          <w:p w14:paraId="55A93D9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8AC3BF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286685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95D04F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093E57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24D63A5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4988824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14FACED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74DEAB6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481BCFED" w14:textId="77777777">
        <w:trPr>
          <w:trHeight w:val="260"/>
        </w:trPr>
        <w:tc>
          <w:tcPr>
            <w:tcW w:w="2056" w:type="dxa"/>
            <w:tcBorders>
              <w:top w:val="nil"/>
              <w:left w:val="nil"/>
              <w:bottom w:val="single" w:sz="4" w:space="0" w:color="000000"/>
              <w:right w:val="nil"/>
            </w:tcBorders>
            <w:shd w:val="clear" w:color="auto" w:fill="FFFFFF"/>
            <w:vAlign w:val="center"/>
          </w:tcPr>
          <w:p w14:paraId="0F7880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10</w:t>
            </w:r>
          </w:p>
        </w:tc>
        <w:tc>
          <w:tcPr>
            <w:tcW w:w="936" w:type="dxa"/>
            <w:tcBorders>
              <w:top w:val="nil"/>
              <w:left w:val="nil"/>
              <w:bottom w:val="nil"/>
              <w:right w:val="nil"/>
            </w:tcBorders>
            <w:shd w:val="clear" w:color="auto" w:fill="FFFFFF"/>
            <w:vAlign w:val="center"/>
          </w:tcPr>
          <w:p w14:paraId="1CEE143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48A5CD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B19972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FC8793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8DF799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0496A2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single" w:sz="4" w:space="0" w:color="000000"/>
              <w:right w:val="nil"/>
            </w:tcBorders>
            <w:shd w:val="clear" w:color="auto" w:fill="FFFFFF"/>
            <w:vAlign w:val="center"/>
          </w:tcPr>
          <w:p w14:paraId="7B7B40F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4279721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43746F5C" w14:textId="77777777">
        <w:trPr>
          <w:trHeight w:val="250"/>
        </w:trPr>
        <w:tc>
          <w:tcPr>
            <w:tcW w:w="2056" w:type="dxa"/>
            <w:tcBorders>
              <w:top w:val="nil"/>
              <w:left w:val="single" w:sz="4" w:space="0" w:color="000000"/>
              <w:bottom w:val="nil"/>
              <w:right w:val="single" w:sz="4" w:space="0" w:color="000000"/>
            </w:tcBorders>
            <w:shd w:val="clear" w:color="auto" w:fill="DAEEF3"/>
            <w:vAlign w:val="center"/>
          </w:tcPr>
          <w:p w14:paraId="6E04879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WAM_B </w:t>
            </w:r>
          </w:p>
        </w:tc>
        <w:tc>
          <w:tcPr>
            <w:tcW w:w="936" w:type="dxa"/>
            <w:tcBorders>
              <w:top w:val="single" w:sz="4" w:space="0" w:color="000000"/>
              <w:left w:val="nil"/>
              <w:bottom w:val="single" w:sz="4" w:space="0" w:color="000000"/>
              <w:right w:val="nil"/>
            </w:tcBorders>
            <w:shd w:val="clear" w:color="auto" w:fill="DAEEF3"/>
            <w:vAlign w:val="center"/>
          </w:tcPr>
          <w:p w14:paraId="3ED1C90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1119D50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70F46D0"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101C736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E84081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single" w:sz="18" w:space="0" w:color="000000"/>
            </w:tcBorders>
            <w:shd w:val="clear" w:color="auto" w:fill="DAEEF3"/>
            <w:vAlign w:val="center"/>
          </w:tcPr>
          <w:p w14:paraId="1A3733B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8" w:space="0" w:color="000000"/>
              <w:bottom w:val="single" w:sz="4" w:space="0" w:color="000000"/>
              <w:right w:val="single" w:sz="4" w:space="0" w:color="000000"/>
            </w:tcBorders>
            <w:shd w:val="clear" w:color="auto" w:fill="DAEEF3"/>
            <w:vAlign w:val="center"/>
          </w:tcPr>
          <w:p w14:paraId="52C8F49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025CF6C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166C0404"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0FD4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266284D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single" w:sz="4" w:space="0" w:color="000000"/>
            </w:tcBorders>
            <w:shd w:val="clear" w:color="auto" w:fill="auto"/>
            <w:vAlign w:val="center"/>
          </w:tcPr>
          <w:p w14:paraId="2C8FB8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12,1   </w:t>
            </w:r>
          </w:p>
        </w:tc>
        <w:tc>
          <w:tcPr>
            <w:tcW w:w="936" w:type="dxa"/>
            <w:tcBorders>
              <w:top w:val="nil"/>
              <w:left w:val="nil"/>
              <w:bottom w:val="single" w:sz="4" w:space="0" w:color="000000"/>
              <w:right w:val="single" w:sz="4" w:space="0" w:color="000000"/>
            </w:tcBorders>
            <w:shd w:val="clear" w:color="auto" w:fill="auto"/>
            <w:vAlign w:val="center"/>
          </w:tcPr>
          <w:p w14:paraId="20A5D2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12,2   </w:t>
            </w:r>
          </w:p>
        </w:tc>
        <w:tc>
          <w:tcPr>
            <w:tcW w:w="936" w:type="dxa"/>
            <w:tcBorders>
              <w:top w:val="nil"/>
              <w:left w:val="nil"/>
              <w:bottom w:val="single" w:sz="4" w:space="0" w:color="000000"/>
              <w:right w:val="single" w:sz="4" w:space="0" w:color="000000"/>
            </w:tcBorders>
            <w:shd w:val="clear" w:color="auto" w:fill="auto"/>
            <w:vAlign w:val="center"/>
          </w:tcPr>
          <w:p w14:paraId="1485935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36" w:type="dxa"/>
            <w:tcBorders>
              <w:top w:val="nil"/>
              <w:left w:val="nil"/>
              <w:bottom w:val="single" w:sz="4" w:space="0" w:color="000000"/>
              <w:right w:val="single" w:sz="4" w:space="0" w:color="000000"/>
            </w:tcBorders>
            <w:shd w:val="clear" w:color="auto" w:fill="auto"/>
            <w:vAlign w:val="center"/>
          </w:tcPr>
          <w:p w14:paraId="6371FC8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18" w:space="0" w:color="000000"/>
            </w:tcBorders>
            <w:shd w:val="clear" w:color="auto" w:fill="auto"/>
            <w:vAlign w:val="center"/>
          </w:tcPr>
          <w:p w14:paraId="26F14F9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286FC1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-76,5%</w:t>
            </w:r>
          </w:p>
        </w:tc>
        <w:tc>
          <w:tcPr>
            <w:tcW w:w="1243" w:type="dxa"/>
            <w:tcBorders>
              <w:top w:val="nil"/>
              <w:left w:val="nil"/>
              <w:bottom w:val="single" w:sz="4" w:space="0" w:color="000000"/>
              <w:right w:val="single" w:sz="4" w:space="0" w:color="000000"/>
            </w:tcBorders>
            <w:shd w:val="clear" w:color="auto" w:fill="auto"/>
            <w:vAlign w:val="center"/>
          </w:tcPr>
          <w:p w14:paraId="5F81ECF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9,8%</w:t>
            </w:r>
          </w:p>
        </w:tc>
      </w:tr>
      <w:tr w:rsidR="00A0251B" w:rsidRPr="00CC35F0" w14:paraId="0D49E577"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8E2C9D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3F664CB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6,4   </w:t>
            </w:r>
          </w:p>
        </w:tc>
        <w:tc>
          <w:tcPr>
            <w:tcW w:w="936" w:type="dxa"/>
            <w:tcBorders>
              <w:top w:val="nil"/>
              <w:left w:val="nil"/>
              <w:bottom w:val="single" w:sz="4" w:space="0" w:color="000000"/>
              <w:right w:val="single" w:sz="4" w:space="0" w:color="000000"/>
            </w:tcBorders>
            <w:shd w:val="clear" w:color="auto" w:fill="auto"/>
            <w:vAlign w:val="center"/>
          </w:tcPr>
          <w:p w14:paraId="529AF6B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8,2   </w:t>
            </w:r>
          </w:p>
        </w:tc>
        <w:tc>
          <w:tcPr>
            <w:tcW w:w="936" w:type="dxa"/>
            <w:tcBorders>
              <w:top w:val="nil"/>
              <w:left w:val="nil"/>
              <w:bottom w:val="single" w:sz="4" w:space="0" w:color="000000"/>
              <w:right w:val="single" w:sz="4" w:space="0" w:color="000000"/>
            </w:tcBorders>
            <w:shd w:val="clear" w:color="auto" w:fill="auto"/>
            <w:vAlign w:val="center"/>
          </w:tcPr>
          <w:p w14:paraId="1DF8386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9,3   </w:t>
            </w:r>
          </w:p>
        </w:tc>
        <w:tc>
          <w:tcPr>
            <w:tcW w:w="936" w:type="dxa"/>
            <w:tcBorders>
              <w:top w:val="nil"/>
              <w:left w:val="nil"/>
              <w:bottom w:val="single" w:sz="4" w:space="0" w:color="000000"/>
              <w:right w:val="single" w:sz="4" w:space="0" w:color="000000"/>
            </w:tcBorders>
            <w:shd w:val="clear" w:color="auto" w:fill="auto"/>
            <w:vAlign w:val="center"/>
          </w:tcPr>
          <w:p w14:paraId="5697AFE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4,8   </w:t>
            </w:r>
          </w:p>
        </w:tc>
        <w:tc>
          <w:tcPr>
            <w:tcW w:w="936" w:type="dxa"/>
            <w:tcBorders>
              <w:top w:val="nil"/>
              <w:left w:val="nil"/>
              <w:bottom w:val="single" w:sz="4" w:space="0" w:color="000000"/>
              <w:right w:val="single" w:sz="4" w:space="0" w:color="000000"/>
            </w:tcBorders>
            <w:shd w:val="clear" w:color="auto" w:fill="auto"/>
            <w:vAlign w:val="center"/>
          </w:tcPr>
          <w:p w14:paraId="144473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36" w:type="dxa"/>
            <w:tcBorders>
              <w:top w:val="nil"/>
              <w:left w:val="nil"/>
              <w:bottom w:val="single" w:sz="4" w:space="0" w:color="000000"/>
              <w:right w:val="single" w:sz="18" w:space="0" w:color="000000"/>
            </w:tcBorders>
            <w:shd w:val="clear" w:color="auto" w:fill="auto"/>
            <w:vAlign w:val="center"/>
          </w:tcPr>
          <w:p w14:paraId="210491D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75CD4C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-43,6%</w:t>
            </w:r>
          </w:p>
        </w:tc>
        <w:tc>
          <w:tcPr>
            <w:tcW w:w="1243" w:type="dxa"/>
            <w:tcBorders>
              <w:top w:val="nil"/>
              <w:left w:val="nil"/>
              <w:bottom w:val="single" w:sz="4" w:space="0" w:color="000000"/>
              <w:right w:val="single" w:sz="4" w:space="0" w:color="000000"/>
            </w:tcBorders>
            <w:shd w:val="clear" w:color="auto" w:fill="auto"/>
            <w:vAlign w:val="center"/>
          </w:tcPr>
          <w:p w14:paraId="4F5BBC0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-27,8%</w:t>
            </w:r>
          </w:p>
        </w:tc>
      </w:tr>
      <w:tr w:rsidR="00A0251B" w:rsidRPr="00CC35F0" w14:paraId="3F593FEA"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6F4B62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54FE0C8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32,6   </w:t>
            </w:r>
          </w:p>
        </w:tc>
        <w:tc>
          <w:tcPr>
            <w:tcW w:w="936" w:type="dxa"/>
            <w:tcBorders>
              <w:top w:val="nil"/>
              <w:left w:val="nil"/>
              <w:bottom w:val="single" w:sz="4" w:space="0" w:color="000000"/>
              <w:right w:val="single" w:sz="4" w:space="0" w:color="000000"/>
            </w:tcBorders>
            <w:shd w:val="clear" w:color="auto" w:fill="auto"/>
            <w:vAlign w:val="center"/>
          </w:tcPr>
          <w:p w14:paraId="31328C2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35,9   </w:t>
            </w:r>
          </w:p>
        </w:tc>
        <w:tc>
          <w:tcPr>
            <w:tcW w:w="936" w:type="dxa"/>
            <w:tcBorders>
              <w:top w:val="nil"/>
              <w:left w:val="nil"/>
              <w:bottom w:val="single" w:sz="4" w:space="0" w:color="000000"/>
              <w:right w:val="single" w:sz="4" w:space="0" w:color="000000"/>
            </w:tcBorders>
            <w:shd w:val="clear" w:color="auto" w:fill="auto"/>
            <w:vAlign w:val="center"/>
          </w:tcPr>
          <w:p w14:paraId="7B368A9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36,9   </w:t>
            </w:r>
          </w:p>
        </w:tc>
        <w:tc>
          <w:tcPr>
            <w:tcW w:w="936" w:type="dxa"/>
            <w:tcBorders>
              <w:top w:val="nil"/>
              <w:left w:val="nil"/>
              <w:bottom w:val="single" w:sz="4" w:space="0" w:color="000000"/>
              <w:right w:val="single" w:sz="4" w:space="0" w:color="000000"/>
            </w:tcBorders>
            <w:shd w:val="clear" w:color="auto" w:fill="auto"/>
            <w:vAlign w:val="center"/>
          </w:tcPr>
          <w:p w14:paraId="767034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34,5   </w:t>
            </w:r>
          </w:p>
        </w:tc>
        <w:tc>
          <w:tcPr>
            <w:tcW w:w="936" w:type="dxa"/>
            <w:tcBorders>
              <w:top w:val="nil"/>
              <w:left w:val="nil"/>
              <w:bottom w:val="single" w:sz="4" w:space="0" w:color="000000"/>
              <w:right w:val="single" w:sz="4" w:space="0" w:color="000000"/>
            </w:tcBorders>
            <w:shd w:val="clear" w:color="auto" w:fill="auto"/>
            <w:vAlign w:val="center"/>
          </w:tcPr>
          <w:p w14:paraId="498C84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19,3   </w:t>
            </w:r>
          </w:p>
        </w:tc>
        <w:tc>
          <w:tcPr>
            <w:tcW w:w="936" w:type="dxa"/>
            <w:tcBorders>
              <w:top w:val="nil"/>
              <w:left w:val="nil"/>
              <w:bottom w:val="single" w:sz="4" w:space="0" w:color="000000"/>
              <w:right w:val="single" w:sz="18" w:space="0" w:color="000000"/>
            </w:tcBorders>
            <w:shd w:val="clear" w:color="auto" w:fill="auto"/>
            <w:vAlign w:val="center"/>
          </w:tcPr>
          <w:p w14:paraId="2ED5F3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60F464B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-46,2%</w:t>
            </w:r>
          </w:p>
        </w:tc>
        <w:tc>
          <w:tcPr>
            <w:tcW w:w="1243" w:type="dxa"/>
            <w:tcBorders>
              <w:top w:val="nil"/>
              <w:left w:val="nil"/>
              <w:bottom w:val="single" w:sz="4" w:space="0" w:color="000000"/>
              <w:right w:val="single" w:sz="4" w:space="0" w:color="000000"/>
            </w:tcBorders>
            <w:shd w:val="clear" w:color="auto" w:fill="auto"/>
            <w:vAlign w:val="center"/>
          </w:tcPr>
          <w:p w14:paraId="1AC980A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-40,7%</w:t>
            </w:r>
          </w:p>
        </w:tc>
      </w:tr>
      <w:tr w:rsidR="00A0251B" w:rsidRPr="00CC35F0" w14:paraId="4DD7087C"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DF5C52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38995E8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6ECB65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0C12715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3A92150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113E91C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18" w:space="0" w:color="000000"/>
            </w:tcBorders>
            <w:shd w:val="clear" w:color="auto" w:fill="auto"/>
            <w:vAlign w:val="center"/>
          </w:tcPr>
          <w:p w14:paraId="286A60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405AC2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-13,5%</w:t>
            </w:r>
          </w:p>
        </w:tc>
        <w:tc>
          <w:tcPr>
            <w:tcW w:w="1243" w:type="dxa"/>
            <w:tcBorders>
              <w:top w:val="nil"/>
              <w:left w:val="nil"/>
              <w:bottom w:val="single" w:sz="4" w:space="0" w:color="000000"/>
              <w:right w:val="single" w:sz="4" w:space="0" w:color="000000"/>
            </w:tcBorders>
            <w:shd w:val="clear" w:color="auto" w:fill="auto"/>
            <w:vAlign w:val="center"/>
          </w:tcPr>
          <w:p w14:paraId="38A9315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-13,2%</w:t>
            </w:r>
          </w:p>
        </w:tc>
      </w:tr>
      <w:tr w:rsidR="00A0251B" w:rsidRPr="00CC35F0" w14:paraId="0BAA2031"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D6D5F2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77E745E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0,8   </w:t>
            </w:r>
          </w:p>
        </w:tc>
        <w:tc>
          <w:tcPr>
            <w:tcW w:w="936" w:type="dxa"/>
            <w:tcBorders>
              <w:top w:val="nil"/>
              <w:left w:val="nil"/>
              <w:bottom w:val="single" w:sz="4" w:space="0" w:color="000000"/>
              <w:right w:val="single" w:sz="4" w:space="0" w:color="000000"/>
            </w:tcBorders>
            <w:shd w:val="clear" w:color="auto" w:fill="auto"/>
            <w:vAlign w:val="center"/>
          </w:tcPr>
          <w:p w14:paraId="7E71DC1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36" w:type="dxa"/>
            <w:tcBorders>
              <w:top w:val="nil"/>
              <w:left w:val="nil"/>
              <w:bottom w:val="single" w:sz="4" w:space="0" w:color="000000"/>
              <w:right w:val="single" w:sz="4" w:space="0" w:color="000000"/>
            </w:tcBorders>
            <w:shd w:val="clear" w:color="auto" w:fill="auto"/>
            <w:vAlign w:val="center"/>
          </w:tcPr>
          <w:p w14:paraId="7114BC6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4" w:space="0" w:color="000000"/>
            </w:tcBorders>
            <w:shd w:val="clear" w:color="auto" w:fill="auto"/>
            <w:vAlign w:val="center"/>
          </w:tcPr>
          <w:p w14:paraId="438CFD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4" w:space="0" w:color="000000"/>
            </w:tcBorders>
            <w:shd w:val="clear" w:color="auto" w:fill="auto"/>
            <w:vAlign w:val="center"/>
          </w:tcPr>
          <w:p w14:paraId="12E822B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18" w:space="0" w:color="000000"/>
            </w:tcBorders>
            <w:shd w:val="clear" w:color="auto" w:fill="auto"/>
            <w:vAlign w:val="center"/>
          </w:tcPr>
          <w:p w14:paraId="6E881F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7283A0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c>
          <w:tcPr>
            <w:tcW w:w="1243" w:type="dxa"/>
            <w:tcBorders>
              <w:top w:val="nil"/>
              <w:left w:val="nil"/>
              <w:bottom w:val="single" w:sz="4" w:space="0" w:color="000000"/>
              <w:right w:val="single" w:sz="4" w:space="0" w:color="000000"/>
            </w:tcBorders>
            <w:shd w:val="clear" w:color="auto" w:fill="auto"/>
            <w:vAlign w:val="center"/>
          </w:tcPr>
          <w:p w14:paraId="5D47198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97,5%</w:t>
            </w:r>
          </w:p>
        </w:tc>
      </w:tr>
      <w:tr w:rsidR="00A0251B" w:rsidRPr="00CC35F0" w14:paraId="0D8A1EC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8A19F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0B6B890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936" w:type="dxa"/>
            <w:tcBorders>
              <w:top w:val="nil"/>
              <w:left w:val="nil"/>
              <w:bottom w:val="single" w:sz="4" w:space="0" w:color="000000"/>
              <w:right w:val="single" w:sz="4" w:space="0" w:color="000000"/>
            </w:tcBorders>
            <w:shd w:val="clear" w:color="auto" w:fill="auto"/>
            <w:vAlign w:val="center"/>
          </w:tcPr>
          <w:p w14:paraId="3774AE0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4" w:space="0" w:color="000000"/>
            </w:tcBorders>
            <w:shd w:val="clear" w:color="auto" w:fill="auto"/>
            <w:vAlign w:val="center"/>
          </w:tcPr>
          <w:p w14:paraId="12443B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single" w:sz="4" w:space="0" w:color="000000"/>
            </w:tcBorders>
            <w:shd w:val="clear" w:color="auto" w:fill="auto"/>
            <w:vAlign w:val="center"/>
          </w:tcPr>
          <w:p w14:paraId="5EB4F0F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2,2   </w:t>
            </w:r>
          </w:p>
        </w:tc>
        <w:tc>
          <w:tcPr>
            <w:tcW w:w="936" w:type="dxa"/>
            <w:tcBorders>
              <w:top w:val="nil"/>
              <w:left w:val="nil"/>
              <w:bottom w:val="single" w:sz="4" w:space="0" w:color="000000"/>
              <w:right w:val="single" w:sz="4" w:space="0" w:color="000000"/>
            </w:tcBorders>
            <w:shd w:val="clear" w:color="auto" w:fill="auto"/>
            <w:vAlign w:val="center"/>
          </w:tcPr>
          <w:p w14:paraId="5E8E1B9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36" w:type="dxa"/>
            <w:tcBorders>
              <w:top w:val="nil"/>
              <w:left w:val="nil"/>
              <w:bottom w:val="single" w:sz="4" w:space="0" w:color="000000"/>
              <w:right w:val="single" w:sz="18" w:space="0" w:color="000000"/>
            </w:tcBorders>
            <w:shd w:val="clear" w:color="auto" w:fill="auto"/>
            <w:vAlign w:val="center"/>
          </w:tcPr>
          <w:p w14:paraId="0CC619A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6D1BC7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-27,6%</w:t>
            </w:r>
          </w:p>
        </w:tc>
        <w:tc>
          <w:tcPr>
            <w:tcW w:w="1243" w:type="dxa"/>
            <w:tcBorders>
              <w:top w:val="nil"/>
              <w:left w:val="nil"/>
              <w:bottom w:val="single" w:sz="4" w:space="0" w:color="000000"/>
              <w:right w:val="single" w:sz="4" w:space="0" w:color="000000"/>
            </w:tcBorders>
            <w:shd w:val="clear" w:color="auto" w:fill="auto"/>
            <w:vAlign w:val="center"/>
          </w:tcPr>
          <w:p w14:paraId="5737AA3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-18,2%</w:t>
            </w:r>
          </w:p>
        </w:tc>
      </w:tr>
      <w:tr w:rsidR="00A0251B" w:rsidRPr="00CC35F0" w14:paraId="1727D5C6"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6CAA7F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279B28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0660C74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49C89C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302D465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53F07BD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18" w:space="0" w:color="000000"/>
            </w:tcBorders>
            <w:shd w:val="clear" w:color="auto" w:fill="auto"/>
            <w:vAlign w:val="center"/>
          </w:tcPr>
          <w:p w14:paraId="4BCC4AE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761C77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7D2F359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4697210B"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E40C06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4522277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A5066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97FFD6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E280F6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1E315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6FC4012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D6C93C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596D064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7ED846E7"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EDB8CD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37B813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2BDA13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682AE7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50F35C6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232B9D1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18" w:space="0" w:color="000000"/>
            </w:tcBorders>
            <w:shd w:val="clear" w:color="auto" w:fill="auto"/>
            <w:vAlign w:val="center"/>
          </w:tcPr>
          <w:p w14:paraId="5B36BA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D92028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-47,5%</w:t>
            </w:r>
          </w:p>
        </w:tc>
        <w:tc>
          <w:tcPr>
            <w:tcW w:w="1243" w:type="dxa"/>
            <w:tcBorders>
              <w:top w:val="nil"/>
              <w:left w:val="nil"/>
              <w:bottom w:val="single" w:sz="4" w:space="0" w:color="000000"/>
              <w:right w:val="single" w:sz="4" w:space="0" w:color="000000"/>
            </w:tcBorders>
            <w:shd w:val="clear" w:color="auto" w:fill="auto"/>
            <w:vAlign w:val="center"/>
          </w:tcPr>
          <w:p w14:paraId="4576EFB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174,4%</w:t>
            </w:r>
          </w:p>
        </w:tc>
      </w:tr>
      <w:tr w:rsidR="00A0251B" w:rsidRPr="00CC35F0" w14:paraId="711D8E30"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A2507E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09ADDA4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D9AAA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1808E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BF0E0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2E6063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4D880B6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72AF99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46B6E28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202F3138"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5E4C14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03D75B6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36" w:type="dxa"/>
            <w:tcBorders>
              <w:top w:val="nil"/>
              <w:left w:val="nil"/>
              <w:bottom w:val="single" w:sz="4" w:space="0" w:color="000000"/>
              <w:right w:val="single" w:sz="4" w:space="0" w:color="000000"/>
            </w:tcBorders>
            <w:shd w:val="clear" w:color="auto" w:fill="auto"/>
            <w:vAlign w:val="center"/>
          </w:tcPr>
          <w:p w14:paraId="77D9F7A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7FFF74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061F65B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7D8D8F7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18" w:space="0" w:color="000000"/>
            </w:tcBorders>
            <w:shd w:val="clear" w:color="auto" w:fill="auto"/>
            <w:vAlign w:val="center"/>
          </w:tcPr>
          <w:p w14:paraId="3AC5C9B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0D7F9C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w:t>
            </w:r>
          </w:p>
        </w:tc>
        <w:tc>
          <w:tcPr>
            <w:tcW w:w="1243" w:type="dxa"/>
            <w:tcBorders>
              <w:top w:val="nil"/>
              <w:left w:val="nil"/>
              <w:bottom w:val="single" w:sz="4" w:space="0" w:color="000000"/>
              <w:right w:val="single" w:sz="4" w:space="0" w:color="000000"/>
            </w:tcBorders>
            <w:shd w:val="clear" w:color="auto" w:fill="auto"/>
            <w:vAlign w:val="center"/>
          </w:tcPr>
          <w:p w14:paraId="0896E72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w:t>
            </w:r>
          </w:p>
        </w:tc>
      </w:tr>
      <w:tr w:rsidR="00A0251B" w:rsidRPr="00CC35F0" w14:paraId="1729493E"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D7FE79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3EE4792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7,3   </w:t>
            </w:r>
          </w:p>
        </w:tc>
        <w:tc>
          <w:tcPr>
            <w:tcW w:w="936" w:type="dxa"/>
            <w:tcBorders>
              <w:top w:val="nil"/>
              <w:left w:val="nil"/>
              <w:bottom w:val="single" w:sz="4" w:space="0" w:color="000000"/>
              <w:right w:val="single" w:sz="4" w:space="0" w:color="000000"/>
            </w:tcBorders>
            <w:shd w:val="clear" w:color="auto" w:fill="auto"/>
            <w:vAlign w:val="center"/>
          </w:tcPr>
          <w:p w14:paraId="5E098DB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13,0   </w:t>
            </w:r>
          </w:p>
        </w:tc>
        <w:tc>
          <w:tcPr>
            <w:tcW w:w="936" w:type="dxa"/>
            <w:tcBorders>
              <w:top w:val="nil"/>
              <w:left w:val="nil"/>
              <w:bottom w:val="single" w:sz="4" w:space="0" w:color="000000"/>
              <w:right w:val="single" w:sz="4" w:space="0" w:color="000000"/>
            </w:tcBorders>
            <w:shd w:val="clear" w:color="auto" w:fill="auto"/>
            <w:vAlign w:val="center"/>
          </w:tcPr>
          <w:p w14:paraId="2F8E5B3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single" w:sz="4" w:space="0" w:color="000000"/>
            </w:tcBorders>
            <w:shd w:val="clear" w:color="auto" w:fill="auto"/>
            <w:vAlign w:val="center"/>
          </w:tcPr>
          <w:p w14:paraId="034DBC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10,7   </w:t>
            </w:r>
          </w:p>
        </w:tc>
        <w:tc>
          <w:tcPr>
            <w:tcW w:w="936" w:type="dxa"/>
            <w:tcBorders>
              <w:top w:val="nil"/>
              <w:left w:val="nil"/>
              <w:bottom w:val="single" w:sz="4" w:space="0" w:color="000000"/>
              <w:right w:val="single" w:sz="4" w:space="0" w:color="000000"/>
            </w:tcBorders>
            <w:shd w:val="clear" w:color="auto" w:fill="auto"/>
            <w:vAlign w:val="center"/>
          </w:tcPr>
          <w:p w14:paraId="5850AEF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8,0   </w:t>
            </w:r>
          </w:p>
        </w:tc>
        <w:tc>
          <w:tcPr>
            <w:tcW w:w="936" w:type="dxa"/>
            <w:tcBorders>
              <w:top w:val="nil"/>
              <w:left w:val="nil"/>
              <w:bottom w:val="single" w:sz="4" w:space="0" w:color="000000"/>
              <w:right w:val="single" w:sz="18" w:space="0" w:color="000000"/>
            </w:tcBorders>
            <w:shd w:val="clear" w:color="auto" w:fill="auto"/>
            <w:vAlign w:val="center"/>
          </w:tcPr>
          <w:p w14:paraId="2A54C67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5,6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14ED5C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-38,3%</w:t>
            </w:r>
          </w:p>
        </w:tc>
        <w:tc>
          <w:tcPr>
            <w:tcW w:w="1243" w:type="dxa"/>
            <w:tcBorders>
              <w:top w:val="nil"/>
              <w:left w:val="nil"/>
              <w:bottom w:val="single" w:sz="4" w:space="0" w:color="000000"/>
              <w:right w:val="single" w:sz="4" w:space="0" w:color="000000"/>
            </w:tcBorders>
            <w:shd w:val="clear" w:color="auto" w:fill="auto"/>
            <w:vAlign w:val="center"/>
          </w:tcPr>
          <w:p w14:paraId="186C8B5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9,8%</w:t>
            </w:r>
          </w:p>
        </w:tc>
      </w:tr>
      <w:tr w:rsidR="00A0251B" w:rsidRPr="00CC35F0" w14:paraId="48AA736F"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5EB867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5791A2B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56,0   </w:t>
            </w:r>
          </w:p>
        </w:tc>
        <w:tc>
          <w:tcPr>
            <w:tcW w:w="936" w:type="dxa"/>
            <w:tcBorders>
              <w:top w:val="nil"/>
              <w:left w:val="single" w:sz="4" w:space="0" w:color="000000"/>
              <w:bottom w:val="single" w:sz="4" w:space="0" w:color="000000"/>
              <w:right w:val="nil"/>
            </w:tcBorders>
            <w:shd w:val="clear" w:color="auto" w:fill="auto"/>
            <w:vAlign w:val="center"/>
          </w:tcPr>
          <w:p w14:paraId="091C6ED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76,9   </w:t>
            </w:r>
          </w:p>
        </w:tc>
        <w:tc>
          <w:tcPr>
            <w:tcW w:w="936" w:type="dxa"/>
            <w:tcBorders>
              <w:top w:val="nil"/>
              <w:left w:val="single" w:sz="4" w:space="0" w:color="000000"/>
              <w:bottom w:val="single" w:sz="4" w:space="0" w:color="000000"/>
              <w:right w:val="nil"/>
            </w:tcBorders>
            <w:shd w:val="clear" w:color="auto" w:fill="auto"/>
            <w:vAlign w:val="center"/>
          </w:tcPr>
          <w:p w14:paraId="22D533E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79,5   </w:t>
            </w:r>
          </w:p>
        </w:tc>
        <w:tc>
          <w:tcPr>
            <w:tcW w:w="936" w:type="dxa"/>
            <w:tcBorders>
              <w:top w:val="nil"/>
              <w:left w:val="single" w:sz="4" w:space="0" w:color="000000"/>
              <w:bottom w:val="single" w:sz="4" w:space="0" w:color="000000"/>
              <w:right w:val="nil"/>
            </w:tcBorders>
            <w:shd w:val="clear" w:color="auto" w:fill="auto"/>
            <w:vAlign w:val="center"/>
          </w:tcPr>
          <w:p w14:paraId="6835F4A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61,8   </w:t>
            </w:r>
          </w:p>
        </w:tc>
        <w:tc>
          <w:tcPr>
            <w:tcW w:w="936" w:type="dxa"/>
            <w:tcBorders>
              <w:top w:val="nil"/>
              <w:left w:val="single" w:sz="4" w:space="0" w:color="000000"/>
              <w:bottom w:val="single" w:sz="4" w:space="0" w:color="000000"/>
              <w:right w:val="nil"/>
            </w:tcBorders>
            <w:shd w:val="clear" w:color="auto" w:fill="auto"/>
            <w:vAlign w:val="center"/>
          </w:tcPr>
          <w:p w14:paraId="78F841B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41,7   </w:t>
            </w:r>
          </w:p>
        </w:tc>
        <w:tc>
          <w:tcPr>
            <w:tcW w:w="936" w:type="dxa"/>
            <w:tcBorders>
              <w:top w:val="nil"/>
              <w:left w:val="single" w:sz="4" w:space="0" w:color="000000"/>
              <w:bottom w:val="single" w:sz="4" w:space="0" w:color="000000"/>
              <w:right w:val="single" w:sz="18" w:space="0" w:color="000000"/>
            </w:tcBorders>
            <w:shd w:val="clear" w:color="auto" w:fill="auto"/>
            <w:vAlign w:val="center"/>
          </w:tcPr>
          <w:p w14:paraId="66FD5A5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30,5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07FFEF2"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-45,8%</w:t>
            </w:r>
          </w:p>
        </w:tc>
        <w:tc>
          <w:tcPr>
            <w:tcW w:w="1243" w:type="dxa"/>
            <w:tcBorders>
              <w:top w:val="nil"/>
              <w:left w:val="nil"/>
              <w:bottom w:val="single" w:sz="4" w:space="0" w:color="000000"/>
              <w:right w:val="single" w:sz="4" w:space="0" w:color="000000"/>
            </w:tcBorders>
            <w:shd w:val="clear" w:color="auto" w:fill="auto"/>
            <w:vAlign w:val="center"/>
          </w:tcPr>
          <w:p w14:paraId="696451FE"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-25,6%</w:t>
            </w:r>
          </w:p>
        </w:tc>
      </w:tr>
      <w:tr w:rsidR="00A0251B" w:rsidRPr="00CC35F0" w14:paraId="313AF90E" w14:textId="77777777">
        <w:trPr>
          <w:trHeight w:val="260"/>
        </w:trPr>
        <w:tc>
          <w:tcPr>
            <w:tcW w:w="2056" w:type="dxa"/>
            <w:tcBorders>
              <w:top w:val="nil"/>
              <w:left w:val="nil"/>
              <w:bottom w:val="nil"/>
              <w:right w:val="nil"/>
            </w:tcBorders>
            <w:shd w:val="clear" w:color="auto" w:fill="FFFFFF"/>
            <w:vAlign w:val="center"/>
          </w:tcPr>
          <w:p w14:paraId="4E1B545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97EB65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D2503D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01019D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4BCB17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45F1D47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9709AB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1FEC553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488F018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71BCD49D" w14:textId="77777777">
        <w:trPr>
          <w:trHeight w:val="260"/>
        </w:trPr>
        <w:tc>
          <w:tcPr>
            <w:tcW w:w="2056" w:type="dxa"/>
            <w:tcBorders>
              <w:top w:val="nil"/>
              <w:left w:val="nil"/>
              <w:bottom w:val="single" w:sz="4" w:space="0" w:color="000000"/>
              <w:right w:val="nil"/>
            </w:tcBorders>
            <w:shd w:val="clear" w:color="auto" w:fill="FFFFFF"/>
            <w:vAlign w:val="center"/>
          </w:tcPr>
          <w:p w14:paraId="3E7153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10</w:t>
            </w:r>
          </w:p>
        </w:tc>
        <w:tc>
          <w:tcPr>
            <w:tcW w:w="936" w:type="dxa"/>
            <w:tcBorders>
              <w:top w:val="nil"/>
              <w:left w:val="nil"/>
              <w:bottom w:val="nil"/>
              <w:right w:val="nil"/>
            </w:tcBorders>
            <w:shd w:val="clear" w:color="auto" w:fill="FFFFFF"/>
            <w:vAlign w:val="center"/>
          </w:tcPr>
          <w:p w14:paraId="1C9C041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285532C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78AE3D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654D67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FB3DDF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256D43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58186ED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3C6109A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0CC52D3C" w14:textId="77777777">
        <w:trPr>
          <w:trHeight w:val="250"/>
        </w:trPr>
        <w:tc>
          <w:tcPr>
            <w:tcW w:w="2056" w:type="dxa"/>
            <w:tcBorders>
              <w:top w:val="nil"/>
              <w:left w:val="single" w:sz="4" w:space="0" w:color="000000"/>
              <w:bottom w:val="nil"/>
              <w:right w:val="single" w:sz="4" w:space="0" w:color="000000"/>
            </w:tcBorders>
            <w:shd w:val="clear" w:color="auto" w:fill="DAEEF3"/>
            <w:vAlign w:val="center"/>
          </w:tcPr>
          <w:p w14:paraId="74356FA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WAM_C </w:t>
            </w:r>
          </w:p>
        </w:tc>
        <w:tc>
          <w:tcPr>
            <w:tcW w:w="936" w:type="dxa"/>
            <w:tcBorders>
              <w:top w:val="single" w:sz="4" w:space="0" w:color="000000"/>
              <w:left w:val="nil"/>
              <w:bottom w:val="single" w:sz="4" w:space="0" w:color="000000"/>
              <w:right w:val="nil"/>
            </w:tcBorders>
            <w:shd w:val="clear" w:color="auto" w:fill="DAEEF3"/>
            <w:vAlign w:val="center"/>
          </w:tcPr>
          <w:p w14:paraId="4109A480"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9F890F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3FDD9AE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338DA8C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5C91A27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5A1312A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2" w:space="0" w:color="000000"/>
              <w:bottom w:val="single" w:sz="4" w:space="0" w:color="000000"/>
              <w:right w:val="single" w:sz="4" w:space="0" w:color="000000"/>
            </w:tcBorders>
            <w:shd w:val="clear" w:color="auto" w:fill="DAEEF3"/>
            <w:vAlign w:val="center"/>
          </w:tcPr>
          <w:p w14:paraId="28BEDBC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3D01E54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49463FAD"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50D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56D1EAE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single" w:sz="4" w:space="0" w:color="000000"/>
            </w:tcBorders>
            <w:shd w:val="clear" w:color="auto" w:fill="auto"/>
            <w:vAlign w:val="center"/>
          </w:tcPr>
          <w:p w14:paraId="4E2D269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12,1   </w:t>
            </w:r>
          </w:p>
        </w:tc>
        <w:tc>
          <w:tcPr>
            <w:tcW w:w="936" w:type="dxa"/>
            <w:tcBorders>
              <w:top w:val="nil"/>
              <w:left w:val="nil"/>
              <w:bottom w:val="single" w:sz="4" w:space="0" w:color="000000"/>
              <w:right w:val="single" w:sz="4" w:space="0" w:color="000000"/>
            </w:tcBorders>
            <w:shd w:val="clear" w:color="auto" w:fill="auto"/>
            <w:vAlign w:val="center"/>
          </w:tcPr>
          <w:p w14:paraId="352E28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12,2   </w:t>
            </w:r>
          </w:p>
        </w:tc>
        <w:tc>
          <w:tcPr>
            <w:tcW w:w="936" w:type="dxa"/>
            <w:tcBorders>
              <w:top w:val="nil"/>
              <w:left w:val="nil"/>
              <w:bottom w:val="single" w:sz="4" w:space="0" w:color="000000"/>
              <w:right w:val="single" w:sz="4" w:space="0" w:color="000000"/>
            </w:tcBorders>
            <w:shd w:val="clear" w:color="auto" w:fill="auto"/>
            <w:vAlign w:val="center"/>
          </w:tcPr>
          <w:p w14:paraId="46DC3D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36" w:type="dxa"/>
            <w:tcBorders>
              <w:top w:val="nil"/>
              <w:left w:val="nil"/>
              <w:bottom w:val="single" w:sz="4" w:space="0" w:color="000000"/>
              <w:right w:val="single" w:sz="4" w:space="0" w:color="000000"/>
            </w:tcBorders>
            <w:shd w:val="clear" w:color="auto" w:fill="auto"/>
            <w:vAlign w:val="center"/>
          </w:tcPr>
          <w:p w14:paraId="0A326B5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nil"/>
            </w:tcBorders>
            <w:shd w:val="clear" w:color="auto" w:fill="auto"/>
            <w:vAlign w:val="center"/>
          </w:tcPr>
          <w:p w14:paraId="4B4BF0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B560B7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-76,5%</w:t>
            </w:r>
          </w:p>
        </w:tc>
        <w:tc>
          <w:tcPr>
            <w:tcW w:w="1243" w:type="dxa"/>
            <w:tcBorders>
              <w:top w:val="nil"/>
              <w:left w:val="nil"/>
              <w:bottom w:val="single" w:sz="4" w:space="0" w:color="000000"/>
              <w:right w:val="single" w:sz="4" w:space="0" w:color="000000"/>
            </w:tcBorders>
            <w:shd w:val="clear" w:color="auto" w:fill="auto"/>
            <w:vAlign w:val="center"/>
          </w:tcPr>
          <w:p w14:paraId="6F0260B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9,8%</w:t>
            </w:r>
          </w:p>
        </w:tc>
      </w:tr>
      <w:tr w:rsidR="00A0251B" w:rsidRPr="00CC35F0" w14:paraId="31F1FB7C"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705A3F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1E71207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6,4   </w:t>
            </w:r>
          </w:p>
        </w:tc>
        <w:tc>
          <w:tcPr>
            <w:tcW w:w="936" w:type="dxa"/>
            <w:tcBorders>
              <w:top w:val="nil"/>
              <w:left w:val="nil"/>
              <w:bottom w:val="single" w:sz="4" w:space="0" w:color="000000"/>
              <w:right w:val="single" w:sz="4" w:space="0" w:color="000000"/>
            </w:tcBorders>
            <w:shd w:val="clear" w:color="auto" w:fill="auto"/>
            <w:vAlign w:val="center"/>
          </w:tcPr>
          <w:p w14:paraId="74F648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8,2   </w:t>
            </w:r>
          </w:p>
        </w:tc>
        <w:tc>
          <w:tcPr>
            <w:tcW w:w="936" w:type="dxa"/>
            <w:tcBorders>
              <w:top w:val="nil"/>
              <w:left w:val="nil"/>
              <w:bottom w:val="single" w:sz="4" w:space="0" w:color="000000"/>
              <w:right w:val="single" w:sz="4" w:space="0" w:color="000000"/>
            </w:tcBorders>
            <w:shd w:val="clear" w:color="auto" w:fill="auto"/>
            <w:vAlign w:val="center"/>
          </w:tcPr>
          <w:p w14:paraId="27433CA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9,3   </w:t>
            </w:r>
          </w:p>
        </w:tc>
        <w:tc>
          <w:tcPr>
            <w:tcW w:w="936" w:type="dxa"/>
            <w:tcBorders>
              <w:top w:val="nil"/>
              <w:left w:val="nil"/>
              <w:bottom w:val="single" w:sz="4" w:space="0" w:color="000000"/>
              <w:right w:val="single" w:sz="4" w:space="0" w:color="000000"/>
            </w:tcBorders>
            <w:shd w:val="clear" w:color="auto" w:fill="auto"/>
            <w:vAlign w:val="center"/>
          </w:tcPr>
          <w:p w14:paraId="5979B75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4,8   </w:t>
            </w:r>
          </w:p>
        </w:tc>
        <w:tc>
          <w:tcPr>
            <w:tcW w:w="936" w:type="dxa"/>
            <w:tcBorders>
              <w:top w:val="nil"/>
              <w:left w:val="nil"/>
              <w:bottom w:val="single" w:sz="4" w:space="0" w:color="000000"/>
              <w:right w:val="single" w:sz="4" w:space="0" w:color="000000"/>
            </w:tcBorders>
            <w:shd w:val="clear" w:color="auto" w:fill="auto"/>
            <w:vAlign w:val="center"/>
          </w:tcPr>
          <w:p w14:paraId="2D7B700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36" w:type="dxa"/>
            <w:tcBorders>
              <w:top w:val="nil"/>
              <w:left w:val="nil"/>
              <w:bottom w:val="single" w:sz="4" w:space="0" w:color="000000"/>
              <w:right w:val="nil"/>
            </w:tcBorders>
            <w:shd w:val="clear" w:color="auto" w:fill="auto"/>
            <w:vAlign w:val="center"/>
          </w:tcPr>
          <w:p w14:paraId="73868E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C1D12B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-43,6%</w:t>
            </w:r>
          </w:p>
        </w:tc>
        <w:tc>
          <w:tcPr>
            <w:tcW w:w="1243" w:type="dxa"/>
            <w:tcBorders>
              <w:top w:val="nil"/>
              <w:left w:val="nil"/>
              <w:bottom w:val="single" w:sz="4" w:space="0" w:color="000000"/>
              <w:right w:val="single" w:sz="4" w:space="0" w:color="000000"/>
            </w:tcBorders>
            <w:shd w:val="clear" w:color="auto" w:fill="auto"/>
            <w:vAlign w:val="center"/>
          </w:tcPr>
          <w:p w14:paraId="5262C37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-27,8%</w:t>
            </w:r>
          </w:p>
        </w:tc>
      </w:tr>
      <w:tr w:rsidR="00A0251B" w:rsidRPr="00CC35F0" w14:paraId="06F42ED9"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B4987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3EE245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32,6   </w:t>
            </w:r>
          </w:p>
        </w:tc>
        <w:tc>
          <w:tcPr>
            <w:tcW w:w="936" w:type="dxa"/>
            <w:tcBorders>
              <w:top w:val="nil"/>
              <w:left w:val="nil"/>
              <w:bottom w:val="single" w:sz="4" w:space="0" w:color="000000"/>
              <w:right w:val="single" w:sz="4" w:space="0" w:color="000000"/>
            </w:tcBorders>
            <w:shd w:val="clear" w:color="auto" w:fill="auto"/>
            <w:vAlign w:val="center"/>
          </w:tcPr>
          <w:p w14:paraId="0997D7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35,9   </w:t>
            </w:r>
          </w:p>
        </w:tc>
        <w:tc>
          <w:tcPr>
            <w:tcW w:w="936" w:type="dxa"/>
            <w:tcBorders>
              <w:top w:val="nil"/>
              <w:left w:val="nil"/>
              <w:bottom w:val="single" w:sz="4" w:space="0" w:color="000000"/>
              <w:right w:val="single" w:sz="4" w:space="0" w:color="000000"/>
            </w:tcBorders>
            <w:shd w:val="clear" w:color="auto" w:fill="auto"/>
            <w:vAlign w:val="center"/>
          </w:tcPr>
          <w:p w14:paraId="213A4C9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36,9   </w:t>
            </w:r>
          </w:p>
        </w:tc>
        <w:tc>
          <w:tcPr>
            <w:tcW w:w="936" w:type="dxa"/>
            <w:tcBorders>
              <w:top w:val="nil"/>
              <w:left w:val="nil"/>
              <w:bottom w:val="single" w:sz="4" w:space="0" w:color="000000"/>
              <w:right w:val="single" w:sz="4" w:space="0" w:color="000000"/>
            </w:tcBorders>
            <w:shd w:val="clear" w:color="auto" w:fill="auto"/>
            <w:vAlign w:val="center"/>
          </w:tcPr>
          <w:p w14:paraId="5499D60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34,2   </w:t>
            </w:r>
          </w:p>
        </w:tc>
        <w:tc>
          <w:tcPr>
            <w:tcW w:w="936" w:type="dxa"/>
            <w:tcBorders>
              <w:top w:val="nil"/>
              <w:left w:val="nil"/>
              <w:bottom w:val="single" w:sz="4" w:space="0" w:color="000000"/>
              <w:right w:val="single" w:sz="4" w:space="0" w:color="000000"/>
            </w:tcBorders>
            <w:shd w:val="clear" w:color="auto" w:fill="auto"/>
            <w:vAlign w:val="center"/>
          </w:tcPr>
          <w:p w14:paraId="2CB5F20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18,1   </w:t>
            </w:r>
          </w:p>
        </w:tc>
        <w:tc>
          <w:tcPr>
            <w:tcW w:w="936" w:type="dxa"/>
            <w:tcBorders>
              <w:top w:val="nil"/>
              <w:left w:val="nil"/>
              <w:bottom w:val="single" w:sz="4" w:space="0" w:color="000000"/>
              <w:right w:val="nil"/>
            </w:tcBorders>
            <w:shd w:val="clear" w:color="auto" w:fill="auto"/>
            <w:vAlign w:val="center"/>
          </w:tcPr>
          <w:p w14:paraId="5B13356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10,8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AF3E2F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-49,7%</w:t>
            </w:r>
          </w:p>
        </w:tc>
        <w:tc>
          <w:tcPr>
            <w:tcW w:w="1243" w:type="dxa"/>
            <w:tcBorders>
              <w:top w:val="nil"/>
              <w:left w:val="nil"/>
              <w:bottom w:val="single" w:sz="4" w:space="0" w:color="000000"/>
              <w:right w:val="single" w:sz="4" w:space="0" w:color="000000"/>
            </w:tcBorders>
            <w:shd w:val="clear" w:color="auto" w:fill="auto"/>
            <w:vAlign w:val="center"/>
          </w:tcPr>
          <w:p w14:paraId="4956186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-44,6%</w:t>
            </w:r>
          </w:p>
        </w:tc>
      </w:tr>
      <w:tr w:rsidR="00A0251B" w:rsidRPr="00CC35F0" w14:paraId="2402DEA1"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0B5EA1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3DE3259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4E26D20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42540FC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   </w:t>
            </w:r>
          </w:p>
        </w:tc>
        <w:tc>
          <w:tcPr>
            <w:tcW w:w="936" w:type="dxa"/>
            <w:tcBorders>
              <w:top w:val="nil"/>
              <w:left w:val="nil"/>
              <w:bottom w:val="single" w:sz="4" w:space="0" w:color="000000"/>
              <w:right w:val="single" w:sz="4" w:space="0" w:color="000000"/>
            </w:tcBorders>
            <w:shd w:val="clear" w:color="auto" w:fill="auto"/>
            <w:vAlign w:val="center"/>
          </w:tcPr>
          <w:p w14:paraId="2DEE898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331EF56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nil"/>
            </w:tcBorders>
            <w:shd w:val="clear" w:color="auto" w:fill="auto"/>
            <w:vAlign w:val="center"/>
          </w:tcPr>
          <w:p w14:paraId="45B8755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079473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-13,5%</w:t>
            </w:r>
          </w:p>
        </w:tc>
        <w:tc>
          <w:tcPr>
            <w:tcW w:w="1243" w:type="dxa"/>
            <w:tcBorders>
              <w:top w:val="nil"/>
              <w:left w:val="nil"/>
              <w:bottom w:val="single" w:sz="4" w:space="0" w:color="000000"/>
              <w:right w:val="single" w:sz="4" w:space="0" w:color="000000"/>
            </w:tcBorders>
            <w:shd w:val="clear" w:color="auto" w:fill="auto"/>
            <w:vAlign w:val="center"/>
          </w:tcPr>
          <w:p w14:paraId="57AD076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-13,2%</w:t>
            </w:r>
          </w:p>
        </w:tc>
      </w:tr>
      <w:tr w:rsidR="00A0251B" w:rsidRPr="00CC35F0" w14:paraId="6F7C1118"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D238DE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7807680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0,8   </w:t>
            </w:r>
          </w:p>
        </w:tc>
        <w:tc>
          <w:tcPr>
            <w:tcW w:w="936" w:type="dxa"/>
            <w:tcBorders>
              <w:top w:val="nil"/>
              <w:left w:val="nil"/>
              <w:bottom w:val="single" w:sz="4" w:space="0" w:color="000000"/>
              <w:right w:val="single" w:sz="4" w:space="0" w:color="000000"/>
            </w:tcBorders>
            <w:shd w:val="clear" w:color="auto" w:fill="auto"/>
            <w:vAlign w:val="center"/>
          </w:tcPr>
          <w:p w14:paraId="4F2DB1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36" w:type="dxa"/>
            <w:tcBorders>
              <w:top w:val="nil"/>
              <w:left w:val="nil"/>
              <w:bottom w:val="single" w:sz="4" w:space="0" w:color="000000"/>
              <w:right w:val="single" w:sz="4" w:space="0" w:color="000000"/>
            </w:tcBorders>
            <w:shd w:val="clear" w:color="auto" w:fill="auto"/>
            <w:vAlign w:val="center"/>
          </w:tcPr>
          <w:p w14:paraId="2707EB7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4" w:space="0" w:color="000000"/>
            </w:tcBorders>
            <w:shd w:val="clear" w:color="auto" w:fill="auto"/>
            <w:vAlign w:val="center"/>
          </w:tcPr>
          <w:p w14:paraId="75DFEA5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single" w:sz="4" w:space="0" w:color="000000"/>
            </w:tcBorders>
            <w:shd w:val="clear" w:color="auto" w:fill="auto"/>
            <w:vAlign w:val="center"/>
          </w:tcPr>
          <w:p w14:paraId="2A2F31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36" w:type="dxa"/>
            <w:tcBorders>
              <w:top w:val="nil"/>
              <w:left w:val="nil"/>
              <w:bottom w:val="single" w:sz="4" w:space="0" w:color="000000"/>
              <w:right w:val="nil"/>
            </w:tcBorders>
            <w:shd w:val="clear" w:color="auto" w:fill="auto"/>
            <w:vAlign w:val="center"/>
          </w:tcPr>
          <w:p w14:paraId="6F919A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FE9CC7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c>
          <w:tcPr>
            <w:tcW w:w="1243" w:type="dxa"/>
            <w:tcBorders>
              <w:top w:val="nil"/>
              <w:left w:val="nil"/>
              <w:bottom w:val="single" w:sz="4" w:space="0" w:color="000000"/>
              <w:right w:val="single" w:sz="4" w:space="0" w:color="000000"/>
            </w:tcBorders>
            <w:shd w:val="clear" w:color="auto" w:fill="auto"/>
            <w:vAlign w:val="center"/>
          </w:tcPr>
          <w:p w14:paraId="075553C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97,5%</w:t>
            </w:r>
          </w:p>
        </w:tc>
      </w:tr>
      <w:tr w:rsidR="00A0251B" w:rsidRPr="00CC35F0" w14:paraId="1288264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5A8C61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36C3803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936" w:type="dxa"/>
            <w:tcBorders>
              <w:top w:val="nil"/>
              <w:left w:val="nil"/>
              <w:bottom w:val="single" w:sz="4" w:space="0" w:color="000000"/>
              <w:right w:val="single" w:sz="4" w:space="0" w:color="000000"/>
            </w:tcBorders>
            <w:shd w:val="clear" w:color="auto" w:fill="auto"/>
            <w:vAlign w:val="center"/>
          </w:tcPr>
          <w:p w14:paraId="051AE2D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4" w:space="0" w:color="000000"/>
            </w:tcBorders>
            <w:shd w:val="clear" w:color="auto" w:fill="auto"/>
            <w:vAlign w:val="center"/>
          </w:tcPr>
          <w:p w14:paraId="737C838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single" w:sz="4" w:space="0" w:color="000000"/>
            </w:tcBorders>
            <w:shd w:val="clear" w:color="auto" w:fill="auto"/>
            <w:vAlign w:val="center"/>
          </w:tcPr>
          <w:p w14:paraId="0ACDD75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2,2   </w:t>
            </w:r>
          </w:p>
        </w:tc>
        <w:tc>
          <w:tcPr>
            <w:tcW w:w="936" w:type="dxa"/>
            <w:tcBorders>
              <w:top w:val="nil"/>
              <w:left w:val="nil"/>
              <w:bottom w:val="single" w:sz="4" w:space="0" w:color="000000"/>
              <w:right w:val="single" w:sz="4" w:space="0" w:color="000000"/>
            </w:tcBorders>
            <w:shd w:val="clear" w:color="auto" w:fill="auto"/>
            <w:vAlign w:val="center"/>
          </w:tcPr>
          <w:p w14:paraId="15C9DDD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36" w:type="dxa"/>
            <w:tcBorders>
              <w:top w:val="nil"/>
              <w:left w:val="nil"/>
              <w:bottom w:val="single" w:sz="4" w:space="0" w:color="000000"/>
              <w:right w:val="nil"/>
            </w:tcBorders>
            <w:shd w:val="clear" w:color="auto" w:fill="auto"/>
            <w:vAlign w:val="center"/>
          </w:tcPr>
          <w:p w14:paraId="7C4F9F3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159D2B8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-27,6%</w:t>
            </w:r>
          </w:p>
        </w:tc>
        <w:tc>
          <w:tcPr>
            <w:tcW w:w="1243" w:type="dxa"/>
            <w:tcBorders>
              <w:top w:val="nil"/>
              <w:left w:val="nil"/>
              <w:bottom w:val="single" w:sz="4" w:space="0" w:color="000000"/>
              <w:right w:val="single" w:sz="4" w:space="0" w:color="000000"/>
            </w:tcBorders>
            <w:shd w:val="clear" w:color="auto" w:fill="auto"/>
            <w:vAlign w:val="center"/>
          </w:tcPr>
          <w:p w14:paraId="499C76D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-18,2%</w:t>
            </w:r>
          </w:p>
        </w:tc>
      </w:tr>
      <w:tr w:rsidR="00A0251B" w:rsidRPr="00CC35F0" w14:paraId="0194591B"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C30EAD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4BAD7E9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59DF1E5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5F9B7FC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6B824B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008C46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nil"/>
            </w:tcBorders>
            <w:shd w:val="clear" w:color="auto" w:fill="auto"/>
            <w:vAlign w:val="center"/>
          </w:tcPr>
          <w:p w14:paraId="208743A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03B66C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01E321C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07A73ECF"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32B1D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181E52F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E62536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D27051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CFB94B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A84AAB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0E95E2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71E64C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540CBC7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637BA50E"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6213E4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345FE5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5DE76A4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11E40B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74ABE01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00C0B8A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nil"/>
            </w:tcBorders>
            <w:shd w:val="clear" w:color="auto" w:fill="auto"/>
            <w:vAlign w:val="center"/>
          </w:tcPr>
          <w:p w14:paraId="7C77F67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13633D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-47,5%</w:t>
            </w:r>
          </w:p>
        </w:tc>
        <w:tc>
          <w:tcPr>
            <w:tcW w:w="1243" w:type="dxa"/>
            <w:tcBorders>
              <w:top w:val="nil"/>
              <w:left w:val="nil"/>
              <w:bottom w:val="single" w:sz="4" w:space="0" w:color="000000"/>
              <w:right w:val="single" w:sz="4" w:space="0" w:color="000000"/>
            </w:tcBorders>
            <w:shd w:val="clear" w:color="auto" w:fill="auto"/>
            <w:vAlign w:val="center"/>
          </w:tcPr>
          <w:p w14:paraId="37701FA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174,4%</w:t>
            </w:r>
          </w:p>
        </w:tc>
      </w:tr>
      <w:tr w:rsidR="00A0251B" w:rsidRPr="00CC35F0" w14:paraId="51D564C6"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978044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2C4994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DE22B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8B42ED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3752D9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162EAF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0ADE1D1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60FD1A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27E9DD2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16975AA2"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287F0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K_Сточарство</w:t>
            </w:r>
          </w:p>
        </w:tc>
        <w:tc>
          <w:tcPr>
            <w:tcW w:w="936" w:type="dxa"/>
            <w:tcBorders>
              <w:top w:val="nil"/>
              <w:left w:val="nil"/>
              <w:bottom w:val="single" w:sz="4" w:space="0" w:color="000000"/>
              <w:right w:val="single" w:sz="4" w:space="0" w:color="000000"/>
            </w:tcBorders>
            <w:shd w:val="clear" w:color="auto" w:fill="auto"/>
            <w:vAlign w:val="center"/>
          </w:tcPr>
          <w:p w14:paraId="3429C4A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36" w:type="dxa"/>
            <w:tcBorders>
              <w:top w:val="nil"/>
              <w:left w:val="nil"/>
              <w:bottom w:val="single" w:sz="4" w:space="0" w:color="000000"/>
              <w:right w:val="single" w:sz="4" w:space="0" w:color="000000"/>
            </w:tcBorders>
            <w:shd w:val="clear" w:color="auto" w:fill="auto"/>
            <w:vAlign w:val="center"/>
          </w:tcPr>
          <w:p w14:paraId="416A8C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2F8D59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5CAF42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single" w:sz="4" w:space="0" w:color="000000"/>
            </w:tcBorders>
            <w:shd w:val="clear" w:color="auto" w:fill="auto"/>
            <w:vAlign w:val="center"/>
          </w:tcPr>
          <w:p w14:paraId="4AA0323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   </w:t>
            </w:r>
          </w:p>
        </w:tc>
        <w:tc>
          <w:tcPr>
            <w:tcW w:w="936" w:type="dxa"/>
            <w:tcBorders>
              <w:top w:val="nil"/>
              <w:left w:val="nil"/>
              <w:bottom w:val="single" w:sz="4" w:space="0" w:color="000000"/>
              <w:right w:val="nil"/>
            </w:tcBorders>
            <w:shd w:val="clear" w:color="auto" w:fill="auto"/>
            <w:vAlign w:val="center"/>
          </w:tcPr>
          <w:p w14:paraId="7EB239F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1667CE5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w:t>
            </w:r>
          </w:p>
        </w:tc>
        <w:tc>
          <w:tcPr>
            <w:tcW w:w="1243" w:type="dxa"/>
            <w:tcBorders>
              <w:top w:val="nil"/>
              <w:left w:val="nil"/>
              <w:bottom w:val="single" w:sz="4" w:space="0" w:color="000000"/>
              <w:right w:val="single" w:sz="4" w:space="0" w:color="000000"/>
            </w:tcBorders>
            <w:shd w:val="clear" w:color="auto" w:fill="auto"/>
            <w:vAlign w:val="center"/>
          </w:tcPr>
          <w:p w14:paraId="2762DBC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w:t>
            </w:r>
          </w:p>
        </w:tc>
      </w:tr>
      <w:tr w:rsidR="00A0251B" w:rsidRPr="00CC35F0" w14:paraId="6B71F58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77CC8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193033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7,3   </w:t>
            </w:r>
          </w:p>
        </w:tc>
        <w:tc>
          <w:tcPr>
            <w:tcW w:w="936" w:type="dxa"/>
            <w:tcBorders>
              <w:top w:val="nil"/>
              <w:left w:val="nil"/>
              <w:bottom w:val="single" w:sz="4" w:space="0" w:color="000000"/>
              <w:right w:val="single" w:sz="4" w:space="0" w:color="000000"/>
            </w:tcBorders>
            <w:shd w:val="clear" w:color="auto" w:fill="auto"/>
            <w:vAlign w:val="center"/>
          </w:tcPr>
          <w:p w14:paraId="69230D4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13,0   </w:t>
            </w:r>
          </w:p>
        </w:tc>
        <w:tc>
          <w:tcPr>
            <w:tcW w:w="936" w:type="dxa"/>
            <w:tcBorders>
              <w:top w:val="nil"/>
              <w:left w:val="nil"/>
              <w:bottom w:val="single" w:sz="4" w:space="0" w:color="000000"/>
              <w:right w:val="single" w:sz="4" w:space="0" w:color="000000"/>
            </w:tcBorders>
            <w:shd w:val="clear" w:color="auto" w:fill="auto"/>
            <w:vAlign w:val="center"/>
          </w:tcPr>
          <w:p w14:paraId="00C1464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single" w:sz="4" w:space="0" w:color="000000"/>
            </w:tcBorders>
            <w:shd w:val="clear" w:color="auto" w:fill="auto"/>
            <w:vAlign w:val="center"/>
          </w:tcPr>
          <w:p w14:paraId="11B27B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9,4   </w:t>
            </w:r>
          </w:p>
        </w:tc>
        <w:tc>
          <w:tcPr>
            <w:tcW w:w="936" w:type="dxa"/>
            <w:tcBorders>
              <w:top w:val="nil"/>
              <w:left w:val="nil"/>
              <w:bottom w:val="single" w:sz="4" w:space="0" w:color="000000"/>
              <w:right w:val="single" w:sz="4" w:space="0" w:color="000000"/>
            </w:tcBorders>
            <w:shd w:val="clear" w:color="auto" w:fill="auto"/>
            <w:vAlign w:val="center"/>
          </w:tcPr>
          <w:p w14:paraId="07387F3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5,4   </w:t>
            </w:r>
          </w:p>
        </w:tc>
        <w:tc>
          <w:tcPr>
            <w:tcW w:w="936" w:type="dxa"/>
            <w:tcBorders>
              <w:top w:val="nil"/>
              <w:left w:val="nil"/>
              <w:bottom w:val="single" w:sz="4" w:space="0" w:color="000000"/>
              <w:right w:val="nil"/>
            </w:tcBorders>
            <w:shd w:val="clear" w:color="auto" w:fill="auto"/>
            <w:vAlign w:val="center"/>
          </w:tcPr>
          <w:p w14:paraId="1D7562A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B56273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-58,8%</w:t>
            </w:r>
          </w:p>
        </w:tc>
        <w:tc>
          <w:tcPr>
            <w:tcW w:w="1243" w:type="dxa"/>
            <w:tcBorders>
              <w:top w:val="nil"/>
              <w:left w:val="nil"/>
              <w:bottom w:val="single" w:sz="4" w:space="0" w:color="000000"/>
              <w:right w:val="single" w:sz="4" w:space="0" w:color="000000"/>
            </w:tcBorders>
            <w:shd w:val="clear" w:color="auto" w:fill="auto"/>
            <w:vAlign w:val="center"/>
          </w:tcPr>
          <w:p w14:paraId="732B9EA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-26,7%</w:t>
            </w:r>
          </w:p>
        </w:tc>
      </w:tr>
      <w:tr w:rsidR="00A0251B" w:rsidRPr="00CC35F0" w14:paraId="0AE14345"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DE466D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0E4A7EF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56,0   </w:t>
            </w:r>
          </w:p>
        </w:tc>
        <w:tc>
          <w:tcPr>
            <w:tcW w:w="936" w:type="dxa"/>
            <w:tcBorders>
              <w:top w:val="nil"/>
              <w:left w:val="single" w:sz="4" w:space="0" w:color="000000"/>
              <w:bottom w:val="single" w:sz="4" w:space="0" w:color="000000"/>
              <w:right w:val="nil"/>
            </w:tcBorders>
            <w:shd w:val="clear" w:color="auto" w:fill="auto"/>
            <w:vAlign w:val="center"/>
          </w:tcPr>
          <w:p w14:paraId="5AF5349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76,9   </w:t>
            </w:r>
          </w:p>
        </w:tc>
        <w:tc>
          <w:tcPr>
            <w:tcW w:w="936" w:type="dxa"/>
            <w:tcBorders>
              <w:top w:val="nil"/>
              <w:left w:val="single" w:sz="4" w:space="0" w:color="000000"/>
              <w:bottom w:val="single" w:sz="4" w:space="0" w:color="000000"/>
              <w:right w:val="nil"/>
            </w:tcBorders>
            <w:shd w:val="clear" w:color="auto" w:fill="auto"/>
            <w:vAlign w:val="center"/>
          </w:tcPr>
          <w:p w14:paraId="0BEFC93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79,5   </w:t>
            </w:r>
          </w:p>
        </w:tc>
        <w:tc>
          <w:tcPr>
            <w:tcW w:w="936" w:type="dxa"/>
            <w:tcBorders>
              <w:top w:val="nil"/>
              <w:left w:val="single" w:sz="4" w:space="0" w:color="000000"/>
              <w:bottom w:val="single" w:sz="4" w:space="0" w:color="000000"/>
              <w:right w:val="nil"/>
            </w:tcBorders>
            <w:shd w:val="clear" w:color="auto" w:fill="auto"/>
            <w:vAlign w:val="center"/>
          </w:tcPr>
          <w:p w14:paraId="09082C7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60,1   </w:t>
            </w:r>
          </w:p>
        </w:tc>
        <w:tc>
          <w:tcPr>
            <w:tcW w:w="936" w:type="dxa"/>
            <w:tcBorders>
              <w:top w:val="nil"/>
              <w:left w:val="single" w:sz="4" w:space="0" w:color="000000"/>
              <w:bottom w:val="single" w:sz="4" w:space="0" w:color="000000"/>
              <w:right w:val="nil"/>
            </w:tcBorders>
            <w:shd w:val="clear" w:color="auto" w:fill="auto"/>
            <w:vAlign w:val="center"/>
          </w:tcPr>
          <w:p w14:paraId="199D812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37,7   </w:t>
            </w:r>
          </w:p>
        </w:tc>
        <w:tc>
          <w:tcPr>
            <w:tcW w:w="936" w:type="dxa"/>
            <w:tcBorders>
              <w:top w:val="nil"/>
              <w:left w:val="single" w:sz="4" w:space="0" w:color="000000"/>
              <w:bottom w:val="single" w:sz="4" w:space="0" w:color="000000"/>
              <w:right w:val="nil"/>
            </w:tcBorders>
            <w:shd w:val="clear" w:color="auto" w:fill="auto"/>
            <w:vAlign w:val="center"/>
          </w:tcPr>
          <w:p w14:paraId="4A70A56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29,0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E868ABA"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-50,9%</w:t>
            </w:r>
          </w:p>
        </w:tc>
        <w:tc>
          <w:tcPr>
            <w:tcW w:w="1243" w:type="dxa"/>
            <w:tcBorders>
              <w:top w:val="nil"/>
              <w:left w:val="nil"/>
              <w:bottom w:val="single" w:sz="4" w:space="0" w:color="000000"/>
              <w:right w:val="single" w:sz="4" w:space="0" w:color="000000"/>
            </w:tcBorders>
            <w:shd w:val="clear" w:color="auto" w:fill="auto"/>
            <w:vAlign w:val="center"/>
          </w:tcPr>
          <w:p w14:paraId="6A84FCC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-32,6%</w:t>
            </w:r>
          </w:p>
        </w:tc>
      </w:tr>
    </w:tbl>
    <w:p w14:paraId="7EDE68A8" w14:textId="77777777" w:rsidR="00A0251B" w:rsidRPr="00CC35F0" w:rsidRDefault="00A0251B">
      <w:pPr>
        <w:rPr>
          <w:rFonts w:ascii="Times New Roman" w:eastAsia="Times New Roman" w:hAnsi="Times New Roman"/>
          <w:sz w:val="24"/>
          <w:szCs w:val="24"/>
          <w:lang w:val="sr-Cyrl-CS"/>
        </w:rPr>
      </w:pPr>
    </w:p>
    <w:p w14:paraId="3561F6E2"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p w14:paraId="0A490DB4" w14:textId="77777777" w:rsidR="00A0251B" w:rsidRPr="00CC35F0" w:rsidRDefault="00A0251B">
      <w:pPr>
        <w:rPr>
          <w:rFonts w:ascii="Times New Roman" w:eastAsia="Times New Roman" w:hAnsi="Times New Roman"/>
          <w:sz w:val="24"/>
          <w:szCs w:val="24"/>
          <w:lang w:val="sr-Cyrl-CS"/>
        </w:rPr>
      </w:pPr>
    </w:p>
    <w:tbl>
      <w:tblPr>
        <w:tblStyle w:val="afffff5"/>
        <w:tblW w:w="10046" w:type="dxa"/>
        <w:tblLayout w:type="fixed"/>
        <w:tblLook w:val="0400" w:firstRow="0" w:lastRow="0" w:firstColumn="0" w:lastColumn="0" w:noHBand="0" w:noVBand="1"/>
      </w:tblPr>
      <w:tblGrid>
        <w:gridCol w:w="2040"/>
        <w:gridCol w:w="920"/>
        <w:gridCol w:w="920"/>
        <w:gridCol w:w="920"/>
        <w:gridCol w:w="920"/>
        <w:gridCol w:w="920"/>
        <w:gridCol w:w="920"/>
        <w:gridCol w:w="1243"/>
        <w:gridCol w:w="1243"/>
      </w:tblGrid>
      <w:tr w:rsidR="00A0251B" w:rsidRPr="00CC35F0" w14:paraId="6A78CF02" w14:textId="77777777">
        <w:trPr>
          <w:trHeight w:val="250"/>
        </w:trPr>
        <w:tc>
          <w:tcPr>
            <w:tcW w:w="2040" w:type="dxa"/>
            <w:tcBorders>
              <w:top w:val="nil"/>
              <w:left w:val="nil"/>
              <w:bottom w:val="single" w:sz="4" w:space="0" w:color="000000"/>
              <w:right w:val="nil"/>
            </w:tcBorders>
            <w:shd w:val="clear" w:color="auto" w:fill="FFFFFF"/>
            <w:vAlign w:val="center"/>
          </w:tcPr>
          <w:p w14:paraId="2F9F5E7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Емисије PM</w:t>
            </w:r>
            <w:r w:rsidRPr="00CC35F0">
              <w:rPr>
                <w:rFonts w:ascii="Times New Roman" w:eastAsia="Times New Roman" w:hAnsi="Times New Roman"/>
                <w:b/>
                <w:sz w:val="24"/>
                <w:szCs w:val="24"/>
                <w:vertAlign w:val="subscript"/>
                <w:lang w:val="sr-Cyrl-CS"/>
              </w:rPr>
              <w:t>2.5</w:t>
            </w:r>
            <w:r w:rsidRPr="00CC35F0">
              <w:rPr>
                <w:rFonts w:ascii="Times New Roman" w:eastAsia="Times New Roman" w:hAnsi="Times New Roman"/>
                <w:b/>
                <w:sz w:val="24"/>
                <w:szCs w:val="24"/>
                <w:lang w:val="sr-Cyrl-CS"/>
              </w:rPr>
              <w:t xml:space="preserve"> </w:t>
            </w:r>
          </w:p>
        </w:tc>
        <w:tc>
          <w:tcPr>
            <w:tcW w:w="920" w:type="dxa"/>
            <w:tcBorders>
              <w:top w:val="nil"/>
              <w:left w:val="nil"/>
              <w:bottom w:val="nil"/>
              <w:right w:val="nil"/>
            </w:tcBorders>
            <w:shd w:val="clear" w:color="auto" w:fill="FFFFFF"/>
            <w:vAlign w:val="center"/>
          </w:tcPr>
          <w:p w14:paraId="0FF7342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19977B0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6356A4D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0DFF816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1E146BC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10780BA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single" w:sz="4" w:space="0" w:color="000000"/>
              <w:right w:val="nil"/>
            </w:tcBorders>
            <w:shd w:val="clear" w:color="auto" w:fill="FFFFFF"/>
            <w:vAlign w:val="center"/>
          </w:tcPr>
          <w:p w14:paraId="68632B3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3F7E470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4B261C2E" w14:textId="77777777">
        <w:trPr>
          <w:trHeight w:val="360"/>
        </w:trPr>
        <w:tc>
          <w:tcPr>
            <w:tcW w:w="2040" w:type="dxa"/>
            <w:tcBorders>
              <w:top w:val="nil"/>
              <w:left w:val="single" w:sz="4" w:space="0" w:color="000000"/>
              <w:bottom w:val="nil"/>
              <w:right w:val="single" w:sz="4" w:space="0" w:color="000000"/>
            </w:tcBorders>
            <w:shd w:val="clear" w:color="auto" w:fill="DAEEF3"/>
            <w:vAlign w:val="center"/>
          </w:tcPr>
          <w:p w14:paraId="37AA614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WEM </w:t>
            </w:r>
          </w:p>
        </w:tc>
        <w:tc>
          <w:tcPr>
            <w:tcW w:w="920" w:type="dxa"/>
            <w:tcBorders>
              <w:top w:val="single" w:sz="4" w:space="0" w:color="000000"/>
              <w:left w:val="nil"/>
              <w:bottom w:val="single" w:sz="4" w:space="0" w:color="000000"/>
              <w:right w:val="nil"/>
            </w:tcBorders>
            <w:shd w:val="clear" w:color="auto" w:fill="DAEEF3"/>
            <w:vAlign w:val="center"/>
          </w:tcPr>
          <w:p w14:paraId="1E62F40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5538877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74B18850"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59C76C1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528A47C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20" w:type="dxa"/>
            <w:tcBorders>
              <w:top w:val="single" w:sz="4" w:space="0" w:color="000000"/>
              <w:left w:val="single" w:sz="4" w:space="0" w:color="000000"/>
              <w:bottom w:val="single" w:sz="4" w:space="0" w:color="000000"/>
              <w:right w:val="single" w:sz="18" w:space="0" w:color="000000"/>
            </w:tcBorders>
            <w:shd w:val="clear" w:color="auto" w:fill="DAEEF3"/>
            <w:vAlign w:val="center"/>
          </w:tcPr>
          <w:p w14:paraId="1DEFA70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8" w:space="0" w:color="000000"/>
              <w:bottom w:val="single" w:sz="4" w:space="0" w:color="000000"/>
              <w:right w:val="single" w:sz="4" w:space="0" w:color="000000"/>
            </w:tcBorders>
            <w:shd w:val="clear" w:color="auto" w:fill="DAEEF3"/>
            <w:vAlign w:val="center"/>
          </w:tcPr>
          <w:p w14:paraId="0DE8AC2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3221863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61E59E10" w14:textId="77777777">
        <w:trPr>
          <w:trHeight w:val="250"/>
        </w:trPr>
        <w:tc>
          <w:tcPr>
            <w:tcW w:w="20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3FF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20" w:type="dxa"/>
            <w:tcBorders>
              <w:top w:val="nil"/>
              <w:left w:val="nil"/>
              <w:bottom w:val="single" w:sz="4" w:space="0" w:color="000000"/>
              <w:right w:val="single" w:sz="4" w:space="0" w:color="000000"/>
            </w:tcBorders>
            <w:shd w:val="clear" w:color="auto" w:fill="auto"/>
            <w:vAlign w:val="center"/>
          </w:tcPr>
          <w:p w14:paraId="6A47704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single" w:sz="4" w:space="0" w:color="000000"/>
            </w:tcBorders>
            <w:shd w:val="clear" w:color="auto" w:fill="auto"/>
            <w:vAlign w:val="center"/>
          </w:tcPr>
          <w:p w14:paraId="51ABDDA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5,0   </w:t>
            </w:r>
          </w:p>
        </w:tc>
        <w:tc>
          <w:tcPr>
            <w:tcW w:w="920" w:type="dxa"/>
            <w:tcBorders>
              <w:top w:val="nil"/>
              <w:left w:val="nil"/>
              <w:bottom w:val="single" w:sz="4" w:space="0" w:color="000000"/>
              <w:right w:val="single" w:sz="4" w:space="0" w:color="000000"/>
            </w:tcBorders>
            <w:shd w:val="clear" w:color="auto" w:fill="auto"/>
            <w:vAlign w:val="center"/>
          </w:tcPr>
          <w:p w14:paraId="4962A1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5,0   </w:t>
            </w:r>
          </w:p>
        </w:tc>
        <w:tc>
          <w:tcPr>
            <w:tcW w:w="920" w:type="dxa"/>
            <w:tcBorders>
              <w:top w:val="nil"/>
              <w:left w:val="nil"/>
              <w:bottom w:val="single" w:sz="4" w:space="0" w:color="000000"/>
              <w:right w:val="single" w:sz="4" w:space="0" w:color="000000"/>
            </w:tcBorders>
            <w:shd w:val="clear" w:color="auto" w:fill="auto"/>
            <w:vAlign w:val="center"/>
          </w:tcPr>
          <w:p w14:paraId="67E39C3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   </w:t>
            </w:r>
          </w:p>
        </w:tc>
        <w:tc>
          <w:tcPr>
            <w:tcW w:w="920" w:type="dxa"/>
            <w:tcBorders>
              <w:top w:val="nil"/>
              <w:left w:val="nil"/>
              <w:bottom w:val="single" w:sz="4" w:space="0" w:color="000000"/>
              <w:right w:val="single" w:sz="4" w:space="0" w:color="000000"/>
            </w:tcBorders>
            <w:shd w:val="clear" w:color="auto" w:fill="auto"/>
            <w:vAlign w:val="center"/>
          </w:tcPr>
          <w:p w14:paraId="21ED9C1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single" w:sz="18" w:space="0" w:color="000000"/>
            </w:tcBorders>
            <w:shd w:val="clear" w:color="auto" w:fill="auto"/>
            <w:vAlign w:val="center"/>
          </w:tcPr>
          <w:p w14:paraId="3388EB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6C8173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-75,1%</w:t>
            </w:r>
          </w:p>
        </w:tc>
        <w:tc>
          <w:tcPr>
            <w:tcW w:w="1243" w:type="dxa"/>
            <w:tcBorders>
              <w:top w:val="nil"/>
              <w:left w:val="nil"/>
              <w:bottom w:val="single" w:sz="4" w:space="0" w:color="000000"/>
              <w:right w:val="single" w:sz="4" w:space="0" w:color="000000"/>
            </w:tcBorders>
            <w:shd w:val="clear" w:color="auto" w:fill="auto"/>
            <w:vAlign w:val="center"/>
          </w:tcPr>
          <w:p w14:paraId="652F47E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6,3%</w:t>
            </w:r>
          </w:p>
        </w:tc>
      </w:tr>
      <w:tr w:rsidR="00A0251B" w:rsidRPr="00CC35F0" w14:paraId="12546220"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0EDBA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20" w:type="dxa"/>
            <w:tcBorders>
              <w:top w:val="nil"/>
              <w:left w:val="nil"/>
              <w:bottom w:val="single" w:sz="4" w:space="0" w:color="000000"/>
              <w:right w:val="single" w:sz="4" w:space="0" w:color="000000"/>
            </w:tcBorders>
            <w:shd w:val="clear" w:color="auto" w:fill="auto"/>
            <w:vAlign w:val="center"/>
          </w:tcPr>
          <w:p w14:paraId="7B1505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   </w:t>
            </w:r>
          </w:p>
        </w:tc>
        <w:tc>
          <w:tcPr>
            <w:tcW w:w="920" w:type="dxa"/>
            <w:tcBorders>
              <w:top w:val="nil"/>
              <w:left w:val="nil"/>
              <w:bottom w:val="single" w:sz="4" w:space="0" w:color="000000"/>
              <w:right w:val="single" w:sz="4" w:space="0" w:color="000000"/>
            </w:tcBorders>
            <w:shd w:val="clear" w:color="auto" w:fill="auto"/>
            <w:vAlign w:val="center"/>
          </w:tcPr>
          <w:p w14:paraId="70817BB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4,2   </w:t>
            </w:r>
          </w:p>
        </w:tc>
        <w:tc>
          <w:tcPr>
            <w:tcW w:w="920" w:type="dxa"/>
            <w:tcBorders>
              <w:top w:val="nil"/>
              <w:left w:val="nil"/>
              <w:bottom w:val="single" w:sz="4" w:space="0" w:color="000000"/>
              <w:right w:val="single" w:sz="4" w:space="0" w:color="000000"/>
            </w:tcBorders>
            <w:shd w:val="clear" w:color="auto" w:fill="auto"/>
            <w:vAlign w:val="center"/>
          </w:tcPr>
          <w:p w14:paraId="3273B82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4,8   </w:t>
            </w:r>
          </w:p>
        </w:tc>
        <w:tc>
          <w:tcPr>
            <w:tcW w:w="920" w:type="dxa"/>
            <w:tcBorders>
              <w:top w:val="nil"/>
              <w:left w:val="nil"/>
              <w:bottom w:val="single" w:sz="4" w:space="0" w:color="000000"/>
              <w:right w:val="single" w:sz="4" w:space="0" w:color="000000"/>
            </w:tcBorders>
            <w:shd w:val="clear" w:color="auto" w:fill="auto"/>
            <w:vAlign w:val="center"/>
          </w:tcPr>
          <w:p w14:paraId="1C6D861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20" w:type="dxa"/>
            <w:tcBorders>
              <w:top w:val="nil"/>
              <w:left w:val="nil"/>
              <w:bottom w:val="single" w:sz="4" w:space="0" w:color="000000"/>
              <w:right w:val="single" w:sz="4" w:space="0" w:color="000000"/>
            </w:tcBorders>
            <w:shd w:val="clear" w:color="auto" w:fill="auto"/>
            <w:vAlign w:val="center"/>
          </w:tcPr>
          <w:p w14:paraId="30BD0D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   </w:t>
            </w:r>
          </w:p>
        </w:tc>
        <w:tc>
          <w:tcPr>
            <w:tcW w:w="920" w:type="dxa"/>
            <w:tcBorders>
              <w:top w:val="nil"/>
              <w:left w:val="nil"/>
              <w:bottom w:val="single" w:sz="4" w:space="0" w:color="000000"/>
              <w:right w:val="single" w:sz="18" w:space="0" w:color="000000"/>
            </w:tcBorders>
            <w:shd w:val="clear" w:color="auto" w:fill="auto"/>
            <w:vAlign w:val="center"/>
          </w:tcPr>
          <w:p w14:paraId="5FB5DA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E9167B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-50,8%</w:t>
            </w:r>
          </w:p>
        </w:tc>
        <w:tc>
          <w:tcPr>
            <w:tcW w:w="1243" w:type="dxa"/>
            <w:tcBorders>
              <w:top w:val="nil"/>
              <w:left w:val="nil"/>
              <w:bottom w:val="single" w:sz="4" w:space="0" w:color="000000"/>
              <w:right w:val="single" w:sz="4" w:space="0" w:color="000000"/>
            </w:tcBorders>
            <w:shd w:val="clear" w:color="auto" w:fill="auto"/>
            <w:vAlign w:val="center"/>
          </w:tcPr>
          <w:p w14:paraId="0B45DDA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-29,8%</w:t>
            </w:r>
          </w:p>
        </w:tc>
      </w:tr>
      <w:tr w:rsidR="00A0251B" w:rsidRPr="00CC35F0" w14:paraId="40B4D393" w14:textId="77777777">
        <w:trPr>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A452A0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20" w:type="dxa"/>
            <w:tcBorders>
              <w:top w:val="nil"/>
              <w:left w:val="nil"/>
              <w:bottom w:val="single" w:sz="4" w:space="0" w:color="000000"/>
              <w:right w:val="single" w:sz="4" w:space="0" w:color="000000"/>
            </w:tcBorders>
            <w:shd w:val="clear" w:color="auto" w:fill="auto"/>
            <w:vAlign w:val="center"/>
          </w:tcPr>
          <w:p w14:paraId="5A6A6EE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31,8   </w:t>
            </w:r>
          </w:p>
        </w:tc>
        <w:tc>
          <w:tcPr>
            <w:tcW w:w="920" w:type="dxa"/>
            <w:tcBorders>
              <w:top w:val="nil"/>
              <w:left w:val="nil"/>
              <w:bottom w:val="single" w:sz="4" w:space="0" w:color="000000"/>
              <w:right w:val="single" w:sz="4" w:space="0" w:color="000000"/>
            </w:tcBorders>
            <w:shd w:val="clear" w:color="auto" w:fill="auto"/>
            <w:vAlign w:val="center"/>
          </w:tcPr>
          <w:p w14:paraId="402CEF9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35,0   </w:t>
            </w:r>
          </w:p>
        </w:tc>
        <w:tc>
          <w:tcPr>
            <w:tcW w:w="920" w:type="dxa"/>
            <w:tcBorders>
              <w:top w:val="nil"/>
              <w:left w:val="nil"/>
              <w:bottom w:val="single" w:sz="4" w:space="0" w:color="000000"/>
              <w:right w:val="single" w:sz="4" w:space="0" w:color="000000"/>
            </w:tcBorders>
            <w:shd w:val="clear" w:color="auto" w:fill="auto"/>
            <w:vAlign w:val="center"/>
          </w:tcPr>
          <w:p w14:paraId="16EFD6F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35,9   </w:t>
            </w:r>
          </w:p>
        </w:tc>
        <w:tc>
          <w:tcPr>
            <w:tcW w:w="920" w:type="dxa"/>
            <w:tcBorders>
              <w:top w:val="nil"/>
              <w:left w:val="nil"/>
              <w:bottom w:val="single" w:sz="4" w:space="0" w:color="000000"/>
              <w:right w:val="single" w:sz="4" w:space="0" w:color="000000"/>
            </w:tcBorders>
            <w:shd w:val="clear" w:color="auto" w:fill="auto"/>
            <w:vAlign w:val="center"/>
          </w:tcPr>
          <w:p w14:paraId="0A15645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35,1   </w:t>
            </w:r>
          </w:p>
        </w:tc>
        <w:tc>
          <w:tcPr>
            <w:tcW w:w="920" w:type="dxa"/>
            <w:tcBorders>
              <w:top w:val="nil"/>
              <w:left w:val="nil"/>
              <w:bottom w:val="single" w:sz="4" w:space="0" w:color="000000"/>
              <w:right w:val="single" w:sz="4" w:space="0" w:color="000000"/>
            </w:tcBorders>
            <w:shd w:val="clear" w:color="auto" w:fill="auto"/>
            <w:vAlign w:val="center"/>
          </w:tcPr>
          <w:p w14:paraId="71B65AE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33,7   </w:t>
            </w:r>
          </w:p>
        </w:tc>
        <w:tc>
          <w:tcPr>
            <w:tcW w:w="920" w:type="dxa"/>
            <w:tcBorders>
              <w:top w:val="nil"/>
              <w:left w:val="nil"/>
              <w:bottom w:val="single" w:sz="4" w:space="0" w:color="000000"/>
              <w:right w:val="single" w:sz="18" w:space="0" w:color="000000"/>
            </w:tcBorders>
            <w:shd w:val="clear" w:color="auto" w:fill="auto"/>
            <w:vAlign w:val="center"/>
          </w:tcPr>
          <w:p w14:paraId="7BCB3EB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33,6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F30EB3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-3,7%</w:t>
            </w:r>
          </w:p>
        </w:tc>
        <w:tc>
          <w:tcPr>
            <w:tcW w:w="1243" w:type="dxa"/>
            <w:tcBorders>
              <w:top w:val="nil"/>
              <w:left w:val="nil"/>
              <w:bottom w:val="single" w:sz="4" w:space="0" w:color="000000"/>
              <w:right w:val="single" w:sz="4" w:space="0" w:color="000000"/>
            </w:tcBorders>
            <w:shd w:val="clear" w:color="auto" w:fill="auto"/>
            <w:vAlign w:val="center"/>
          </w:tcPr>
          <w:p w14:paraId="52BD3C0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6,0%</w:t>
            </w:r>
          </w:p>
        </w:tc>
      </w:tr>
      <w:tr w:rsidR="00A0251B" w:rsidRPr="00CC35F0" w14:paraId="3A1E80C1"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42591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20" w:type="dxa"/>
            <w:tcBorders>
              <w:top w:val="nil"/>
              <w:left w:val="nil"/>
              <w:bottom w:val="single" w:sz="4" w:space="0" w:color="000000"/>
              <w:right w:val="single" w:sz="4" w:space="0" w:color="000000"/>
            </w:tcBorders>
            <w:shd w:val="clear" w:color="auto" w:fill="auto"/>
            <w:vAlign w:val="center"/>
          </w:tcPr>
          <w:p w14:paraId="605E336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18E6115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4D340F2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6136D94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103A983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18" w:space="0" w:color="000000"/>
            </w:tcBorders>
            <w:shd w:val="clear" w:color="auto" w:fill="auto"/>
            <w:vAlign w:val="center"/>
          </w:tcPr>
          <w:p w14:paraId="32EF4A6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1054C7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-48,0%</w:t>
            </w:r>
          </w:p>
        </w:tc>
        <w:tc>
          <w:tcPr>
            <w:tcW w:w="1243" w:type="dxa"/>
            <w:tcBorders>
              <w:top w:val="nil"/>
              <w:left w:val="nil"/>
              <w:bottom w:val="single" w:sz="4" w:space="0" w:color="000000"/>
              <w:right w:val="single" w:sz="4" w:space="0" w:color="000000"/>
            </w:tcBorders>
            <w:shd w:val="clear" w:color="auto" w:fill="auto"/>
            <w:vAlign w:val="center"/>
          </w:tcPr>
          <w:p w14:paraId="6354752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-55,3%</w:t>
            </w:r>
          </w:p>
        </w:tc>
      </w:tr>
      <w:tr w:rsidR="00A0251B" w:rsidRPr="00CC35F0" w14:paraId="462FD7A3"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3F3E391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20" w:type="dxa"/>
            <w:tcBorders>
              <w:top w:val="nil"/>
              <w:left w:val="nil"/>
              <w:bottom w:val="single" w:sz="4" w:space="0" w:color="000000"/>
              <w:right w:val="single" w:sz="4" w:space="0" w:color="000000"/>
            </w:tcBorders>
            <w:shd w:val="clear" w:color="auto" w:fill="auto"/>
            <w:vAlign w:val="center"/>
          </w:tcPr>
          <w:p w14:paraId="512009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tcBorders>
              <w:top w:val="nil"/>
              <w:left w:val="nil"/>
              <w:bottom w:val="single" w:sz="4" w:space="0" w:color="000000"/>
              <w:right w:val="single" w:sz="4" w:space="0" w:color="000000"/>
            </w:tcBorders>
            <w:shd w:val="clear" w:color="auto" w:fill="auto"/>
            <w:vAlign w:val="center"/>
          </w:tcPr>
          <w:p w14:paraId="551B784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20" w:type="dxa"/>
            <w:tcBorders>
              <w:top w:val="nil"/>
              <w:left w:val="nil"/>
              <w:bottom w:val="single" w:sz="4" w:space="0" w:color="000000"/>
              <w:right w:val="single" w:sz="4" w:space="0" w:color="000000"/>
            </w:tcBorders>
            <w:shd w:val="clear" w:color="auto" w:fill="auto"/>
            <w:vAlign w:val="center"/>
          </w:tcPr>
          <w:p w14:paraId="19E1567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4" w:space="0" w:color="000000"/>
            </w:tcBorders>
            <w:shd w:val="clear" w:color="auto" w:fill="auto"/>
            <w:vAlign w:val="center"/>
          </w:tcPr>
          <w:p w14:paraId="74BFE36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4" w:space="0" w:color="000000"/>
            </w:tcBorders>
            <w:shd w:val="clear" w:color="auto" w:fill="auto"/>
            <w:vAlign w:val="center"/>
          </w:tcPr>
          <w:p w14:paraId="0084F3F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18" w:space="0" w:color="000000"/>
            </w:tcBorders>
            <w:shd w:val="clear" w:color="auto" w:fill="auto"/>
            <w:vAlign w:val="center"/>
          </w:tcPr>
          <w:p w14:paraId="079102A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611FC76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27,8%</w:t>
            </w:r>
          </w:p>
        </w:tc>
        <w:tc>
          <w:tcPr>
            <w:tcW w:w="1243" w:type="dxa"/>
            <w:tcBorders>
              <w:top w:val="nil"/>
              <w:left w:val="nil"/>
              <w:bottom w:val="single" w:sz="4" w:space="0" w:color="000000"/>
              <w:right w:val="single" w:sz="4" w:space="0" w:color="000000"/>
            </w:tcBorders>
            <w:shd w:val="clear" w:color="auto" w:fill="auto"/>
            <w:vAlign w:val="center"/>
          </w:tcPr>
          <w:p w14:paraId="1B311CF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105,8%</w:t>
            </w:r>
          </w:p>
        </w:tc>
      </w:tr>
      <w:tr w:rsidR="00A0251B" w:rsidRPr="00CC35F0" w14:paraId="079139A6" w14:textId="77777777">
        <w:trPr>
          <w:trHeight w:val="290"/>
        </w:trPr>
        <w:tc>
          <w:tcPr>
            <w:tcW w:w="2040" w:type="dxa"/>
            <w:tcBorders>
              <w:top w:val="nil"/>
              <w:left w:val="single" w:sz="4" w:space="0" w:color="000000"/>
              <w:bottom w:val="single" w:sz="4" w:space="0" w:color="000000"/>
              <w:right w:val="single" w:sz="4" w:space="0" w:color="000000"/>
            </w:tcBorders>
            <w:shd w:val="clear" w:color="auto" w:fill="auto"/>
            <w:vAlign w:val="center"/>
          </w:tcPr>
          <w:p w14:paraId="347067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20" w:type="dxa"/>
            <w:tcBorders>
              <w:top w:val="nil"/>
              <w:left w:val="nil"/>
              <w:bottom w:val="single" w:sz="4" w:space="0" w:color="000000"/>
              <w:right w:val="single" w:sz="4" w:space="0" w:color="000000"/>
            </w:tcBorders>
            <w:shd w:val="clear" w:color="auto" w:fill="auto"/>
            <w:vAlign w:val="center"/>
          </w:tcPr>
          <w:p w14:paraId="5748FAE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20" w:type="dxa"/>
            <w:tcBorders>
              <w:top w:val="nil"/>
              <w:left w:val="nil"/>
              <w:bottom w:val="single" w:sz="4" w:space="0" w:color="000000"/>
              <w:right w:val="single" w:sz="4" w:space="0" w:color="000000"/>
            </w:tcBorders>
            <w:shd w:val="clear" w:color="auto" w:fill="auto"/>
            <w:vAlign w:val="center"/>
          </w:tcPr>
          <w:p w14:paraId="25CF4F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   </w:t>
            </w:r>
          </w:p>
        </w:tc>
        <w:tc>
          <w:tcPr>
            <w:tcW w:w="920" w:type="dxa"/>
            <w:tcBorders>
              <w:top w:val="nil"/>
              <w:left w:val="nil"/>
              <w:bottom w:val="single" w:sz="4" w:space="0" w:color="000000"/>
              <w:right w:val="single" w:sz="4" w:space="0" w:color="000000"/>
            </w:tcBorders>
            <w:shd w:val="clear" w:color="auto" w:fill="auto"/>
            <w:vAlign w:val="center"/>
          </w:tcPr>
          <w:p w14:paraId="1D2BE54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   </w:t>
            </w:r>
          </w:p>
        </w:tc>
        <w:tc>
          <w:tcPr>
            <w:tcW w:w="920" w:type="dxa"/>
            <w:tcBorders>
              <w:top w:val="nil"/>
              <w:left w:val="nil"/>
              <w:bottom w:val="single" w:sz="4" w:space="0" w:color="000000"/>
              <w:right w:val="single" w:sz="4" w:space="0" w:color="000000"/>
            </w:tcBorders>
            <w:shd w:val="clear" w:color="auto" w:fill="auto"/>
            <w:vAlign w:val="center"/>
          </w:tcPr>
          <w:p w14:paraId="3807EE2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20" w:type="dxa"/>
            <w:tcBorders>
              <w:top w:val="nil"/>
              <w:left w:val="nil"/>
              <w:bottom w:val="single" w:sz="4" w:space="0" w:color="000000"/>
              <w:right w:val="single" w:sz="4" w:space="0" w:color="000000"/>
            </w:tcBorders>
            <w:shd w:val="clear" w:color="auto" w:fill="auto"/>
            <w:vAlign w:val="center"/>
          </w:tcPr>
          <w:p w14:paraId="2348E0D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18" w:space="0" w:color="000000"/>
            </w:tcBorders>
            <w:shd w:val="clear" w:color="auto" w:fill="auto"/>
            <w:vAlign w:val="center"/>
          </w:tcPr>
          <w:p w14:paraId="3DE7075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6311E0B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-36,2%</w:t>
            </w:r>
          </w:p>
        </w:tc>
        <w:tc>
          <w:tcPr>
            <w:tcW w:w="1243" w:type="dxa"/>
            <w:tcBorders>
              <w:top w:val="nil"/>
              <w:left w:val="nil"/>
              <w:bottom w:val="single" w:sz="4" w:space="0" w:color="000000"/>
              <w:right w:val="single" w:sz="4" w:space="0" w:color="000000"/>
            </w:tcBorders>
            <w:shd w:val="clear" w:color="auto" w:fill="auto"/>
            <w:vAlign w:val="center"/>
          </w:tcPr>
          <w:p w14:paraId="3FE677D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-32,5%</w:t>
            </w:r>
          </w:p>
        </w:tc>
      </w:tr>
      <w:tr w:rsidR="00A0251B" w:rsidRPr="00CC35F0" w14:paraId="62190A11"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695D390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20" w:type="dxa"/>
            <w:tcBorders>
              <w:top w:val="nil"/>
              <w:left w:val="nil"/>
              <w:bottom w:val="single" w:sz="4" w:space="0" w:color="000000"/>
              <w:right w:val="single" w:sz="4" w:space="0" w:color="000000"/>
            </w:tcBorders>
            <w:shd w:val="clear" w:color="auto" w:fill="auto"/>
            <w:vAlign w:val="center"/>
          </w:tcPr>
          <w:p w14:paraId="38624D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2E437CD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6E1A1CE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7AD486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463853E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18" w:space="0" w:color="000000"/>
            </w:tcBorders>
            <w:shd w:val="clear" w:color="auto" w:fill="auto"/>
            <w:vAlign w:val="center"/>
          </w:tcPr>
          <w:p w14:paraId="79F6E34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F7A4DB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620482C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7599578E"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5A413D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20" w:type="dxa"/>
            <w:tcBorders>
              <w:top w:val="nil"/>
              <w:left w:val="nil"/>
              <w:bottom w:val="single" w:sz="4" w:space="0" w:color="000000"/>
              <w:right w:val="single" w:sz="4" w:space="0" w:color="000000"/>
            </w:tcBorders>
            <w:shd w:val="clear" w:color="auto" w:fill="auto"/>
            <w:vAlign w:val="center"/>
          </w:tcPr>
          <w:p w14:paraId="329A7E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6BFB26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1D0A03B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243D626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61F55BA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18" w:space="0" w:color="000000"/>
            </w:tcBorders>
            <w:shd w:val="clear" w:color="auto" w:fill="auto"/>
            <w:vAlign w:val="center"/>
          </w:tcPr>
          <w:p w14:paraId="1CCA7CD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F236BF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2CF2B1B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28B756A2" w14:textId="77777777">
        <w:trPr>
          <w:trHeight w:val="31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6C0CF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20" w:type="dxa"/>
            <w:tcBorders>
              <w:top w:val="nil"/>
              <w:left w:val="nil"/>
              <w:bottom w:val="single" w:sz="4" w:space="0" w:color="000000"/>
              <w:right w:val="single" w:sz="4" w:space="0" w:color="000000"/>
            </w:tcBorders>
            <w:shd w:val="clear" w:color="auto" w:fill="auto"/>
            <w:vAlign w:val="center"/>
          </w:tcPr>
          <w:p w14:paraId="7DEF11F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57918F1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062C4FF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6D035C1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34F0B72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18" w:space="0" w:color="000000"/>
            </w:tcBorders>
            <w:shd w:val="clear" w:color="auto" w:fill="auto"/>
            <w:vAlign w:val="center"/>
          </w:tcPr>
          <w:p w14:paraId="11AEE9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E492B8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-21,5%</w:t>
            </w:r>
          </w:p>
        </w:tc>
        <w:tc>
          <w:tcPr>
            <w:tcW w:w="1243" w:type="dxa"/>
            <w:tcBorders>
              <w:top w:val="nil"/>
              <w:left w:val="nil"/>
              <w:bottom w:val="single" w:sz="4" w:space="0" w:color="000000"/>
              <w:right w:val="single" w:sz="4" w:space="0" w:color="000000"/>
            </w:tcBorders>
            <w:shd w:val="clear" w:color="auto" w:fill="auto"/>
            <w:vAlign w:val="center"/>
          </w:tcPr>
          <w:p w14:paraId="5817EBA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316,3%</w:t>
            </w:r>
          </w:p>
        </w:tc>
      </w:tr>
      <w:tr w:rsidR="00A0251B" w:rsidRPr="00CC35F0" w14:paraId="74AF68F9"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C8341D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20" w:type="dxa"/>
            <w:tcBorders>
              <w:top w:val="nil"/>
              <w:left w:val="nil"/>
              <w:bottom w:val="single" w:sz="4" w:space="0" w:color="000000"/>
              <w:right w:val="single" w:sz="4" w:space="0" w:color="000000"/>
            </w:tcBorders>
            <w:shd w:val="clear" w:color="auto" w:fill="auto"/>
            <w:vAlign w:val="center"/>
          </w:tcPr>
          <w:p w14:paraId="7281CFC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790C52F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68D6BEF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1169EF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280ADBC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18" w:space="0" w:color="000000"/>
            </w:tcBorders>
            <w:shd w:val="clear" w:color="auto" w:fill="auto"/>
            <w:vAlign w:val="center"/>
          </w:tcPr>
          <w:p w14:paraId="439D85F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D28D1B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7202E8F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57962B1A" w14:textId="77777777">
        <w:trPr>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085B096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20" w:type="dxa"/>
            <w:tcBorders>
              <w:top w:val="nil"/>
              <w:left w:val="nil"/>
              <w:bottom w:val="single" w:sz="4" w:space="0" w:color="000000"/>
              <w:right w:val="single" w:sz="4" w:space="0" w:color="000000"/>
            </w:tcBorders>
            <w:shd w:val="clear" w:color="auto" w:fill="auto"/>
            <w:vAlign w:val="center"/>
          </w:tcPr>
          <w:p w14:paraId="2783778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tcBorders>
              <w:top w:val="nil"/>
              <w:left w:val="nil"/>
              <w:bottom w:val="single" w:sz="4" w:space="0" w:color="000000"/>
              <w:right w:val="single" w:sz="4" w:space="0" w:color="000000"/>
            </w:tcBorders>
            <w:shd w:val="clear" w:color="auto" w:fill="auto"/>
            <w:vAlign w:val="center"/>
          </w:tcPr>
          <w:p w14:paraId="798D2C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37FA3F6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166020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00D24BC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18" w:space="0" w:color="000000"/>
            </w:tcBorders>
            <w:shd w:val="clear" w:color="auto" w:fill="auto"/>
            <w:vAlign w:val="center"/>
          </w:tcPr>
          <w:p w14:paraId="1EB24E0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9689E5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-14,5%</w:t>
            </w:r>
          </w:p>
        </w:tc>
        <w:tc>
          <w:tcPr>
            <w:tcW w:w="1243" w:type="dxa"/>
            <w:tcBorders>
              <w:top w:val="nil"/>
              <w:left w:val="nil"/>
              <w:bottom w:val="single" w:sz="4" w:space="0" w:color="000000"/>
              <w:right w:val="single" w:sz="4" w:space="0" w:color="000000"/>
            </w:tcBorders>
            <w:shd w:val="clear" w:color="auto" w:fill="auto"/>
            <w:vAlign w:val="center"/>
          </w:tcPr>
          <w:p w14:paraId="7D8E4FB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-42,5%</w:t>
            </w:r>
          </w:p>
        </w:tc>
      </w:tr>
      <w:tr w:rsidR="00A0251B" w:rsidRPr="00CC35F0" w14:paraId="41A44589"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370060A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20" w:type="dxa"/>
            <w:tcBorders>
              <w:top w:val="nil"/>
              <w:left w:val="nil"/>
              <w:bottom w:val="single" w:sz="4" w:space="0" w:color="000000"/>
              <w:right w:val="single" w:sz="4" w:space="0" w:color="000000"/>
            </w:tcBorders>
            <w:shd w:val="clear" w:color="auto" w:fill="auto"/>
            <w:vAlign w:val="center"/>
          </w:tcPr>
          <w:p w14:paraId="2489E40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   </w:t>
            </w:r>
          </w:p>
        </w:tc>
        <w:tc>
          <w:tcPr>
            <w:tcW w:w="920" w:type="dxa"/>
            <w:tcBorders>
              <w:top w:val="nil"/>
              <w:left w:val="nil"/>
              <w:bottom w:val="single" w:sz="4" w:space="0" w:color="000000"/>
              <w:right w:val="single" w:sz="4" w:space="0" w:color="000000"/>
            </w:tcBorders>
            <w:shd w:val="clear" w:color="auto" w:fill="auto"/>
            <w:vAlign w:val="center"/>
          </w:tcPr>
          <w:p w14:paraId="58FEB5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7,5   </w:t>
            </w:r>
          </w:p>
        </w:tc>
        <w:tc>
          <w:tcPr>
            <w:tcW w:w="920" w:type="dxa"/>
            <w:tcBorders>
              <w:top w:val="nil"/>
              <w:left w:val="nil"/>
              <w:bottom w:val="single" w:sz="4" w:space="0" w:color="000000"/>
              <w:right w:val="single" w:sz="4" w:space="0" w:color="000000"/>
            </w:tcBorders>
            <w:shd w:val="clear" w:color="auto" w:fill="auto"/>
            <w:vAlign w:val="center"/>
          </w:tcPr>
          <w:p w14:paraId="3E8D218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20" w:type="dxa"/>
            <w:tcBorders>
              <w:top w:val="nil"/>
              <w:left w:val="nil"/>
              <w:bottom w:val="single" w:sz="4" w:space="0" w:color="000000"/>
              <w:right w:val="single" w:sz="4" w:space="0" w:color="000000"/>
            </w:tcBorders>
            <w:shd w:val="clear" w:color="auto" w:fill="auto"/>
            <w:vAlign w:val="center"/>
          </w:tcPr>
          <w:p w14:paraId="474B931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20" w:type="dxa"/>
            <w:tcBorders>
              <w:top w:val="nil"/>
              <w:left w:val="nil"/>
              <w:bottom w:val="single" w:sz="4" w:space="0" w:color="000000"/>
              <w:right w:val="single" w:sz="4" w:space="0" w:color="000000"/>
            </w:tcBorders>
            <w:shd w:val="clear" w:color="auto" w:fill="auto"/>
            <w:vAlign w:val="center"/>
          </w:tcPr>
          <w:p w14:paraId="3957379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20" w:type="dxa"/>
            <w:tcBorders>
              <w:top w:val="nil"/>
              <w:left w:val="nil"/>
              <w:bottom w:val="single" w:sz="4" w:space="0" w:color="000000"/>
              <w:right w:val="single" w:sz="18" w:space="0" w:color="000000"/>
            </w:tcBorders>
            <w:shd w:val="clear" w:color="auto" w:fill="auto"/>
            <w:vAlign w:val="center"/>
          </w:tcPr>
          <w:p w14:paraId="61FC925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1860DE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5,2%</w:t>
            </w:r>
          </w:p>
        </w:tc>
        <w:tc>
          <w:tcPr>
            <w:tcW w:w="1243" w:type="dxa"/>
            <w:tcBorders>
              <w:top w:val="nil"/>
              <w:left w:val="nil"/>
              <w:bottom w:val="single" w:sz="4" w:space="0" w:color="000000"/>
              <w:right w:val="single" w:sz="4" w:space="0" w:color="000000"/>
            </w:tcBorders>
            <w:shd w:val="clear" w:color="auto" w:fill="auto"/>
            <w:vAlign w:val="center"/>
          </w:tcPr>
          <w:p w14:paraId="7ED161D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338,0%</w:t>
            </w:r>
          </w:p>
        </w:tc>
      </w:tr>
      <w:tr w:rsidR="00A0251B" w:rsidRPr="00CC35F0" w14:paraId="57EE3C8D" w14:textId="77777777">
        <w:trPr>
          <w:trHeight w:val="26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60C622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20" w:type="dxa"/>
            <w:tcBorders>
              <w:top w:val="nil"/>
              <w:left w:val="nil"/>
              <w:bottom w:val="single" w:sz="4" w:space="0" w:color="000000"/>
              <w:right w:val="nil"/>
            </w:tcBorders>
            <w:shd w:val="clear" w:color="auto" w:fill="auto"/>
            <w:vAlign w:val="center"/>
          </w:tcPr>
          <w:p w14:paraId="341D38C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41,3   </w:t>
            </w:r>
          </w:p>
        </w:tc>
        <w:tc>
          <w:tcPr>
            <w:tcW w:w="920" w:type="dxa"/>
            <w:tcBorders>
              <w:top w:val="nil"/>
              <w:left w:val="single" w:sz="4" w:space="0" w:color="000000"/>
              <w:bottom w:val="single" w:sz="4" w:space="0" w:color="000000"/>
              <w:right w:val="nil"/>
            </w:tcBorders>
            <w:shd w:val="clear" w:color="auto" w:fill="auto"/>
            <w:vAlign w:val="center"/>
          </w:tcPr>
          <w:p w14:paraId="6018B56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55,8   </w:t>
            </w:r>
          </w:p>
        </w:tc>
        <w:tc>
          <w:tcPr>
            <w:tcW w:w="920" w:type="dxa"/>
            <w:tcBorders>
              <w:top w:val="nil"/>
              <w:left w:val="single" w:sz="4" w:space="0" w:color="000000"/>
              <w:bottom w:val="single" w:sz="4" w:space="0" w:color="000000"/>
              <w:right w:val="nil"/>
            </w:tcBorders>
            <w:shd w:val="clear" w:color="auto" w:fill="auto"/>
            <w:vAlign w:val="center"/>
          </w:tcPr>
          <w:p w14:paraId="2EF46C0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57,7   </w:t>
            </w:r>
          </w:p>
        </w:tc>
        <w:tc>
          <w:tcPr>
            <w:tcW w:w="920" w:type="dxa"/>
            <w:tcBorders>
              <w:top w:val="nil"/>
              <w:left w:val="single" w:sz="4" w:space="0" w:color="000000"/>
              <w:bottom w:val="single" w:sz="4" w:space="0" w:color="000000"/>
              <w:right w:val="nil"/>
            </w:tcBorders>
            <w:shd w:val="clear" w:color="auto" w:fill="auto"/>
            <w:vAlign w:val="center"/>
          </w:tcPr>
          <w:p w14:paraId="71E18EE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50,6   </w:t>
            </w:r>
          </w:p>
        </w:tc>
        <w:tc>
          <w:tcPr>
            <w:tcW w:w="920" w:type="dxa"/>
            <w:tcBorders>
              <w:top w:val="nil"/>
              <w:left w:val="single" w:sz="4" w:space="0" w:color="000000"/>
              <w:bottom w:val="single" w:sz="4" w:space="0" w:color="000000"/>
              <w:right w:val="nil"/>
            </w:tcBorders>
            <w:shd w:val="clear" w:color="auto" w:fill="auto"/>
            <w:vAlign w:val="center"/>
          </w:tcPr>
          <w:p w14:paraId="7533200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48,4   </w:t>
            </w:r>
          </w:p>
        </w:tc>
        <w:tc>
          <w:tcPr>
            <w:tcW w:w="920" w:type="dxa"/>
            <w:tcBorders>
              <w:top w:val="nil"/>
              <w:left w:val="single" w:sz="4" w:space="0" w:color="000000"/>
              <w:bottom w:val="single" w:sz="4" w:space="0" w:color="000000"/>
              <w:right w:val="single" w:sz="18" w:space="0" w:color="000000"/>
            </w:tcBorders>
            <w:shd w:val="clear" w:color="auto" w:fill="auto"/>
            <w:vAlign w:val="center"/>
          </w:tcPr>
          <w:p w14:paraId="455FD7A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47,9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8E0DCF1"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3588B0AA"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17,1%</w:t>
            </w:r>
          </w:p>
        </w:tc>
      </w:tr>
      <w:tr w:rsidR="00A0251B" w:rsidRPr="00CC35F0" w14:paraId="37D0E137" w14:textId="77777777">
        <w:trPr>
          <w:trHeight w:val="260"/>
        </w:trPr>
        <w:tc>
          <w:tcPr>
            <w:tcW w:w="2040" w:type="dxa"/>
            <w:tcBorders>
              <w:top w:val="nil"/>
              <w:left w:val="nil"/>
              <w:bottom w:val="nil"/>
              <w:right w:val="nil"/>
            </w:tcBorders>
            <w:shd w:val="clear" w:color="auto" w:fill="auto"/>
            <w:vAlign w:val="center"/>
          </w:tcPr>
          <w:p w14:paraId="6995E269"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920" w:type="dxa"/>
            <w:tcBorders>
              <w:top w:val="nil"/>
              <w:left w:val="nil"/>
              <w:bottom w:val="nil"/>
              <w:right w:val="nil"/>
            </w:tcBorders>
            <w:shd w:val="clear" w:color="auto" w:fill="FFFFFF"/>
            <w:vAlign w:val="center"/>
          </w:tcPr>
          <w:p w14:paraId="361BB34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5FB9A28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6F9CF8E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7406547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31E263A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5516714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5903DE8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047C839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5D2E5006" w14:textId="77777777">
        <w:trPr>
          <w:trHeight w:val="300"/>
        </w:trPr>
        <w:tc>
          <w:tcPr>
            <w:tcW w:w="2040" w:type="dxa"/>
            <w:tcBorders>
              <w:top w:val="nil"/>
              <w:left w:val="nil"/>
              <w:bottom w:val="single" w:sz="4" w:space="0" w:color="000000"/>
              <w:right w:val="nil"/>
            </w:tcBorders>
            <w:shd w:val="clear" w:color="auto" w:fill="FFFFFF"/>
            <w:vAlign w:val="center"/>
          </w:tcPr>
          <w:p w14:paraId="635CDF0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2.5</w:t>
            </w:r>
          </w:p>
        </w:tc>
        <w:tc>
          <w:tcPr>
            <w:tcW w:w="920" w:type="dxa"/>
            <w:tcBorders>
              <w:top w:val="nil"/>
              <w:left w:val="nil"/>
              <w:bottom w:val="nil"/>
              <w:right w:val="nil"/>
            </w:tcBorders>
            <w:shd w:val="clear" w:color="auto" w:fill="FFFFFF"/>
            <w:vAlign w:val="center"/>
          </w:tcPr>
          <w:p w14:paraId="7CE43C5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20" w:type="dxa"/>
            <w:tcBorders>
              <w:top w:val="nil"/>
              <w:left w:val="nil"/>
              <w:bottom w:val="nil"/>
              <w:right w:val="nil"/>
            </w:tcBorders>
            <w:shd w:val="clear" w:color="auto" w:fill="FFFFFF"/>
            <w:vAlign w:val="center"/>
          </w:tcPr>
          <w:p w14:paraId="5AECF0E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20" w:type="dxa"/>
            <w:tcBorders>
              <w:top w:val="nil"/>
              <w:left w:val="nil"/>
              <w:bottom w:val="nil"/>
              <w:right w:val="nil"/>
            </w:tcBorders>
            <w:shd w:val="clear" w:color="auto" w:fill="FFFFFF"/>
            <w:vAlign w:val="center"/>
          </w:tcPr>
          <w:p w14:paraId="4EE20F5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20" w:type="dxa"/>
            <w:tcBorders>
              <w:top w:val="nil"/>
              <w:left w:val="nil"/>
              <w:bottom w:val="nil"/>
              <w:right w:val="nil"/>
            </w:tcBorders>
            <w:shd w:val="clear" w:color="auto" w:fill="FFFFFF"/>
            <w:vAlign w:val="center"/>
          </w:tcPr>
          <w:p w14:paraId="5173D6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20" w:type="dxa"/>
            <w:tcBorders>
              <w:top w:val="nil"/>
              <w:left w:val="nil"/>
              <w:bottom w:val="nil"/>
              <w:right w:val="nil"/>
            </w:tcBorders>
            <w:shd w:val="clear" w:color="auto" w:fill="FFFFFF"/>
            <w:vAlign w:val="center"/>
          </w:tcPr>
          <w:p w14:paraId="63ED289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20" w:type="dxa"/>
            <w:tcBorders>
              <w:top w:val="nil"/>
              <w:left w:val="nil"/>
              <w:bottom w:val="nil"/>
              <w:right w:val="nil"/>
            </w:tcBorders>
            <w:shd w:val="clear" w:color="auto" w:fill="FFFFFF"/>
            <w:vAlign w:val="center"/>
          </w:tcPr>
          <w:p w14:paraId="1C3AD5F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tcBorders>
              <w:top w:val="nil"/>
              <w:left w:val="nil"/>
              <w:bottom w:val="single" w:sz="4" w:space="0" w:color="000000"/>
              <w:right w:val="nil"/>
            </w:tcBorders>
            <w:shd w:val="clear" w:color="auto" w:fill="FFFFFF"/>
            <w:vAlign w:val="center"/>
          </w:tcPr>
          <w:p w14:paraId="182F258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tcBorders>
              <w:top w:val="nil"/>
              <w:left w:val="nil"/>
              <w:bottom w:val="nil"/>
              <w:right w:val="nil"/>
            </w:tcBorders>
            <w:shd w:val="clear" w:color="auto" w:fill="FFFFFF"/>
            <w:vAlign w:val="center"/>
          </w:tcPr>
          <w:p w14:paraId="63C023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r>
      <w:tr w:rsidR="00A0251B" w:rsidRPr="00CC35F0" w14:paraId="5934FD22" w14:textId="77777777">
        <w:trPr>
          <w:trHeight w:val="270"/>
        </w:trPr>
        <w:tc>
          <w:tcPr>
            <w:tcW w:w="2040" w:type="dxa"/>
            <w:tcBorders>
              <w:top w:val="nil"/>
              <w:left w:val="single" w:sz="4" w:space="0" w:color="000000"/>
              <w:bottom w:val="nil"/>
              <w:right w:val="single" w:sz="4" w:space="0" w:color="000000"/>
            </w:tcBorders>
            <w:shd w:val="clear" w:color="auto" w:fill="DAEEF3"/>
            <w:vAlign w:val="center"/>
          </w:tcPr>
          <w:p w14:paraId="54C0E0B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WAM_A </w:t>
            </w:r>
          </w:p>
        </w:tc>
        <w:tc>
          <w:tcPr>
            <w:tcW w:w="920" w:type="dxa"/>
            <w:tcBorders>
              <w:top w:val="single" w:sz="4" w:space="0" w:color="000000"/>
              <w:left w:val="nil"/>
              <w:bottom w:val="single" w:sz="4" w:space="0" w:color="000000"/>
              <w:right w:val="nil"/>
            </w:tcBorders>
            <w:shd w:val="clear" w:color="auto" w:fill="DAEEF3"/>
            <w:vAlign w:val="center"/>
          </w:tcPr>
          <w:p w14:paraId="067A24A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16DCCF6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300E10E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26ABC11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261A7DC6"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20" w:type="dxa"/>
            <w:tcBorders>
              <w:top w:val="single" w:sz="4" w:space="0" w:color="000000"/>
              <w:left w:val="single" w:sz="4" w:space="0" w:color="000000"/>
              <w:bottom w:val="single" w:sz="4" w:space="0" w:color="000000"/>
              <w:right w:val="single" w:sz="18" w:space="0" w:color="000000"/>
            </w:tcBorders>
            <w:shd w:val="clear" w:color="auto" w:fill="DAEEF3"/>
            <w:vAlign w:val="center"/>
          </w:tcPr>
          <w:p w14:paraId="6157CB2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8" w:space="0" w:color="000000"/>
              <w:bottom w:val="single" w:sz="4" w:space="0" w:color="000000"/>
              <w:right w:val="single" w:sz="4" w:space="0" w:color="000000"/>
            </w:tcBorders>
            <w:shd w:val="clear" w:color="auto" w:fill="DAEEF3"/>
            <w:vAlign w:val="center"/>
          </w:tcPr>
          <w:p w14:paraId="001A6AA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107AFC7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5349BABC" w14:textId="77777777">
        <w:trPr>
          <w:trHeight w:val="250"/>
        </w:trPr>
        <w:tc>
          <w:tcPr>
            <w:tcW w:w="20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FF2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20" w:type="dxa"/>
            <w:tcBorders>
              <w:top w:val="nil"/>
              <w:left w:val="nil"/>
              <w:bottom w:val="single" w:sz="4" w:space="0" w:color="000000"/>
              <w:right w:val="single" w:sz="4" w:space="0" w:color="000000"/>
            </w:tcBorders>
            <w:shd w:val="clear" w:color="auto" w:fill="auto"/>
            <w:vAlign w:val="center"/>
          </w:tcPr>
          <w:p w14:paraId="0A6BB8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single" w:sz="4" w:space="0" w:color="000000"/>
            </w:tcBorders>
            <w:shd w:val="clear" w:color="auto" w:fill="auto"/>
            <w:vAlign w:val="center"/>
          </w:tcPr>
          <w:p w14:paraId="618068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5,0   </w:t>
            </w:r>
          </w:p>
        </w:tc>
        <w:tc>
          <w:tcPr>
            <w:tcW w:w="920" w:type="dxa"/>
            <w:tcBorders>
              <w:top w:val="nil"/>
              <w:left w:val="nil"/>
              <w:bottom w:val="single" w:sz="4" w:space="0" w:color="000000"/>
              <w:right w:val="single" w:sz="4" w:space="0" w:color="000000"/>
            </w:tcBorders>
            <w:shd w:val="clear" w:color="auto" w:fill="auto"/>
            <w:vAlign w:val="center"/>
          </w:tcPr>
          <w:p w14:paraId="163A617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5,0   </w:t>
            </w:r>
          </w:p>
        </w:tc>
        <w:tc>
          <w:tcPr>
            <w:tcW w:w="920" w:type="dxa"/>
            <w:tcBorders>
              <w:top w:val="nil"/>
              <w:left w:val="nil"/>
              <w:bottom w:val="single" w:sz="4" w:space="0" w:color="000000"/>
              <w:right w:val="single" w:sz="4" w:space="0" w:color="000000"/>
            </w:tcBorders>
            <w:shd w:val="clear" w:color="auto" w:fill="auto"/>
            <w:vAlign w:val="center"/>
          </w:tcPr>
          <w:p w14:paraId="58B929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   </w:t>
            </w:r>
          </w:p>
        </w:tc>
        <w:tc>
          <w:tcPr>
            <w:tcW w:w="920" w:type="dxa"/>
            <w:tcBorders>
              <w:top w:val="nil"/>
              <w:left w:val="nil"/>
              <w:bottom w:val="single" w:sz="4" w:space="0" w:color="000000"/>
              <w:right w:val="single" w:sz="4" w:space="0" w:color="000000"/>
            </w:tcBorders>
            <w:shd w:val="clear" w:color="auto" w:fill="auto"/>
            <w:vAlign w:val="center"/>
          </w:tcPr>
          <w:p w14:paraId="5276503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single" w:sz="18" w:space="0" w:color="000000"/>
            </w:tcBorders>
            <w:shd w:val="clear" w:color="auto" w:fill="auto"/>
            <w:vAlign w:val="center"/>
          </w:tcPr>
          <w:p w14:paraId="1FEF911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49CF92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-76,0%</w:t>
            </w:r>
          </w:p>
        </w:tc>
        <w:tc>
          <w:tcPr>
            <w:tcW w:w="1243" w:type="dxa"/>
            <w:tcBorders>
              <w:top w:val="nil"/>
              <w:left w:val="nil"/>
              <w:bottom w:val="single" w:sz="4" w:space="0" w:color="000000"/>
              <w:right w:val="single" w:sz="4" w:space="0" w:color="000000"/>
            </w:tcBorders>
            <w:shd w:val="clear" w:color="auto" w:fill="auto"/>
            <w:vAlign w:val="center"/>
          </w:tcPr>
          <w:p w14:paraId="550F9EB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w:t>
            </w:r>
          </w:p>
        </w:tc>
      </w:tr>
      <w:tr w:rsidR="00A0251B" w:rsidRPr="00CC35F0" w14:paraId="192E361E"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E8DA4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20" w:type="dxa"/>
            <w:tcBorders>
              <w:top w:val="nil"/>
              <w:left w:val="nil"/>
              <w:bottom w:val="single" w:sz="4" w:space="0" w:color="000000"/>
              <w:right w:val="single" w:sz="4" w:space="0" w:color="000000"/>
            </w:tcBorders>
            <w:shd w:val="clear" w:color="auto" w:fill="auto"/>
            <w:vAlign w:val="center"/>
          </w:tcPr>
          <w:p w14:paraId="2AF532A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   </w:t>
            </w:r>
          </w:p>
        </w:tc>
        <w:tc>
          <w:tcPr>
            <w:tcW w:w="920" w:type="dxa"/>
            <w:tcBorders>
              <w:top w:val="nil"/>
              <w:left w:val="nil"/>
              <w:bottom w:val="single" w:sz="4" w:space="0" w:color="000000"/>
              <w:right w:val="single" w:sz="4" w:space="0" w:color="000000"/>
            </w:tcBorders>
            <w:shd w:val="clear" w:color="auto" w:fill="auto"/>
            <w:vAlign w:val="center"/>
          </w:tcPr>
          <w:p w14:paraId="1BA554F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4,2   </w:t>
            </w:r>
          </w:p>
        </w:tc>
        <w:tc>
          <w:tcPr>
            <w:tcW w:w="920" w:type="dxa"/>
            <w:tcBorders>
              <w:top w:val="nil"/>
              <w:left w:val="nil"/>
              <w:bottom w:val="single" w:sz="4" w:space="0" w:color="000000"/>
              <w:right w:val="single" w:sz="4" w:space="0" w:color="000000"/>
            </w:tcBorders>
            <w:shd w:val="clear" w:color="auto" w:fill="auto"/>
            <w:vAlign w:val="center"/>
          </w:tcPr>
          <w:p w14:paraId="30BA2E5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4,8   </w:t>
            </w:r>
          </w:p>
        </w:tc>
        <w:tc>
          <w:tcPr>
            <w:tcW w:w="920" w:type="dxa"/>
            <w:tcBorders>
              <w:top w:val="nil"/>
              <w:left w:val="nil"/>
              <w:bottom w:val="single" w:sz="4" w:space="0" w:color="000000"/>
              <w:right w:val="single" w:sz="4" w:space="0" w:color="000000"/>
            </w:tcBorders>
            <w:shd w:val="clear" w:color="auto" w:fill="auto"/>
            <w:vAlign w:val="center"/>
          </w:tcPr>
          <w:p w14:paraId="7190EE4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20" w:type="dxa"/>
            <w:tcBorders>
              <w:top w:val="nil"/>
              <w:left w:val="nil"/>
              <w:bottom w:val="single" w:sz="4" w:space="0" w:color="000000"/>
              <w:right w:val="single" w:sz="4" w:space="0" w:color="000000"/>
            </w:tcBorders>
            <w:shd w:val="clear" w:color="auto" w:fill="auto"/>
            <w:vAlign w:val="center"/>
          </w:tcPr>
          <w:p w14:paraId="601169B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single" w:sz="18" w:space="0" w:color="000000"/>
            </w:tcBorders>
            <w:shd w:val="clear" w:color="auto" w:fill="auto"/>
            <w:vAlign w:val="center"/>
          </w:tcPr>
          <w:p w14:paraId="17106DC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6C4FB01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-70,8%</w:t>
            </w:r>
          </w:p>
        </w:tc>
        <w:tc>
          <w:tcPr>
            <w:tcW w:w="1243" w:type="dxa"/>
            <w:tcBorders>
              <w:top w:val="nil"/>
              <w:left w:val="nil"/>
              <w:bottom w:val="single" w:sz="4" w:space="0" w:color="000000"/>
              <w:right w:val="single" w:sz="4" w:space="0" w:color="000000"/>
            </w:tcBorders>
            <w:shd w:val="clear" w:color="auto" w:fill="auto"/>
            <w:vAlign w:val="center"/>
          </w:tcPr>
          <w:p w14:paraId="48239C4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-58,2%</w:t>
            </w:r>
          </w:p>
        </w:tc>
      </w:tr>
      <w:tr w:rsidR="00A0251B" w:rsidRPr="00CC35F0" w14:paraId="51D02E52" w14:textId="77777777">
        <w:trPr>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CDEE1D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20" w:type="dxa"/>
            <w:tcBorders>
              <w:top w:val="nil"/>
              <w:left w:val="nil"/>
              <w:bottom w:val="single" w:sz="4" w:space="0" w:color="000000"/>
              <w:right w:val="single" w:sz="4" w:space="0" w:color="000000"/>
            </w:tcBorders>
            <w:shd w:val="clear" w:color="auto" w:fill="auto"/>
            <w:vAlign w:val="center"/>
          </w:tcPr>
          <w:p w14:paraId="2D8A866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31,8   </w:t>
            </w:r>
          </w:p>
        </w:tc>
        <w:tc>
          <w:tcPr>
            <w:tcW w:w="920" w:type="dxa"/>
            <w:tcBorders>
              <w:top w:val="nil"/>
              <w:left w:val="nil"/>
              <w:bottom w:val="single" w:sz="4" w:space="0" w:color="000000"/>
              <w:right w:val="single" w:sz="4" w:space="0" w:color="000000"/>
            </w:tcBorders>
            <w:shd w:val="clear" w:color="auto" w:fill="auto"/>
            <w:vAlign w:val="center"/>
          </w:tcPr>
          <w:p w14:paraId="365368C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35,0   </w:t>
            </w:r>
          </w:p>
        </w:tc>
        <w:tc>
          <w:tcPr>
            <w:tcW w:w="920" w:type="dxa"/>
            <w:tcBorders>
              <w:top w:val="nil"/>
              <w:left w:val="nil"/>
              <w:bottom w:val="single" w:sz="4" w:space="0" w:color="000000"/>
              <w:right w:val="single" w:sz="4" w:space="0" w:color="000000"/>
            </w:tcBorders>
            <w:shd w:val="clear" w:color="auto" w:fill="auto"/>
            <w:vAlign w:val="center"/>
          </w:tcPr>
          <w:p w14:paraId="38E74CB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35,9   </w:t>
            </w:r>
          </w:p>
        </w:tc>
        <w:tc>
          <w:tcPr>
            <w:tcW w:w="920" w:type="dxa"/>
            <w:tcBorders>
              <w:top w:val="nil"/>
              <w:left w:val="nil"/>
              <w:bottom w:val="single" w:sz="4" w:space="0" w:color="000000"/>
              <w:right w:val="single" w:sz="4" w:space="0" w:color="000000"/>
            </w:tcBorders>
            <w:shd w:val="clear" w:color="auto" w:fill="auto"/>
            <w:vAlign w:val="center"/>
          </w:tcPr>
          <w:p w14:paraId="1C77120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33,6   </w:t>
            </w:r>
          </w:p>
        </w:tc>
        <w:tc>
          <w:tcPr>
            <w:tcW w:w="920" w:type="dxa"/>
            <w:tcBorders>
              <w:top w:val="nil"/>
              <w:left w:val="nil"/>
              <w:bottom w:val="single" w:sz="4" w:space="0" w:color="000000"/>
              <w:right w:val="single" w:sz="4" w:space="0" w:color="000000"/>
            </w:tcBorders>
            <w:shd w:val="clear" w:color="auto" w:fill="auto"/>
            <w:vAlign w:val="center"/>
          </w:tcPr>
          <w:p w14:paraId="1EFC431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25,6   </w:t>
            </w:r>
          </w:p>
        </w:tc>
        <w:tc>
          <w:tcPr>
            <w:tcW w:w="920" w:type="dxa"/>
            <w:tcBorders>
              <w:top w:val="nil"/>
              <w:left w:val="nil"/>
              <w:bottom w:val="single" w:sz="4" w:space="0" w:color="000000"/>
              <w:right w:val="single" w:sz="18" w:space="0" w:color="000000"/>
            </w:tcBorders>
            <w:shd w:val="clear" w:color="auto" w:fill="auto"/>
            <w:vAlign w:val="center"/>
          </w:tcPr>
          <w:p w14:paraId="4EA6459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18,7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BC9485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-27,0%</w:t>
            </w:r>
          </w:p>
        </w:tc>
        <w:tc>
          <w:tcPr>
            <w:tcW w:w="1243" w:type="dxa"/>
            <w:tcBorders>
              <w:top w:val="nil"/>
              <w:left w:val="nil"/>
              <w:bottom w:val="single" w:sz="4" w:space="0" w:color="000000"/>
              <w:right w:val="single" w:sz="4" w:space="0" w:color="000000"/>
            </w:tcBorders>
            <w:shd w:val="clear" w:color="auto" w:fill="auto"/>
            <w:vAlign w:val="center"/>
          </w:tcPr>
          <w:p w14:paraId="53E9F7B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-19,6%</w:t>
            </w:r>
          </w:p>
        </w:tc>
      </w:tr>
      <w:tr w:rsidR="00A0251B" w:rsidRPr="00CC35F0" w14:paraId="04C6EA62"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3A8DE4A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20" w:type="dxa"/>
            <w:tcBorders>
              <w:top w:val="nil"/>
              <w:left w:val="nil"/>
              <w:bottom w:val="single" w:sz="4" w:space="0" w:color="000000"/>
              <w:right w:val="single" w:sz="4" w:space="0" w:color="000000"/>
            </w:tcBorders>
            <w:shd w:val="clear" w:color="auto" w:fill="auto"/>
            <w:vAlign w:val="center"/>
          </w:tcPr>
          <w:p w14:paraId="7089542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5F6E17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1D7D51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6BAE6D6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1DA7164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18" w:space="0" w:color="000000"/>
            </w:tcBorders>
            <w:shd w:val="clear" w:color="auto" w:fill="auto"/>
            <w:vAlign w:val="center"/>
          </w:tcPr>
          <w:p w14:paraId="2E0F6F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13EE22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-13,1%</w:t>
            </w:r>
          </w:p>
        </w:tc>
        <w:tc>
          <w:tcPr>
            <w:tcW w:w="1243" w:type="dxa"/>
            <w:tcBorders>
              <w:top w:val="nil"/>
              <w:left w:val="nil"/>
              <w:bottom w:val="single" w:sz="4" w:space="0" w:color="000000"/>
              <w:right w:val="single" w:sz="4" w:space="0" w:color="000000"/>
            </w:tcBorders>
            <w:shd w:val="clear" w:color="auto" w:fill="auto"/>
            <w:vAlign w:val="center"/>
          </w:tcPr>
          <w:p w14:paraId="0477D8D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-25,3%</w:t>
            </w:r>
          </w:p>
        </w:tc>
      </w:tr>
      <w:tr w:rsidR="00A0251B" w:rsidRPr="00CC35F0" w14:paraId="3FD70C00"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E1A54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20" w:type="dxa"/>
            <w:tcBorders>
              <w:top w:val="nil"/>
              <w:left w:val="nil"/>
              <w:bottom w:val="single" w:sz="4" w:space="0" w:color="000000"/>
              <w:right w:val="single" w:sz="4" w:space="0" w:color="000000"/>
            </w:tcBorders>
            <w:shd w:val="clear" w:color="auto" w:fill="auto"/>
            <w:vAlign w:val="center"/>
          </w:tcPr>
          <w:p w14:paraId="331ADF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tcBorders>
              <w:top w:val="nil"/>
              <w:left w:val="nil"/>
              <w:bottom w:val="single" w:sz="4" w:space="0" w:color="000000"/>
              <w:right w:val="single" w:sz="4" w:space="0" w:color="000000"/>
            </w:tcBorders>
            <w:shd w:val="clear" w:color="auto" w:fill="auto"/>
            <w:vAlign w:val="center"/>
          </w:tcPr>
          <w:p w14:paraId="28F0324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20" w:type="dxa"/>
            <w:tcBorders>
              <w:top w:val="nil"/>
              <w:left w:val="nil"/>
              <w:bottom w:val="single" w:sz="4" w:space="0" w:color="000000"/>
              <w:right w:val="single" w:sz="4" w:space="0" w:color="000000"/>
            </w:tcBorders>
            <w:shd w:val="clear" w:color="auto" w:fill="auto"/>
            <w:vAlign w:val="center"/>
          </w:tcPr>
          <w:p w14:paraId="21C607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4" w:space="0" w:color="000000"/>
            </w:tcBorders>
            <w:shd w:val="clear" w:color="auto" w:fill="auto"/>
            <w:vAlign w:val="center"/>
          </w:tcPr>
          <w:p w14:paraId="450DBE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4" w:space="0" w:color="000000"/>
            </w:tcBorders>
            <w:shd w:val="clear" w:color="auto" w:fill="auto"/>
            <w:vAlign w:val="center"/>
          </w:tcPr>
          <w:p w14:paraId="3B5727A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18" w:space="0" w:color="000000"/>
            </w:tcBorders>
            <w:shd w:val="clear" w:color="auto" w:fill="auto"/>
            <w:vAlign w:val="center"/>
          </w:tcPr>
          <w:p w14:paraId="1999844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174FB6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27,8%</w:t>
            </w:r>
          </w:p>
        </w:tc>
        <w:tc>
          <w:tcPr>
            <w:tcW w:w="1243" w:type="dxa"/>
            <w:tcBorders>
              <w:top w:val="nil"/>
              <w:left w:val="nil"/>
              <w:bottom w:val="single" w:sz="4" w:space="0" w:color="000000"/>
              <w:right w:val="single" w:sz="4" w:space="0" w:color="000000"/>
            </w:tcBorders>
            <w:shd w:val="clear" w:color="auto" w:fill="auto"/>
            <w:vAlign w:val="center"/>
          </w:tcPr>
          <w:p w14:paraId="6FDE57B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105,8%</w:t>
            </w:r>
          </w:p>
        </w:tc>
      </w:tr>
      <w:tr w:rsidR="00A0251B" w:rsidRPr="00CC35F0" w14:paraId="57FB1CE0"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37F428A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20" w:type="dxa"/>
            <w:tcBorders>
              <w:top w:val="nil"/>
              <w:left w:val="nil"/>
              <w:bottom w:val="single" w:sz="4" w:space="0" w:color="000000"/>
              <w:right w:val="single" w:sz="4" w:space="0" w:color="000000"/>
            </w:tcBorders>
            <w:shd w:val="clear" w:color="auto" w:fill="auto"/>
            <w:vAlign w:val="center"/>
          </w:tcPr>
          <w:p w14:paraId="2CC861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20" w:type="dxa"/>
            <w:tcBorders>
              <w:top w:val="nil"/>
              <w:left w:val="nil"/>
              <w:bottom w:val="single" w:sz="4" w:space="0" w:color="000000"/>
              <w:right w:val="single" w:sz="4" w:space="0" w:color="000000"/>
            </w:tcBorders>
            <w:shd w:val="clear" w:color="auto" w:fill="auto"/>
            <w:vAlign w:val="center"/>
          </w:tcPr>
          <w:p w14:paraId="1E52C0E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   </w:t>
            </w:r>
          </w:p>
        </w:tc>
        <w:tc>
          <w:tcPr>
            <w:tcW w:w="920" w:type="dxa"/>
            <w:tcBorders>
              <w:top w:val="nil"/>
              <w:left w:val="nil"/>
              <w:bottom w:val="single" w:sz="4" w:space="0" w:color="000000"/>
              <w:right w:val="single" w:sz="4" w:space="0" w:color="000000"/>
            </w:tcBorders>
            <w:shd w:val="clear" w:color="auto" w:fill="auto"/>
            <w:vAlign w:val="center"/>
          </w:tcPr>
          <w:p w14:paraId="67C01D1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   </w:t>
            </w:r>
          </w:p>
        </w:tc>
        <w:tc>
          <w:tcPr>
            <w:tcW w:w="920" w:type="dxa"/>
            <w:tcBorders>
              <w:top w:val="nil"/>
              <w:left w:val="nil"/>
              <w:bottom w:val="single" w:sz="4" w:space="0" w:color="000000"/>
              <w:right w:val="single" w:sz="4" w:space="0" w:color="000000"/>
            </w:tcBorders>
            <w:shd w:val="clear" w:color="auto" w:fill="auto"/>
            <w:vAlign w:val="center"/>
          </w:tcPr>
          <w:p w14:paraId="5029B34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20" w:type="dxa"/>
            <w:tcBorders>
              <w:top w:val="nil"/>
              <w:left w:val="nil"/>
              <w:bottom w:val="single" w:sz="4" w:space="0" w:color="000000"/>
              <w:right w:val="single" w:sz="4" w:space="0" w:color="000000"/>
            </w:tcBorders>
            <w:shd w:val="clear" w:color="auto" w:fill="auto"/>
            <w:vAlign w:val="center"/>
          </w:tcPr>
          <w:p w14:paraId="6ACFB1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   </w:t>
            </w:r>
          </w:p>
        </w:tc>
        <w:tc>
          <w:tcPr>
            <w:tcW w:w="920" w:type="dxa"/>
            <w:tcBorders>
              <w:top w:val="nil"/>
              <w:left w:val="nil"/>
              <w:bottom w:val="single" w:sz="4" w:space="0" w:color="000000"/>
              <w:right w:val="single" w:sz="18" w:space="0" w:color="000000"/>
            </w:tcBorders>
            <w:shd w:val="clear" w:color="auto" w:fill="auto"/>
            <w:vAlign w:val="center"/>
          </w:tcPr>
          <w:p w14:paraId="3CD9DF0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D4F0EA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-41,2%</w:t>
            </w:r>
          </w:p>
        </w:tc>
        <w:tc>
          <w:tcPr>
            <w:tcW w:w="1243" w:type="dxa"/>
            <w:tcBorders>
              <w:top w:val="nil"/>
              <w:left w:val="nil"/>
              <w:bottom w:val="single" w:sz="4" w:space="0" w:color="000000"/>
              <w:right w:val="single" w:sz="4" w:space="0" w:color="000000"/>
            </w:tcBorders>
            <w:shd w:val="clear" w:color="auto" w:fill="auto"/>
            <w:vAlign w:val="center"/>
          </w:tcPr>
          <w:p w14:paraId="2CF1EC1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-37,8%</w:t>
            </w:r>
          </w:p>
        </w:tc>
      </w:tr>
      <w:tr w:rsidR="00A0251B" w:rsidRPr="00CC35F0" w14:paraId="1DB9633F"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78F94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20" w:type="dxa"/>
            <w:tcBorders>
              <w:top w:val="nil"/>
              <w:left w:val="nil"/>
              <w:bottom w:val="single" w:sz="4" w:space="0" w:color="000000"/>
              <w:right w:val="single" w:sz="4" w:space="0" w:color="000000"/>
            </w:tcBorders>
            <w:shd w:val="clear" w:color="auto" w:fill="auto"/>
            <w:vAlign w:val="center"/>
          </w:tcPr>
          <w:p w14:paraId="3A330FF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53F7EC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693A4F5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7D0365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06589FC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18" w:space="0" w:color="000000"/>
            </w:tcBorders>
            <w:shd w:val="clear" w:color="auto" w:fill="auto"/>
            <w:vAlign w:val="center"/>
          </w:tcPr>
          <w:p w14:paraId="10F5B6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D61BBF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6973E23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51FE8209"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6C211B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20" w:type="dxa"/>
            <w:tcBorders>
              <w:top w:val="nil"/>
              <w:left w:val="nil"/>
              <w:bottom w:val="single" w:sz="4" w:space="0" w:color="000000"/>
              <w:right w:val="single" w:sz="4" w:space="0" w:color="000000"/>
            </w:tcBorders>
            <w:shd w:val="clear" w:color="auto" w:fill="auto"/>
            <w:vAlign w:val="center"/>
          </w:tcPr>
          <w:p w14:paraId="4D29503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44F685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40730CD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18BFBF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0F1D1BE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18" w:space="0" w:color="000000"/>
            </w:tcBorders>
            <w:shd w:val="clear" w:color="auto" w:fill="auto"/>
            <w:vAlign w:val="center"/>
          </w:tcPr>
          <w:p w14:paraId="6AC4C4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9B878E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55023D8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1CAEFA07"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BCF7CF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20" w:type="dxa"/>
            <w:tcBorders>
              <w:top w:val="nil"/>
              <w:left w:val="nil"/>
              <w:bottom w:val="single" w:sz="4" w:space="0" w:color="000000"/>
              <w:right w:val="single" w:sz="4" w:space="0" w:color="000000"/>
            </w:tcBorders>
            <w:shd w:val="clear" w:color="auto" w:fill="auto"/>
            <w:vAlign w:val="center"/>
          </w:tcPr>
          <w:p w14:paraId="51FB016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257294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37BEA82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284500C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7A3BF01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18" w:space="0" w:color="000000"/>
            </w:tcBorders>
            <w:shd w:val="clear" w:color="auto" w:fill="auto"/>
            <w:vAlign w:val="center"/>
          </w:tcPr>
          <w:p w14:paraId="687690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79AF87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-47,8%</w:t>
            </w:r>
          </w:p>
        </w:tc>
        <w:tc>
          <w:tcPr>
            <w:tcW w:w="1243" w:type="dxa"/>
            <w:tcBorders>
              <w:top w:val="nil"/>
              <w:left w:val="nil"/>
              <w:bottom w:val="single" w:sz="4" w:space="0" w:color="000000"/>
              <w:right w:val="single" w:sz="4" w:space="0" w:color="000000"/>
            </w:tcBorders>
            <w:shd w:val="clear" w:color="auto" w:fill="auto"/>
            <w:vAlign w:val="center"/>
          </w:tcPr>
          <w:p w14:paraId="7F3B300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177,1%</w:t>
            </w:r>
          </w:p>
        </w:tc>
      </w:tr>
      <w:tr w:rsidR="00A0251B" w:rsidRPr="00CC35F0" w14:paraId="10586BBC"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FBAA4E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20" w:type="dxa"/>
            <w:tcBorders>
              <w:top w:val="nil"/>
              <w:left w:val="nil"/>
              <w:bottom w:val="single" w:sz="4" w:space="0" w:color="000000"/>
              <w:right w:val="single" w:sz="4" w:space="0" w:color="000000"/>
            </w:tcBorders>
            <w:shd w:val="clear" w:color="auto" w:fill="auto"/>
            <w:vAlign w:val="center"/>
          </w:tcPr>
          <w:p w14:paraId="3654FAE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752A206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6C29B08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16665C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6FFF0C4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18" w:space="0" w:color="000000"/>
            </w:tcBorders>
            <w:shd w:val="clear" w:color="auto" w:fill="auto"/>
            <w:vAlign w:val="center"/>
          </w:tcPr>
          <w:p w14:paraId="2686E40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FE77BB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0E81459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29B89D85" w14:textId="77777777">
        <w:trPr>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B29BAA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20" w:type="dxa"/>
            <w:tcBorders>
              <w:top w:val="nil"/>
              <w:left w:val="nil"/>
              <w:bottom w:val="single" w:sz="4" w:space="0" w:color="000000"/>
              <w:right w:val="single" w:sz="4" w:space="0" w:color="000000"/>
            </w:tcBorders>
            <w:shd w:val="clear" w:color="auto" w:fill="auto"/>
            <w:vAlign w:val="center"/>
          </w:tcPr>
          <w:p w14:paraId="7AEA6AB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tcBorders>
              <w:top w:val="nil"/>
              <w:left w:val="nil"/>
              <w:bottom w:val="single" w:sz="4" w:space="0" w:color="000000"/>
              <w:right w:val="single" w:sz="4" w:space="0" w:color="000000"/>
            </w:tcBorders>
            <w:shd w:val="clear" w:color="auto" w:fill="auto"/>
            <w:vAlign w:val="center"/>
          </w:tcPr>
          <w:p w14:paraId="0E0CC45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1AD56A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086232C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3A436E3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18" w:space="0" w:color="000000"/>
            </w:tcBorders>
            <w:shd w:val="clear" w:color="auto" w:fill="auto"/>
            <w:vAlign w:val="center"/>
          </w:tcPr>
          <w:p w14:paraId="47E8E17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C1F759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-14,5%</w:t>
            </w:r>
          </w:p>
        </w:tc>
        <w:tc>
          <w:tcPr>
            <w:tcW w:w="1243" w:type="dxa"/>
            <w:tcBorders>
              <w:top w:val="nil"/>
              <w:left w:val="nil"/>
              <w:bottom w:val="single" w:sz="4" w:space="0" w:color="000000"/>
              <w:right w:val="single" w:sz="4" w:space="0" w:color="000000"/>
            </w:tcBorders>
            <w:shd w:val="clear" w:color="auto" w:fill="auto"/>
            <w:vAlign w:val="center"/>
          </w:tcPr>
          <w:p w14:paraId="6DEFF5E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-42,5%</w:t>
            </w:r>
          </w:p>
        </w:tc>
      </w:tr>
      <w:tr w:rsidR="00A0251B" w:rsidRPr="00CC35F0" w14:paraId="449F518B"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A7FB6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L_Остала пољопривреда</w:t>
            </w:r>
          </w:p>
        </w:tc>
        <w:tc>
          <w:tcPr>
            <w:tcW w:w="920" w:type="dxa"/>
            <w:tcBorders>
              <w:top w:val="nil"/>
              <w:left w:val="nil"/>
              <w:bottom w:val="single" w:sz="4" w:space="0" w:color="000000"/>
              <w:right w:val="single" w:sz="4" w:space="0" w:color="000000"/>
            </w:tcBorders>
            <w:shd w:val="clear" w:color="auto" w:fill="auto"/>
            <w:vAlign w:val="center"/>
          </w:tcPr>
          <w:p w14:paraId="008E2AF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   </w:t>
            </w:r>
          </w:p>
        </w:tc>
        <w:tc>
          <w:tcPr>
            <w:tcW w:w="920" w:type="dxa"/>
            <w:tcBorders>
              <w:top w:val="nil"/>
              <w:left w:val="nil"/>
              <w:bottom w:val="single" w:sz="4" w:space="0" w:color="000000"/>
              <w:right w:val="single" w:sz="4" w:space="0" w:color="000000"/>
            </w:tcBorders>
            <w:shd w:val="clear" w:color="auto" w:fill="auto"/>
            <w:vAlign w:val="center"/>
          </w:tcPr>
          <w:p w14:paraId="6913DFF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7,5   </w:t>
            </w:r>
          </w:p>
        </w:tc>
        <w:tc>
          <w:tcPr>
            <w:tcW w:w="920" w:type="dxa"/>
            <w:tcBorders>
              <w:top w:val="nil"/>
              <w:left w:val="nil"/>
              <w:bottom w:val="single" w:sz="4" w:space="0" w:color="000000"/>
              <w:right w:val="single" w:sz="4" w:space="0" w:color="000000"/>
            </w:tcBorders>
            <w:shd w:val="clear" w:color="auto" w:fill="auto"/>
            <w:vAlign w:val="center"/>
          </w:tcPr>
          <w:p w14:paraId="3A84A99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20" w:type="dxa"/>
            <w:tcBorders>
              <w:top w:val="nil"/>
              <w:left w:val="nil"/>
              <w:bottom w:val="single" w:sz="4" w:space="0" w:color="000000"/>
              <w:right w:val="single" w:sz="4" w:space="0" w:color="000000"/>
            </w:tcBorders>
            <w:shd w:val="clear" w:color="auto" w:fill="auto"/>
            <w:vAlign w:val="center"/>
          </w:tcPr>
          <w:p w14:paraId="0E6B63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20" w:type="dxa"/>
            <w:tcBorders>
              <w:top w:val="nil"/>
              <w:left w:val="nil"/>
              <w:bottom w:val="single" w:sz="4" w:space="0" w:color="000000"/>
              <w:right w:val="single" w:sz="4" w:space="0" w:color="000000"/>
            </w:tcBorders>
            <w:shd w:val="clear" w:color="auto" w:fill="auto"/>
            <w:vAlign w:val="center"/>
          </w:tcPr>
          <w:p w14:paraId="48C93E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20" w:type="dxa"/>
            <w:tcBorders>
              <w:top w:val="nil"/>
              <w:left w:val="nil"/>
              <w:bottom w:val="single" w:sz="4" w:space="0" w:color="000000"/>
              <w:right w:val="single" w:sz="18" w:space="0" w:color="000000"/>
            </w:tcBorders>
            <w:shd w:val="clear" w:color="auto" w:fill="auto"/>
            <w:vAlign w:val="center"/>
          </w:tcPr>
          <w:p w14:paraId="6B6A87B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0E67DE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5,2%</w:t>
            </w:r>
          </w:p>
        </w:tc>
        <w:tc>
          <w:tcPr>
            <w:tcW w:w="1243" w:type="dxa"/>
            <w:tcBorders>
              <w:top w:val="nil"/>
              <w:left w:val="nil"/>
              <w:bottom w:val="single" w:sz="4" w:space="0" w:color="000000"/>
              <w:right w:val="single" w:sz="4" w:space="0" w:color="000000"/>
            </w:tcBorders>
            <w:shd w:val="clear" w:color="auto" w:fill="auto"/>
            <w:vAlign w:val="center"/>
          </w:tcPr>
          <w:p w14:paraId="557A01A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338,0%</w:t>
            </w:r>
          </w:p>
        </w:tc>
      </w:tr>
      <w:tr w:rsidR="00A0251B" w:rsidRPr="00CC35F0" w14:paraId="4809C5C8" w14:textId="77777777">
        <w:trPr>
          <w:trHeight w:val="26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F08197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20" w:type="dxa"/>
            <w:tcBorders>
              <w:top w:val="nil"/>
              <w:left w:val="nil"/>
              <w:bottom w:val="single" w:sz="4" w:space="0" w:color="000000"/>
              <w:right w:val="nil"/>
            </w:tcBorders>
            <w:shd w:val="clear" w:color="auto" w:fill="auto"/>
            <w:vAlign w:val="center"/>
          </w:tcPr>
          <w:p w14:paraId="64C5A72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41,3   </w:t>
            </w:r>
          </w:p>
        </w:tc>
        <w:tc>
          <w:tcPr>
            <w:tcW w:w="920" w:type="dxa"/>
            <w:tcBorders>
              <w:top w:val="nil"/>
              <w:left w:val="single" w:sz="4" w:space="0" w:color="000000"/>
              <w:bottom w:val="single" w:sz="4" w:space="0" w:color="000000"/>
              <w:right w:val="nil"/>
            </w:tcBorders>
            <w:shd w:val="clear" w:color="auto" w:fill="auto"/>
            <w:vAlign w:val="center"/>
          </w:tcPr>
          <w:p w14:paraId="0DAA2A2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55,8   </w:t>
            </w:r>
          </w:p>
        </w:tc>
        <w:tc>
          <w:tcPr>
            <w:tcW w:w="920" w:type="dxa"/>
            <w:tcBorders>
              <w:top w:val="nil"/>
              <w:left w:val="single" w:sz="4" w:space="0" w:color="000000"/>
              <w:bottom w:val="single" w:sz="4" w:space="0" w:color="000000"/>
              <w:right w:val="nil"/>
            </w:tcBorders>
            <w:shd w:val="clear" w:color="auto" w:fill="auto"/>
            <w:vAlign w:val="center"/>
          </w:tcPr>
          <w:p w14:paraId="541F1F3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57,7   </w:t>
            </w:r>
          </w:p>
        </w:tc>
        <w:tc>
          <w:tcPr>
            <w:tcW w:w="920" w:type="dxa"/>
            <w:tcBorders>
              <w:top w:val="nil"/>
              <w:left w:val="single" w:sz="4" w:space="0" w:color="000000"/>
              <w:bottom w:val="single" w:sz="4" w:space="0" w:color="000000"/>
              <w:right w:val="nil"/>
            </w:tcBorders>
            <w:shd w:val="clear" w:color="auto" w:fill="auto"/>
            <w:vAlign w:val="center"/>
          </w:tcPr>
          <w:p w14:paraId="48FD31A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48,7   </w:t>
            </w:r>
          </w:p>
        </w:tc>
        <w:tc>
          <w:tcPr>
            <w:tcW w:w="920" w:type="dxa"/>
            <w:tcBorders>
              <w:top w:val="nil"/>
              <w:left w:val="single" w:sz="4" w:space="0" w:color="000000"/>
              <w:bottom w:val="single" w:sz="4" w:space="0" w:color="000000"/>
              <w:right w:val="nil"/>
            </w:tcBorders>
            <w:shd w:val="clear" w:color="auto" w:fill="auto"/>
            <w:vAlign w:val="center"/>
          </w:tcPr>
          <w:p w14:paraId="3467E2F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39,2   </w:t>
            </w:r>
          </w:p>
        </w:tc>
        <w:tc>
          <w:tcPr>
            <w:tcW w:w="920" w:type="dxa"/>
            <w:tcBorders>
              <w:top w:val="nil"/>
              <w:left w:val="single" w:sz="4" w:space="0" w:color="000000"/>
              <w:bottom w:val="single" w:sz="4" w:space="0" w:color="000000"/>
              <w:right w:val="single" w:sz="18" w:space="0" w:color="000000"/>
            </w:tcBorders>
            <w:shd w:val="clear" w:color="auto" w:fill="auto"/>
            <w:vAlign w:val="center"/>
          </w:tcPr>
          <w:p w14:paraId="107ACFC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32,0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2821262"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-29,7%</w:t>
            </w:r>
          </w:p>
        </w:tc>
        <w:tc>
          <w:tcPr>
            <w:tcW w:w="1243" w:type="dxa"/>
            <w:tcBorders>
              <w:top w:val="nil"/>
              <w:left w:val="nil"/>
              <w:bottom w:val="single" w:sz="4" w:space="0" w:color="000000"/>
              <w:right w:val="single" w:sz="4" w:space="0" w:color="000000"/>
            </w:tcBorders>
            <w:shd w:val="clear" w:color="auto" w:fill="auto"/>
            <w:vAlign w:val="center"/>
          </w:tcPr>
          <w:p w14:paraId="6308149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-5,0%</w:t>
            </w:r>
          </w:p>
        </w:tc>
      </w:tr>
    </w:tbl>
    <w:p w14:paraId="39F571F5"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p w14:paraId="182197DA" w14:textId="77777777" w:rsidR="00A0251B" w:rsidRPr="00CC35F0" w:rsidRDefault="00A0251B">
      <w:pPr>
        <w:rPr>
          <w:rFonts w:ascii="Times New Roman" w:eastAsia="Times New Roman" w:hAnsi="Times New Roman"/>
          <w:sz w:val="24"/>
          <w:szCs w:val="24"/>
          <w:lang w:val="sr-Cyrl-CS"/>
        </w:rPr>
      </w:pPr>
    </w:p>
    <w:tbl>
      <w:tblPr>
        <w:tblStyle w:val="afffff6"/>
        <w:tblW w:w="10046" w:type="dxa"/>
        <w:tblLayout w:type="fixed"/>
        <w:tblLook w:val="0400" w:firstRow="0" w:lastRow="0" w:firstColumn="0" w:lastColumn="0" w:noHBand="0" w:noVBand="1"/>
      </w:tblPr>
      <w:tblGrid>
        <w:gridCol w:w="2040"/>
        <w:gridCol w:w="920"/>
        <w:gridCol w:w="920"/>
        <w:gridCol w:w="920"/>
        <w:gridCol w:w="920"/>
        <w:gridCol w:w="920"/>
        <w:gridCol w:w="920"/>
        <w:gridCol w:w="1243"/>
        <w:gridCol w:w="1243"/>
      </w:tblGrid>
      <w:tr w:rsidR="00A0251B" w:rsidRPr="00CC35F0" w14:paraId="0EE7B83D" w14:textId="77777777">
        <w:trPr>
          <w:trHeight w:val="260"/>
        </w:trPr>
        <w:tc>
          <w:tcPr>
            <w:tcW w:w="2040" w:type="dxa"/>
            <w:tcBorders>
              <w:top w:val="nil"/>
              <w:left w:val="nil"/>
              <w:bottom w:val="nil"/>
              <w:right w:val="nil"/>
            </w:tcBorders>
            <w:shd w:val="clear" w:color="auto" w:fill="FFFFFF"/>
            <w:vAlign w:val="center"/>
          </w:tcPr>
          <w:p w14:paraId="5BCB437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1FE8DC3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4355009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2F04C68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6540CD7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0216E5F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4381BE4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636D797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79D8D81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7D7C9E58" w14:textId="77777777">
        <w:trPr>
          <w:trHeight w:val="260"/>
        </w:trPr>
        <w:tc>
          <w:tcPr>
            <w:tcW w:w="2040" w:type="dxa"/>
            <w:tcBorders>
              <w:top w:val="nil"/>
              <w:left w:val="nil"/>
              <w:bottom w:val="single" w:sz="4" w:space="0" w:color="000000"/>
              <w:right w:val="nil"/>
            </w:tcBorders>
            <w:shd w:val="clear" w:color="auto" w:fill="FFFFFF"/>
            <w:vAlign w:val="center"/>
          </w:tcPr>
          <w:p w14:paraId="6A93BE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2.5</w:t>
            </w:r>
          </w:p>
        </w:tc>
        <w:tc>
          <w:tcPr>
            <w:tcW w:w="920" w:type="dxa"/>
            <w:tcBorders>
              <w:top w:val="nil"/>
              <w:left w:val="nil"/>
              <w:bottom w:val="nil"/>
              <w:right w:val="nil"/>
            </w:tcBorders>
            <w:shd w:val="clear" w:color="auto" w:fill="FFFFFF"/>
            <w:vAlign w:val="center"/>
          </w:tcPr>
          <w:p w14:paraId="4104B80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6D1484F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473EAA5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4A19899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50BF883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5ED8BE0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3BFFFB6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665C498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13B15974" w14:textId="77777777">
        <w:trPr>
          <w:trHeight w:val="250"/>
        </w:trPr>
        <w:tc>
          <w:tcPr>
            <w:tcW w:w="2040" w:type="dxa"/>
            <w:tcBorders>
              <w:top w:val="nil"/>
              <w:left w:val="single" w:sz="4" w:space="0" w:color="000000"/>
              <w:bottom w:val="nil"/>
              <w:right w:val="single" w:sz="4" w:space="0" w:color="000000"/>
            </w:tcBorders>
            <w:shd w:val="clear" w:color="auto" w:fill="DAEEF3"/>
            <w:vAlign w:val="center"/>
          </w:tcPr>
          <w:p w14:paraId="30D396E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WAM_B </w:t>
            </w:r>
          </w:p>
        </w:tc>
        <w:tc>
          <w:tcPr>
            <w:tcW w:w="920" w:type="dxa"/>
            <w:tcBorders>
              <w:top w:val="single" w:sz="4" w:space="0" w:color="000000"/>
              <w:left w:val="nil"/>
              <w:bottom w:val="single" w:sz="4" w:space="0" w:color="000000"/>
              <w:right w:val="nil"/>
            </w:tcBorders>
            <w:shd w:val="clear" w:color="auto" w:fill="DAEEF3"/>
            <w:vAlign w:val="center"/>
          </w:tcPr>
          <w:p w14:paraId="4051A670"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176AF43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7D271660"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5F92568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0C0DC05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0697F6B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2" w:space="0" w:color="000000"/>
              <w:bottom w:val="single" w:sz="4" w:space="0" w:color="000000"/>
              <w:right w:val="single" w:sz="4" w:space="0" w:color="000000"/>
            </w:tcBorders>
            <w:shd w:val="clear" w:color="auto" w:fill="DAEEF3"/>
            <w:vAlign w:val="center"/>
          </w:tcPr>
          <w:p w14:paraId="0EE1682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78669D66"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0C0644DE" w14:textId="77777777">
        <w:trPr>
          <w:trHeight w:val="250"/>
        </w:trPr>
        <w:tc>
          <w:tcPr>
            <w:tcW w:w="20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1735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20" w:type="dxa"/>
            <w:tcBorders>
              <w:top w:val="nil"/>
              <w:left w:val="nil"/>
              <w:bottom w:val="single" w:sz="4" w:space="0" w:color="000000"/>
              <w:right w:val="single" w:sz="4" w:space="0" w:color="000000"/>
            </w:tcBorders>
            <w:shd w:val="clear" w:color="auto" w:fill="auto"/>
            <w:vAlign w:val="center"/>
          </w:tcPr>
          <w:p w14:paraId="3971721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single" w:sz="4" w:space="0" w:color="000000"/>
            </w:tcBorders>
            <w:shd w:val="clear" w:color="auto" w:fill="auto"/>
            <w:vAlign w:val="center"/>
          </w:tcPr>
          <w:p w14:paraId="5031E43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5,0   </w:t>
            </w:r>
          </w:p>
        </w:tc>
        <w:tc>
          <w:tcPr>
            <w:tcW w:w="920" w:type="dxa"/>
            <w:tcBorders>
              <w:top w:val="nil"/>
              <w:left w:val="nil"/>
              <w:bottom w:val="single" w:sz="4" w:space="0" w:color="000000"/>
              <w:right w:val="single" w:sz="4" w:space="0" w:color="000000"/>
            </w:tcBorders>
            <w:shd w:val="clear" w:color="auto" w:fill="auto"/>
            <w:vAlign w:val="center"/>
          </w:tcPr>
          <w:p w14:paraId="250E183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5,0   </w:t>
            </w:r>
          </w:p>
        </w:tc>
        <w:tc>
          <w:tcPr>
            <w:tcW w:w="920" w:type="dxa"/>
            <w:tcBorders>
              <w:top w:val="nil"/>
              <w:left w:val="nil"/>
              <w:bottom w:val="single" w:sz="4" w:space="0" w:color="000000"/>
              <w:right w:val="single" w:sz="4" w:space="0" w:color="000000"/>
            </w:tcBorders>
            <w:shd w:val="clear" w:color="auto" w:fill="auto"/>
            <w:vAlign w:val="center"/>
          </w:tcPr>
          <w:p w14:paraId="28C382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   </w:t>
            </w:r>
          </w:p>
        </w:tc>
        <w:tc>
          <w:tcPr>
            <w:tcW w:w="920" w:type="dxa"/>
            <w:tcBorders>
              <w:top w:val="nil"/>
              <w:left w:val="nil"/>
              <w:bottom w:val="single" w:sz="4" w:space="0" w:color="000000"/>
              <w:right w:val="single" w:sz="4" w:space="0" w:color="000000"/>
            </w:tcBorders>
            <w:shd w:val="clear" w:color="auto" w:fill="auto"/>
            <w:vAlign w:val="center"/>
          </w:tcPr>
          <w:p w14:paraId="6F72026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nil"/>
            </w:tcBorders>
            <w:shd w:val="clear" w:color="auto" w:fill="auto"/>
            <w:vAlign w:val="center"/>
          </w:tcPr>
          <w:p w14:paraId="03D3E39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72CF098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-76,2%</w:t>
            </w:r>
          </w:p>
        </w:tc>
        <w:tc>
          <w:tcPr>
            <w:tcW w:w="1243" w:type="dxa"/>
            <w:tcBorders>
              <w:top w:val="nil"/>
              <w:left w:val="nil"/>
              <w:bottom w:val="single" w:sz="4" w:space="0" w:color="000000"/>
              <w:right w:val="single" w:sz="4" w:space="0" w:color="000000"/>
            </w:tcBorders>
            <w:shd w:val="clear" w:color="auto" w:fill="auto"/>
            <w:vAlign w:val="center"/>
          </w:tcPr>
          <w:p w14:paraId="0BAD223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w:t>
            </w:r>
          </w:p>
        </w:tc>
      </w:tr>
      <w:tr w:rsidR="00A0251B" w:rsidRPr="00CC35F0" w14:paraId="3BAC9428"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678CA4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20" w:type="dxa"/>
            <w:tcBorders>
              <w:top w:val="nil"/>
              <w:left w:val="nil"/>
              <w:bottom w:val="single" w:sz="4" w:space="0" w:color="000000"/>
              <w:right w:val="single" w:sz="4" w:space="0" w:color="000000"/>
            </w:tcBorders>
            <w:shd w:val="clear" w:color="auto" w:fill="auto"/>
            <w:vAlign w:val="center"/>
          </w:tcPr>
          <w:p w14:paraId="1991C6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   </w:t>
            </w:r>
          </w:p>
        </w:tc>
        <w:tc>
          <w:tcPr>
            <w:tcW w:w="920" w:type="dxa"/>
            <w:tcBorders>
              <w:top w:val="nil"/>
              <w:left w:val="nil"/>
              <w:bottom w:val="single" w:sz="4" w:space="0" w:color="000000"/>
              <w:right w:val="single" w:sz="4" w:space="0" w:color="000000"/>
            </w:tcBorders>
            <w:shd w:val="clear" w:color="auto" w:fill="auto"/>
            <w:vAlign w:val="center"/>
          </w:tcPr>
          <w:p w14:paraId="08738B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4,2   </w:t>
            </w:r>
          </w:p>
        </w:tc>
        <w:tc>
          <w:tcPr>
            <w:tcW w:w="920" w:type="dxa"/>
            <w:tcBorders>
              <w:top w:val="nil"/>
              <w:left w:val="nil"/>
              <w:bottom w:val="single" w:sz="4" w:space="0" w:color="000000"/>
              <w:right w:val="single" w:sz="4" w:space="0" w:color="000000"/>
            </w:tcBorders>
            <w:shd w:val="clear" w:color="auto" w:fill="auto"/>
            <w:vAlign w:val="center"/>
          </w:tcPr>
          <w:p w14:paraId="53A9F3B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4,8   </w:t>
            </w:r>
          </w:p>
        </w:tc>
        <w:tc>
          <w:tcPr>
            <w:tcW w:w="920" w:type="dxa"/>
            <w:tcBorders>
              <w:top w:val="nil"/>
              <w:left w:val="nil"/>
              <w:bottom w:val="single" w:sz="4" w:space="0" w:color="000000"/>
              <w:right w:val="single" w:sz="4" w:space="0" w:color="000000"/>
            </w:tcBorders>
            <w:shd w:val="clear" w:color="auto" w:fill="auto"/>
            <w:vAlign w:val="center"/>
          </w:tcPr>
          <w:p w14:paraId="39F8BC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20" w:type="dxa"/>
            <w:tcBorders>
              <w:top w:val="nil"/>
              <w:left w:val="nil"/>
              <w:bottom w:val="single" w:sz="4" w:space="0" w:color="000000"/>
              <w:right w:val="single" w:sz="4" w:space="0" w:color="000000"/>
            </w:tcBorders>
            <w:shd w:val="clear" w:color="auto" w:fill="auto"/>
            <w:vAlign w:val="center"/>
          </w:tcPr>
          <w:p w14:paraId="1666691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   </w:t>
            </w:r>
          </w:p>
        </w:tc>
        <w:tc>
          <w:tcPr>
            <w:tcW w:w="920" w:type="dxa"/>
            <w:tcBorders>
              <w:top w:val="nil"/>
              <w:left w:val="nil"/>
              <w:bottom w:val="single" w:sz="4" w:space="0" w:color="000000"/>
              <w:right w:val="nil"/>
            </w:tcBorders>
            <w:shd w:val="clear" w:color="auto" w:fill="auto"/>
            <w:vAlign w:val="center"/>
          </w:tcPr>
          <w:p w14:paraId="71DA07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468F2C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-75,4%</w:t>
            </w:r>
          </w:p>
        </w:tc>
        <w:tc>
          <w:tcPr>
            <w:tcW w:w="1243" w:type="dxa"/>
            <w:tcBorders>
              <w:top w:val="nil"/>
              <w:left w:val="nil"/>
              <w:bottom w:val="single" w:sz="4" w:space="0" w:color="000000"/>
              <w:right w:val="single" w:sz="4" w:space="0" w:color="000000"/>
            </w:tcBorders>
            <w:shd w:val="clear" w:color="auto" w:fill="auto"/>
            <w:vAlign w:val="center"/>
          </w:tcPr>
          <w:p w14:paraId="59375B0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-64,9%</w:t>
            </w:r>
          </w:p>
        </w:tc>
      </w:tr>
      <w:tr w:rsidR="00A0251B" w:rsidRPr="00CC35F0" w14:paraId="17DB04C7" w14:textId="77777777">
        <w:trPr>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66BC903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20" w:type="dxa"/>
            <w:tcBorders>
              <w:top w:val="nil"/>
              <w:left w:val="nil"/>
              <w:bottom w:val="single" w:sz="4" w:space="0" w:color="000000"/>
              <w:right w:val="single" w:sz="4" w:space="0" w:color="000000"/>
            </w:tcBorders>
            <w:shd w:val="clear" w:color="auto" w:fill="auto"/>
            <w:vAlign w:val="center"/>
          </w:tcPr>
          <w:p w14:paraId="6AF60F2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31,8   </w:t>
            </w:r>
          </w:p>
        </w:tc>
        <w:tc>
          <w:tcPr>
            <w:tcW w:w="920" w:type="dxa"/>
            <w:tcBorders>
              <w:top w:val="nil"/>
              <w:left w:val="nil"/>
              <w:bottom w:val="single" w:sz="4" w:space="0" w:color="000000"/>
              <w:right w:val="single" w:sz="4" w:space="0" w:color="000000"/>
            </w:tcBorders>
            <w:shd w:val="clear" w:color="auto" w:fill="auto"/>
            <w:vAlign w:val="center"/>
          </w:tcPr>
          <w:p w14:paraId="7CAF742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35,0   </w:t>
            </w:r>
          </w:p>
        </w:tc>
        <w:tc>
          <w:tcPr>
            <w:tcW w:w="920" w:type="dxa"/>
            <w:tcBorders>
              <w:top w:val="nil"/>
              <w:left w:val="nil"/>
              <w:bottom w:val="single" w:sz="4" w:space="0" w:color="000000"/>
              <w:right w:val="single" w:sz="4" w:space="0" w:color="000000"/>
            </w:tcBorders>
            <w:shd w:val="clear" w:color="auto" w:fill="auto"/>
            <w:vAlign w:val="center"/>
          </w:tcPr>
          <w:p w14:paraId="7208C0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35,9   </w:t>
            </w:r>
          </w:p>
        </w:tc>
        <w:tc>
          <w:tcPr>
            <w:tcW w:w="920" w:type="dxa"/>
            <w:tcBorders>
              <w:top w:val="nil"/>
              <w:left w:val="nil"/>
              <w:bottom w:val="single" w:sz="4" w:space="0" w:color="000000"/>
              <w:right w:val="single" w:sz="4" w:space="0" w:color="000000"/>
            </w:tcBorders>
            <w:shd w:val="clear" w:color="auto" w:fill="auto"/>
            <w:vAlign w:val="center"/>
          </w:tcPr>
          <w:p w14:paraId="54D4C76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33,6   </w:t>
            </w:r>
          </w:p>
        </w:tc>
        <w:tc>
          <w:tcPr>
            <w:tcW w:w="920" w:type="dxa"/>
            <w:tcBorders>
              <w:top w:val="nil"/>
              <w:left w:val="nil"/>
              <w:bottom w:val="single" w:sz="4" w:space="0" w:color="000000"/>
              <w:right w:val="single" w:sz="4" w:space="0" w:color="000000"/>
            </w:tcBorders>
            <w:shd w:val="clear" w:color="auto" w:fill="auto"/>
            <w:vAlign w:val="center"/>
          </w:tcPr>
          <w:p w14:paraId="01F36F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18,8   </w:t>
            </w:r>
          </w:p>
        </w:tc>
        <w:tc>
          <w:tcPr>
            <w:tcW w:w="920" w:type="dxa"/>
            <w:tcBorders>
              <w:top w:val="nil"/>
              <w:left w:val="nil"/>
              <w:bottom w:val="single" w:sz="4" w:space="0" w:color="000000"/>
              <w:right w:val="nil"/>
            </w:tcBorders>
            <w:shd w:val="clear" w:color="auto" w:fill="auto"/>
            <w:vAlign w:val="center"/>
          </w:tcPr>
          <w:p w14:paraId="731A7E7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A72761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-46,2%</w:t>
            </w:r>
          </w:p>
        </w:tc>
        <w:tc>
          <w:tcPr>
            <w:tcW w:w="1243" w:type="dxa"/>
            <w:tcBorders>
              <w:top w:val="nil"/>
              <w:left w:val="nil"/>
              <w:bottom w:val="single" w:sz="4" w:space="0" w:color="000000"/>
              <w:right w:val="single" w:sz="4" w:space="0" w:color="000000"/>
            </w:tcBorders>
            <w:shd w:val="clear" w:color="auto" w:fill="auto"/>
            <w:vAlign w:val="center"/>
          </w:tcPr>
          <w:p w14:paraId="742A5A6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-40,8%</w:t>
            </w:r>
          </w:p>
        </w:tc>
      </w:tr>
      <w:tr w:rsidR="00A0251B" w:rsidRPr="00CC35F0" w14:paraId="1954BFA4"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852F46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20" w:type="dxa"/>
            <w:tcBorders>
              <w:top w:val="nil"/>
              <w:left w:val="nil"/>
              <w:bottom w:val="single" w:sz="4" w:space="0" w:color="000000"/>
              <w:right w:val="single" w:sz="4" w:space="0" w:color="000000"/>
            </w:tcBorders>
            <w:shd w:val="clear" w:color="auto" w:fill="auto"/>
            <w:vAlign w:val="center"/>
          </w:tcPr>
          <w:p w14:paraId="3175D58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108E516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3ED675D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4473E8F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2DBD0B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nil"/>
            </w:tcBorders>
            <w:shd w:val="clear" w:color="auto" w:fill="auto"/>
            <w:vAlign w:val="center"/>
          </w:tcPr>
          <w:p w14:paraId="486071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6E9D31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-11,0%</w:t>
            </w:r>
          </w:p>
        </w:tc>
        <w:tc>
          <w:tcPr>
            <w:tcW w:w="1243" w:type="dxa"/>
            <w:tcBorders>
              <w:top w:val="nil"/>
              <w:left w:val="nil"/>
              <w:bottom w:val="single" w:sz="4" w:space="0" w:color="000000"/>
              <w:right w:val="single" w:sz="4" w:space="0" w:color="000000"/>
            </w:tcBorders>
            <w:shd w:val="clear" w:color="auto" w:fill="auto"/>
            <w:vAlign w:val="center"/>
          </w:tcPr>
          <w:p w14:paraId="43546FE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-23,6%</w:t>
            </w:r>
          </w:p>
        </w:tc>
      </w:tr>
      <w:tr w:rsidR="00A0251B" w:rsidRPr="00CC35F0" w14:paraId="63C18E67"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6348B33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20" w:type="dxa"/>
            <w:tcBorders>
              <w:top w:val="nil"/>
              <w:left w:val="nil"/>
              <w:bottom w:val="single" w:sz="4" w:space="0" w:color="000000"/>
              <w:right w:val="single" w:sz="4" w:space="0" w:color="000000"/>
            </w:tcBorders>
            <w:shd w:val="clear" w:color="auto" w:fill="auto"/>
            <w:vAlign w:val="center"/>
          </w:tcPr>
          <w:p w14:paraId="770F5CF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tcBorders>
              <w:top w:val="nil"/>
              <w:left w:val="nil"/>
              <w:bottom w:val="single" w:sz="4" w:space="0" w:color="000000"/>
              <w:right w:val="single" w:sz="4" w:space="0" w:color="000000"/>
            </w:tcBorders>
            <w:shd w:val="clear" w:color="auto" w:fill="auto"/>
            <w:vAlign w:val="center"/>
          </w:tcPr>
          <w:p w14:paraId="236EDE8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20" w:type="dxa"/>
            <w:tcBorders>
              <w:top w:val="nil"/>
              <w:left w:val="nil"/>
              <w:bottom w:val="single" w:sz="4" w:space="0" w:color="000000"/>
              <w:right w:val="single" w:sz="4" w:space="0" w:color="000000"/>
            </w:tcBorders>
            <w:shd w:val="clear" w:color="auto" w:fill="auto"/>
            <w:vAlign w:val="center"/>
          </w:tcPr>
          <w:p w14:paraId="6F5BB6A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4" w:space="0" w:color="000000"/>
            </w:tcBorders>
            <w:shd w:val="clear" w:color="auto" w:fill="auto"/>
            <w:vAlign w:val="center"/>
          </w:tcPr>
          <w:p w14:paraId="2C7C490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4" w:space="0" w:color="000000"/>
            </w:tcBorders>
            <w:shd w:val="clear" w:color="auto" w:fill="auto"/>
            <w:vAlign w:val="center"/>
          </w:tcPr>
          <w:p w14:paraId="3709F89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nil"/>
            </w:tcBorders>
            <w:shd w:val="clear" w:color="auto" w:fill="auto"/>
            <w:vAlign w:val="center"/>
          </w:tcPr>
          <w:p w14:paraId="1492A66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906865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27,8%</w:t>
            </w:r>
          </w:p>
        </w:tc>
        <w:tc>
          <w:tcPr>
            <w:tcW w:w="1243" w:type="dxa"/>
            <w:tcBorders>
              <w:top w:val="nil"/>
              <w:left w:val="nil"/>
              <w:bottom w:val="single" w:sz="4" w:space="0" w:color="000000"/>
              <w:right w:val="single" w:sz="4" w:space="0" w:color="000000"/>
            </w:tcBorders>
            <w:shd w:val="clear" w:color="auto" w:fill="auto"/>
            <w:vAlign w:val="center"/>
          </w:tcPr>
          <w:p w14:paraId="6A5BEDE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105,8%</w:t>
            </w:r>
          </w:p>
        </w:tc>
      </w:tr>
      <w:tr w:rsidR="00A0251B" w:rsidRPr="00CC35F0" w14:paraId="1C72033C"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380F21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20" w:type="dxa"/>
            <w:tcBorders>
              <w:top w:val="nil"/>
              <w:left w:val="nil"/>
              <w:bottom w:val="single" w:sz="4" w:space="0" w:color="000000"/>
              <w:right w:val="single" w:sz="4" w:space="0" w:color="000000"/>
            </w:tcBorders>
            <w:shd w:val="clear" w:color="auto" w:fill="auto"/>
            <w:vAlign w:val="center"/>
          </w:tcPr>
          <w:p w14:paraId="54D3383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20" w:type="dxa"/>
            <w:tcBorders>
              <w:top w:val="nil"/>
              <w:left w:val="nil"/>
              <w:bottom w:val="single" w:sz="4" w:space="0" w:color="000000"/>
              <w:right w:val="single" w:sz="4" w:space="0" w:color="000000"/>
            </w:tcBorders>
            <w:shd w:val="clear" w:color="auto" w:fill="auto"/>
            <w:vAlign w:val="center"/>
          </w:tcPr>
          <w:p w14:paraId="461F644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   </w:t>
            </w:r>
          </w:p>
        </w:tc>
        <w:tc>
          <w:tcPr>
            <w:tcW w:w="920" w:type="dxa"/>
            <w:tcBorders>
              <w:top w:val="nil"/>
              <w:left w:val="nil"/>
              <w:bottom w:val="single" w:sz="4" w:space="0" w:color="000000"/>
              <w:right w:val="single" w:sz="4" w:space="0" w:color="000000"/>
            </w:tcBorders>
            <w:shd w:val="clear" w:color="auto" w:fill="auto"/>
            <w:vAlign w:val="center"/>
          </w:tcPr>
          <w:p w14:paraId="3D55CAC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   </w:t>
            </w:r>
          </w:p>
        </w:tc>
        <w:tc>
          <w:tcPr>
            <w:tcW w:w="920" w:type="dxa"/>
            <w:tcBorders>
              <w:top w:val="nil"/>
              <w:left w:val="nil"/>
              <w:bottom w:val="single" w:sz="4" w:space="0" w:color="000000"/>
              <w:right w:val="single" w:sz="4" w:space="0" w:color="000000"/>
            </w:tcBorders>
            <w:shd w:val="clear" w:color="auto" w:fill="auto"/>
            <w:vAlign w:val="center"/>
          </w:tcPr>
          <w:p w14:paraId="1F514B3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4" w:space="0" w:color="000000"/>
            </w:tcBorders>
            <w:shd w:val="clear" w:color="auto" w:fill="auto"/>
            <w:vAlign w:val="center"/>
          </w:tcPr>
          <w:p w14:paraId="0CBEB6A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nil"/>
            </w:tcBorders>
            <w:shd w:val="clear" w:color="auto" w:fill="auto"/>
            <w:vAlign w:val="center"/>
          </w:tcPr>
          <w:p w14:paraId="0B70DC7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3C6678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-44,0%</w:t>
            </w:r>
          </w:p>
        </w:tc>
        <w:tc>
          <w:tcPr>
            <w:tcW w:w="1243" w:type="dxa"/>
            <w:tcBorders>
              <w:top w:val="nil"/>
              <w:left w:val="nil"/>
              <w:bottom w:val="single" w:sz="4" w:space="0" w:color="000000"/>
              <w:right w:val="single" w:sz="4" w:space="0" w:color="000000"/>
            </w:tcBorders>
            <w:shd w:val="clear" w:color="auto" w:fill="auto"/>
            <w:vAlign w:val="center"/>
          </w:tcPr>
          <w:p w14:paraId="6D7E2C2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-40,8%</w:t>
            </w:r>
          </w:p>
        </w:tc>
      </w:tr>
      <w:tr w:rsidR="00A0251B" w:rsidRPr="00CC35F0" w14:paraId="367FB21A"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CF2C7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20" w:type="dxa"/>
            <w:tcBorders>
              <w:top w:val="nil"/>
              <w:left w:val="nil"/>
              <w:bottom w:val="single" w:sz="4" w:space="0" w:color="000000"/>
              <w:right w:val="single" w:sz="4" w:space="0" w:color="000000"/>
            </w:tcBorders>
            <w:shd w:val="clear" w:color="auto" w:fill="auto"/>
            <w:vAlign w:val="center"/>
          </w:tcPr>
          <w:p w14:paraId="68DD386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09C956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0C18B2F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2A95902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46C828B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nil"/>
            </w:tcBorders>
            <w:shd w:val="clear" w:color="auto" w:fill="auto"/>
            <w:vAlign w:val="center"/>
          </w:tcPr>
          <w:p w14:paraId="07CFF5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00B73E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626ACE7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31158A64"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BE067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20" w:type="dxa"/>
            <w:tcBorders>
              <w:top w:val="nil"/>
              <w:left w:val="nil"/>
              <w:bottom w:val="single" w:sz="4" w:space="0" w:color="000000"/>
              <w:right w:val="single" w:sz="4" w:space="0" w:color="000000"/>
            </w:tcBorders>
            <w:shd w:val="clear" w:color="auto" w:fill="auto"/>
            <w:vAlign w:val="center"/>
          </w:tcPr>
          <w:p w14:paraId="4AEEEA4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4A9F2E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57D3CD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7372717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0876C3D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nil"/>
            </w:tcBorders>
            <w:shd w:val="clear" w:color="auto" w:fill="auto"/>
            <w:vAlign w:val="center"/>
          </w:tcPr>
          <w:p w14:paraId="4F439CD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FE3E0F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143ADBF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60282CC8"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26AFB3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20" w:type="dxa"/>
            <w:tcBorders>
              <w:top w:val="nil"/>
              <w:left w:val="nil"/>
              <w:bottom w:val="single" w:sz="4" w:space="0" w:color="000000"/>
              <w:right w:val="single" w:sz="4" w:space="0" w:color="000000"/>
            </w:tcBorders>
            <w:shd w:val="clear" w:color="auto" w:fill="auto"/>
            <w:vAlign w:val="center"/>
          </w:tcPr>
          <w:p w14:paraId="7D3535F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7D651B2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2ACF84E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762A74B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55CDB3A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nil"/>
            </w:tcBorders>
            <w:shd w:val="clear" w:color="auto" w:fill="auto"/>
            <w:vAlign w:val="center"/>
          </w:tcPr>
          <w:p w14:paraId="4F71053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DE23E7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-47,8%</w:t>
            </w:r>
          </w:p>
        </w:tc>
        <w:tc>
          <w:tcPr>
            <w:tcW w:w="1243" w:type="dxa"/>
            <w:tcBorders>
              <w:top w:val="nil"/>
              <w:left w:val="nil"/>
              <w:bottom w:val="single" w:sz="4" w:space="0" w:color="000000"/>
              <w:right w:val="single" w:sz="4" w:space="0" w:color="000000"/>
            </w:tcBorders>
            <w:shd w:val="clear" w:color="auto" w:fill="auto"/>
            <w:vAlign w:val="center"/>
          </w:tcPr>
          <w:p w14:paraId="2B831E2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177,1%</w:t>
            </w:r>
          </w:p>
        </w:tc>
      </w:tr>
      <w:tr w:rsidR="00A0251B" w:rsidRPr="00CC35F0" w14:paraId="344D1F86"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004AEF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20" w:type="dxa"/>
            <w:tcBorders>
              <w:top w:val="nil"/>
              <w:left w:val="nil"/>
              <w:bottom w:val="single" w:sz="4" w:space="0" w:color="000000"/>
              <w:right w:val="single" w:sz="4" w:space="0" w:color="000000"/>
            </w:tcBorders>
            <w:shd w:val="clear" w:color="auto" w:fill="auto"/>
            <w:vAlign w:val="center"/>
          </w:tcPr>
          <w:p w14:paraId="55D176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5FCB717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1ACD63B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54760EE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5026CE6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nil"/>
            </w:tcBorders>
            <w:shd w:val="clear" w:color="auto" w:fill="auto"/>
            <w:vAlign w:val="center"/>
          </w:tcPr>
          <w:p w14:paraId="7BC9CD8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7DF0BD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12D5EF6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663B6E37" w14:textId="77777777">
        <w:trPr>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0DBF35D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20" w:type="dxa"/>
            <w:tcBorders>
              <w:top w:val="nil"/>
              <w:left w:val="nil"/>
              <w:bottom w:val="single" w:sz="4" w:space="0" w:color="000000"/>
              <w:right w:val="single" w:sz="4" w:space="0" w:color="000000"/>
            </w:tcBorders>
            <w:shd w:val="clear" w:color="auto" w:fill="auto"/>
            <w:vAlign w:val="center"/>
          </w:tcPr>
          <w:p w14:paraId="7B8245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tcBorders>
              <w:top w:val="nil"/>
              <w:left w:val="nil"/>
              <w:bottom w:val="single" w:sz="4" w:space="0" w:color="000000"/>
              <w:right w:val="single" w:sz="4" w:space="0" w:color="000000"/>
            </w:tcBorders>
            <w:shd w:val="clear" w:color="auto" w:fill="auto"/>
            <w:vAlign w:val="center"/>
          </w:tcPr>
          <w:p w14:paraId="4FB09CF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4582470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31EBEA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42920B9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nil"/>
            </w:tcBorders>
            <w:shd w:val="clear" w:color="auto" w:fill="auto"/>
            <w:vAlign w:val="center"/>
          </w:tcPr>
          <w:p w14:paraId="77D3C76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12954D3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-14,5%</w:t>
            </w:r>
          </w:p>
        </w:tc>
        <w:tc>
          <w:tcPr>
            <w:tcW w:w="1243" w:type="dxa"/>
            <w:tcBorders>
              <w:top w:val="nil"/>
              <w:left w:val="nil"/>
              <w:bottom w:val="single" w:sz="4" w:space="0" w:color="000000"/>
              <w:right w:val="single" w:sz="4" w:space="0" w:color="000000"/>
            </w:tcBorders>
            <w:shd w:val="clear" w:color="auto" w:fill="auto"/>
            <w:vAlign w:val="center"/>
          </w:tcPr>
          <w:p w14:paraId="04C0745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-42,5%</w:t>
            </w:r>
          </w:p>
        </w:tc>
      </w:tr>
      <w:tr w:rsidR="00A0251B" w:rsidRPr="00CC35F0" w14:paraId="791BF6EC"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1001A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20" w:type="dxa"/>
            <w:tcBorders>
              <w:top w:val="nil"/>
              <w:left w:val="nil"/>
              <w:bottom w:val="single" w:sz="4" w:space="0" w:color="000000"/>
              <w:right w:val="single" w:sz="4" w:space="0" w:color="000000"/>
            </w:tcBorders>
            <w:shd w:val="clear" w:color="auto" w:fill="auto"/>
            <w:vAlign w:val="center"/>
          </w:tcPr>
          <w:p w14:paraId="4C07ACF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   </w:t>
            </w:r>
          </w:p>
        </w:tc>
        <w:tc>
          <w:tcPr>
            <w:tcW w:w="920" w:type="dxa"/>
            <w:tcBorders>
              <w:top w:val="nil"/>
              <w:left w:val="nil"/>
              <w:bottom w:val="single" w:sz="4" w:space="0" w:color="000000"/>
              <w:right w:val="single" w:sz="4" w:space="0" w:color="000000"/>
            </w:tcBorders>
            <w:shd w:val="clear" w:color="auto" w:fill="auto"/>
            <w:vAlign w:val="center"/>
          </w:tcPr>
          <w:p w14:paraId="5D83C2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7,5   </w:t>
            </w:r>
          </w:p>
        </w:tc>
        <w:tc>
          <w:tcPr>
            <w:tcW w:w="920" w:type="dxa"/>
            <w:tcBorders>
              <w:top w:val="nil"/>
              <w:left w:val="nil"/>
              <w:bottom w:val="single" w:sz="4" w:space="0" w:color="000000"/>
              <w:right w:val="single" w:sz="4" w:space="0" w:color="000000"/>
            </w:tcBorders>
            <w:shd w:val="clear" w:color="auto" w:fill="auto"/>
            <w:vAlign w:val="center"/>
          </w:tcPr>
          <w:p w14:paraId="22BCD32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20" w:type="dxa"/>
            <w:tcBorders>
              <w:top w:val="nil"/>
              <w:left w:val="nil"/>
              <w:bottom w:val="single" w:sz="4" w:space="0" w:color="000000"/>
              <w:right w:val="single" w:sz="4" w:space="0" w:color="000000"/>
            </w:tcBorders>
            <w:shd w:val="clear" w:color="auto" w:fill="auto"/>
            <w:vAlign w:val="center"/>
          </w:tcPr>
          <w:p w14:paraId="40FE19D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5,4   </w:t>
            </w:r>
          </w:p>
        </w:tc>
        <w:tc>
          <w:tcPr>
            <w:tcW w:w="920" w:type="dxa"/>
            <w:tcBorders>
              <w:top w:val="nil"/>
              <w:left w:val="nil"/>
              <w:bottom w:val="single" w:sz="4" w:space="0" w:color="000000"/>
              <w:right w:val="single" w:sz="4" w:space="0" w:color="000000"/>
            </w:tcBorders>
            <w:shd w:val="clear" w:color="auto" w:fill="auto"/>
            <w:vAlign w:val="center"/>
          </w:tcPr>
          <w:p w14:paraId="6F3366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20" w:type="dxa"/>
            <w:tcBorders>
              <w:top w:val="nil"/>
              <w:left w:val="nil"/>
              <w:bottom w:val="single" w:sz="4" w:space="0" w:color="000000"/>
              <w:right w:val="nil"/>
            </w:tcBorders>
            <w:shd w:val="clear" w:color="auto" w:fill="auto"/>
            <w:vAlign w:val="center"/>
          </w:tcPr>
          <w:p w14:paraId="21F09C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69DF2A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-63,1%</w:t>
            </w:r>
          </w:p>
        </w:tc>
        <w:tc>
          <w:tcPr>
            <w:tcW w:w="1243" w:type="dxa"/>
            <w:tcBorders>
              <w:top w:val="nil"/>
              <w:left w:val="nil"/>
              <w:bottom w:val="single" w:sz="4" w:space="0" w:color="000000"/>
              <w:right w:val="single" w:sz="4" w:space="0" w:color="000000"/>
            </w:tcBorders>
            <w:shd w:val="clear" w:color="auto" w:fill="auto"/>
            <w:vAlign w:val="center"/>
          </w:tcPr>
          <w:p w14:paraId="14721F0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53,6%</w:t>
            </w:r>
          </w:p>
        </w:tc>
      </w:tr>
      <w:tr w:rsidR="00A0251B" w:rsidRPr="00CC35F0" w14:paraId="4C450A21" w14:textId="77777777">
        <w:trPr>
          <w:trHeight w:val="260"/>
        </w:trPr>
        <w:tc>
          <w:tcPr>
            <w:tcW w:w="2040" w:type="dxa"/>
            <w:tcBorders>
              <w:top w:val="nil"/>
              <w:left w:val="single" w:sz="4" w:space="0" w:color="000000"/>
              <w:bottom w:val="single" w:sz="4" w:space="0" w:color="000000"/>
              <w:right w:val="single" w:sz="4" w:space="0" w:color="000000"/>
            </w:tcBorders>
            <w:shd w:val="clear" w:color="auto" w:fill="auto"/>
            <w:vAlign w:val="center"/>
          </w:tcPr>
          <w:p w14:paraId="40DCB73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20" w:type="dxa"/>
            <w:tcBorders>
              <w:top w:val="nil"/>
              <w:left w:val="nil"/>
              <w:bottom w:val="single" w:sz="4" w:space="0" w:color="000000"/>
              <w:right w:val="nil"/>
            </w:tcBorders>
            <w:shd w:val="clear" w:color="auto" w:fill="auto"/>
            <w:vAlign w:val="center"/>
          </w:tcPr>
          <w:p w14:paraId="6E6DA00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41,3   </w:t>
            </w:r>
          </w:p>
        </w:tc>
        <w:tc>
          <w:tcPr>
            <w:tcW w:w="920" w:type="dxa"/>
            <w:tcBorders>
              <w:top w:val="nil"/>
              <w:left w:val="single" w:sz="4" w:space="0" w:color="000000"/>
              <w:bottom w:val="single" w:sz="4" w:space="0" w:color="000000"/>
              <w:right w:val="nil"/>
            </w:tcBorders>
            <w:shd w:val="clear" w:color="auto" w:fill="auto"/>
            <w:vAlign w:val="center"/>
          </w:tcPr>
          <w:p w14:paraId="7EA03D3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55,8   </w:t>
            </w:r>
          </w:p>
        </w:tc>
        <w:tc>
          <w:tcPr>
            <w:tcW w:w="920" w:type="dxa"/>
            <w:tcBorders>
              <w:top w:val="nil"/>
              <w:left w:val="single" w:sz="4" w:space="0" w:color="000000"/>
              <w:bottom w:val="single" w:sz="4" w:space="0" w:color="000000"/>
              <w:right w:val="nil"/>
            </w:tcBorders>
            <w:shd w:val="clear" w:color="auto" w:fill="auto"/>
            <w:vAlign w:val="center"/>
          </w:tcPr>
          <w:p w14:paraId="6458AAA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57,7   </w:t>
            </w:r>
          </w:p>
        </w:tc>
        <w:tc>
          <w:tcPr>
            <w:tcW w:w="920" w:type="dxa"/>
            <w:tcBorders>
              <w:top w:val="nil"/>
              <w:left w:val="single" w:sz="4" w:space="0" w:color="000000"/>
              <w:bottom w:val="single" w:sz="4" w:space="0" w:color="000000"/>
              <w:right w:val="nil"/>
            </w:tcBorders>
            <w:shd w:val="clear" w:color="auto" w:fill="auto"/>
            <w:vAlign w:val="center"/>
          </w:tcPr>
          <w:p w14:paraId="38980D3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45,9   </w:t>
            </w:r>
          </w:p>
        </w:tc>
        <w:tc>
          <w:tcPr>
            <w:tcW w:w="920" w:type="dxa"/>
            <w:tcBorders>
              <w:top w:val="nil"/>
              <w:left w:val="single" w:sz="4" w:space="0" w:color="000000"/>
              <w:bottom w:val="single" w:sz="4" w:space="0" w:color="000000"/>
              <w:right w:val="nil"/>
            </w:tcBorders>
            <w:shd w:val="clear" w:color="auto" w:fill="auto"/>
            <w:vAlign w:val="center"/>
          </w:tcPr>
          <w:p w14:paraId="3C3F6EB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27,1   </w:t>
            </w:r>
          </w:p>
        </w:tc>
        <w:tc>
          <w:tcPr>
            <w:tcW w:w="920" w:type="dxa"/>
            <w:tcBorders>
              <w:top w:val="nil"/>
              <w:left w:val="single" w:sz="4" w:space="0" w:color="000000"/>
              <w:bottom w:val="single" w:sz="4" w:space="0" w:color="000000"/>
              <w:right w:val="nil"/>
            </w:tcBorders>
            <w:shd w:val="clear" w:color="auto" w:fill="auto"/>
            <w:vAlign w:val="center"/>
          </w:tcPr>
          <w:p w14:paraId="6888233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17,0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9BD18E1"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-51,5%</w:t>
            </w:r>
          </w:p>
        </w:tc>
        <w:tc>
          <w:tcPr>
            <w:tcW w:w="1243" w:type="dxa"/>
            <w:tcBorders>
              <w:top w:val="nil"/>
              <w:left w:val="nil"/>
              <w:bottom w:val="single" w:sz="4" w:space="0" w:color="000000"/>
              <w:right w:val="single" w:sz="4" w:space="0" w:color="000000"/>
            </w:tcBorders>
            <w:shd w:val="clear" w:color="auto" w:fill="auto"/>
            <w:vAlign w:val="center"/>
          </w:tcPr>
          <w:p w14:paraId="76704647"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-34,4%</w:t>
            </w:r>
          </w:p>
        </w:tc>
      </w:tr>
      <w:tr w:rsidR="00A0251B" w:rsidRPr="00CC35F0" w14:paraId="611CD0BB" w14:textId="77777777">
        <w:trPr>
          <w:trHeight w:val="260"/>
        </w:trPr>
        <w:tc>
          <w:tcPr>
            <w:tcW w:w="2040" w:type="dxa"/>
            <w:tcBorders>
              <w:top w:val="nil"/>
              <w:left w:val="nil"/>
              <w:bottom w:val="nil"/>
              <w:right w:val="nil"/>
            </w:tcBorders>
            <w:shd w:val="clear" w:color="auto" w:fill="FFFFFF"/>
            <w:vAlign w:val="center"/>
          </w:tcPr>
          <w:p w14:paraId="0FA2630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63BE424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1502BC1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24F5E38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08271FA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5FF5AFB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6F63EBB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675656D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764F73D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204BFCC3" w14:textId="77777777">
        <w:trPr>
          <w:trHeight w:val="260"/>
        </w:trPr>
        <w:tc>
          <w:tcPr>
            <w:tcW w:w="2040" w:type="dxa"/>
            <w:tcBorders>
              <w:top w:val="nil"/>
              <w:left w:val="nil"/>
              <w:bottom w:val="single" w:sz="4" w:space="0" w:color="000000"/>
              <w:right w:val="nil"/>
            </w:tcBorders>
            <w:shd w:val="clear" w:color="auto" w:fill="FFFFFF"/>
            <w:vAlign w:val="center"/>
          </w:tcPr>
          <w:p w14:paraId="2980820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PM</w:t>
            </w:r>
            <w:r w:rsidRPr="00CC35F0">
              <w:rPr>
                <w:rFonts w:ascii="Times New Roman" w:eastAsia="Times New Roman" w:hAnsi="Times New Roman"/>
                <w:sz w:val="24"/>
                <w:szCs w:val="24"/>
                <w:vertAlign w:val="subscript"/>
                <w:lang w:val="sr-Cyrl-CS"/>
              </w:rPr>
              <w:t>2.5</w:t>
            </w:r>
          </w:p>
        </w:tc>
        <w:tc>
          <w:tcPr>
            <w:tcW w:w="920" w:type="dxa"/>
            <w:tcBorders>
              <w:top w:val="nil"/>
              <w:left w:val="nil"/>
              <w:bottom w:val="nil"/>
              <w:right w:val="nil"/>
            </w:tcBorders>
            <w:shd w:val="clear" w:color="auto" w:fill="FFFFFF"/>
            <w:vAlign w:val="center"/>
          </w:tcPr>
          <w:p w14:paraId="420A310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1C086AA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09F08BF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6C357F6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5B649C7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20" w:type="dxa"/>
            <w:tcBorders>
              <w:top w:val="nil"/>
              <w:left w:val="nil"/>
              <w:bottom w:val="nil"/>
              <w:right w:val="nil"/>
            </w:tcBorders>
            <w:shd w:val="clear" w:color="auto" w:fill="FFFFFF"/>
            <w:vAlign w:val="center"/>
          </w:tcPr>
          <w:p w14:paraId="3DD3F86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07EE03A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510DFA6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64479D68" w14:textId="77777777">
        <w:trPr>
          <w:trHeight w:val="250"/>
        </w:trPr>
        <w:tc>
          <w:tcPr>
            <w:tcW w:w="2040" w:type="dxa"/>
            <w:tcBorders>
              <w:top w:val="nil"/>
              <w:left w:val="single" w:sz="4" w:space="0" w:color="000000"/>
              <w:bottom w:val="nil"/>
              <w:right w:val="single" w:sz="4" w:space="0" w:color="000000"/>
            </w:tcBorders>
            <w:shd w:val="clear" w:color="auto" w:fill="DAEEF3"/>
            <w:vAlign w:val="center"/>
          </w:tcPr>
          <w:p w14:paraId="1E2C994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WAM_C </w:t>
            </w:r>
          </w:p>
        </w:tc>
        <w:tc>
          <w:tcPr>
            <w:tcW w:w="920" w:type="dxa"/>
            <w:tcBorders>
              <w:top w:val="single" w:sz="4" w:space="0" w:color="000000"/>
              <w:left w:val="nil"/>
              <w:bottom w:val="single" w:sz="4" w:space="0" w:color="000000"/>
              <w:right w:val="nil"/>
            </w:tcBorders>
            <w:shd w:val="clear" w:color="auto" w:fill="DAEEF3"/>
            <w:vAlign w:val="center"/>
          </w:tcPr>
          <w:p w14:paraId="3001543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3E07D15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4CF7B666"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561D4A2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3CB3D2D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20" w:type="dxa"/>
            <w:tcBorders>
              <w:top w:val="single" w:sz="4" w:space="0" w:color="000000"/>
              <w:left w:val="single" w:sz="4" w:space="0" w:color="000000"/>
              <w:bottom w:val="single" w:sz="4" w:space="0" w:color="000000"/>
              <w:right w:val="nil"/>
            </w:tcBorders>
            <w:shd w:val="clear" w:color="auto" w:fill="DAEEF3"/>
            <w:vAlign w:val="center"/>
          </w:tcPr>
          <w:p w14:paraId="59ABDC1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2" w:space="0" w:color="000000"/>
              <w:bottom w:val="single" w:sz="4" w:space="0" w:color="000000"/>
              <w:right w:val="single" w:sz="4" w:space="0" w:color="000000"/>
            </w:tcBorders>
            <w:shd w:val="clear" w:color="auto" w:fill="DAEEF3"/>
            <w:vAlign w:val="center"/>
          </w:tcPr>
          <w:p w14:paraId="3128413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705ABE6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644E6D6A" w14:textId="77777777">
        <w:trPr>
          <w:trHeight w:val="250"/>
        </w:trPr>
        <w:tc>
          <w:tcPr>
            <w:tcW w:w="20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E81E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20" w:type="dxa"/>
            <w:tcBorders>
              <w:top w:val="nil"/>
              <w:left w:val="nil"/>
              <w:bottom w:val="single" w:sz="4" w:space="0" w:color="000000"/>
              <w:right w:val="single" w:sz="4" w:space="0" w:color="000000"/>
            </w:tcBorders>
            <w:shd w:val="clear" w:color="auto" w:fill="auto"/>
            <w:vAlign w:val="center"/>
          </w:tcPr>
          <w:p w14:paraId="6C7AAD6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single" w:sz="4" w:space="0" w:color="000000"/>
            </w:tcBorders>
            <w:shd w:val="clear" w:color="auto" w:fill="auto"/>
            <w:vAlign w:val="center"/>
          </w:tcPr>
          <w:p w14:paraId="395AEF2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5,0   </w:t>
            </w:r>
          </w:p>
        </w:tc>
        <w:tc>
          <w:tcPr>
            <w:tcW w:w="920" w:type="dxa"/>
            <w:tcBorders>
              <w:top w:val="nil"/>
              <w:left w:val="nil"/>
              <w:bottom w:val="single" w:sz="4" w:space="0" w:color="000000"/>
              <w:right w:val="single" w:sz="4" w:space="0" w:color="000000"/>
            </w:tcBorders>
            <w:shd w:val="clear" w:color="auto" w:fill="auto"/>
            <w:vAlign w:val="center"/>
          </w:tcPr>
          <w:p w14:paraId="7095A7E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5,0   </w:t>
            </w:r>
          </w:p>
        </w:tc>
        <w:tc>
          <w:tcPr>
            <w:tcW w:w="920" w:type="dxa"/>
            <w:tcBorders>
              <w:top w:val="nil"/>
              <w:left w:val="nil"/>
              <w:bottom w:val="single" w:sz="4" w:space="0" w:color="000000"/>
              <w:right w:val="single" w:sz="4" w:space="0" w:color="000000"/>
            </w:tcBorders>
            <w:shd w:val="clear" w:color="auto" w:fill="auto"/>
            <w:vAlign w:val="center"/>
          </w:tcPr>
          <w:p w14:paraId="3857F32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   </w:t>
            </w:r>
          </w:p>
        </w:tc>
        <w:tc>
          <w:tcPr>
            <w:tcW w:w="920" w:type="dxa"/>
            <w:tcBorders>
              <w:top w:val="nil"/>
              <w:left w:val="nil"/>
              <w:bottom w:val="single" w:sz="4" w:space="0" w:color="000000"/>
              <w:right w:val="single" w:sz="4" w:space="0" w:color="000000"/>
            </w:tcBorders>
            <w:shd w:val="clear" w:color="auto" w:fill="auto"/>
            <w:vAlign w:val="center"/>
          </w:tcPr>
          <w:p w14:paraId="211736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nil"/>
            </w:tcBorders>
            <w:shd w:val="clear" w:color="auto" w:fill="auto"/>
            <w:vAlign w:val="center"/>
          </w:tcPr>
          <w:p w14:paraId="1292632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14F1BD4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-76,2%</w:t>
            </w:r>
          </w:p>
        </w:tc>
        <w:tc>
          <w:tcPr>
            <w:tcW w:w="1243" w:type="dxa"/>
            <w:tcBorders>
              <w:top w:val="nil"/>
              <w:left w:val="nil"/>
              <w:bottom w:val="single" w:sz="4" w:space="0" w:color="000000"/>
              <w:right w:val="single" w:sz="4" w:space="0" w:color="000000"/>
            </w:tcBorders>
            <w:shd w:val="clear" w:color="auto" w:fill="auto"/>
            <w:vAlign w:val="center"/>
          </w:tcPr>
          <w:p w14:paraId="18F75A4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w:t>
            </w:r>
          </w:p>
        </w:tc>
      </w:tr>
      <w:tr w:rsidR="00A0251B" w:rsidRPr="00CC35F0" w14:paraId="599F6A5D"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FC87A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20" w:type="dxa"/>
            <w:tcBorders>
              <w:top w:val="nil"/>
              <w:left w:val="nil"/>
              <w:bottom w:val="single" w:sz="4" w:space="0" w:color="000000"/>
              <w:right w:val="single" w:sz="4" w:space="0" w:color="000000"/>
            </w:tcBorders>
            <w:shd w:val="clear" w:color="auto" w:fill="auto"/>
            <w:vAlign w:val="center"/>
          </w:tcPr>
          <w:p w14:paraId="3919687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   </w:t>
            </w:r>
          </w:p>
        </w:tc>
        <w:tc>
          <w:tcPr>
            <w:tcW w:w="920" w:type="dxa"/>
            <w:tcBorders>
              <w:top w:val="nil"/>
              <w:left w:val="nil"/>
              <w:bottom w:val="single" w:sz="4" w:space="0" w:color="000000"/>
              <w:right w:val="single" w:sz="4" w:space="0" w:color="000000"/>
            </w:tcBorders>
            <w:shd w:val="clear" w:color="auto" w:fill="auto"/>
            <w:vAlign w:val="center"/>
          </w:tcPr>
          <w:p w14:paraId="1EC9AC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4,2   </w:t>
            </w:r>
          </w:p>
        </w:tc>
        <w:tc>
          <w:tcPr>
            <w:tcW w:w="920" w:type="dxa"/>
            <w:tcBorders>
              <w:top w:val="nil"/>
              <w:left w:val="nil"/>
              <w:bottom w:val="single" w:sz="4" w:space="0" w:color="000000"/>
              <w:right w:val="single" w:sz="4" w:space="0" w:color="000000"/>
            </w:tcBorders>
            <w:shd w:val="clear" w:color="auto" w:fill="auto"/>
            <w:vAlign w:val="center"/>
          </w:tcPr>
          <w:p w14:paraId="39DFC38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4,8   </w:t>
            </w:r>
          </w:p>
        </w:tc>
        <w:tc>
          <w:tcPr>
            <w:tcW w:w="920" w:type="dxa"/>
            <w:tcBorders>
              <w:top w:val="nil"/>
              <w:left w:val="nil"/>
              <w:bottom w:val="single" w:sz="4" w:space="0" w:color="000000"/>
              <w:right w:val="single" w:sz="4" w:space="0" w:color="000000"/>
            </w:tcBorders>
            <w:shd w:val="clear" w:color="auto" w:fill="auto"/>
            <w:vAlign w:val="center"/>
          </w:tcPr>
          <w:p w14:paraId="585C98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   </w:t>
            </w:r>
          </w:p>
        </w:tc>
        <w:tc>
          <w:tcPr>
            <w:tcW w:w="920" w:type="dxa"/>
            <w:tcBorders>
              <w:top w:val="nil"/>
              <w:left w:val="nil"/>
              <w:bottom w:val="single" w:sz="4" w:space="0" w:color="000000"/>
              <w:right w:val="single" w:sz="4" w:space="0" w:color="000000"/>
            </w:tcBorders>
            <w:shd w:val="clear" w:color="auto" w:fill="auto"/>
            <w:vAlign w:val="center"/>
          </w:tcPr>
          <w:p w14:paraId="7352BEB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   </w:t>
            </w:r>
          </w:p>
        </w:tc>
        <w:tc>
          <w:tcPr>
            <w:tcW w:w="920" w:type="dxa"/>
            <w:tcBorders>
              <w:top w:val="nil"/>
              <w:left w:val="nil"/>
              <w:bottom w:val="single" w:sz="4" w:space="0" w:color="000000"/>
              <w:right w:val="nil"/>
            </w:tcBorders>
            <w:shd w:val="clear" w:color="auto" w:fill="auto"/>
            <w:vAlign w:val="center"/>
          </w:tcPr>
          <w:p w14:paraId="486B3B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4C3B55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-75,4%</w:t>
            </w:r>
          </w:p>
        </w:tc>
        <w:tc>
          <w:tcPr>
            <w:tcW w:w="1243" w:type="dxa"/>
            <w:tcBorders>
              <w:top w:val="nil"/>
              <w:left w:val="nil"/>
              <w:bottom w:val="single" w:sz="4" w:space="0" w:color="000000"/>
              <w:right w:val="single" w:sz="4" w:space="0" w:color="000000"/>
            </w:tcBorders>
            <w:shd w:val="clear" w:color="auto" w:fill="auto"/>
            <w:vAlign w:val="center"/>
          </w:tcPr>
          <w:p w14:paraId="7310768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-64,9%</w:t>
            </w:r>
          </w:p>
        </w:tc>
      </w:tr>
      <w:tr w:rsidR="00A0251B" w:rsidRPr="00CC35F0" w14:paraId="0EBDE062" w14:textId="77777777">
        <w:trPr>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3C0457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20" w:type="dxa"/>
            <w:tcBorders>
              <w:top w:val="nil"/>
              <w:left w:val="nil"/>
              <w:bottom w:val="single" w:sz="4" w:space="0" w:color="000000"/>
              <w:right w:val="single" w:sz="4" w:space="0" w:color="000000"/>
            </w:tcBorders>
            <w:shd w:val="clear" w:color="auto" w:fill="auto"/>
            <w:vAlign w:val="center"/>
          </w:tcPr>
          <w:p w14:paraId="123655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31,8   </w:t>
            </w:r>
          </w:p>
        </w:tc>
        <w:tc>
          <w:tcPr>
            <w:tcW w:w="920" w:type="dxa"/>
            <w:tcBorders>
              <w:top w:val="nil"/>
              <w:left w:val="nil"/>
              <w:bottom w:val="single" w:sz="4" w:space="0" w:color="000000"/>
              <w:right w:val="single" w:sz="4" w:space="0" w:color="000000"/>
            </w:tcBorders>
            <w:shd w:val="clear" w:color="auto" w:fill="auto"/>
            <w:vAlign w:val="center"/>
          </w:tcPr>
          <w:p w14:paraId="4977227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35,0   </w:t>
            </w:r>
          </w:p>
        </w:tc>
        <w:tc>
          <w:tcPr>
            <w:tcW w:w="920" w:type="dxa"/>
            <w:tcBorders>
              <w:top w:val="nil"/>
              <w:left w:val="nil"/>
              <w:bottom w:val="single" w:sz="4" w:space="0" w:color="000000"/>
              <w:right w:val="single" w:sz="4" w:space="0" w:color="000000"/>
            </w:tcBorders>
            <w:shd w:val="clear" w:color="auto" w:fill="auto"/>
            <w:vAlign w:val="center"/>
          </w:tcPr>
          <w:p w14:paraId="7A7205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35,9   </w:t>
            </w:r>
          </w:p>
        </w:tc>
        <w:tc>
          <w:tcPr>
            <w:tcW w:w="920" w:type="dxa"/>
            <w:tcBorders>
              <w:top w:val="nil"/>
              <w:left w:val="nil"/>
              <w:bottom w:val="single" w:sz="4" w:space="0" w:color="000000"/>
              <w:right w:val="single" w:sz="4" w:space="0" w:color="000000"/>
            </w:tcBorders>
            <w:shd w:val="clear" w:color="auto" w:fill="auto"/>
            <w:vAlign w:val="center"/>
          </w:tcPr>
          <w:p w14:paraId="033A701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33,3   </w:t>
            </w:r>
          </w:p>
        </w:tc>
        <w:tc>
          <w:tcPr>
            <w:tcW w:w="920" w:type="dxa"/>
            <w:tcBorders>
              <w:top w:val="nil"/>
              <w:left w:val="nil"/>
              <w:bottom w:val="single" w:sz="4" w:space="0" w:color="000000"/>
              <w:right w:val="single" w:sz="4" w:space="0" w:color="000000"/>
            </w:tcBorders>
            <w:shd w:val="clear" w:color="auto" w:fill="auto"/>
            <w:vAlign w:val="center"/>
          </w:tcPr>
          <w:p w14:paraId="73EA09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17,6   </w:t>
            </w:r>
          </w:p>
        </w:tc>
        <w:tc>
          <w:tcPr>
            <w:tcW w:w="920" w:type="dxa"/>
            <w:tcBorders>
              <w:top w:val="nil"/>
              <w:left w:val="nil"/>
              <w:bottom w:val="single" w:sz="4" w:space="0" w:color="000000"/>
              <w:right w:val="nil"/>
            </w:tcBorders>
            <w:shd w:val="clear" w:color="auto" w:fill="auto"/>
            <w:vAlign w:val="center"/>
          </w:tcPr>
          <w:p w14:paraId="7489BE1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10,5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34DDEC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-49,7%</w:t>
            </w:r>
          </w:p>
        </w:tc>
        <w:tc>
          <w:tcPr>
            <w:tcW w:w="1243" w:type="dxa"/>
            <w:tcBorders>
              <w:top w:val="nil"/>
              <w:left w:val="nil"/>
              <w:bottom w:val="single" w:sz="4" w:space="0" w:color="000000"/>
              <w:right w:val="single" w:sz="4" w:space="0" w:color="000000"/>
            </w:tcBorders>
            <w:shd w:val="clear" w:color="auto" w:fill="auto"/>
            <w:vAlign w:val="center"/>
          </w:tcPr>
          <w:p w14:paraId="3D69611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-44,6%</w:t>
            </w:r>
          </w:p>
        </w:tc>
      </w:tr>
      <w:tr w:rsidR="00A0251B" w:rsidRPr="00CC35F0" w14:paraId="006E8AE1"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555D8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20" w:type="dxa"/>
            <w:tcBorders>
              <w:top w:val="nil"/>
              <w:left w:val="nil"/>
              <w:bottom w:val="single" w:sz="4" w:space="0" w:color="000000"/>
              <w:right w:val="single" w:sz="4" w:space="0" w:color="000000"/>
            </w:tcBorders>
            <w:shd w:val="clear" w:color="auto" w:fill="auto"/>
            <w:vAlign w:val="center"/>
          </w:tcPr>
          <w:p w14:paraId="6954437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60AD20B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6CCE04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3682DC1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single" w:sz="4" w:space="0" w:color="000000"/>
            </w:tcBorders>
            <w:shd w:val="clear" w:color="auto" w:fill="auto"/>
            <w:vAlign w:val="center"/>
          </w:tcPr>
          <w:p w14:paraId="5541F2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nil"/>
            </w:tcBorders>
            <w:shd w:val="clear" w:color="auto" w:fill="auto"/>
            <w:vAlign w:val="center"/>
          </w:tcPr>
          <w:p w14:paraId="5DF5E0A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CB7404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-11,0%</w:t>
            </w:r>
          </w:p>
        </w:tc>
        <w:tc>
          <w:tcPr>
            <w:tcW w:w="1243" w:type="dxa"/>
            <w:tcBorders>
              <w:top w:val="nil"/>
              <w:left w:val="nil"/>
              <w:bottom w:val="single" w:sz="4" w:space="0" w:color="000000"/>
              <w:right w:val="single" w:sz="4" w:space="0" w:color="000000"/>
            </w:tcBorders>
            <w:shd w:val="clear" w:color="auto" w:fill="auto"/>
            <w:vAlign w:val="center"/>
          </w:tcPr>
          <w:p w14:paraId="5D28C73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-23,6%</w:t>
            </w:r>
          </w:p>
        </w:tc>
      </w:tr>
      <w:tr w:rsidR="00A0251B" w:rsidRPr="00CC35F0" w14:paraId="441BF4E3"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BD298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20" w:type="dxa"/>
            <w:tcBorders>
              <w:top w:val="nil"/>
              <w:left w:val="nil"/>
              <w:bottom w:val="single" w:sz="4" w:space="0" w:color="000000"/>
              <w:right w:val="single" w:sz="4" w:space="0" w:color="000000"/>
            </w:tcBorders>
            <w:shd w:val="clear" w:color="auto" w:fill="auto"/>
            <w:vAlign w:val="center"/>
          </w:tcPr>
          <w:p w14:paraId="493814D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20" w:type="dxa"/>
            <w:tcBorders>
              <w:top w:val="nil"/>
              <w:left w:val="nil"/>
              <w:bottom w:val="single" w:sz="4" w:space="0" w:color="000000"/>
              <w:right w:val="single" w:sz="4" w:space="0" w:color="000000"/>
            </w:tcBorders>
            <w:shd w:val="clear" w:color="auto" w:fill="auto"/>
            <w:vAlign w:val="center"/>
          </w:tcPr>
          <w:p w14:paraId="07855CD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20" w:type="dxa"/>
            <w:tcBorders>
              <w:top w:val="nil"/>
              <w:left w:val="nil"/>
              <w:bottom w:val="single" w:sz="4" w:space="0" w:color="000000"/>
              <w:right w:val="single" w:sz="4" w:space="0" w:color="000000"/>
            </w:tcBorders>
            <w:shd w:val="clear" w:color="auto" w:fill="auto"/>
            <w:vAlign w:val="center"/>
          </w:tcPr>
          <w:p w14:paraId="224720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4" w:space="0" w:color="000000"/>
            </w:tcBorders>
            <w:shd w:val="clear" w:color="auto" w:fill="auto"/>
            <w:vAlign w:val="center"/>
          </w:tcPr>
          <w:p w14:paraId="1DC27F5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4" w:space="0" w:color="000000"/>
            </w:tcBorders>
            <w:shd w:val="clear" w:color="auto" w:fill="auto"/>
            <w:vAlign w:val="center"/>
          </w:tcPr>
          <w:p w14:paraId="499BF3C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nil"/>
            </w:tcBorders>
            <w:shd w:val="clear" w:color="auto" w:fill="auto"/>
            <w:vAlign w:val="center"/>
          </w:tcPr>
          <w:p w14:paraId="7EE4554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18A8C79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27,8%</w:t>
            </w:r>
          </w:p>
        </w:tc>
        <w:tc>
          <w:tcPr>
            <w:tcW w:w="1243" w:type="dxa"/>
            <w:tcBorders>
              <w:top w:val="nil"/>
              <w:left w:val="nil"/>
              <w:bottom w:val="single" w:sz="4" w:space="0" w:color="000000"/>
              <w:right w:val="single" w:sz="4" w:space="0" w:color="000000"/>
            </w:tcBorders>
            <w:shd w:val="clear" w:color="auto" w:fill="auto"/>
            <w:vAlign w:val="center"/>
          </w:tcPr>
          <w:p w14:paraId="1DFE695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105,8%</w:t>
            </w:r>
          </w:p>
        </w:tc>
      </w:tr>
      <w:tr w:rsidR="00A0251B" w:rsidRPr="00CC35F0" w14:paraId="655F7F45"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F8E90D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20" w:type="dxa"/>
            <w:tcBorders>
              <w:top w:val="nil"/>
              <w:left w:val="nil"/>
              <w:bottom w:val="single" w:sz="4" w:space="0" w:color="000000"/>
              <w:right w:val="single" w:sz="4" w:space="0" w:color="000000"/>
            </w:tcBorders>
            <w:shd w:val="clear" w:color="auto" w:fill="auto"/>
            <w:vAlign w:val="center"/>
          </w:tcPr>
          <w:p w14:paraId="1B5762E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2,0   </w:t>
            </w:r>
          </w:p>
        </w:tc>
        <w:tc>
          <w:tcPr>
            <w:tcW w:w="920" w:type="dxa"/>
            <w:tcBorders>
              <w:top w:val="nil"/>
              <w:left w:val="nil"/>
              <w:bottom w:val="single" w:sz="4" w:space="0" w:color="000000"/>
              <w:right w:val="single" w:sz="4" w:space="0" w:color="000000"/>
            </w:tcBorders>
            <w:shd w:val="clear" w:color="auto" w:fill="auto"/>
            <w:vAlign w:val="center"/>
          </w:tcPr>
          <w:p w14:paraId="027AB0E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2,1   </w:t>
            </w:r>
          </w:p>
        </w:tc>
        <w:tc>
          <w:tcPr>
            <w:tcW w:w="920" w:type="dxa"/>
            <w:tcBorders>
              <w:top w:val="nil"/>
              <w:left w:val="nil"/>
              <w:bottom w:val="single" w:sz="4" w:space="0" w:color="000000"/>
              <w:right w:val="single" w:sz="4" w:space="0" w:color="000000"/>
            </w:tcBorders>
            <w:shd w:val="clear" w:color="auto" w:fill="auto"/>
            <w:vAlign w:val="center"/>
          </w:tcPr>
          <w:p w14:paraId="37E17E7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   </w:t>
            </w:r>
          </w:p>
        </w:tc>
        <w:tc>
          <w:tcPr>
            <w:tcW w:w="920" w:type="dxa"/>
            <w:tcBorders>
              <w:top w:val="nil"/>
              <w:left w:val="nil"/>
              <w:bottom w:val="single" w:sz="4" w:space="0" w:color="000000"/>
              <w:right w:val="single" w:sz="4" w:space="0" w:color="000000"/>
            </w:tcBorders>
            <w:shd w:val="clear" w:color="auto" w:fill="auto"/>
            <w:vAlign w:val="center"/>
          </w:tcPr>
          <w:p w14:paraId="60BD47F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   </w:t>
            </w:r>
          </w:p>
        </w:tc>
        <w:tc>
          <w:tcPr>
            <w:tcW w:w="920" w:type="dxa"/>
            <w:tcBorders>
              <w:top w:val="nil"/>
              <w:left w:val="nil"/>
              <w:bottom w:val="single" w:sz="4" w:space="0" w:color="000000"/>
              <w:right w:val="single" w:sz="4" w:space="0" w:color="000000"/>
            </w:tcBorders>
            <w:shd w:val="clear" w:color="auto" w:fill="auto"/>
            <w:vAlign w:val="center"/>
          </w:tcPr>
          <w:p w14:paraId="587EAA1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920" w:type="dxa"/>
            <w:tcBorders>
              <w:top w:val="nil"/>
              <w:left w:val="nil"/>
              <w:bottom w:val="single" w:sz="4" w:space="0" w:color="000000"/>
              <w:right w:val="nil"/>
            </w:tcBorders>
            <w:shd w:val="clear" w:color="auto" w:fill="auto"/>
            <w:vAlign w:val="center"/>
          </w:tcPr>
          <w:p w14:paraId="0E4F382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1028F75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-44,0%</w:t>
            </w:r>
          </w:p>
        </w:tc>
        <w:tc>
          <w:tcPr>
            <w:tcW w:w="1243" w:type="dxa"/>
            <w:tcBorders>
              <w:top w:val="nil"/>
              <w:left w:val="nil"/>
              <w:bottom w:val="single" w:sz="4" w:space="0" w:color="000000"/>
              <w:right w:val="single" w:sz="4" w:space="0" w:color="000000"/>
            </w:tcBorders>
            <w:shd w:val="clear" w:color="auto" w:fill="auto"/>
            <w:vAlign w:val="center"/>
          </w:tcPr>
          <w:p w14:paraId="0EA4DA8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-40,8%</w:t>
            </w:r>
          </w:p>
        </w:tc>
      </w:tr>
      <w:tr w:rsidR="00A0251B" w:rsidRPr="00CC35F0" w14:paraId="0A42AB2D"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1BA2764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20" w:type="dxa"/>
            <w:tcBorders>
              <w:top w:val="nil"/>
              <w:left w:val="nil"/>
              <w:bottom w:val="single" w:sz="4" w:space="0" w:color="000000"/>
              <w:right w:val="single" w:sz="4" w:space="0" w:color="000000"/>
            </w:tcBorders>
            <w:shd w:val="clear" w:color="auto" w:fill="auto"/>
            <w:vAlign w:val="center"/>
          </w:tcPr>
          <w:p w14:paraId="42A1219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3A9291D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23F1EC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12FF4D7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674BF8D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nil"/>
            </w:tcBorders>
            <w:shd w:val="clear" w:color="auto" w:fill="auto"/>
            <w:vAlign w:val="center"/>
          </w:tcPr>
          <w:p w14:paraId="689640C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740B32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38254E8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039DF6CE"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3AAD82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20" w:type="dxa"/>
            <w:tcBorders>
              <w:top w:val="nil"/>
              <w:left w:val="nil"/>
              <w:bottom w:val="single" w:sz="4" w:space="0" w:color="000000"/>
              <w:right w:val="single" w:sz="4" w:space="0" w:color="000000"/>
            </w:tcBorders>
            <w:shd w:val="clear" w:color="auto" w:fill="auto"/>
            <w:vAlign w:val="center"/>
          </w:tcPr>
          <w:p w14:paraId="2D80388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2B04AFF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6DE051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51AF1DF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461D1CD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nil"/>
            </w:tcBorders>
            <w:shd w:val="clear" w:color="auto" w:fill="auto"/>
            <w:vAlign w:val="center"/>
          </w:tcPr>
          <w:p w14:paraId="65E83FF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19EADB1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61E404E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33D4454C"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5E11F63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20" w:type="dxa"/>
            <w:tcBorders>
              <w:top w:val="nil"/>
              <w:left w:val="nil"/>
              <w:bottom w:val="single" w:sz="4" w:space="0" w:color="000000"/>
              <w:right w:val="single" w:sz="4" w:space="0" w:color="000000"/>
            </w:tcBorders>
            <w:shd w:val="clear" w:color="auto" w:fill="auto"/>
            <w:vAlign w:val="center"/>
          </w:tcPr>
          <w:p w14:paraId="7220148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20" w:type="dxa"/>
            <w:tcBorders>
              <w:top w:val="nil"/>
              <w:left w:val="nil"/>
              <w:bottom w:val="single" w:sz="4" w:space="0" w:color="000000"/>
              <w:right w:val="single" w:sz="4" w:space="0" w:color="000000"/>
            </w:tcBorders>
            <w:shd w:val="clear" w:color="auto" w:fill="auto"/>
            <w:vAlign w:val="center"/>
          </w:tcPr>
          <w:p w14:paraId="53BFF9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06C22D2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624C26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1E60D4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nil"/>
            </w:tcBorders>
            <w:shd w:val="clear" w:color="auto" w:fill="auto"/>
            <w:vAlign w:val="center"/>
          </w:tcPr>
          <w:p w14:paraId="03CBCC4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C67F0E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-47,8%</w:t>
            </w:r>
          </w:p>
        </w:tc>
        <w:tc>
          <w:tcPr>
            <w:tcW w:w="1243" w:type="dxa"/>
            <w:tcBorders>
              <w:top w:val="nil"/>
              <w:left w:val="nil"/>
              <w:bottom w:val="single" w:sz="4" w:space="0" w:color="000000"/>
              <w:right w:val="single" w:sz="4" w:space="0" w:color="000000"/>
            </w:tcBorders>
            <w:shd w:val="clear" w:color="auto" w:fill="auto"/>
            <w:vAlign w:val="center"/>
          </w:tcPr>
          <w:p w14:paraId="7A9150C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177,1%</w:t>
            </w:r>
          </w:p>
        </w:tc>
      </w:tr>
      <w:tr w:rsidR="00A0251B" w:rsidRPr="00CC35F0" w14:paraId="527BDBD2"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173433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20" w:type="dxa"/>
            <w:tcBorders>
              <w:top w:val="nil"/>
              <w:left w:val="nil"/>
              <w:bottom w:val="single" w:sz="4" w:space="0" w:color="000000"/>
              <w:right w:val="single" w:sz="4" w:space="0" w:color="000000"/>
            </w:tcBorders>
            <w:shd w:val="clear" w:color="auto" w:fill="auto"/>
            <w:vAlign w:val="center"/>
          </w:tcPr>
          <w:p w14:paraId="6DE636D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33D3009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40C99D8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11AC4E1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single" w:sz="4" w:space="0" w:color="000000"/>
            </w:tcBorders>
            <w:shd w:val="clear" w:color="auto" w:fill="auto"/>
            <w:vAlign w:val="center"/>
          </w:tcPr>
          <w:p w14:paraId="1A3D3F6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20" w:type="dxa"/>
            <w:tcBorders>
              <w:top w:val="nil"/>
              <w:left w:val="nil"/>
              <w:bottom w:val="single" w:sz="4" w:space="0" w:color="000000"/>
              <w:right w:val="nil"/>
            </w:tcBorders>
            <w:shd w:val="clear" w:color="auto" w:fill="auto"/>
            <w:vAlign w:val="center"/>
          </w:tcPr>
          <w:p w14:paraId="3AB5DA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D8C9EB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c>
          <w:tcPr>
            <w:tcW w:w="1243" w:type="dxa"/>
            <w:tcBorders>
              <w:top w:val="nil"/>
              <w:left w:val="nil"/>
              <w:bottom w:val="single" w:sz="4" w:space="0" w:color="000000"/>
              <w:right w:val="single" w:sz="4" w:space="0" w:color="000000"/>
            </w:tcBorders>
            <w:shd w:val="clear" w:color="auto" w:fill="auto"/>
            <w:vAlign w:val="center"/>
          </w:tcPr>
          <w:p w14:paraId="46B2BFF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30,5%</w:t>
            </w:r>
          </w:p>
        </w:tc>
      </w:tr>
      <w:tr w:rsidR="00A0251B" w:rsidRPr="00CC35F0" w14:paraId="6519D842" w14:textId="77777777">
        <w:trPr>
          <w:trHeight w:val="500"/>
        </w:trPr>
        <w:tc>
          <w:tcPr>
            <w:tcW w:w="2040" w:type="dxa"/>
            <w:tcBorders>
              <w:top w:val="nil"/>
              <w:left w:val="single" w:sz="4" w:space="0" w:color="000000"/>
              <w:bottom w:val="single" w:sz="4" w:space="0" w:color="000000"/>
              <w:right w:val="single" w:sz="4" w:space="0" w:color="000000"/>
            </w:tcBorders>
            <w:shd w:val="clear" w:color="auto" w:fill="auto"/>
            <w:vAlign w:val="center"/>
          </w:tcPr>
          <w:p w14:paraId="74ACE6B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K_Сточарство</w:t>
            </w:r>
          </w:p>
        </w:tc>
        <w:tc>
          <w:tcPr>
            <w:tcW w:w="920" w:type="dxa"/>
            <w:tcBorders>
              <w:top w:val="nil"/>
              <w:left w:val="nil"/>
              <w:bottom w:val="single" w:sz="4" w:space="0" w:color="000000"/>
              <w:right w:val="single" w:sz="4" w:space="0" w:color="000000"/>
            </w:tcBorders>
            <w:shd w:val="clear" w:color="auto" w:fill="auto"/>
            <w:vAlign w:val="center"/>
          </w:tcPr>
          <w:p w14:paraId="281D16F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20" w:type="dxa"/>
            <w:tcBorders>
              <w:top w:val="nil"/>
              <w:left w:val="nil"/>
              <w:bottom w:val="single" w:sz="4" w:space="0" w:color="000000"/>
              <w:right w:val="single" w:sz="4" w:space="0" w:color="000000"/>
            </w:tcBorders>
            <w:shd w:val="clear" w:color="auto" w:fill="auto"/>
            <w:vAlign w:val="center"/>
          </w:tcPr>
          <w:p w14:paraId="7F06B2A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3F00C85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1C11E43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single" w:sz="4" w:space="0" w:color="000000"/>
            </w:tcBorders>
            <w:shd w:val="clear" w:color="auto" w:fill="auto"/>
            <w:vAlign w:val="center"/>
          </w:tcPr>
          <w:p w14:paraId="756C86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20" w:type="dxa"/>
            <w:tcBorders>
              <w:top w:val="nil"/>
              <w:left w:val="nil"/>
              <w:bottom w:val="single" w:sz="4" w:space="0" w:color="000000"/>
              <w:right w:val="nil"/>
            </w:tcBorders>
            <w:shd w:val="clear" w:color="auto" w:fill="auto"/>
            <w:vAlign w:val="center"/>
          </w:tcPr>
          <w:p w14:paraId="5F79F76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515C05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-14,5%</w:t>
            </w:r>
          </w:p>
        </w:tc>
        <w:tc>
          <w:tcPr>
            <w:tcW w:w="1243" w:type="dxa"/>
            <w:tcBorders>
              <w:top w:val="nil"/>
              <w:left w:val="nil"/>
              <w:bottom w:val="single" w:sz="4" w:space="0" w:color="000000"/>
              <w:right w:val="single" w:sz="4" w:space="0" w:color="000000"/>
            </w:tcBorders>
            <w:shd w:val="clear" w:color="auto" w:fill="auto"/>
            <w:vAlign w:val="center"/>
          </w:tcPr>
          <w:p w14:paraId="0E80250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-42,5%</w:t>
            </w:r>
          </w:p>
        </w:tc>
      </w:tr>
      <w:tr w:rsidR="00A0251B" w:rsidRPr="00CC35F0" w14:paraId="33282A99" w14:textId="77777777">
        <w:trPr>
          <w:trHeight w:val="25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B8A3DD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20" w:type="dxa"/>
            <w:tcBorders>
              <w:top w:val="nil"/>
              <w:left w:val="nil"/>
              <w:bottom w:val="single" w:sz="4" w:space="0" w:color="000000"/>
              <w:right w:val="single" w:sz="4" w:space="0" w:color="000000"/>
            </w:tcBorders>
            <w:shd w:val="clear" w:color="auto" w:fill="auto"/>
            <w:vAlign w:val="center"/>
          </w:tcPr>
          <w:p w14:paraId="7172F6C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   </w:t>
            </w:r>
          </w:p>
        </w:tc>
        <w:tc>
          <w:tcPr>
            <w:tcW w:w="920" w:type="dxa"/>
            <w:tcBorders>
              <w:top w:val="nil"/>
              <w:left w:val="nil"/>
              <w:bottom w:val="single" w:sz="4" w:space="0" w:color="000000"/>
              <w:right w:val="single" w:sz="4" w:space="0" w:color="000000"/>
            </w:tcBorders>
            <w:shd w:val="clear" w:color="auto" w:fill="auto"/>
            <w:vAlign w:val="center"/>
          </w:tcPr>
          <w:p w14:paraId="62715D4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7,5   </w:t>
            </w:r>
          </w:p>
        </w:tc>
        <w:tc>
          <w:tcPr>
            <w:tcW w:w="920" w:type="dxa"/>
            <w:tcBorders>
              <w:top w:val="nil"/>
              <w:left w:val="nil"/>
              <w:bottom w:val="single" w:sz="4" w:space="0" w:color="000000"/>
              <w:right w:val="single" w:sz="4" w:space="0" w:color="000000"/>
            </w:tcBorders>
            <w:shd w:val="clear" w:color="auto" w:fill="auto"/>
            <w:vAlign w:val="center"/>
          </w:tcPr>
          <w:p w14:paraId="3214166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20" w:type="dxa"/>
            <w:tcBorders>
              <w:top w:val="nil"/>
              <w:left w:val="nil"/>
              <w:bottom w:val="single" w:sz="4" w:space="0" w:color="000000"/>
              <w:right w:val="single" w:sz="4" w:space="0" w:color="000000"/>
            </w:tcBorders>
            <w:shd w:val="clear" w:color="auto" w:fill="auto"/>
            <w:vAlign w:val="center"/>
          </w:tcPr>
          <w:p w14:paraId="47AB59C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4,1   </w:t>
            </w:r>
          </w:p>
        </w:tc>
        <w:tc>
          <w:tcPr>
            <w:tcW w:w="920" w:type="dxa"/>
            <w:tcBorders>
              <w:top w:val="nil"/>
              <w:left w:val="nil"/>
              <w:bottom w:val="single" w:sz="4" w:space="0" w:color="000000"/>
              <w:right w:val="single" w:sz="4" w:space="0" w:color="000000"/>
            </w:tcBorders>
            <w:shd w:val="clear" w:color="auto" w:fill="auto"/>
            <w:vAlign w:val="center"/>
          </w:tcPr>
          <w:p w14:paraId="13A13A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20" w:type="dxa"/>
            <w:tcBorders>
              <w:top w:val="nil"/>
              <w:left w:val="nil"/>
              <w:bottom w:val="single" w:sz="4" w:space="0" w:color="000000"/>
              <w:right w:val="nil"/>
            </w:tcBorders>
            <w:shd w:val="clear" w:color="auto" w:fill="auto"/>
            <w:vAlign w:val="center"/>
          </w:tcPr>
          <w:p w14:paraId="2B4D6A2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3EF5D5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-97,3%</w:t>
            </w:r>
          </w:p>
        </w:tc>
        <w:tc>
          <w:tcPr>
            <w:tcW w:w="1243" w:type="dxa"/>
            <w:tcBorders>
              <w:top w:val="nil"/>
              <w:left w:val="nil"/>
              <w:bottom w:val="single" w:sz="4" w:space="0" w:color="000000"/>
              <w:right w:val="single" w:sz="4" w:space="0" w:color="000000"/>
            </w:tcBorders>
            <w:shd w:val="clear" w:color="auto" w:fill="auto"/>
            <w:vAlign w:val="center"/>
          </w:tcPr>
          <w:p w14:paraId="20DC013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-88,6%</w:t>
            </w:r>
          </w:p>
        </w:tc>
      </w:tr>
      <w:tr w:rsidR="00A0251B" w:rsidRPr="00CC35F0" w14:paraId="3C9AFC7A" w14:textId="77777777">
        <w:trPr>
          <w:trHeight w:val="260"/>
        </w:trPr>
        <w:tc>
          <w:tcPr>
            <w:tcW w:w="2040" w:type="dxa"/>
            <w:tcBorders>
              <w:top w:val="nil"/>
              <w:left w:val="single" w:sz="4" w:space="0" w:color="000000"/>
              <w:bottom w:val="single" w:sz="4" w:space="0" w:color="000000"/>
              <w:right w:val="single" w:sz="4" w:space="0" w:color="000000"/>
            </w:tcBorders>
            <w:shd w:val="clear" w:color="auto" w:fill="auto"/>
            <w:vAlign w:val="center"/>
          </w:tcPr>
          <w:p w14:paraId="26F6F43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20" w:type="dxa"/>
            <w:tcBorders>
              <w:top w:val="nil"/>
              <w:left w:val="nil"/>
              <w:bottom w:val="single" w:sz="4" w:space="0" w:color="000000"/>
              <w:right w:val="nil"/>
            </w:tcBorders>
            <w:shd w:val="clear" w:color="auto" w:fill="auto"/>
            <w:vAlign w:val="center"/>
          </w:tcPr>
          <w:p w14:paraId="6B03CA8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41,3   </w:t>
            </w:r>
          </w:p>
        </w:tc>
        <w:tc>
          <w:tcPr>
            <w:tcW w:w="920" w:type="dxa"/>
            <w:tcBorders>
              <w:top w:val="nil"/>
              <w:left w:val="single" w:sz="4" w:space="0" w:color="000000"/>
              <w:bottom w:val="single" w:sz="4" w:space="0" w:color="000000"/>
              <w:right w:val="nil"/>
            </w:tcBorders>
            <w:shd w:val="clear" w:color="auto" w:fill="auto"/>
            <w:vAlign w:val="center"/>
          </w:tcPr>
          <w:p w14:paraId="0B7C9F9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55,8   </w:t>
            </w:r>
          </w:p>
        </w:tc>
        <w:tc>
          <w:tcPr>
            <w:tcW w:w="920" w:type="dxa"/>
            <w:tcBorders>
              <w:top w:val="nil"/>
              <w:left w:val="single" w:sz="4" w:space="0" w:color="000000"/>
              <w:bottom w:val="single" w:sz="4" w:space="0" w:color="000000"/>
              <w:right w:val="nil"/>
            </w:tcBorders>
            <w:shd w:val="clear" w:color="auto" w:fill="auto"/>
            <w:vAlign w:val="center"/>
          </w:tcPr>
          <w:p w14:paraId="4704217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57,7   </w:t>
            </w:r>
          </w:p>
        </w:tc>
        <w:tc>
          <w:tcPr>
            <w:tcW w:w="920" w:type="dxa"/>
            <w:tcBorders>
              <w:top w:val="nil"/>
              <w:left w:val="single" w:sz="4" w:space="0" w:color="000000"/>
              <w:bottom w:val="single" w:sz="4" w:space="0" w:color="000000"/>
              <w:right w:val="nil"/>
            </w:tcBorders>
            <w:shd w:val="clear" w:color="auto" w:fill="auto"/>
            <w:vAlign w:val="center"/>
          </w:tcPr>
          <w:p w14:paraId="04851E3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44,3   </w:t>
            </w:r>
          </w:p>
        </w:tc>
        <w:tc>
          <w:tcPr>
            <w:tcW w:w="920" w:type="dxa"/>
            <w:tcBorders>
              <w:top w:val="nil"/>
              <w:left w:val="single" w:sz="4" w:space="0" w:color="000000"/>
              <w:bottom w:val="single" w:sz="4" w:space="0" w:color="000000"/>
              <w:right w:val="nil"/>
            </w:tcBorders>
            <w:shd w:val="clear" w:color="auto" w:fill="auto"/>
            <w:vAlign w:val="center"/>
          </w:tcPr>
          <w:p w14:paraId="01E3DB4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23,3   </w:t>
            </w:r>
          </w:p>
        </w:tc>
        <w:tc>
          <w:tcPr>
            <w:tcW w:w="920" w:type="dxa"/>
            <w:tcBorders>
              <w:top w:val="nil"/>
              <w:left w:val="single" w:sz="4" w:space="0" w:color="000000"/>
              <w:bottom w:val="single" w:sz="4" w:space="0" w:color="000000"/>
              <w:right w:val="nil"/>
            </w:tcBorders>
            <w:shd w:val="clear" w:color="auto" w:fill="auto"/>
            <w:vAlign w:val="center"/>
          </w:tcPr>
          <w:p w14:paraId="1D5EE87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15,5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D09CCC4"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-58,3%</w:t>
            </w:r>
          </w:p>
        </w:tc>
        <w:tc>
          <w:tcPr>
            <w:tcW w:w="1243" w:type="dxa"/>
            <w:tcBorders>
              <w:top w:val="nil"/>
              <w:left w:val="nil"/>
              <w:bottom w:val="single" w:sz="4" w:space="0" w:color="000000"/>
              <w:right w:val="single" w:sz="4" w:space="0" w:color="000000"/>
            </w:tcBorders>
            <w:shd w:val="clear" w:color="auto" w:fill="auto"/>
            <w:vAlign w:val="center"/>
          </w:tcPr>
          <w:p w14:paraId="5C01656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-43,6%</w:t>
            </w:r>
          </w:p>
        </w:tc>
      </w:tr>
    </w:tbl>
    <w:p w14:paraId="20D49DAD"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tbl>
      <w:tblPr>
        <w:tblStyle w:val="afffff7"/>
        <w:tblW w:w="10158" w:type="dxa"/>
        <w:tblLayout w:type="fixed"/>
        <w:tblLook w:val="0400" w:firstRow="0" w:lastRow="0" w:firstColumn="0" w:lastColumn="0" w:noHBand="0" w:noVBand="1"/>
      </w:tblPr>
      <w:tblGrid>
        <w:gridCol w:w="2056"/>
        <w:gridCol w:w="936"/>
        <w:gridCol w:w="936"/>
        <w:gridCol w:w="936"/>
        <w:gridCol w:w="936"/>
        <w:gridCol w:w="936"/>
        <w:gridCol w:w="936"/>
        <w:gridCol w:w="1243"/>
        <w:gridCol w:w="1243"/>
      </w:tblGrid>
      <w:tr w:rsidR="00A0251B" w:rsidRPr="00CC35F0" w14:paraId="0819D28D" w14:textId="77777777">
        <w:trPr>
          <w:trHeight w:val="250"/>
        </w:trPr>
        <w:tc>
          <w:tcPr>
            <w:tcW w:w="2056" w:type="dxa"/>
            <w:tcBorders>
              <w:top w:val="nil"/>
              <w:left w:val="nil"/>
              <w:bottom w:val="single" w:sz="4" w:space="0" w:color="000000"/>
              <w:right w:val="nil"/>
            </w:tcBorders>
            <w:shd w:val="clear" w:color="auto" w:fill="FFFFFF"/>
            <w:vAlign w:val="center"/>
          </w:tcPr>
          <w:p w14:paraId="17B1C90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lastRenderedPageBreak/>
              <w:t xml:space="preserve">Емисије NMVOC </w:t>
            </w:r>
          </w:p>
        </w:tc>
        <w:tc>
          <w:tcPr>
            <w:tcW w:w="936" w:type="dxa"/>
            <w:tcBorders>
              <w:top w:val="nil"/>
              <w:left w:val="nil"/>
              <w:bottom w:val="nil"/>
              <w:right w:val="nil"/>
            </w:tcBorders>
            <w:shd w:val="clear" w:color="auto" w:fill="FFFFFF"/>
            <w:vAlign w:val="center"/>
          </w:tcPr>
          <w:p w14:paraId="1A79901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449ABDC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F6FE7F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323CD8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F91386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12E426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single" w:sz="4" w:space="0" w:color="000000"/>
              <w:right w:val="nil"/>
            </w:tcBorders>
            <w:shd w:val="clear" w:color="auto" w:fill="FFFFFF"/>
            <w:vAlign w:val="center"/>
          </w:tcPr>
          <w:p w14:paraId="76B7537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720A16C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53C6918E" w14:textId="77777777">
        <w:trPr>
          <w:trHeight w:val="360"/>
        </w:trPr>
        <w:tc>
          <w:tcPr>
            <w:tcW w:w="2056" w:type="dxa"/>
            <w:tcBorders>
              <w:top w:val="nil"/>
              <w:left w:val="single" w:sz="4" w:space="0" w:color="000000"/>
              <w:bottom w:val="nil"/>
              <w:right w:val="single" w:sz="4" w:space="0" w:color="000000"/>
            </w:tcBorders>
            <w:shd w:val="clear" w:color="auto" w:fill="DAEEF3"/>
            <w:vAlign w:val="center"/>
          </w:tcPr>
          <w:p w14:paraId="61AF2C7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WEM </w:t>
            </w:r>
          </w:p>
        </w:tc>
        <w:tc>
          <w:tcPr>
            <w:tcW w:w="936" w:type="dxa"/>
            <w:tcBorders>
              <w:top w:val="single" w:sz="4" w:space="0" w:color="000000"/>
              <w:left w:val="nil"/>
              <w:bottom w:val="single" w:sz="4" w:space="0" w:color="000000"/>
              <w:right w:val="nil"/>
            </w:tcBorders>
            <w:shd w:val="clear" w:color="auto" w:fill="DAEEF3"/>
            <w:vAlign w:val="center"/>
          </w:tcPr>
          <w:p w14:paraId="184A72E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7B26EA4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1EF7526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11212FB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4130EB8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single" w:sz="18" w:space="0" w:color="000000"/>
            </w:tcBorders>
            <w:shd w:val="clear" w:color="auto" w:fill="DAEEF3"/>
            <w:vAlign w:val="center"/>
          </w:tcPr>
          <w:p w14:paraId="0CC79426"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8" w:space="0" w:color="000000"/>
              <w:bottom w:val="single" w:sz="4" w:space="0" w:color="000000"/>
              <w:right w:val="single" w:sz="4" w:space="0" w:color="000000"/>
            </w:tcBorders>
            <w:shd w:val="clear" w:color="auto" w:fill="DAEEF3"/>
            <w:vAlign w:val="center"/>
          </w:tcPr>
          <w:p w14:paraId="5F8B38F0"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7B1445C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5918B2E8"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CAC4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14E28E5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527B7FE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66E610F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2325A3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76109C4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18" w:space="0" w:color="000000"/>
            </w:tcBorders>
            <w:shd w:val="clear" w:color="auto" w:fill="auto"/>
            <w:vAlign w:val="center"/>
          </w:tcPr>
          <w:p w14:paraId="7647AC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6B1959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-4,5%</w:t>
            </w:r>
          </w:p>
        </w:tc>
        <w:tc>
          <w:tcPr>
            <w:tcW w:w="1243" w:type="dxa"/>
            <w:tcBorders>
              <w:top w:val="nil"/>
              <w:left w:val="nil"/>
              <w:bottom w:val="single" w:sz="4" w:space="0" w:color="000000"/>
              <w:right w:val="single" w:sz="4" w:space="0" w:color="000000"/>
            </w:tcBorders>
            <w:shd w:val="clear" w:color="auto" w:fill="auto"/>
            <w:vAlign w:val="center"/>
          </w:tcPr>
          <w:p w14:paraId="55C3F19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-7,3%</w:t>
            </w:r>
          </w:p>
        </w:tc>
      </w:tr>
      <w:tr w:rsidR="00A0251B" w:rsidRPr="00CC35F0" w14:paraId="6BCDDBF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39441D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09AE29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10,5   </w:t>
            </w:r>
          </w:p>
        </w:tc>
        <w:tc>
          <w:tcPr>
            <w:tcW w:w="936" w:type="dxa"/>
            <w:tcBorders>
              <w:top w:val="nil"/>
              <w:left w:val="nil"/>
              <w:bottom w:val="single" w:sz="4" w:space="0" w:color="000000"/>
              <w:right w:val="single" w:sz="4" w:space="0" w:color="000000"/>
            </w:tcBorders>
            <w:shd w:val="clear" w:color="auto" w:fill="auto"/>
            <w:vAlign w:val="center"/>
          </w:tcPr>
          <w:p w14:paraId="7986516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10,6   </w:t>
            </w:r>
          </w:p>
        </w:tc>
        <w:tc>
          <w:tcPr>
            <w:tcW w:w="936" w:type="dxa"/>
            <w:tcBorders>
              <w:top w:val="nil"/>
              <w:left w:val="nil"/>
              <w:bottom w:val="single" w:sz="4" w:space="0" w:color="000000"/>
              <w:right w:val="single" w:sz="4" w:space="0" w:color="000000"/>
            </w:tcBorders>
            <w:shd w:val="clear" w:color="auto" w:fill="auto"/>
            <w:vAlign w:val="center"/>
          </w:tcPr>
          <w:p w14:paraId="30ED8B2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12,1   </w:t>
            </w:r>
          </w:p>
        </w:tc>
        <w:tc>
          <w:tcPr>
            <w:tcW w:w="936" w:type="dxa"/>
            <w:tcBorders>
              <w:top w:val="nil"/>
              <w:left w:val="nil"/>
              <w:bottom w:val="single" w:sz="4" w:space="0" w:color="000000"/>
              <w:right w:val="single" w:sz="4" w:space="0" w:color="000000"/>
            </w:tcBorders>
            <w:shd w:val="clear" w:color="auto" w:fill="auto"/>
            <w:vAlign w:val="center"/>
          </w:tcPr>
          <w:p w14:paraId="2400FE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12,7   </w:t>
            </w:r>
          </w:p>
        </w:tc>
        <w:tc>
          <w:tcPr>
            <w:tcW w:w="936" w:type="dxa"/>
            <w:tcBorders>
              <w:top w:val="nil"/>
              <w:left w:val="nil"/>
              <w:bottom w:val="single" w:sz="4" w:space="0" w:color="000000"/>
              <w:right w:val="single" w:sz="4" w:space="0" w:color="000000"/>
            </w:tcBorders>
            <w:shd w:val="clear" w:color="auto" w:fill="auto"/>
            <w:vAlign w:val="center"/>
          </w:tcPr>
          <w:p w14:paraId="551D899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14,2   </w:t>
            </w:r>
          </w:p>
        </w:tc>
        <w:tc>
          <w:tcPr>
            <w:tcW w:w="936" w:type="dxa"/>
            <w:tcBorders>
              <w:top w:val="nil"/>
              <w:left w:val="nil"/>
              <w:bottom w:val="single" w:sz="4" w:space="0" w:color="000000"/>
              <w:right w:val="single" w:sz="18" w:space="0" w:color="000000"/>
            </w:tcBorders>
            <w:shd w:val="clear" w:color="auto" w:fill="auto"/>
            <w:vAlign w:val="center"/>
          </w:tcPr>
          <w:p w14:paraId="6933364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15,8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6CB6EB6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34,7%</w:t>
            </w:r>
          </w:p>
        </w:tc>
        <w:tc>
          <w:tcPr>
            <w:tcW w:w="1243" w:type="dxa"/>
            <w:tcBorders>
              <w:top w:val="nil"/>
              <w:left w:val="nil"/>
              <w:bottom w:val="single" w:sz="4" w:space="0" w:color="000000"/>
              <w:right w:val="single" w:sz="4" w:space="0" w:color="000000"/>
            </w:tcBorders>
            <w:shd w:val="clear" w:color="auto" w:fill="auto"/>
            <w:vAlign w:val="center"/>
          </w:tcPr>
          <w:p w14:paraId="4071E0E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35,7%</w:t>
            </w:r>
          </w:p>
        </w:tc>
      </w:tr>
      <w:tr w:rsidR="00A0251B" w:rsidRPr="00CC35F0" w14:paraId="0503335A"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37BF7E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55E2583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28,3   </w:t>
            </w:r>
          </w:p>
        </w:tc>
        <w:tc>
          <w:tcPr>
            <w:tcW w:w="936" w:type="dxa"/>
            <w:tcBorders>
              <w:top w:val="nil"/>
              <w:left w:val="nil"/>
              <w:bottom w:val="single" w:sz="4" w:space="0" w:color="000000"/>
              <w:right w:val="single" w:sz="4" w:space="0" w:color="000000"/>
            </w:tcBorders>
            <w:shd w:val="clear" w:color="auto" w:fill="auto"/>
            <w:vAlign w:val="center"/>
          </w:tcPr>
          <w:p w14:paraId="675F4D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29,8   </w:t>
            </w:r>
          </w:p>
        </w:tc>
        <w:tc>
          <w:tcPr>
            <w:tcW w:w="936" w:type="dxa"/>
            <w:tcBorders>
              <w:top w:val="nil"/>
              <w:left w:val="nil"/>
              <w:bottom w:val="single" w:sz="4" w:space="0" w:color="000000"/>
              <w:right w:val="single" w:sz="4" w:space="0" w:color="000000"/>
            </w:tcBorders>
            <w:shd w:val="clear" w:color="auto" w:fill="auto"/>
            <w:vAlign w:val="center"/>
          </w:tcPr>
          <w:p w14:paraId="4E2C72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29,6   </w:t>
            </w:r>
          </w:p>
        </w:tc>
        <w:tc>
          <w:tcPr>
            <w:tcW w:w="936" w:type="dxa"/>
            <w:tcBorders>
              <w:top w:val="nil"/>
              <w:left w:val="nil"/>
              <w:bottom w:val="single" w:sz="4" w:space="0" w:color="000000"/>
              <w:right w:val="single" w:sz="4" w:space="0" w:color="000000"/>
            </w:tcBorders>
            <w:shd w:val="clear" w:color="auto" w:fill="auto"/>
            <w:vAlign w:val="center"/>
          </w:tcPr>
          <w:p w14:paraId="1A326EC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29,0   </w:t>
            </w:r>
          </w:p>
        </w:tc>
        <w:tc>
          <w:tcPr>
            <w:tcW w:w="936" w:type="dxa"/>
            <w:tcBorders>
              <w:top w:val="nil"/>
              <w:left w:val="nil"/>
              <w:bottom w:val="single" w:sz="4" w:space="0" w:color="000000"/>
              <w:right w:val="single" w:sz="4" w:space="0" w:color="000000"/>
            </w:tcBorders>
            <w:shd w:val="clear" w:color="auto" w:fill="auto"/>
            <w:vAlign w:val="center"/>
          </w:tcPr>
          <w:p w14:paraId="1BD0719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27,8   </w:t>
            </w:r>
          </w:p>
        </w:tc>
        <w:tc>
          <w:tcPr>
            <w:tcW w:w="936" w:type="dxa"/>
            <w:tcBorders>
              <w:top w:val="nil"/>
              <w:left w:val="nil"/>
              <w:bottom w:val="single" w:sz="4" w:space="0" w:color="000000"/>
              <w:right w:val="single" w:sz="18" w:space="0" w:color="000000"/>
            </w:tcBorders>
            <w:shd w:val="clear" w:color="auto" w:fill="auto"/>
            <w:vAlign w:val="center"/>
          </w:tcPr>
          <w:p w14:paraId="26A217D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27,6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378EA6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-6,7%</w:t>
            </w:r>
          </w:p>
        </w:tc>
        <w:tc>
          <w:tcPr>
            <w:tcW w:w="1243" w:type="dxa"/>
            <w:tcBorders>
              <w:top w:val="nil"/>
              <w:left w:val="nil"/>
              <w:bottom w:val="single" w:sz="4" w:space="0" w:color="000000"/>
              <w:right w:val="single" w:sz="4" w:space="0" w:color="000000"/>
            </w:tcBorders>
            <w:shd w:val="clear" w:color="auto" w:fill="auto"/>
            <w:vAlign w:val="center"/>
          </w:tcPr>
          <w:p w14:paraId="40C5F2D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w:t>
            </w:r>
          </w:p>
        </w:tc>
      </w:tr>
      <w:tr w:rsidR="00A0251B" w:rsidRPr="00CC35F0" w14:paraId="0654490E"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6D5AB1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2E12197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33,9   </w:t>
            </w:r>
          </w:p>
        </w:tc>
        <w:tc>
          <w:tcPr>
            <w:tcW w:w="936" w:type="dxa"/>
            <w:tcBorders>
              <w:top w:val="nil"/>
              <w:left w:val="nil"/>
              <w:bottom w:val="single" w:sz="4" w:space="0" w:color="000000"/>
              <w:right w:val="single" w:sz="4" w:space="0" w:color="000000"/>
            </w:tcBorders>
            <w:shd w:val="clear" w:color="auto" w:fill="auto"/>
            <w:vAlign w:val="center"/>
          </w:tcPr>
          <w:p w14:paraId="0768420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31,6   </w:t>
            </w:r>
          </w:p>
        </w:tc>
        <w:tc>
          <w:tcPr>
            <w:tcW w:w="936" w:type="dxa"/>
            <w:tcBorders>
              <w:top w:val="nil"/>
              <w:left w:val="nil"/>
              <w:bottom w:val="single" w:sz="4" w:space="0" w:color="000000"/>
              <w:right w:val="single" w:sz="4" w:space="0" w:color="000000"/>
            </w:tcBorders>
            <w:shd w:val="clear" w:color="auto" w:fill="auto"/>
            <w:vAlign w:val="center"/>
          </w:tcPr>
          <w:p w14:paraId="45B9BE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30,9   </w:t>
            </w:r>
          </w:p>
        </w:tc>
        <w:tc>
          <w:tcPr>
            <w:tcW w:w="936" w:type="dxa"/>
            <w:tcBorders>
              <w:top w:val="nil"/>
              <w:left w:val="nil"/>
              <w:bottom w:val="single" w:sz="4" w:space="0" w:color="000000"/>
              <w:right w:val="single" w:sz="4" w:space="0" w:color="000000"/>
            </w:tcBorders>
            <w:shd w:val="clear" w:color="auto" w:fill="auto"/>
            <w:vAlign w:val="center"/>
          </w:tcPr>
          <w:p w14:paraId="01DA1B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29,9   </w:t>
            </w:r>
          </w:p>
        </w:tc>
        <w:tc>
          <w:tcPr>
            <w:tcW w:w="936" w:type="dxa"/>
            <w:tcBorders>
              <w:top w:val="nil"/>
              <w:left w:val="nil"/>
              <w:bottom w:val="single" w:sz="4" w:space="0" w:color="000000"/>
              <w:right w:val="single" w:sz="4" w:space="0" w:color="000000"/>
            </w:tcBorders>
            <w:shd w:val="clear" w:color="auto" w:fill="auto"/>
            <w:vAlign w:val="center"/>
          </w:tcPr>
          <w:p w14:paraId="2752C4C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27,1   </w:t>
            </w:r>
          </w:p>
        </w:tc>
        <w:tc>
          <w:tcPr>
            <w:tcW w:w="936" w:type="dxa"/>
            <w:tcBorders>
              <w:top w:val="nil"/>
              <w:left w:val="nil"/>
              <w:bottom w:val="single" w:sz="4" w:space="0" w:color="000000"/>
              <w:right w:val="single" w:sz="18" w:space="0" w:color="000000"/>
            </w:tcBorders>
            <w:shd w:val="clear" w:color="auto" w:fill="auto"/>
            <w:vAlign w:val="center"/>
          </w:tcPr>
          <w:p w14:paraId="2D54D2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A231E6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-14,3%</w:t>
            </w:r>
          </w:p>
        </w:tc>
        <w:tc>
          <w:tcPr>
            <w:tcW w:w="1243" w:type="dxa"/>
            <w:tcBorders>
              <w:top w:val="nil"/>
              <w:left w:val="nil"/>
              <w:bottom w:val="single" w:sz="4" w:space="0" w:color="000000"/>
              <w:right w:val="single" w:sz="4" w:space="0" w:color="000000"/>
            </w:tcBorders>
            <w:shd w:val="clear" w:color="auto" w:fill="auto"/>
            <w:vAlign w:val="center"/>
          </w:tcPr>
          <w:p w14:paraId="205209F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r>
      <w:tr w:rsidR="00A0251B" w:rsidRPr="00CC35F0" w14:paraId="22C8BDE4"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A8364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4DA5B2E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17,1   </w:t>
            </w:r>
          </w:p>
        </w:tc>
        <w:tc>
          <w:tcPr>
            <w:tcW w:w="936" w:type="dxa"/>
            <w:tcBorders>
              <w:top w:val="nil"/>
              <w:left w:val="nil"/>
              <w:bottom w:val="single" w:sz="4" w:space="0" w:color="000000"/>
              <w:right w:val="single" w:sz="4" w:space="0" w:color="000000"/>
            </w:tcBorders>
            <w:shd w:val="clear" w:color="auto" w:fill="auto"/>
            <w:vAlign w:val="center"/>
          </w:tcPr>
          <w:p w14:paraId="68CD7BD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19,6   </w:t>
            </w:r>
          </w:p>
        </w:tc>
        <w:tc>
          <w:tcPr>
            <w:tcW w:w="936" w:type="dxa"/>
            <w:tcBorders>
              <w:top w:val="nil"/>
              <w:left w:val="nil"/>
              <w:bottom w:val="single" w:sz="4" w:space="0" w:color="000000"/>
              <w:right w:val="single" w:sz="4" w:space="0" w:color="000000"/>
            </w:tcBorders>
            <w:shd w:val="clear" w:color="auto" w:fill="auto"/>
            <w:vAlign w:val="center"/>
          </w:tcPr>
          <w:p w14:paraId="2E1405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19,6   </w:t>
            </w:r>
          </w:p>
        </w:tc>
        <w:tc>
          <w:tcPr>
            <w:tcW w:w="936" w:type="dxa"/>
            <w:tcBorders>
              <w:top w:val="nil"/>
              <w:left w:val="nil"/>
              <w:bottom w:val="single" w:sz="4" w:space="0" w:color="000000"/>
              <w:right w:val="single" w:sz="4" w:space="0" w:color="000000"/>
            </w:tcBorders>
            <w:shd w:val="clear" w:color="auto" w:fill="auto"/>
            <w:vAlign w:val="center"/>
          </w:tcPr>
          <w:p w14:paraId="512B78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19,1   </w:t>
            </w:r>
          </w:p>
        </w:tc>
        <w:tc>
          <w:tcPr>
            <w:tcW w:w="936" w:type="dxa"/>
            <w:tcBorders>
              <w:top w:val="nil"/>
              <w:left w:val="nil"/>
              <w:bottom w:val="single" w:sz="4" w:space="0" w:color="000000"/>
              <w:right w:val="single" w:sz="4" w:space="0" w:color="000000"/>
            </w:tcBorders>
            <w:shd w:val="clear" w:color="auto" w:fill="auto"/>
            <w:vAlign w:val="center"/>
          </w:tcPr>
          <w:p w14:paraId="0BC5081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18,9   </w:t>
            </w:r>
          </w:p>
        </w:tc>
        <w:tc>
          <w:tcPr>
            <w:tcW w:w="936" w:type="dxa"/>
            <w:tcBorders>
              <w:top w:val="nil"/>
              <w:left w:val="nil"/>
              <w:bottom w:val="single" w:sz="4" w:space="0" w:color="000000"/>
              <w:right w:val="single" w:sz="18" w:space="0" w:color="000000"/>
            </w:tcBorders>
            <w:shd w:val="clear" w:color="auto" w:fill="auto"/>
            <w:vAlign w:val="center"/>
          </w:tcPr>
          <w:p w14:paraId="20D525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18,7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C10D32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-3,7%</w:t>
            </w:r>
          </w:p>
        </w:tc>
        <w:tc>
          <w:tcPr>
            <w:tcW w:w="1243" w:type="dxa"/>
            <w:tcBorders>
              <w:top w:val="nil"/>
              <w:left w:val="nil"/>
              <w:bottom w:val="single" w:sz="4" w:space="0" w:color="000000"/>
              <w:right w:val="single" w:sz="4" w:space="0" w:color="000000"/>
            </w:tcBorders>
            <w:shd w:val="clear" w:color="auto" w:fill="auto"/>
            <w:vAlign w:val="center"/>
          </w:tcPr>
          <w:p w14:paraId="1C812DD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10,1%</w:t>
            </w:r>
          </w:p>
        </w:tc>
      </w:tr>
      <w:tr w:rsidR="00A0251B" w:rsidRPr="00CC35F0" w14:paraId="4BBC3A24" w14:textId="77777777">
        <w:trPr>
          <w:trHeight w:val="29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A29A86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7B2F13D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30,9   </w:t>
            </w:r>
          </w:p>
        </w:tc>
        <w:tc>
          <w:tcPr>
            <w:tcW w:w="936" w:type="dxa"/>
            <w:tcBorders>
              <w:top w:val="nil"/>
              <w:left w:val="nil"/>
              <w:bottom w:val="single" w:sz="4" w:space="0" w:color="000000"/>
              <w:right w:val="single" w:sz="4" w:space="0" w:color="000000"/>
            </w:tcBorders>
            <w:shd w:val="clear" w:color="auto" w:fill="auto"/>
            <w:vAlign w:val="center"/>
          </w:tcPr>
          <w:p w14:paraId="581932C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15,6   </w:t>
            </w:r>
          </w:p>
        </w:tc>
        <w:tc>
          <w:tcPr>
            <w:tcW w:w="936" w:type="dxa"/>
            <w:tcBorders>
              <w:top w:val="nil"/>
              <w:left w:val="nil"/>
              <w:bottom w:val="single" w:sz="4" w:space="0" w:color="000000"/>
              <w:right w:val="single" w:sz="4" w:space="0" w:color="000000"/>
            </w:tcBorders>
            <w:shd w:val="clear" w:color="auto" w:fill="auto"/>
            <w:vAlign w:val="center"/>
          </w:tcPr>
          <w:p w14:paraId="59BE49D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9,0   </w:t>
            </w:r>
          </w:p>
        </w:tc>
        <w:tc>
          <w:tcPr>
            <w:tcW w:w="936" w:type="dxa"/>
            <w:tcBorders>
              <w:top w:val="nil"/>
              <w:left w:val="nil"/>
              <w:bottom w:val="single" w:sz="4" w:space="0" w:color="000000"/>
              <w:right w:val="single" w:sz="4" w:space="0" w:color="000000"/>
            </w:tcBorders>
            <w:shd w:val="clear" w:color="auto" w:fill="auto"/>
            <w:vAlign w:val="center"/>
          </w:tcPr>
          <w:p w14:paraId="7422E05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6,9   </w:t>
            </w:r>
          </w:p>
        </w:tc>
        <w:tc>
          <w:tcPr>
            <w:tcW w:w="936" w:type="dxa"/>
            <w:tcBorders>
              <w:top w:val="nil"/>
              <w:left w:val="nil"/>
              <w:bottom w:val="single" w:sz="4" w:space="0" w:color="000000"/>
              <w:right w:val="single" w:sz="4" w:space="0" w:color="000000"/>
            </w:tcBorders>
            <w:shd w:val="clear" w:color="auto" w:fill="auto"/>
            <w:vAlign w:val="center"/>
          </w:tcPr>
          <w:p w14:paraId="79056E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5,9   </w:t>
            </w:r>
          </w:p>
        </w:tc>
        <w:tc>
          <w:tcPr>
            <w:tcW w:w="936" w:type="dxa"/>
            <w:tcBorders>
              <w:top w:val="nil"/>
              <w:left w:val="nil"/>
              <w:bottom w:val="single" w:sz="4" w:space="0" w:color="000000"/>
              <w:right w:val="single" w:sz="18" w:space="0" w:color="000000"/>
            </w:tcBorders>
            <w:shd w:val="clear" w:color="auto" w:fill="auto"/>
            <w:vAlign w:val="center"/>
          </w:tcPr>
          <w:p w14:paraId="6076B36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4CDA02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-62,2%</w:t>
            </w:r>
          </w:p>
        </w:tc>
        <w:tc>
          <w:tcPr>
            <w:tcW w:w="1243" w:type="dxa"/>
            <w:tcBorders>
              <w:top w:val="nil"/>
              <w:left w:val="nil"/>
              <w:bottom w:val="single" w:sz="4" w:space="0" w:color="000000"/>
              <w:right w:val="single" w:sz="4" w:space="0" w:color="000000"/>
            </w:tcBorders>
            <w:shd w:val="clear" w:color="auto" w:fill="auto"/>
            <w:vAlign w:val="center"/>
          </w:tcPr>
          <w:p w14:paraId="1F84FBC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-80,9%</w:t>
            </w:r>
          </w:p>
        </w:tc>
      </w:tr>
      <w:tr w:rsidR="00A0251B" w:rsidRPr="00CC35F0" w14:paraId="52364D9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F0F550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5A3E31E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F0E546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3C7A3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CD230D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6A8D26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559D27B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9087C7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259B4F1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458318C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84AAB9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33A47EC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89FFBA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C86C0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8934E6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634B5B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0F2B181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347636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64BD195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7BDE942E" w14:textId="77777777">
        <w:trPr>
          <w:trHeight w:val="31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15A247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0A34EBF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36" w:type="dxa"/>
            <w:tcBorders>
              <w:top w:val="nil"/>
              <w:left w:val="nil"/>
              <w:bottom w:val="single" w:sz="4" w:space="0" w:color="000000"/>
              <w:right w:val="single" w:sz="4" w:space="0" w:color="000000"/>
            </w:tcBorders>
            <w:shd w:val="clear" w:color="auto" w:fill="auto"/>
            <w:vAlign w:val="center"/>
          </w:tcPr>
          <w:p w14:paraId="2B4CAE8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36" w:type="dxa"/>
            <w:tcBorders>
              <w:top w:val="nil"/>
              <w:left w:val="nil"/>
              <w:bottom w:val="single" w:sz="4" w:space="0" w:color="000000"/>
              <w:right w:val="single" w:sz="4" w:space="0" w:color="000000"/>
            </w:tcBorders>
            <w:shd w:val="clear" w:color="auto" w:fill="auto"/>
            <w:vAlign w:val="center"/>
          </w:tcPr>
          <w:p w14:paraId="37CF73E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36" w:type="dxa"/>
            <w:tcBorders>
              <w:top w:val="nil"/>
              <w:left w:val="nil"/>
              <w:bottom w:val="single" w:sz="4" w:space="0" w:color="000000"/>
              <w:right w:val="single" w:sz="4" w:space="0" w:color="000000"/>
            </w:tcBorders>
            <w:shd w:val="clear" w:color="auto" w:fill="auto"/>
            <w:vAlign w:val="center"/>
          </w:tcPr>
          <w:p w14:paraId="2C9EA4D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36" w:type="dxa"/>
            <w:tcBorders>
              <w:top w:val="nil"/>
              <w:left w:val="nil"/>
              <w:bottom w:val="single" w:sz="4" w:space="0" w:color="000000"/>
              <w:right w:val="single" w:sz="4" w:space="0" w:color="000000"/>
            </w:tcBorders>
            <w:shd w:val="clear" w:color="auto" w:fill="auto"/>
            <w:vAlign w:val="center"/>
          </w:tcPr>
          <w:p w14:paraId="5D257A0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936" w:type="dxa"/>
            <w:tcBorders>
              <w:top w:val="nil"/>
              <w:left w:val="nil"/>
              <w:bottom w:val="single" w:sz="4" w:space="0" w:color="000000"/>
              <w:right w:val="single" w:sz="18" w:space="0" w:color="000000"/>
            </w:tcBorders>
            <w:shd w:val="clear" w:color="auto" w:fill="auto"/>
            <w:vAlign w:val="center"/>
          </w:tcPr>
          <w:p w14:paraId="01C66C4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434B98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-19,9%</w:t>
            </w:r>
          </w:p>
        </w:tc>
        <w:tc>
          <w:tcPr>
            <w:tcW w:w="1243" w:type="dxa"/>
            <w:tcBorders>
              <w:top w:val="nil"/>
              <w:left w:val="nil"/>
              <w:bottom w:val="single" w:sz="4" w:space="0" w:color="000000"/>
              <w:right w:val="single" w:sz="4" w:space="0" w:color="000000"/>
            </w:tcBorders>
            <w:shd w:val="clear" w:color="auto" w:fill="auto"/>
            <w:vAlign w:val="center"/>
          </w:tcPr>
          <w:p w14:paraId="65BF6DA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-50,1%</w:t>
            </w:r>
          </w:p>
        </w:tc>
      </w:tr>
      <w:tr w:rsidR="00A0251B" w:rsidRPr="00CC35F0" w14:paraId="7C17ECB8"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4E793D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63202F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4BE731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95122F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8B7957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5ED6BA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3048418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F05EFA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21,3%</w:t>
            </w:r>
          </w:p>
        </w:tc>
        <w:tc>
          <w:tcPr>
            <w:tcW w:w="1243" w:type="dxa"/>
            <w:tcBorders>
              <w:top w:val="nil"/>
              <w:left w:val="nil"/>
              <w:bottom w:val="single" w:sz="4" w:space="0" w:color="000000"/>
              <w:right w:val="single" w:sz="4" w:space="0" w:color="000000"/>
            </w:tcBorders>
            <w:shd w:val="clear" w:color="auto" w:fill="auto"/>
            <w:vAlign w:val="center"/>
          </w:tcPr>
          <w:p w14:paraId="01C84BF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-21,2%</w:t>
            </w:r>
          </w:p>
        </w:tc>
      </w:tr>
      <w:tr w:rsidR="00A0251B" w:rsidRPr="00CC35F0" w14:paraId="2CC733CC"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CE1377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2718F0D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22,1   </w:t>
            </w:r>
          </w:p>
        </w:tc>
        <w:tc>
          <w:tcPr>
            <w:tcW w:w="936" w:type="dxa"/>
            <w:tcBorders>
              <w:top w:val="nil"/>
              <w:left w:val="nil"/>
              <w:bottom w:val="single" w:sz="4" w:space="0" w:color="000000"/>
              <w:right w:val="single" w:sz="4" w:space="0" w:color="000000"/>
            </w:tcBorders>
            <w:shd w:val="clear" w:color="auto" w:fill="auto"/>
            <w:vAlign w:val="center"/>
          </w:tcPr>
          <w:p w14:paraId="02DC85E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15,6   </w:t>
            </w:r>
          </w:p>
        </w:tc>
        <w:tc>
          <w:tcPr>
            <w:tcW w:w="936" w:type="dxa"/>
            <w:tcBorders>
              <w:top w:val="nil"/>
              <w:left w:val="nil"/>
              <w:bottom w:val="single" w:sz="4" w:space="0" w:color="000000"/>
              <w:right w:val="single" w:sz="4" w:space="0" w:color="000000"/>
            </w:tcBorders>
            <w:shd w:val="clear" w:color="auto" w:fill="auto"/>
            <w:vAlign w:val="center"/>
          </w:tcPr>
          <w:p w14:paraId="6109DD4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14,7   </w:t>
            </w:r>
          </w:p>
        </w:tc>
        <w:tc>
          <w:tcPr>
            <w:tcW w:w="936" w:type="dxa"/>
            <w:tcBorders>
              <w:top w:val="nil"/>
              <w:left w:val="nil"/>
              <w:bottom w:val="single" w:sz="4" w:space="0" w:color="000000"/>
              <w:right w:val="single" w:sz="4" w:space="0" w:color="000000"/>
            </w:tcBorders>
            <w:shd w:val="clear" w:color="auto" w:fill="auto"/>
            <w:vAlign w:val="center"/>
          </w:tcPr>
          <w:p w14:paraId="527B28B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14,1   </w:t>
            </w:r>
          </w:p>
        </w:tc>
        <w:tc>
          <w:tcPr>
            <w:tcW w:w="936" w:type="dxa"/>
            <w:tcBorders>
              <w:top w:val="nil"/>
              <w:left w:val="nil"/>
              <w:bottom w:val="single" w:sz="4" w:space="0" w:color="000000"/>
              <w:right w:val="single" w:sz="4" w:space="0" w:color="000000"/>
            </w:tcBorders>
            <w:shd w:val="clear" w:color="auto" w:fill="auto"/>
            <w:vAlign w:val="center"/>
          </w:tcPr>
          <w:p w14:paraId="59D5D43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single" w:sz="18" w:space="0" w:color="000000"/>
            </w:tcBorders>
            <w:shd w:val="clear" w:color="auto" w:fill="auto"/>
            <w:vAlign w:val="center"/>
          </w:tcPr>
          <w:p w14:paraId="7B3C073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12,6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8EEC29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-14,2%</w:t>
            </w:r>
          </w:p>
        </w:tc>
        <w:tc>
          <w:tcPr>
            <w:tcW w:w="1243" w:type="dxa"/>
            <w:tcBorders>
              <w:top w:val="nil"/>
              <w:left w:val="nil"/>
              <w:bottom w:val="single" w:sz="4" w:space="0" w:color="000000"/>
              <w:right w:val="single" w:sz="4" w:space="0" w:color="000000"/>
            </w:tcBorders>
            <w:shd w:val="clear" w:color="auto" w:fill="auto"/>
            <w:vAlign w:val="center"/>
          </w:tcPr>
          <w:p w14:paraId="0AAD133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-39,4%</w:t>
            </w:r>
          </w:p>
        </w:tc>
      </w:tr>
      <w:tr w:rsidR="00A0251B" w:rsidRPr="00CC35F0" w14:paraId="478A338A"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11AD4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2D581A7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27FBC50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7,6   </w:t>
            </w:r>
          </w:p>
        </w:tc>
        <w:tc>
          <w:tcPr>
            <w:tcW w:w="936" w:type="dxa"/>
            <w:tcBorders>
              <w:top w:val="nil"/>
              <w:left w:val="nil"/>
              <w:bottom w:val="single" w:sz="4" w:space="0" w:color="000000"/>
              <w:right w:val="single" w:sz="4" w:space="0" w:color="000000"/>
            </w:tcBorders>
            <w:shd w:val="clear" w:color="auto" w:fill="auto"/>
            <w:vAlign w:val="center"/>
          </w:tcPr>
          <w:p w14:paraId="00C3A00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36" w:type="dxa"/>
            <w:tcBorders>
              <w:top w:val="nil"/>
              <w:left w:val="nil"/>
              <w:bottom w:val="single" w:sz="4" w:space="0" w:color="000000"/>
              <w:right w:val="single" w:sz="4" w:space="0" w:color="000000"/>
            </w:tcBorders>
            <w:shd w:val="clear" w:color="auto" w:fill="auto"/>
            <w:vAlign w:val="center"/>
          </w:tcPr>
          <w:p w14:paraId="6BDEDC4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36" w:type="dxa"/>
            <w:tcBorders>
              <w:top w:val="nil"/>
              <w:left w:val="nil"/>
              <w:bottom w:val="single" w:sz="4" w:space="0" w:color="000000"/>
              <w:right w:val="single" w:sz="4" w:space="0" w:color="000000"/>
            </w:tcBorders>
            <w:shd w:val="clear" w:color="auto" w:fill="auto"/>
            <w:vAlign w:val="center"/>
          </w:tcPr>
          <w:p w14:paraId="5FB537F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36" w:type="dxa"/>
            <w:tcBorders>
              <w:top w:val="nil"/>
              <w:left w:val="nil"/>
              <w:bottom w:val="single" w:sz="4" w:space="0" w:color="000000"/>
              <w:right w:val="single" w:sz="18" w:space="0" w:color="000000"/>
            </w:tcBorders>
            <w:shd w:val="clear" w:color="auto" w:fill="auto"/>
            <w:vAlign w:val="center"/>
          </w:tcPr>
          <w:p w14:paraId="46307EC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D7D85A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w:t>
            </w:r>
          </w:p>
        </w:tc>
        <w:tc>
          <w:tcPr>
            <w:tcW w:w="1243" w:type="dxa"/>
            <w:tcBorders>
              <w:top w:val="nil"/>
              <w:left w:val="nil"/>
              <w:bottom w:val="single" w:sz="4" w:space="0" w:color="000000"/>
              <w:right w:val="single" w:sz="4" w:space="0" w:color="000000"/>
            </w:tcBorders>
            <w:shd w:val="clear" w:color="auto" w:fill="auto"/>
            <w:vAlign w:val="center"/>
          </w:tcPr>
          <w:p w14:paraId="637CD87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141,7%</w:t>
            </w:r>
          </w:p>
        </w:tc>
      </w:tr>
      <w:tr w:rsidR="00A0251B" w:rsidRPr="00CC35F0" w14:paraId="1C55243A"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BE7FFD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2E4E924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147,8   </w:t>
            </w:r>
          </w:p>
        </w:tc>
        <w:tc>
          <w:tcPr>
            <w:tcW w:w="936" w:type="dxa"/>
            <w:tcBorders>
              <w:top w:val="nil"/>
              <w:left w:val="single" w:sz="4" w:space="0" w:color="000000"/>
              <w:bottom w:val="single" w:sz="4" w:space="0" w:color="000000"/>
              <w:right w:val="nil"/>
            </w:tcBorders>
            <w:shd w:val="clear" w:color="auto" w:fill="auto"/>
            <w:vAlign w:val="center"/>
          </w:tcPr>
          <w:p w14:paraId="174D957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131,7   </w:t>
            </w:r>
          </w:p>
        </w:tc>
        <w:tc>
          <w:tcPr>
            <w:tcW w:w="936" w:type="dxa"/>
            <w:tcBorders>
              <w:top w:val="nil"/>
              <w:left w:val="single" w:sz="4" w:space="0" w:color="000000"/>
              <w:bottom w:val="single" w:sz="4" w:space="0" w:color="000000"/>
              <w:right w:val="nil"/>
            </w:tcBorders>
            <w:shd w:val="clear" w:color="auto" w:fill="auto"/>
            <w:vAlign w:val="center"/>
          </w:tcPr>
          <w:p w14:paraId="166BC58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125,0   </w:t>
            </w:r>
          </w:p>
        </w:tc>
        <w:tc>
          <w:tcPr>
            <w:tcW w:w="936" w:type="dxa"/>
            <w:tcBorders>
              <w:top w:val="nil"/>
              <w:left w:val="single" w:sz="4" w:space="0" w:color="000000"/>
              <w:bottom w:val="single" w:sz="4" w:space="0" w:color="000000"/>
              <w:right w:val="nil"/>
            </w:tcBorders>
            <w:shd w:val="clear" w:color="auto" w:fill="auto"/>
            <w:vAlign w:val="center"/>
          </w:tcPr>
          <w:p w14:paraId="3F84C67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120,7   </w:t>
            </w:r>
          </w:p>
        </w:tc>
        <w:tc>
          <w:tcPr>
            <w:tcW w:w="936" w:type="dxa"/>
            <w:tcBorders>
              <w:top w:val="nil"/>
              <w:left w:val="single" w:sz="4" w:space="0" w:color="000000"/>
              <w:bottom w:val="single" w:sz="4" w:space="0" w:color="000000"/>
              <w:right w:val="nil"/>
            </w:tcBorders>
            <w:shd w:val="clear" w:color="auto" w:fill="auto"/>
            <w:vAlign w:val="center"/>
          </w:tcPr>
          <w:p w14:paraId="63BDE26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116,2   </w:t>
            </w:r>
          </w:p>
        </w:tc>
        <w:tc>
          <w:tcPr>
            <w:tcW w:w="936" w:type="dxa"/>
            <w:tcBorders>
              <w:top w:val="nil"/>
              <w:left w:val="single" w:sz="4" w:space="0" w:color="000000"/>
              <w:bottom w:val="single" w:sz="4" w:space="0" w:color="000000"/>
              <w:right w:val="single" w:sz="18" w:space="0" w:color="000000"/>
            </w:tcBorders>
            <w:shd w:val="clear" w:color="auto" w:fill="auto"/>
            <w:vAlign w:val="center"/>
          </w:tcPr>
          <w:p w14:paraId="06A42F5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108,3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63B9CC5D"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-11,7%</w:t>
            </w:r>
          </w:p>
        </w:tc>
        <w:tc>
          <w:tcPr>
            <w:tcW w:w="1243" w:type="dxa"/>
            <w:tcBorders>
              <w:top w:val="nil"/>
              <w:left w:val="nil"/>
              <w:bottom w:val="single" w:sz="4" w:space="0" w:color="000000"/>
              <w:right w:val="single" w:sz="4" w:space="0" w:color="000000"/>
            </w:tcBorders>
            <w:shd w:val="clear" w:color="auto" w:fill="auto"/>
            <w:vAlign w:val="center"/>
          </w:tcPr>
          <w:p w14:paraId="69E1F3DC"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-21,4%</w:t>
            </w:r>
          </w:p>
        </w:tc>
      </w:tr>
      <w:tr w:rsidR="00A0251B" w:rsidRPr="00CC35F0" w14:paraId="4883BDC2" w14:textId="77777777">
        <w:trPr>
          <w:trHeight w:val="260"/>
        </w:trPr>
        <w:tc>
          <w:tcPr>
            <w:tcW w:w="2056" w:type="dxa"/>
            <w:tcBorders>
              <w:top w:val="nil"/>
              <w:left w:val="nil"/>
              <w:bottom w:val="nil"/>
              <w:right w:val="nil"/>
            </w:tcBorders>
            <w:shd w:val="clear" w:color="auto" w:fill="auto"/>
            <w:vAlign w:val="center"/>
          </w:tcPr>
          <w:p w14:paraId="095B8EBA"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936" w:type="dxa"/>
            <w:tcBorders>
              <w:top w:val="nil"/>
              <w:left w:val="nil"/>
              <w:bottom w:val="nil"/>
              <w:right w:val="nil"/>
            </w:tcBorders>
            <w:shd w:val="clear" w:color="auto" w:fill="FFFFFF"/>
            <w:vAlign w:val="center"/>
          </w:tcPr>
          <w:p w14:paraId="187F3E4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483FE6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6C4B25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2FB123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4F6BAE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86DBBA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54C4362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065D68A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4510A3D4" w14:textId="77777777">
        <w:trPr>
          <w:trHeight w:val="300"/>
        </w:trPr>
        <w:tc>
          <w:tcPr>
            <w:tcW w:w="2056" w:type="dxa"/>
            <w:tcBorders>
              <w:top w:val="nil"/>
              <w:left w:val="nil"/>
              <w:bottom w:val="single" w:sz="4" w:space="0" w:color="000000"/>
              <w:right w:val="nil"/>
            </w:tcBorders>
            <w:shd w:val="clear" w:color="auto" w:fill="FFFFFF"/>
            <w:vAlign w:val="center"/>
          </w:tcPr>
          <w:p w14:paraId="01138A1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NMVOC</w:t>
            </w:r>
          </w:p>
        </w:tc>
        <w:tc>
          <w:tcPr>
            <w:tcW w:w="936" w:type="dxa"/>
            <w:tcBorders>
              <w:top w:val="nil"/>
              <w:left w:val="nil"/>
              <w:bottom w:val="nil"/>
              <w:right w:val="nil"/>
            </w:tcBorders>
            <w:shd w:val="clear" w:color="auto" w:fill="FFFFFF"/>
            <w:vAlign w:val="center"/>
          </w:tcPr>
          <w:p w14:paraId="65A4E9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029E8AE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17427B3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6C7E67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485CD94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2D093D4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tcBorders>
              <w:top w:val="nil"/>
              <w:left w:val="nil"/>
              <w:bottom w:val="single" w:sz="4" w:space="0" w:color="000000"/>
              <w:right w:val="nil"/>
            </w:tcBorders>
            <w:shd w:val="clear" w:color="auto" w:fill="FFFFFF"/>
            <w:vAlign w:val="center"/>
          </w:tcPr>
          <w:p w14:paraId="5681CD7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tcBorders>
              <w:top w:val="nil"/>
              <w:left w:val="nil"/>
              <w:bottom w:val="nil"/>
              <w:right w:val="nil"/>
            </w:tcBorders>
            <w:shd w:val="clear" w:color="auto" w:fill="FFFFFF"/>
            <w:vAlign w:val="center"/>
          </w:tcPr>
          <w:p w14:paraId="4CB489A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r>
      <w:tr w:rsidR="00A0251B" w:rsidRPr="00CC35F0" w14:paraId="0961E70A" w14:textId="77777777">
        <w:trPr>
          <w:trHeight w:val="270"/>
        </w:trPr>
        <w:tc>
          <w:tcPr>
            <w:tcW w:w="2056" w:type="dxa"/>
            <w:tcBorders>
              <w:top w:val="nil"/>
              <w:left w:val="single" w:sz="4" w:space="0" w:color="000000"/>
              <w:bottom w:val="nil"/>
              <w:right w:val="single" w:sz="4" w:space="0" w:color="000000"/>
            </w:tcBorders>
            <w:shd w:val="clear" w:color="auto" w:fill="DAEEF3"/>
            <w:vAlign w:val="center"/>
          </w:tcPr>
          <w:p w14:paraId="2A69DAA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WAM_A </w:t>
            </w:r>
          </w:p>
        </w:tc>
        <w:tc>
          <w:tcPr>
            <w:tcW w:w="936" w:type="dxa"/>
            <w:tcBorders>
              <w:top w:val="single" w:sz="4" w:space="0" w:color="000000"/>
              <w:left w:val="nil"/>
              <w:bottom w:val="single" w:sz="4" w:space="0" w:color="000000"/>
              <w:right w:val="nil"/>
            </w:tcBorders>
            <w:shd w:val="clear" w:color="auto" w:fill="DAEEF3"/>
            <w:vAlign w:val="center"/>
          </w:tcPr>
          <w:p w14:paraId="39F5FBF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CCF9DD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33E68DD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EDCDB1C"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69CE7EC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single" w:sz="18" w:space="0" w:color="000000"/>
            </w:tcBorders>
            <w:shd w:val="clear" w:color="auto" w:fill="DAEEF3"/>
            <w:vAlign w:val="center"/>
          </w:tcPr>
          <w:p w14:paraId="31E1E48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8" w:space="0" w:color="000000"/>
              <w:bottom w:val="single" w:sz="4" w:space="0" w:color="000000"/>
              <w:right w:val="single" w:sz="4" w:space="0" w:color="000000"/>
            </w:tcBorders>
            <w:shd w:val="clear" w:color="auto" w:fill="DAEEF3"/>
            <w:vAlign w:val="center"/>
          </w:tcPr>
          <w:p w14:paraId="4208887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5C677E3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43B71F77"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9230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09F2A15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3C2329A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2C015F8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4BBAADE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53AEA4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18" w:space="0" w:color="000000"/>
            </w:tcBorders>
            <w:shd w:val="clear" w:color="auto" w:fill="auto"/>
            <w:vAlign w:val="center"/>
          </w:tcPr>
          <w:p w14:paraId="6DF3432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864DEA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-4,5%</w:t>
            </w:r>
          </w:p>
        </w:tc>
        <w:tc>
          <w:tcPr>
            <w:tcW w:w="1243" w:type="dxa"/>
            <w:tcBorders>
              <w:top w:val="nil"/>
              <w:left w:val="nil"/>
              <w:bottom w:val="single" w:sz="4" w:space="0" w:color="000000"/>
              <w:right w:val="single" w:sz="4" w:space="0" w:color="000000"/>
            </w:tcBorders>
            <w:shd w:val="clear" w:color="auto" w:fill="auto"/>
            <w:vAlign w:val="center"/>
          </w:tcPr>
          <w:p w14:paraId="40BD92D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-7,3%</w:t>
            </w:r>
          </w:p>
        </w:tc>
      </w:tr>
      <w:tr w:rsidR="00A0251B" w:rsidRPr="00CC35F0" w14:paraId="0D040AAA"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33EFE8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02B698B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10,5   </w:t>
            </w:r>
          </w:p>
        </w:tc>
        <w:tc>
          <w:tcPr>
            <w:tcW w:w="936" w:type="dxa"/>
            <w:tcBorders>
              <w:top w:val="nil"/>
              <w:left w:val="nil"/>
              <w:bottom w:val="single" w:sz="4" w:space="0" w:color="000000"/>
              <w:right w:val="single" w:sz="4" w:space="0" w:color="000000"/>
            </w:tcBorders>
            <w:shd w:val="clear" w:color="auto" w:fill="auto"/>
            <w:vAlign w:val="center"/>
          </w:tcPr>
          <w:p w14:paraId="320E90D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10,6   </w:t>
            </w:r>
          </w:p>
        </w:tc>
        <w:tc>
          <w:tcPr>
            <w:tcW w:w="936" w:type="dxa"/>
            <w:tcBorders>
              <w:top w:val="nil"/>
              <w:left w:val="nil"/>
              <w:bottom w:val="single" w:sz="4" w:space="0" w:color="000000"/>
              <w:right w:val="single" w:sz="4" w:space="0" w:color="000000"/>
            </w:tcBorders>
            <w:shd w:val="clear" w:color="auto" w:fill="auto"/>
            <w:vAlign w:val="center"/>
          </w:tcPr>
          <w:p w14:paraId="73D8079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12,1   </w:t>
            </w:r>
          </w:p>
        </w:tc>
        <w:tc>
          <w:tcPr>
            <w:tcW w:w="936" w:type="dxa"/>
            <w:tcBorders>
              <w:top w:val="nil"/>
              <w:left w:val="nil"/>
              <w:bottom w:val="single" w:sz="4" w:space="0" w:color="000000"/>
              <w:right w:val="single" w:sz="4" w:space="0" w:color="000000"/>
            </w:tcBorders>
            <w:shd w:val="clear" w:color="auto" w:fill="auto"/>
            <w:vAlign w:val="center"/>
          </w:tcPr>
          <w:p w14:paraId="41A8EBA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12,6   </w:t>
            </w:r>
          </w:p>
        </w:tc>
        <w:tc>
          <w:tcPr>
            <w:tcW w:w="936" w:type="dxa"/>
            <w:tcBorders>
              <w:top w:val="nil"/>
              <w:left w:val="nil"/>
              <w:bottom w:val="single" w:sz="4" w:space="0" w:color="000000"/>
              <w:right w:val="single" w:sz="4" w:space="0" w:color="000000"/>
            </w:tcBorders>
            <w:shd w:val="clear" w:color="auto" w:fill="auto"/>
            <w:vAlign w:val="center"/>
          </w:tcPr>
          <w:p w14:paraId="0865227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14,2   </w:t>
            </w:r>
          </w:p>
        </w:tc>
        <w:tc>
          <w:tcPr>
            <w:tcW w:w="936" w:type="dxa"/>
            <w:tcBorders>
              <w:top w:val="nil"/>
              <w:left w:val="nil"/>
              <w:bottom w:val="single" w:sz="4" w:space="0" w:color="000000"/>
              <w:right w:val="single" w:sz="18" w:space="0" w:color="000000"/>
            </w:tcBorders>
            <w:shd w:val="clear" w:color="auto" w:fill="auto"/>
            <w:vAlign w:val="center"/>
          </w:tcPr>
          <w:p w14:paraId="2AE6E21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15,7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67BE65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34,2%</w:t>
            </w:r>
          </w:p>
        </w:tc>
        <w:tc>
          <w:tcPr>
            <w:tcW w:w="1243" w:type="dxa"/>
            <w:tcBorders>
              <w:top w:val="nil"/>
              <w:left w:val="nil"/>
              <w:bottom w:val="single" w:sz="4" w:space="0" w:color="000000"/>
              <w:right w:val="single" w:sz="4" w:space="0" w:color="000000"/>
            </w:tcBorders>
            <w:shd w:val="clear" w:color="auto" w:fill="auto"/>
            <w:vAlign w:val="center"/>
          </w:tcPr>
          <w:p w14:paraId="0A417A7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35,2%</w:t>
            </w:r>
          </w:p>
        </w:tc>
      </w:tr>
      <w:tr w:rsidR="00A0251B" w:rsidRPr="00CC35F0" w14:paraId="65B7FEEE"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F19D0A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4C66A0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28,3   </w:t>
            </w:r>
          </w:p>
        </w:tc>
        <w:tc>
          <w:tcPr>
            <w:tcW w:w="936" w:type="dxa"/>
            <w:tcBorders>
              <w:top w:val="nil"/>
              <w:left w:val="nil"/>
              <w:bottom w:val="single" w:sz="4" w:space="0" w:color="000000"/>
              <w:right w:val="single" w:sz="4" w:space="0" w:color="000000"/>
            </w:tcBorders>
            <w:shd w:val="clear" w:color="auto" w:fill="auto"/>
            <w:vAlign w:val="center"/>
          </w:tcPr>
          <w:p w14:paraId="18156AF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29,8   </w:t>
            </w:r>
          </w:p>
        </w:tc>
        <w:tc>
          <w:tcPr>
            <w:tcW w:w="936" w:type="dxa"/>
            <w:tcBorders>
              <w:top w:val="nil"/>
              <w:left w:val="nil"/>
              <w:bottom w:val="single" w:sz="4" w:space="0" w:color="000000"/>
              <w:right w:val="single" w:sz="4" w:space="0" w:color="000000"/>
            </w:tcBorders>
            <w:shd w:val="clear" w:color="auto" w:fill="auto"/>
            <w:vAlign w:val="center"/>
          </w:tcPr>
          <w:p w14:paraId="08B5FB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29,6   </w:t>
            </w:r>
          </w:p>
        </w:tc>
        <w:tc>
          <w:tcPr>
            <w:tcW w:w="936" w:type="dxa"/>
            <w:tcBorders>
              <w:top w:val="nil"/>
              <w:left w:val="nil"/>
              <w:bottom w:val="single" w:sz="4" w:space="0" w:color="000000"/>
              <w:right w:val="single" w:sz="4" w:space="0" w:color="000000"/>
            </w:tcBorders>
            <w:shd w:val="clear" w:color="auto" w:fill="auto"/>
            <w:vAlign w:val="center"/>
          </w:tcPr>
          <w:p w14:paraId="487E089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28,1   </w:t>
            </w:r>
          </w:p>
        </w:tc>
        <w:tc>
          <w:tcPr>
            <w:tcW w:w="936" w:type="dxa"/>
            <w:tcBorders>
              <w:top w:val="nil"/>
              <w:left w:val="nil"/>
              <w:bottom w:val="single" w:sz="4" w:space="0" w:color="000000"/>
              <w:right w:val="single" w:sz="4" w:space="0" w:color="000000"/>
            </w:tcBorders>
            <w:shd w:val="clear" w:color="auto" w:fill="auto"/>
            <w:vAlign w:val="center"/>
          </w:tcPr>
          <w:p w14:paraId="261C26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22,8   </w:t>
            </w:r>
          </w:p>
        </w:tc>
        <w:tc>
          <w:tcPr>
            <w:tcW w:w="936" w:type="dxa"/>
            <w:tcBorders>
              <w:top w:val="nil"/>
              <w:left w:val="nil"/>
              <w:bottom w:val="single" w:sz="4" w:space="0" w:color="000000"/>
              <w:right w:val="single" w:sz="18" w:space="0" w:color="000000"/>
            </w:tcBorders>
            <w:shd w:val="clear" w:color="auto" w:fill="auto"/>
            <w:vAlign w:val="center"/>
          </w:tcPr>
          <w:p w14:paraId="21101F6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18,5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291C9C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-23,6%</w:t>
            </w:r>
          </w:p>
        </w:tc>
        <w:tc>
          <w:tcPr>
            <w:tcW w:w="1243" w:type="dxa"/>
            <w:tcBorders>
              <w:top w:val="nil"/>
              <w:left w:val="nil"/>
              <w:bottom w:val="single" w:sz="4" w:space="0" w:color="000000"/>
              <w:right w:val="single" w:sz="4" w:space="0" w:color="000000"/>
            </w:tcBorders>
            <w:shd w:val="clear" w:color="auto" w:fill="auto"/>
            <w:vAlign w:val="center"/>
          </w:tcPr>
          <w:p w14:paraId="2DF6877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-19,6%</w:t>
            </w:r>
          </w:p>
        </w:tc>
      </w:tr>
      <w:tr w:rsidR="00A0251B" w:rsidRPr="00CC35F0" w14:paraId="0D386CD1"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EBBD6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671B88D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33,9   </w:t>
            </w:r>
          </w:p>
        </w:tc>
        <w:tc>
          <w:tcPr>
            <w:tcW w:w="936" w:type="dxa"/>
            <w:tcBorders>
              <w:top w:val="nil"/>
              <w:left w:val="nil"/>
              <w:bottom w:val="single" w:sz="4" w:space="0" w:color="000000"/>
              <w:right w:val="single" w:sz="4" w:space="0" w:color="000000"/>
            </w:tcBorders>
            <w:shd w:val="clear" w:color="auto" w:fill="auto"/>
            <w:vAlign w:val="center"/>
          </w:tcPr>
          <w:p w14:paraId="265CD4B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31,6   </w:t>
            </w:r>
          </w:p>
        </w:tc>
        <w:tc>
          <w:tcPr>
            <w:tcW w:w="936" w:type="dxa"/>
            <w:tcBorders>
              <w:top w:val="nil"/>
              <w:left w:val="nil"/>
              <w:bottom w:val="single" w:sz="4" w:space="0" w:color="000000"/>
              <w:right w:val="single" w:sz="4" w:space="0" w:color="000000"/>
            </w:tcBorders>
            <w:shd w:val="clear" w:color="auto" w:fill="auto"/>
            <w:vAlign w:val="center"/>
          </w:tcPr>
          <w:p w14:paraId="5259C7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30,9   </w:t>
            </w:r>
          </w:p>
        </w:tc>
        <w:tc>
          <w:tcPr>
            <w:tcW w:w="936" w:type="dxa"/>
            <w:tcBorders>
              <w:top w:val="nil"/>
              <w:left w:val="nil"/>
              <w:bottom w:val="single" w:sz="4" w:space="0" w:color="000000"/>
              <w:right w:val="single" w:sz="4" w:space="0" w:color="000000"/>
            </w:tcBorders>
            <w:shd w:val="clear" w:color="auto" w:fill="auto"/>
            <w:vAlign w:val="center"/>
          </w:tcPr>
          <w:p w14:paraId="5950E4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29,8   </w:t>
            </w:r>
          </w:p>
        </w:tc>
        <w:tc>
          <w:tcPr>
            <w:tcW w:w="936" w:type="dxa"/>
            <w:tcBorders>
              <w:top w:val="nil"/>
              <w:left w:val="nil"/>
              <w:bottom w:val="single" w:sz="4" w:space="0" w:color="000000"/>
              <w:right w:val="single" w:sz="4" w:space="0" w:color="000000"/>
            </w:tcBorders>
            <w:shd w:val="clear" w:color="auto" w:fill="auto"/>
            <w:vAlign w:val="center"/>
          </w:tcPr>
          <w:p w14:paraId="0F6CDE3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26,4   </w:t>
            </w:r>
          </w:p>
        </w:tc>
        <w:tc>
          <w:tcPr>
            <w:tcW w:w="936" w:type="dxa"/>
            <w:tcBorders>
              <w:top w:val="nil"/>
              <w:left w:val="nil"/>
              <w:bottom w:val="single" w:sz="4" w:space="0" w:color="000000"/>
              <w:right w:val="single" w:sz="18" w:space="0" w:color="000000"/>
            </w:tcBorders>
            <w:shd w:val="clear" w:color="auto" w:fill="auto"/>
            <w:vAlign w:val="center"/>
          </w:tcPr>
          <w:p w14:paraId="5E9632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18,6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321495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-16,4%</w:t>
            </w:r>
          </w:p>
        </w:tc>
        <w:tc>
          <w:tcPr>
            <w:tcW w:w="1243" w:type="dxa"/>
            <w:tcBorders>
              <w:top w:val="nil"/>
              <w:left w:val="nil"/>
              <w:bottom w:val="single" w:sz="4" w:space="0" w:color="000000"/>
              <w:right w:val="single" w:sz="4" w:space="0" w:color="000000"/>
            </w:tcBorders>
            <w:shd w:val="clear" w:color="auto" w:fill="auto"/>
            <w:vAlign w:val="center"/>
          </w:tcPr>
          <w:p w14:paraId="6F077C4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-22,1%</w:t>
            </w:r>
          </w:p>
        </w:tc>
      </w:tr>
      <w:tr w:rsidR="00A0251B" w:rsidRPr="00CC35F0" w14:paraId="6523C1A9"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8B3557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22E33B6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17,1   </w:t>
            </w:r>
          </w:p>
        </w:tc>
        <w:tc>
          <w:tcPr>
            <w:tcW w:w="936" w:type="dxa"/>
            <w:tcBorders>
              <w:top w:val="nil"/>
              <w:left w:val="nil"/>
              <w:bottom w:val="single" w:sz="4" w:space="0" w:color="000000"/>
              <w:right w:val="single" w:sz="4" w:space="0" w:color="000000"/>
            </w:tcBorders>
            <w:shd w:val="clear" w:color="auto" w:fill="auto"/>
            <w:vAlign w:val="center"/>
          </w:tcPr>
          <w:p w14:paraId="026BCC7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19,6   </w:t>
            </w:r>
          </w:p>
        </w:tc>
        <w:tc>
          <w:tcPr>
            <w:tcW w:w="936" w:type="dxa"/>
            <w:tcBorders>
              <w:top w:val="nil"/>
              <w:left w:val="nil"/>
              <w:bottom w:val="single" w:sz="4" w:space="0" w:color="000000"/>
              <w:right w:val="single" w:sz="4" w:space="0" w:color="000000"/>
            </w:tcBorders>
            <w:shd w:val="clear" w:color="auto" w:fill="auto"/>
            <w:vAlign w:val="center"/>
          </w:tcPr>
          <w:p w14:paraId="7C8EF0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19,6   </w:t>
            </w:r>
          </w:p>
        </w:tc>
        <w:tc>
          <w:tcPr>
            <w:tcW w:w="936" w:type="dxa"/>
            <w:tcBorders>
              <w:top w:val="nil"/>
              <w:left w:val="nil"/>
              <w:bottom w:val="single" w:sz="4" w:space="0" w:color="000000"/>
              <w:right w:val="single" w:sz="4" w:space="0" w:color="000000"/>
            </w:tcBorders>
            <w:shd w:val="clear" w:color="auto" w:fill="auto"/>
            <w:vAlign w:val="center"/>
          </w:tcPr>
          <w:p w14:paraId="12BE9BA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17,1   </w:t>
            </w:r>
          </w:p>
        </w:tc>
        <w:tc>
          <w:tcPr>
            <w:tcW w:w="936" w:type="dxa"/>
            <w:tcBorders>
              <w:top w:val="nil"/>
              <w:left w:val="nil"/>
              <w:bottom w:val="single" w:sz="4" w:space="0" w:color="000000"/>
              <w:right w:val="single" w:sz="4" w:space="0" w:color="000000"/>
            </w:tcBorders>
            <w:shd w:val="clear" w:color="auto" w:fill="auto"/>
            <w:vAlign w:val="center"/>
          </w:tcPr>
          <w:p w14:paraId="3567474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16,9   </w:t>
            </w:r>
          </w:p>
        </w:tc>
        <w:tc>
          <w:tcPr>
            <w:tcW w:w="936" w:type="dxa"/>
            <w:tcBorders>
              <w:top w:val="nil"/>
              <w:left w:val="nil"/>
              <w:bottom w:val="single" w:sz="4" w:space="0" w:color="000000"/>
              <w:right w:val="single" w:sz="18" w:space="0" w:color="000000"/>
            </w:tcBorders>
            <w:shd w:val="clear" w:color="auto" w:fill="auto"/>
            <w:vAlign w:val="center"/>
          </w:tcPr>
          <w:p w14:paraId="5626BCF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16,8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72D57A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-13,7%</w:t>
            </w:r>
          </w:p>
        </w:tc>
        <w:tc>
          <w:tcPr>
            <w:tcW w:w="1243" w:type="dxa"/>
            <w:tcBorders>
              <w:top w:val="nil"/>
              <w:left w:val="nil"/>
              <w:bottom w:val="single" w:sz="4" w:space="0" w:color="000000"/>
              <w:right w:val="single" w:sz="4" w:space="0" w:color="000000"/>
            </w:tcBorders>
            <w:shd w:val="clear" w:color="auto" w:fill="auto"/>
            <w:vAlign w:val="center"/>
          </w:tcPr>
          <w:p w14:paraId="11898E4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w:t>
            </w:r>
          </w:p>
        </w:tc>
      </w:tr>
      <w:tr w:rsidR="00A0251B" w:rsidRPr="00CC35F0" w14:paraId="7DFD41DE"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7C94D0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709C0C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30,9   </w:t>
            </w:r>
          </w:p>
        </w:tc>
        <w:tc>
          <w:tcPr>
            <w:tcW w:w="936" w:type="dxa"/>
            <w:tcBorders>
              <w:top w:val="nil"/>
              <w:left w:val="nil"/>
              <w:bottom w:val="single" w:sz="4" w:space="0" w:color="000000"/>
              <w:right w:val="single" w:sz="4" w:space="0" w:color="000000"/>
            </w:tcBorders>
            <w:shd w:val="clear" w:color="auto" w:fill="auto"/>
            <w:vAlign w:val="center"/>
          </w:tcPr>
          <w:p w14:paraId="2D9F6FF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15,6   </w:t>
            </w:r>
          </w:p>
        </w:tc>
        <w:tc>
          <w:tcPr>
            <w:tcW w:w="936" w:type="dxa"/>
            <w:tcBorders>
              <w:top w:val="nil"/>
              <w:left w:val="nil"/>
              <w:bottom w:val="single" w:sz="4" w:space="0" w:color="000000"/>
              <w:right w:val="single" w:sz="4" w:space="0" w:color="000000"/>
            </w:tcBorders>
            <w:shd w:val="clear" w:color="auto" w:fill="auto"/>
            <w:vAlign w:val="center"/>
          </w:tcPr>
          <w:p w14:paraId="5896266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8,9   </w:t>
            </w:r>
          </w:p>
        </w:tc>
        <w:tc>
          <w:tcPr>
            <w:tcW w:w="936" w:type="dxa"/>
            <w:tcBorders>
              <w:top w:val="nil"/>
              <w:left w:val="nil"/>
              <w:bottom w:val="single" w:sz="4" w:space="0" w:color="000000"/>
              <w:right w:val="single" w:sz="4" w:space="0" w:color="000000"/>
            </w:tcBorders>
            <w:shd w:val="clear" w:color="auto" w:fill="auto"/>
            <w:vAlign w:val="center"/>
          </w:tcPr>
          <w:p w14:paraId="134CEE1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6,4   </w:t>
            </w:r>
          </w:p>
        </w:tc>
        <w:tc>
          <w:tcPr>
            <w:tcW w:w="936" w:type="dxa"/>
            <w:tcBorders>
              <w:top w:val="nil"/>
              <w:left w:val="nil"/>
              <w:bottom w:val="single" w:sz="4" w:space="0" w:color="000000"/>
              <w:right w:val="single" w:sz="4" w:space="0" w:color="000000"/>
            </w:tcBorders>
            <w:shd w:val="clear" w:color="auto" w:fill="auto"/>
            <w:vAlign w:val="center"/>
          </w:tcPr>
          <w:p w14:paraId="09563D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5,0   </w:t>
            </w:r>
          </w:p>
        </w:tc>
        <w:tc>
          <w:tcPr>
            <w:tcW w:w="936" w:type="dxa"/>
            <w:tcBorders>
              <w:top w:val="nil"/>
              <w:left w:val="nil"/>
              <w:bottom w:val="single" w:sz="4" w:space="0" w:color="000000"/>
              <w:right w:val="single" w:sz="18" w:space="0" w:color="000000"/>
            </w:tcBorders>
            <w:shd w:val="clear" w:color="auto" w:fill="auto"/>
            <w:vAlign w:val="center"/>
          </w:tcPr>
          <w:p w14:paraId="4C906E3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4,4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BE1753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-68,1%</w:t>
            </w:r>
          </w:p>
        </w:tc>
        <w:tc>
          <w:tcPr>
            <w:tcW w:w="1243" w:type="dxa"/>
            <w:tcBorders>
              <w:top w:val="nil"/>
              <w:left w:val="nil"/>
              <w:bottom w:val="single" w:sz="4" w:space="0" w:color="000000"/>
              <w:right w:val="single" w:sz="4" w:space="0" w:color="000000"/>
            </w:tcBorders>
            <w:shd w:val="clear" w:color="auto" w:fill="auto"/>
            <w:vAlign w:val="center"/>
          </w:tcPr>
          <w:p w14:paraId="735AD07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-83,9%</w:t>
            </w:r>
          </w:p>
        </w:tc>
      </w:tr>
      <w:tr w:rsidR="00A0251B" w:rsidRPr="00CC35F0" w14:paraId="2FF0F2F7"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7D4E89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3DEBEE4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F21ED2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39370D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A5DD8F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D59D1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79B5BEA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C60124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1CA98F7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2C29120A"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9A5AC7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73D56C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DB14C1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5C0C8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FCA4F2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F4CBD1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0DFE7D9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7259F3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795AD1A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1A23A26C"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EA5C98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7931D75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36" w:type="dxa"/>
            <w:tcBorders>
              <w:top w:val="nil"/>
              <w:left w:val="nil"/>
              <w:bottom w:val="single" w:sz="4" w:space="0" w:color="000000"/>
              <w:right w:val="single" w:sz="4" w:space="0" w:color="000000"/>
            </w:tcBorders>
            <w:shd w:val="clear" w:color="auto" w:fill="auto"/>
            <w:vAlign w:val="center"/>
          </w:tcPr>
          <w:p w14:paraId="08205DB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36" w:type="dxa"/>
            <w:tcBorders>
              <w:top w:val="nil"/>
              <w:left w:val="nil"/>
              <w:bottom w:val="single" w:sz="4" w:space="0" w:color="000000"/>
              <w:right w:val="single" w:sz="4" w:space="0" w:color="000000"/>
            </w:tcBorders>
            <w:shd w:val="clear" w:color="auto" w:fill="auto"/>
            <w:vAlign w:val="center"/>
          </w:tcPr>
          <w:p w14:paraId="5CB7CEE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36" w:type="dxa"/>
            <w:tcBorders>
              <w:top w:val="nil"/>
              <w:left w:val="nil"/>
              <w:bottom w:val="single" w:sz="4" w:space="0" w:color="000000"/>
              <w:right w:val="single" w:sz="4" w:space="0" w:color="000000"/>
            </w:tcBorders>
            <w:shd w:val="clear" w:color="auto" w:fill="auto"/>
            <w:vAlign w:val="center"/>
          </w:tcPr>
          <w:p w14:paraId="12887DA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936" w:type="dxa"/>
            <w:tcBorders>
              <w:top w:val="nil"/>
              <w:left w:val="nil"/>
              <w:bottom w:val="single" w:sz="4" w:space="0" w:color="000000"/>
              <w:right w:val="single" w:sz="4" w:space="0" w:color="000000"/>
            </w:tcBorders>
            <w:shd w:val="clear" w:color="auto" w:fill="auto"/>
            <w:vAlign w:val="center"/>
          </w:tcPr>
          <w:p w14:paraId="194A644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18" w:space="0" w:color="000000"/>
            </w:tcBorders>
            <w:shd w:val="clear" w:color="auto" w:fill="auto"/>
            <w:vAlign w:val="center"/>
          </w:tcPr>
          <w:p w14:paraId="55F629D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FAF4D4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-34,8%</w:t>
            </w:r>
          </w:p>
        </w:tc>
        <w:tc>
          <w:tcPr>
            <w:tcW w:w="1243" w:type="dxa"/>
            <w:tcBorders>
              <w:top w:val="nil"/>
              <w:left w:val="nil"/>
              <w:bottom w:val="single" w:sz="4" w:space="0" w:color="000000"/>
              <w:right w:val="single" w:sz="4" w:space="0" w:color="000000"/>
            </w:tcBorders>
            <w:shd w:val="clear" w:color="auto" w:fill="auto"/>
            <w:vAlign w:val="center"/>
          </w:tcPr>
          <w:p w14:paraId="6335986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-59,5%</w:t>
            </w:r>
          </w:p>
        </w:tc>
      </w:tr>
      <w:tr w:rsidR="00A0251B" w:rsidRPr="00CC35F0" w14:paraId="392654D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41AD34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74279CD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EB996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0DD685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8F8931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32FD01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7C4FE4E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00DD2E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21,3%</w:t>
            </w:r>
          </w:p>
        </w:tc>
        <w:tc>
          <w:tcPr>
            <w:tcW w:w="1243" w:type="dxa"/>
            <w:tcBorders>
              <w:top w:val="nil"/>
              <w:left w:val="nil"/>
              <w:bottom w:val="single" w:sz="4" w:space="0" w:color="000000"/>
              <w:right w:val="single" w:sz="4" w:space="0" w:color="000000"/>
            </w:tcBorders>
            <w:shd w:val="clear" w:color="auto" w:fill="auto"/>
            <w:vAlign w:val="center"/>
          </w:tcPr>
          <w:p w14:paraId="4D61B9E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-21,2%</w:t>
            </w:r>
          </w:p>
        </w:tc>
      </w:tr>
      <w:tr w:rsidR="00A0251B" w:rsidRPr="00CC35F0" w14:paraId="4828252F"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E90DE1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66A433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22,1   </w:t>
            </w:r>
          </w:p>
        </w:tc>
        <w:tc>
          <w:tcPr>
            <w:tcW w:w="936" w:type="dxa"/>
            <w:tcBorders>
              <w:top w:val="nil"/>
              <w:left w:val="nil"/>
              <w:bottom w:val="single" w:sz="4" w:space="0" w:color="000000"/>
              <w:right w:val="single" w:sz="4" w:space="0" w:color="000000"/>
            </w:tcBorders>
            <w:shd w:val="clear" w:color="auto" w:fill="auto"/>
            <w:vAlign w:val="center"/>
          </w:tcPr>
          <w:p w14:paraId="4469E2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15,6   </w:t>
            </w:r>
          </w:p>
        </w:tc>
        <w:tc>
          <w:tcPr>
            <w:tcW w:w="936" w:type="dxa"/>
            <w:tcBorders>
              <w:top w:val="nil"/>
              <w:left w:val="nil"/>
              <w:bottom w:val="single" w:sz="4" w:space="0" w:color="000000"/>
              <w:right w:val="single" w:sz="4" w:space="0" w:color="000000"/>
            </w:tcBorders>
            <w:shd w:val="clear" w:color="auto" w:fill="auto"/>
            <w:vAlign w:val="center"/>
          </w:tcPr>
          <w:p w14:paraId="2D1767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14,7   </w:t>
            </w:r>
          </w:p>
        </w:tc>
        <w:tc>
          <w:tcPr>
            <w:tcW w:w="936" w:type="dxa"/>
            <w:tcBorders>
              <w:top w:val="nil"/>
              <w:left w:val="nil"/>
              <w:bottom w:val="single" w:sz="4" w:space="0" w:color="000000"/>
              <w:right w:val="single" w:sz="4" w:space="0" w:color="000000"/>
            </w:tcBorders>
            <w:shd w:val="clear" w:color="auto" w:fill="auto"/>
            <w:vAlign w:val="center"/>
          </w:tcPr>
          <w:p w14:paraId="75F393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14,1   </w:t>
            </w:r>
          </w:p>
        </w:tc>
        <w:tc>
          <w:tcPr>
            <w:tcW w:w="936" w:type="dxa"/>
            <w:tcBorders>
              <w:top w:val="nil"/>
              <w:left w:val="nil"/>
              <w:bottom w:val="single" w:sz="4" w:space="0" w:color="000000"/>
              <w:right w:val="single" w:sz="4" w:space="0" w:color="000000"/>
            </w:tcBorders>
            <w:shd w:val="clear" w:color="auto" w:fill="auto"/>
            <w:vAlign w:val="center"/>
          </w:tcPr>
          <w:p w14:paraId="1C7821A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single" w:sz="18" w:space="0" w:color="000000"/>
            </w:tcBorders>
            <w:shd w:val="clear" w:color="auto" w:fill="auto"/>
            <w:vAlign w:val="center"/>
          </w:tcPr>
          <w:p w14:paraId="47AF51D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12,6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BE386F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-14,2%</w:t>
            </w:r>
          </w:p>
        </w:tc>
        <w:tc>
          <w:tcPr>
            <w:tcW w:w="1243" w:type="dxa"/>
            <w:tcBorders>
              <w:top w:val="nil"/>
              <w:left w:val="nil"/>
              <w:bottom w:val="single" w:sz="4" w:space="0" w:color="000000"/>
              <w:right w:val="single" w:sz="4" w:space="0" w:color="000000"/>
            </w:tcBorders>
            <w:shd w:val="clear" w:color="auto" w:fill="auto"/>
            <w:vAlign w:val="center"/>
          </w:tcPr>
          <w:p w14:paraId="52BD6DB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-39,4%</w:t>
            </w:r>
          </w:p>
        </w:tc>
      </w:tr>
      <w:tr w:rsidR="00A0251B" w:rsidRPr="00CC35F0" w14:paraId="048EC92F"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7274C0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499C54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0D6C2A0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7,6   </w:t>
            </w:r>
          </w:p>
        </w:tc>
        <w:tc>
          <w:tcPr>
            <w:tcW w:w="936" w:type="dxa"/>
            <w:tcBorders>
              <w:top w:val="nil"/>
              <w:left w:val="nil"/>
              <w:bottom w:val="single" w:sz="4" w:space="0" w:color="000000"/>
              <w:right w:val="single" w:sz="4" w:space="0" w:color="000000"/>
            </w:tcBorders>
            <w:shd w:val="clear" w:color="auto" w:fill="auto"/>
            <w:vAlign w:val="center"/>
          </w:tcPr>
          <w:p w14:paraId="09955E6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36" w:type="dxa"/>
            <w:tcBorders>
              <w:top w:val="nil"/>
              <w:left w:val="nil"/>
              <w:bottom w:val="single" w:sz="4" w:space="0" w:color="000000"/>
              <w:right w:val="single" w:sz="4" w:space="0" w:color="000000"/>
            </w:tcBorders>
            <w:shd w:val="clear" w:color="auto" w:fill="auto"/>
            <w:vAlign w:val="center"/>
          </w:tcPr>
          <w:p w14:paraId="42538C0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36" w:type="dxa"/>
            <w:tcBorders>
              <w:top w:val="nil"/>
              <w:left w:val="nil"/>
              <w:bottom w:val="single" w:sz="4" w:space="0" w:color="000000"/>
              <w:right w:val="single" w:sz="4" w:space="0" w:color="000000"/>
            </w:tcBorders>
            <w:shd w:val="clear" w:color="auto" w:fill="auto"/>
            <w:vAlign w:val="center"/>
          </w:tcPr>
          <w:p w14:paraId="1A2FD6F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36" w:type="dxa"/>
            <w:tcBorders>
              <w:top w:val="nil"/>
              <w:left w:val="nil"/>
              <w:bottom w:val="single" w:sz="4" w:space="0" w:color="000000"/>
              <w:right w:val="single" w:sz="18" w:space="0" w:color="000000"/>
            </w:tcBorders>
            <w:shd w:val="clear" w:color="auto" w:fill="auto"/>
            <w:vAlign w:val="center"/>
          </w:tcPr>
          <w:p w14:paraId="385777B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E9845C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w:t>
            </w:r>
          </w:p>
        </w:tc>
        <w:tc>
          <w:tcPr>
            <w:tcW w:w="1243" w:type="dxa"/>
            <w:tcBorders>
              <w:top w:val="nil"/>
              <w:left w:val="nil"/>
              <w:bottom w:val="single" w:sz="4" w:space="0" w:color="000000"/>
              <w:right w:val="single" w:sz="4" w:space="0" w:color="000000"/>
            </w:tcBorders>
            <w:shd w:val="clear" w:color="auto" w:fill="auto"/>
            <w:vAlign w:val="center"/>
          </w:tcPr>
          <w:p w14:paraId="02B8BF4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141,7%</w:t>
            </w:r>
          </w:p>
        </w:tc>
      </w:tr>
      <w:tr w:rsidR="00A0251B" w:rsidRPr="00CC35F0" w14:paraId="06C112AC"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4C8C10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54A1254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147,8   </w:t>
            </w:r>
          </w:p>
        </w:tc>
        <w:tc>
          <w:tcPr>
            <w:tcW w:w="936" w:type="dxa"/>
            <w:tcBorders>
              <w:top w:val="nil"/>
              <w:left w:val="single" w:sz="4" w:space="0" w:color="000000"/>
              <w:bottom w:val="single" w:sz="4" w:space="0" w:color="000000"/>
              <w:right w:val="nil"/>
            </w:tcBorders>
            <w:shd w:val="clear" w:color="auto" w:fill="auto"/>
            <w:vAlign w:val="center"/>
          </w:tcPr>
          <w:p w14:paraId="45203BA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131,7   </w:t>
            </w:r>
          </w:p>
        </w:tc>
        <w:tc>
          <w:tcPr>
            <w:tcW w:w="936" w:type="dxa"/>
            <w:tcBorders>
              <w:top w:val="nil"/>
              <w:left w:val="single" w:sz="4" w:space="0" w:color="000000"/>
              <w:bottom w:val="single" w:sz="4" w:space="0" w:color="000000"/>
              <w:right w:val="nil"/>
            </w:tcBorders>
            <w:shd w:val="clear" w:color="auto" w:fill="auto"/>
            <w:vAlign w:val="center"/>
          </w:tcPr>
          <w:p w14:paraId="009D899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124,9   </w:t>
            </w:r>
          </w:p>
        </w:tc>
        <w:tc>
          <w:tcPr>
            <w:tcW w:w="936" w:type="dxa"/>
            <w:tcBorders>
              <w:top w:val="nil"/>
              <w:left w:val="single" w:sz="4" w:space="0" w:color="000000"/>
              <w:bottom w:val="single" w:sz="4" w:space="0" w:color="000000"/>
              <w:right w:val="nil"/>
            </w:tcBorders>
            <w:shd w:val="clear" w:color="auto" w:fill="auto"/>
            <w:vAlign w:val="center"/>
          </w:tcPr>
          <w:p w14:paraId="36B3BBA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117,3   </w:t>
            </w:r>
          </w:p>
        </w:tc>
        <w:tc>
          <w:tcPr>
            <w:tcW w:w="936" w:type="dxa"/>
            <w:tcBorders>
              <w:top w:val="nil"/>
              <w:left w:val="single" w:sz="4" w:space="0" w:color="000000"/>
              <w:bottom w:val="single" w:sz="4" w:space="0" w:color="000000"/>
              <w:right w:val="nil"/>
            </w:tcBorders>
            <w:shd w:val="clear" w:color="auto" w:fill="auto"/>
            <w:vAlign w:val="center"/>
          </w:tcPr>
          <w:p w14:paraId="2833853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107,5   </w:t>
            </w:r>
          </w:p>
        </w:tc>
        <w:tc>
          <w:tcPr>
            <w:tcW w:w="936" w:type="dxa"/>
            <w:tcBorders>
              <w:top w:val="nil"/>
              <w:left w:val="single" w:sz="4" w:space="0" w:color="000000"/>
              <w:bottom w:val="single" w:sz="4" w:space="0" w:color="000000"/>
              <w:right w:val="single" w:sz="18" w:space="0" w:color="000000"/>
            </w:tcBorders>
            <w:shd w:val="clear" w:color="auto" w:fill="auto"/>
            <w:vAlign w:val="center"/>
          </w:tcPr>
          <w:p w14:paraId="5B8A31B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95,7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FA35104"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-18,4%</w:t>
            </w:r>
          </w:p>
        </w:tc>
        <w:tc>
          <w:tcPr>
            <w:tcW w:w="1243" w:type="dxa"/>
            <w:tcBorders>
              <w:top w:val="nil"/>
              <w:left w:val="nil"/>
              <w:bottom w:val="single" w:sz="4" w:space="0" w:color="000000"/>
              <w:right w:val="single" w:sz="4" w:space="0" w:color="000000"/>
            </w:tcBorders>
            <w:shd w:val="clear" w:color="auto" w:fill="auto"/>
            <w:vAlign w:val="center"/>
          </w:tcPr>
          <w:p w14:paraId="1767DE1F"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-27,3%</w:t>
            </w:r>
          </w:p>
        </w:tc>
      </w:tr>
    </w:tbl>
    <w:p w14:paraId="37F607EF"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p w14:paraId="749B1F2F" w14:textId="77777777" w:rsidR="00A0251B" w:rsidRPr="00CC35F0" w:rsidRDefault="00A0251B">
      <w:pPr>
        <w:rPr>
          <w:rFonts w:ascii="Times New Roman" w:eastAsia="Times New Roman" w:hAnsi="Times New Roman"/>
          <w:sz w:val="24"/>
          <w:szCs w:val="24"/>
          <w:lang w:val="sr-Cyrl-CS"/>
        </w:rPr>
      </w:pPr>
    </w:p>
    <w:tbl>
      <w:tblPr>
        <w:tblStyle w:val="afffff8"/>
        <w:tblW w:w="10158" w:type="dxa"/>
        <w:tblLayout w:type="fixed"/>
        <w:tblLook w:val="0400" w:firstRow="0" w:lastRow="0" w:firstColumn="0" w:lastColumn="0" w:noHBand="0" w:noVBand="1"/>
      </w:tblPr>
      <w:tblGrid>
        <w:gridCol w:w="2056"/>
        <w:gridCol w:w="936"/>
        <w:gridCol w:w="936"/>
        <w:gridCol w:w="936"/>
        <w:gridCol w:w="936"/>
        <w:gridCol w:w="936"/>
        <w:gridCol w:w="936"/>
        <w:gridCol w:w="1243"/>
        <w:gridCol w:w="1243"/>
      </w:tblGrid>
      <w:tr w:rsidR="00A0251B" w:rsidRPr="00CC35F0" w14:paraId="72C9E49F" w14:textId="77777777">
        <w:trPr>
          <w:trHeight w:val="260"/>
        </w:trPr>
        <w:tc>
          <w:tcPr>
            <w:tcW w:w="2056" w:type="dxa"/>
            <w:tcBorders>
              <w:top w:val="nil"/>
              <w:left w:val="nil"/>
              <w:bottom w:val="nil"/>
              <w:right w:val="nil"/>
            </w:tcBorders>
            <w:shd w:val="clear" w:color="auto" w:fill="FFFFFF"/>
            <w:vAlign w:val="center"/>
          </w:tcPr>
          <w:p w14:paraId="7E08333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BA21A4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4D7DAE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7F5D57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D0A1DC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824367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049C29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28BB6C3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3932F41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7F0FDD1D" w14:textId="77777777">
        <w:trPr>
          <w:trHeight w:val="260"/>
        </w:trPr>
        <w:tc>
          <w:tcPr>
            <w:tcW w:w="2056" w:type="dxa"/>
            <w:tcBorders>
              <w:top w:val="nil"/>
              <w:left w:val="nil"/>
              <w:bottom w:val="single" w:sz="4" w:space="0" w:color="000000"/>
              <w:right w:val="nil"/>
            </w:tcBorders>
            <w:shd w:val="clear" w:color="auto" w:fill="FFFFFF"/>
            <w:vAlign w:val="center"/>
          </w:tcPr>
          <w:p w14:paraId="4654ADA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NMVOC</w:t>
            </w:r>
          </w:p>
        </w:tc>
        <w:tc>
          <w:tcPr>
            <w:tcW w:w="936" w:type="dxa"/>
            <w:tcBorders>
              <w:top w:val="nil"/>
              <w:left w:val="nil"/>
              <w:bottom w:val="nil"/>
              <w:right w:val="nil"/>
            </w:tcBorders>
            <w:shd w:val="clear" w:color="auto" w:fill="FFFFFF"/>
            <w:vAlign w:val="center"/>
          </w:tcPr>
          <w:p w14:paraId="3996F6A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F81185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4690B4B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87210A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AF66CC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2AB8D7E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103F942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72248BB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02ADC225" w14:textId="77777777">
        <w:trPr>
          <w:trHeight w:val="250"/>
        </w:trPr>
        <w:tc>
          <w:tcPr>
            <w:tcW w:w="2056" w:type="dxa"/>
            <w:tcBorders>
              <w:top w:val="nil"/>
              <w:left w:val="single" w:sz="4" w:space="0" w:color="000000"/>
              <w:bottom w:val="nil"/>
              <w:right w:val="single" w:sz="4" w:space="0" w:color="000000"/>
            </w:tcBorders>
            <w:shd w:val="clear" w:color="auto" w:fill="DAEEF3"/>
            <w:vAlign w:val="center"/>
          </w:tcPr>
          <w:p w14:paraId="1EA29D3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WAM_B </w:t>
            </w:r>
          </w:p>
        </w:tc>
        <w:tc>
          <w:tcPr>
            <w:tcW w:w="936" w:type="dxa"/>
            <w:tcBorders>
              <w:top w:val="single" w:sz="4" w:space="0" w:color="000000"/>
              <w:left w:val="nil"/>
              <w:bottom w:val="single" w:sz="4" w:space="0" w:color="000000"/>
              <w:right w:val="nil"/>
            </w:tcBorders>
            <w:shd w:val="clear" w:color="auto" w:fill="DAEEF3"/>
            <w:vAlign w:val="center"/>
          </w:tcPr>
          <w:p w14:paraId="5F77292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797321B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50E0AA0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55E73B2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2D485D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4E1F073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2" w:space="0" w:color="000000"/>
              <w:bottom w:val="single" w:sz="4" w:space="0" w:color="000000"/>
              <w:right w:val="single" w:sz="4" w:space="0" w:color="000000"/>
            </w:tcBorders>
            <w:shd w:val="clear" w:color="auto" w:fill="DAEEF3"/>
            <w:vAlign w:val="center"/>
          </w:tcPr>
          <w:p w14:paraId="17654DE2"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24699CB6"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5DFA1116"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DB8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46A0619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11CBABD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4D8BA7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01AC728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4FB1DD3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nil"/>
            </w:tcBorders>
            <w:shd w:val="clear" w:color="auto" w:fill="auto"/>
            <w:vAlign w:val="center"/>
          </w:tcPr>
          <w:p w14:paraId="757F4CD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FB47D4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-4,5%</w:t>
            </w:r>
          </w:p>
        </w:tc>
        <w:tc>
          <w:tcPr>
            <w:tcW w:w="1243" w:type="dxa"/>
            <w:tcBorders>
              <w:top w:val="nil"/>
              <w:left w:val="nil"/>
              <w:bottom w:val="single" w:sz="4" w:space="0" w:color="000000"/>
              <w:right w:val="single" w:sz="4" w:space="0" w:color="000000"/>
            </w:tcBorders>
            <w:shd w:val="clear" w:color="auto" w:fill="auto"/>
            <w:vAlign w:val="center"/>
          </w:tcPr>
          <w:p w14:paraId="3A36A8E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-7,3%</w:t>
            </w:r>
          </w:p>
        </w:tc>
      </w:tr>
      <w:tr w:rsidR="00A0251B" w:rsidRPr="00CC35F0" w14:paraId="15ECC03B"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D6E66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6F5225A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10,5   </w:t>
            </w:r>
          </w:p>
        </w:tc>
        <w:tc>
          <w:tcPr>
            <w:tcW w:w="936" w:type="dxa"/>
            <w:tcBorders>
              <w:top w:val="nil"/>
              <w:left w:val="nil"/>
              <w:bottom w:val="single" w:sz="4" w:space="0" w:color="000000"/>
              <w:right w:val="single" w:sz="4" w:space="0" w:color="000000"/>
            </w:tcBorders>
            <w:shd w:val="clear" w:color="auto" w:fill="auto"/>
            <w:vAlign w:val="center"/>
          </w:tcPr>
          <w:p w14:paraId="3D7C8E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10,6   </w:t>
            </w:r>
          </w:p>
        </w:tc>
        <w:tc>
          <w:tcPr>
            <w:tcW w:w="936" w:type="dxa"/>
            <w:tcBorders>
              <w:top w:val="nil"/>
              <w:left w:val="nil"/>
              <w:bottom w:val="single" w:sz="4" w:space="0" w:color="000000"/>
              <w:right w:val="single" w:sz="4" w:space="0" w:color="000000"/>
            </w:tcBorders>
            <w:shd w:val="clear" w:color="auto" w:fill="auto"/>
            <w:vAlign w:val="center"/>
          </w:tcPr>
          <w:p w14:paraId="6E83162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12,1   </w:t>
            </w:r>
          </w:p>
        </w:tc>
        <w:tc>
          <w:tcPr>
            <w:tcW w:w="936" w:type="dxa"/>
            <w:tcBorders>
              <w:top w:val="nil"/>
              <w:left w:val="nil"/>
              <w:bottom w:val="single" w:sz="4" w:space="0" w:color="000000"/>
              <w:right w:val="single" w:sz="4" w:space="0" w:color="000000"/>
            </w:tcBorders>
            <w:shd w:val="clear" w:color="auto" w:fill="auto"/>
            <w:vAlign w:val="center"/>
          </w:tcPr>
          <w:p w14:paraId="35F58EA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12,5   </w:t>
            </w:r>
          </w:p>
        </w:tc>
        <w:tc>
          <w:tcPr>
            <w:tcW w:w="936" w:type="dxa"/>
            <w:tcBorders>
              <w:top w:val="nil"/>
              <w:left w:val="nil"/>
              <w:bottom w:val="single" w:sz="4" w:space="0" w:color="000000"/>
              <w:right w:val="single" w:sz="4" w:space="0" w:color="000000"/>
            </w:tcBorders>
            <w:shd w:val="clear" w:color="auto" w:fill="auto"/>
            <w:vAlign w:val="center"/>
          </w:tcPr>
          <w:p w14:paraId="286EE81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14,1   </w:t>
            </w:r>
          </w:p>
        </w:tc>
        <w:tc>
          <w:tcPr>
            <w:tcW w:w="936" w:type="dxa"/>
            <w:tcBorders>
              <w:top w:val="nil"/>
              <w:left w:val="nil"/>
              <w:bottom w:val="single" w:sz="4" w:space="0" w:color="000000"/>
              <w:right w:val="nil"/>
            </w:tcBorders>
            <w:shd w:val="clear" w:color="auto" w:fill="auto"/>
            <w:vAlign w:val="center"/>
          </w:tcPr>
          <w:p w14:paraId="41CAE6D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006A53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33,4%</w:t>
            </w:r>
          </w:p>
        </w:tc>
        <w:tc>
          <w:tcPr>
            <w:tcW w:w="1243" w:type="dxa"/>
            <w:tcBorders>
              <w:top w:val="nil"/>
              <w:left w:val="nil"/>
              <w:bottom w:val="single" w:sz="4" w:space="0" w:color="000000"/>
              <w:right w:val="single" w:sz="4" w:space="0" w:color="000000"/>
            </w:tcBorders>
            <w:shd w:val="clear" w:color="auto" w:fill="auto"/>
            <w:vAlign w:val="center"/>
          </w:tcPr>
          <w:p w14:paraId="39FC0F8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34,4%</w:t>
            </w:r>
          </w:p>
        </w:tc>
      </w:tr>
      <w:tr w:rsidR="00A0251B" w:rsidRPr="00CC35F0" w14:paraId="42A8014D"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697598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6752251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28,3   </w:t>
            </w:r>
          </w:p>
        </w:tc>
        <w:tc>
          <w:tcPr>
            <w:tcW w:w="936" w:type="dxa"/>
            <w:tcBorders>
              <w:top w:val="nil"/>
              <w:left w:val="nil"/>
              <w:bottom w:val="single" w:sz="4" w:space="0" w:color="000000"/>
              <w:right w:val="single" w:sz="4" w:space="0" w:color="000000"/>
            </w:tcBorders>
            <w:shd w:val="clear" w:color="auto" w:fill="auto"/>
            <w:vAlign w:val="center"/>
          </w:tcPr>
          <w:p w14:paraId="55660B7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29,8   </w:t>
            </w:r>
          </w:p>
        </w:tc>
        <w:tc>
          <w:tcPr>
            <w:tcW w:w="936" w:type="dxa"/>
            <w:tcBorders>
              <w:top w:val="nil"/>
              <w:left w:val="nil"/>
              <w:bottom w:val="single" w:sz="4" w:space="0" w:color="000000"/>
              <w:right w:val="single" w:sz="4" w:space="0" w:color="000000"/>
            </w:tcBorders>
            <w:shd w:val="clear" w:color="auto" w:fill="auto"/>
            <w:vAlign w:val="center"/>
          </w:tcPr>
          <w:p w14:paraId="46D3D1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29,6   </w:t>
            </w:r>
          </w:p>
        </w:tc>
        <w:tc>
          <w:tcPr>
            <w:tcW w:w="936" w:type="dxa"/>
            <w:tcBorders>
              <w:top w:val="nil"/>
              <w:left w:val="nil"/>
              <w:bottom w:val="single" w:sz="4" w:space="0" w:color="000000"/>
              <w:right w:val="single" w:sz="4" w:space="0" w:color="000000"/>
            </w:tcBorders>
            <w:shd w:val="clear" w:color="auto" w:fill="auto"/>
            <w:vAlign w:val="center"/>
          </w:tcPr>
          <w:p w14:paraId="472042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28,1   </w:t>
            </w:r>
          </w:p>
        </w:tc>
        <w:tc>
          <w:tcPr>
            <w:tcW w:w="936" w:type="dxa"/>
            <w:tcBorders>
              <w:top w:val="nil"/>
              <w:left w:val="nil"/>
              <w:bottom w:val="single" w:sz="4" w:space="0" w:color="000000"/>
              <w:right w:val="single" w:sz="4" w:space="0" w:color="000000"/>
            </w:tcBorders>
            <w:shd w:val="clear" w:color="auto" w:fill="auto"/>
            <w:vAlign w:val="center"/>
          </w:tcPr>
          <w:p w14:paraId="3BB261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18,6   </w:t>
            </w:r>
          </w:p>
        </w:tc>
        <w:tc>
          <w:tcPr>
            <w:tcW w:w="936" w:type="dxa"/>
            <w:tcBorders>
              <w:top w:val="nil"/>
              <w:left w:val="nil"/>
              <w:bottom w:val="single" w:sz="4" w:space="0" w:color="000000"/>
              <w:right w:val="nil"/>
            </w:tcBorders>
            <w:shd w:val="clear" w:color="auto" w:fill="auto"/>
            <w:vAlign w:val="center"/>
          </w:tcPr>
          <w:p w14:paraId="4552071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14,3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76E7F18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-37,6%</w:t>
            </w:r>
          </w:p>
        </w:tc>
        <w:tc>
          <w:tcPr>
            <w:tcW w:w="1243" w:type="dxa"/>
            <w:tcBorders>
              <w:top w:val="nil"/>
              <w:left w:val="nil"/>
              <w:bottom w:val="single" w:sz="4" w:space="0" w:color="000000"/>
              <w:right w:val="single" w:sz="4" w:space="0" w:color="000000"/>
            </w:tcBorders>
            <w:shd w:val="clear" w:color="auto" w:fill="auto"/>
            <w:vAlign w:val="center"/>
          </w:tcPr>
          <w:p w14:paraId="3B29838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-34,4%</w:t>
            </w:r>
          </w:p>
        </w:tc>
      </w:tr>
      <w:tr w:rsidR="00A0251B" w:rsidRPr="00CC35F0" w14:paraId="086B8B7C"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246BB5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2E8DE6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33,9   </w:t>
            </w:r>
          </w:p>
        </w:tc>
        <w:tc>
          <w:tcPr>
            <w:tcW w:w="936" w:type="dxa"/>
            <w:tcBorders>
              <w:top w:val="nil"/>
              <w:left w:val="nil"/>
              <w:bottom w:val="single" w:sz="4" w:space="0" w:color="000000"/>
              <w:right w:val="single" w:sz="4" w:space="0" w:color="000000"/>
            </w:tcBorders>
            <w:shd w:val="clear" w:color="auto" w:fill="auto"/>
            <w:vAlign w:val="center"/>
          </w:tcPr>
          <w:p w14:paraId="14D74E2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31,6   </w:t>
            </w:r>
          </w:p>
        </w:tc>
        <w:tc>
          <w:tcPr>
            <w:tcW w:w="936" w:type="dxa"/>
            <w:tcBorders>
              <w:top w:val="nil"/>
              <w:left w:val="nil"/>
              <w:bottom w:val="single" w:sz="4" w:space="0" w:color="000000"/>
              <w:right w:val="single" w:sz="4" w:space="0" w:color="000000"/>
            </w:tcBorders>
            <w:shd w:val="clear" w:color="auto" w:fill="auto"/>
            <w:vAlign w:val="center"/>
          </w:tcPr>
          <w:p w14:paraId="22DEA0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30,9   </w:t>
            </w:r>
          </w:p>
        </w:tc>
        <w:tc>
          <w:tcPr>
            <w:tcW w:w="936" w:type="dxa"/>
            <w:tcBorders>
              <w:top w:val="nil"/>
              <w:left w:val="nil"/>
              <w:bottom w:val="single" w:sz="4" w:space="0" w:color="000000"/>
              <w:right w:val="single" w:sz="4" w:space="0" w:color="000000"/>
            </w:tcBorders>
            <w:shd w:val="clear" w:color="auto" w:fill="auto"/>
            <w:vAlign w:val="center"/>
          </w:tcPr>
          <w:p w14:paraId="51CDFE9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29,8   </w:t>
            </w:r>
          </w:p>
        </w:tc>
        <w:tc>
          <w:tcPr>
            <w:tcW w:w="936" w:type="dxa"/>
            <w:tcBorders>
              <w:top w:val="nil"/>
              <w:left w:val="nil"/>
              <w:bottom w:val="single" w:sz="4" w:space="0" w:color="000000"/>
              <w:right w:val="single" w:sz="4" w:space="0" w:color="000000"/>
            </w:tcBorders>
            <w:shd w:val="clear" w:color="auto" w:fill="auto"/>
            <w:vAlign w:val="center"/>
          </w:tcPr>
          <w:p w14:paraId="66AC216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26,4   </w:t>
            </w:r>
          </w:p>
        </w:tc>
        <w:tc>
          <w:tcPr>
            <w:tcW w:w="936" w:type="dxa"/>
            <w:tcBorders>
              <w:top w:val="nil"/>
              <w:left w:val="nil"/>
              <w:bottom w:val="single" w:sz="4" w:space="0" w:color="000000"/>
              <w:right w:val="nil"/>
            </w:tcBorders>
            <w:shd w:val="clear" w:color="auto" w:fill="auto"/>
            <w:vAlign w:val="center"/>
          </w:tcPr>
          <w:p w14:paraId="748A114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FC5DF1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-16,4%</w:t>
            </w:r>
          </w:p>
        </w:tc>
        <w:tc>
          <w:tcPr>
            <w:tcW w:w="1243" w:type="dxa"/>
            <w:tcBorders>
              <w:top w:val="nil"/>
              <w:left w:val="nil"/>
              <w:bottom w:val="single" w:sz="4" w:space="0" w:color="000000"/>
              <w:right w:val="single" w:sz="4" w:space="0" w:color="000000"/>
            </w:tcBorders>
            <w:shd w:val="clear" w:color="auto" w:fill="auto"/>
            <w:vAlign w:val="center"/>
          </w:tcPr>
          <w:p w14:paraId="150C001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-22,1%</w:t>
            </w:r>
          </w:p>
        </w:tc>
      </w:tr>
      <w:tr w:rsidR="00A0251B" w:rsidRPr="00CC35F0" w14:paraId="4132A56B"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0D2B87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4EFB6B5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17,1   </w:t>
            </w:r>
          </w:p>
        </w:tc>
        <w:tc>
          <w:tcPr>
            <w:tcW w:w="936" w:type="dxa"/>
            <w:tcBorders>
              <w:top w:val="nil"/>
              <w:left w:val="nil"/>
              <w:bottom w:val="single" w:sz="4" w:space="0" w:color="000000"/>
              <w:right w:val="single" w:sz="4" w:space="0" w:color="000000"/>
            </w:tcBorders>
            <w:shd w:val="clear" w:color="auto" w:fill="auto"/>
            <w:vAlign w:val="center"/>
          </w:tcPr>
          <w:p w14:paraId="1E51FF1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19,6   </w:t>
            </w:r>
          </w:p>
        </w:tc>
        <w:tc>
          <w:tcPr>
            <w:tcW w:w="936" w:type="dxa"/>
            <w:tcBorders>
              <w:top w:val="nil"/>
              <w:left w:val="nil"/>
              <w:bottom w:val="single" w:sz="4" w:space="0" w:color="000000"/>
              <w:right w:val="single" w:sz="4" w:space="0" w:color="000000"/>
            </w:tcBorders>
            <w:shd w:val="clear" w:color="auto" w:fill="auto"/>
            <w:vAlign w:val="center"/>
          </w:tcPr>
          <w:p w14:paraId="4AB2D87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19,6   </w:t>
            </w:r>
          </w:p>
        </w:tc>
        <w:tc>
          <w:tcPr>
            <w:tcW w:w="936" w:type="dxa"/>
            <w:tcBorders>
              <w:top w:val="nil"/>
              <w:left w:val="nil"/>
              <w:bottom w:val="single" w:sz="4" w:space="0" w:color="000000"/>
              <w:right w:val="single" w:sz="4" w:space="0" w:color="000000"/>
            </w:tcBorders>
            <w:shd w:val="clear" w:color="auto" w:fill="auto"/>
            <w:vAlign w:val="center"/>
          </w:tcPr>
          <w:p w14:paraId="4A2703E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14,9   </w:t>
            </w:r>
          </w:p>
        </w:tc>
        <w:tc>
          <w:tcPr>
            <w:tcW w:w="936" w:type="dxa"/>
            <w:tcBorders>
              <w:top w:val="nil"/>
              <w:left w:val="nil"/>
              <w:bottom w:val="single" w:sz="4" w:space="0" w:color="000000"/>
              <w:right w:val="single" w:sz="4" w:space="0" w:color="000000"/>
            </w:tcBorders>
            <w:shd w:val="clear" w:color="auto" w:fill="auto"/>
            <w:vAlign w:val="center"/>
          </w:tcPr>
          <w:p w14:paraId="55CE8B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14,7   </w:t>
            </w:r>
          </w:p>
        </w:tc>
        <w:tc>
          <w:tcPr>
            <w:tcW w:w="936" w:type="dxa"/>
            <w:tcBorders>
              <w:top w:val="nil"/>
              <w:left w:val="nil"/>
              <w:bottom w:val="single" w:sz="4" w:space="0" w:color="000000"/>
              <w:right w:val="nil"/>
            </w:tcBorders>
            <w:shd w:val="clear" w:color="auto" w:fill="auto"/>
            <w:vAlign w:val="center"/>
          </w:tcPr>
          <w:p w14:paraId="6FD8854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07E1FD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-24,9%</w:t>
            </w:r>
          </w:p>
        </w:tc>
        <w:tc>
          <w:tcPr>
            <w:tcW w:w="1243" w:type="dxa"/>
            <w:tcBorders>
              <w:top w:val="nil"/>
              <w:left w:val="nil"/>
              <w:bottom w:val="single" w:sz="4" w:space="0" w:color="000000"/>
              <w:right w:val="single" w:sz="4" w:space="0" w:color="000000"/>
            </w:tcBorders>
            <w:shd w:val="clear" w:color="auto" w:fill="auto"/>
            <w:vAlign w:val="center"/>
          </w:tcPr>
          <w:p w14:paraId="6198E26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w:t>
            </w:r>
          </w:p>
        </w:tc>
      </w:tr>
      <w:tr w:rsidR="00A0251B" w:rsidRPr="00CC35F0" w14:paraId="3CE6677C"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F00DA7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6EC9732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30,9   </w:t>
            </w:r>
          </w:p>
        </w:tc>
        <w:tc>
          <w:tcPr>
            <w:tcW w:w="936" w:type="dxa"/>
            <w:tcBorders>
              <w:top w:val="nil"/>
              <w:left w:val="nil"/>
              <w:bottom w:val="single" w:sz="4" w:space="0" w:color="000000"/>
              <w:right w:val="single" w:sz="4" w:space="0" w:color="000000"/>
            </w:tcBorders>
            <w:shd w:val="clear" w:color="auto" w:fill="auto"/>
            <w:vAlign w:val="center"/>
          </w:tcPr>
          <w:p w14:paraId="41535E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15,6   </w:t>
            </w:r>
          </w:p>
        </w:tc>
        <w:tc>
          <w:tcPr>
            <w:tcW w:w="936" w:type="dxa"/>
            <w:tcBorders>
              <w:top w:val="nil"/>
              <w:left w:val="nil"/>
              <w:bottom w:val="single" w:sz="4" w:space="0" w:color="000000"/>
              <w:right w:val="single" w:sz="4" w:space="0" w:color="000000"/>
            </w:tcBorders>
            <w:shd w:val="clear" w:color="auto" w:fill="auto"/>
            <w:vAlign w:val="center"/>
          </w:tcPr>
          <w:p w14:paraId="366DC07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8,9   </w:t>
            </w:r>
          </w:p>
        </w:tc>
        <w:tc>
          <w:tcPr>
            <w:tcW w:w="936" w:type="dxa"/>
            <w:tcBorders>
              <w:top w:val="nil"/>
              <w:left w:val="nil"/>
              <w:bottom w:val="single" w:sz="4" w:space="0" w:color="000000"/>
              <w:right w:val="single" w:sz="4" w:space="0" w:color="000000"/>
            </w:tcBorders>
            <w:shd w:val="clear" w:color="auto" w:fill="auto"/>
            <w:vAlign w:val="center"/>
          </w:tcPr>
          <w:p w14:paraId="2B7DF7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6,3   </w:t>
            </w:r>
          </w:p>
        </w:tc>
        <w:tc>
          <w:tcPr>
            <w:tcW w:w="936" w:type="dxa"/>
            <w:tcBorders>
              <w:top w:val="nil"/>
              <w:left w:val="nil"/>
              <w:bottom w:val="single" w:sz="4" w:space="0" w:color="000000"/>
              <w:right w:val="single" w:sz="4" w:space="0" w:color="000000"/>
            </w:tcBorders>
            <w:shd w:val="clear" w:color="auto" w:fill="auto"/>
            <w:vAlign w:val="center"/>
          </w:tcPr>
          <w:p w14:paraId="1A878B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4,8   </w:t>
            </w:r>
          </w:p>
        </w:tc>
        <w:tc>
          <w:tcPr>
            <w:tcW w:w="936" w:type="dxa"/>
            <w:tcBorders>
              <w:top w:val="nil"/>
              <w:left w:val="nil"/>
              <w:bottom w:val="single" w:sz="4" w:space="0" w:color="000000"/>
              <w:right w:val="nil"/>
            </w:tcBorders>
            <w:shd w:val="clear" w:color="auto" w:fill="auto"/>
            <w:vAlign w:val="center"/>
          </w:tcPr>
          <w:p w14:paraId="5D1173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4,3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17A57C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-68,9%</w:t>
            </w:r>
          </w:p>
        </w:tc>
        <w:tc>
          <w:tcPr>
            <w:tcW w:w="1243" w:type="dxa"/>
            <w:tcBorders>
              <w:top w:val="nil"/>
              <w:left w:val="nil"/>
              <w:bottom w:val="single" w:sz="4" w:space="0" w:color="000000"/>
              <w:right w:val="single" w:sz="4" w:space="0" w:color="000000"/>
            </w:tcBorders>
            <w:shd w:val="clear" w:color="auto" w:fill="auto"/>
            <w:vAlign w:val="center"/>
          </w:tcPr>
          <w:p w14:paraId="4D86869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-84,3%</w:t>
            </w:r>
          </w:p>
        </w:tc>
      </w:tr>
      <w:tr w:rsidR="00A0251B" w:rsidRPr="00CC35F0" w14:paraId="089A078C"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E1CE56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659A573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D10EA4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CF8144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42E150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6E85F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5BA42A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411C09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78163FC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39FE017E"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8202D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25787E9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A9DE0E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5C969D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AEE1CD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BD6609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1A4468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D7A57D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6988A3B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6811D64D"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08C205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7AC1236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36" w:type="dxa"/>
            <w:tcBorders>
              <w:top w:val="nil"/>
              <w:left w:val="nil"/>
              <w:bottom w:val="single" w:sz="4" w:space="0" w:color="000000"/>
              <w:right w:val="single" w:sz="4" w:space="0" w:color="000000"/>
            </w:tcBorders>
            <w:shd w:val="clear" w:color="auto" w:fill="auto"/>
            <w:vAlign w:val="center"/>
          </w:tcPr>
          <w:p w14:paraId="5E7763E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36" w:type="dxa"/>
            <w:tcBorders>
              <w:top w:val="nil"/>
              <w:left w:val="nil"/>
              <w:bottom w:val="single" w:sz="4" w:space="0" w:color="000000"/>
              <w:right w:val="single" w:sz="4" w:space="0" w:color="000000"/>
            </w:tcBorders>
            <w:shd w:val="clear" w:color="auto" w:fill="auto"/>
            <w:vAlign w:val="center"/>
          </w:tcPr>
          <w:p w14:paraId="253FA3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36" w:type="dxa"/>
            <w:tcBorders>
              <w:top w:val="nil"/>
              <w:left w:val="nil"/>
              <w:bottom w:val="single" w:sz="4" w:space="0" w:color="000000"/>
              <w:right w:val="single" w:sz="4" w:space="0" w:color="000000"/>
            </w:tcBorders>
            <w:shd w:val="clear" w:color="auto" w:fill="auto"/>
            <w:vAlign w:val="center"/>
          </w:tcPr>
          <w:p w14:paraId="157238E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936" w:type="dxa"/>
            <w:tcBorders>
              <w:top w:val="nil"/>
              <w:left w:val="nil"/>
              <w:bottom w:val="single" w:sz="4" w:space="0" w:color="000000"/>
              <w:right w:val="single" w:sz="4" w:space="0" w:color="000000"/>
            </w:tcBorders>
            <w:shd w:val="clear" w:color="auto" w:fill="auto"/>
            <w:vAlign w:val="center"/>
          </w:tcPr>
          <w:p w14:paraId="59FCF5B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nil"/>
            </w:tcBorders>
            <w:shd w:val="clear" w:color="auto" w:fill="auto"/>
            <w:vAlign w:val="center"/>
          </w:tcPr>
          <w:p w14:paraId="586B4F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7D5385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-34,8%</w:t>
            </w:r>
          </w:p>
        </w:tc>
        <w:tc>
          <w:tcPr>
            <w:tcW w:w="1243" w:type="dxa"/>
            <w:tcBorders>
              <w:top w:val="nil"/>
              <w:left w:val="nil"/>
              <w:bottom w:val="single" w:sz="4" w:space="0" w:color="000000"/>
              <w:right w:val="single" w:sz="4" w:space="0" w:color="000000"/>
            </w:tcBorders>
            <w:shd w:val="clear" w:color="auto" w:fill="auto"/>
            <w:vAlign w:val="center"/>
          </w:tcPr>
          <w:p w14:paraId="39E02C5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-59,5%</w:t>
            </w:r>
          </w:p>
        </w:tc>
      </w:tr>
      <w:tr w:rsidR="00A0251B" w:rsidRPr="00CC35F0" w14:paraId="7E48BBD7"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F5739D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2053B0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5AF701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66BF5B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6BFA6F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174E78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1CE347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62CF7C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21,3%</w:t>
            </w:r>
          </w:p>
        </w:tc>
        <w:tc>
          <w:tcPr>
            <w:tcW w:w="1243" w:type="dxa"/>
            <w:tcBorders>
              <w:top w:val="nil"/>
              <w:left w:val="nil"/>
              <w:bottom w:val="single" w:sz="4" w:space="0" w:color="000000"/>
              <w:right w:val="single" w:sz="4" w:space="0" w:color="000000"/>
            </w:tcBorders>
            <w:shd w:val="clear" w:color="auto" w:fill="auto"/>
            <w:vAlign w:val="center"/>
          </w:tcPr>
          <w:p w14:paraId="162AAD5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-21,2%</w:t>
            </w:r>
          </w:p>
        </w:tc>
      </w:tr>
      <w:tr w:rsidR="00A0251B" w:rsidRPr="00CC35F0" w14:paraId="0F741F59"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75B34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10EB5D6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22,1   </w:t>
            </w:r>
          </w:p>
        </w:tc>
        <w:tc>
          <w:tcPr>
            <w:tcW w:w="936" w:type="dxa"/>
            <w:tcBorders>
              <w:top w:val="nil"/>
              <w:left w:val="nil"/>
              <w:bottom w:val="single" w:sz="4" w:space="0" w:color="000000"/>
              <w:right w:val="single" w:sz="4" w:space="0" w:color="000000"/>
            </w:tcBorders>
            <w:shd w:val="clear" w:color="auto" w:fill="auto"/>
            <w:vAlign w:val="center"/>
          </w:tcPr>
          <w:p w14:paraId="306B37F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15,6   </w:t>
            </w:r>
          </w:p>
        </w:tc>
        <w:tc>
          <w:tcPr>
            <w:tcW w:w="936" w:type="dxa"/>
            <w:tcBorders>
              <w:top w:val="nil"/>
              <w:left w:val="nil"/>
              <w:bottom w:val="single" w:sz="4" w:space="0" w:color="000000"/>
              <w:right w:val="single" w:sz="4" w:space="0" w:color="000000"/>
            </w:tcBorders>
            <w:shd w:val="clear" w:color="auto" w:fill="auto"/>
            <w:vAlign w:val="center"/>
          </w:tcPr>
          <w:p w14:paraId="1C4E1E9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14,7   </w:t>
            </w:r>
          </w:p>
        </w:tc>
        <w:tc>
          <w:tcPr>
            <w:tcW w:w="936" w:type="dxa"/>
            <w:tcBorders>
              <w:top w:val="nil"/>
              <w:left w:val="nil"/>
              <w:bottom w:val="single" w:sz="4" w:space="0" w:color="000000"/>
              <w:right w:val="single" w:sz="4" w:space="0" w:color="000000"/>
            </w:tcBorders>
            <w:shd w:val="clear" w:color="auto" w:fill="auto"/>
            <w:vAlign w:val="center"/>
          </w:tcPr>
          <w:p w14:paraId="7BF8ABB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14,1   </w:t>
            </w:r>
          </w:p>
        </w:tc>
        <w:tc>
          <w:tcPr>
            <w:tcW w:w="936" w:type="dxa"/>
            <w:tcBorders>
              <w:top w:val="nil"/>
              <w:left w:val="nil"/>
              <w:bottom w:val="single" w:sz="4" w:space="0" w:color="000000"/>
              <w:right w:val="single" w:sz="4" w:space="0" w:color="000000"/>
            </w:tcBorders>
            <w:shd w:val="clear" w:color="auto" w:fill="auto"/>
            <w:vAlign w:val="center"/>
          </w:tcPr>
          <w:p w14:paraId="0DDFBCE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nil"/>
            </w:tcBorders>
            <w:shd w:val="clear" w:color="auto" w:fill="auto"/>
            <w:vAlign w:val="center"/>
          </w:tcPr>
          <w:p w14:paraId="5B5DEF4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DB0A9E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-14,2%</w:t>
            </w:r>
          </w:p>
        </w:tc>
        <w:tc>
          <w:tcPr>
            <w:tcW w:w="1243" w:type="dxa"/>
            <w:tcBorders>
              <w:top w:val="nil"/>
              <w:left w:val="nil"/>
              <w:bottom w:val="single" w:sz="4" w:space="0" w:color="000000"/>
              <w:right w:val="single" w:sz="4" w:space="0" w:color="000000"/>
            </w:tcBorders>
            <w:shd w:val="clear" w:color="auto" w:fill="auto"/>
            <w:vAlign w:val="center"/>
          </w:tcPr>
          <w:p w14:paraId="3D73684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-39,4%</w:t>
            </w:r>
          </w:p>
        </w:tc>
      </w:tr>
      <w:tr w:rsidR="00A0251B" w:rsidRPr="00CC35F0" w14:paraId="06DC1EE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4E34B9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4ED874F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610B104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7,6   </w:t>
            </w:r>
          </w:p>
        </w:tc>
        <w:tc>
          <w:tcPr>
            <w:tcW w:w="936" w:type="dxa"/>
            <w:tcBorders>
              <w:top w:val="nil"/>
              <w:left w:val="nil"/>
              <w:bottom w:val="single" w:sz="4" w:space="0" w:color="000000"/>
              <w:right w:val="single" w:sz="4" w:space="0" w:color="000000"/>
            </w:tcBorders>
            <w:shd w:val="clear" w:color="auto" w:fill="auto"/>
            <w:vAlign w:val="center"/>
          </w:tcPr>
          <w:p w14:paraId="007D302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36" w:type="dxa"/>
            <w:tcBorders>
              <w:top w:val="nil"/>
              <w:left w:val="nil"/>
              <w:bottom w:val="single" w:sz="4" w:space="0" w:color="000000"/>
              <w:right w:val="single" w:sz="4" w:space="0" w:color="000000"/>
            </w:tcBorders>
            <w:shd w:val="clear" w:color="auto" w:fill="auto"/>
            <w:vAlign w:val="center"/>
          </w:tcPr>
          <w:p w14:paraId="5DACAA9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6,2   </w:t>
            </w:r>
          </w:p>
        </w:tc>
        <w:tc>
          <w:tcPr>
            <w:tcW w:w="936" w:type="dxa"/>
            <w:tcBorders>
              <w:top w:val="nil"/>
              <w:left w:val="nil"/>
              <w:bottom w:val="single" w:sz="4" w:space="0" w:color="000000"/>
              <w:right w:val="single" w:sz="4" w:space="0" w:color="000000"/>
            </w:tcBorders>
            <w:shd w:val="clear" w:color="auto" w:fill="auto"/>
            <w:vAlign w:val="center"/>
          </w:tcPr>
          <w:p w14:paraId="4418868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36" w:type="dxa"/>
            <w:tcBorders>
              <w:top w:val="nil"/>
              <w:left w:val="nil"/>
              <w:bottom w:val="single" w:sz="4" w:space="0" w:color="000000"/>
              <w:right w:val="nil"/>
            </w:tcBorders>
            <w:shd w:val="clear" w:color="auto" w:fill="auto"/>
            <w:vAlign w:val="center"/>
          </w:tcPr>
          <w:p w14:paraId="7BEE703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552DEA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-40,0%</w:t>
            </w:r>
          </w:p>
        </w:tc>
        <w:tc>
          <w:tcPr>
            <w:tcW w:w="1243" w:type="dxa"/>
            <w:tcBorders>
              <w:top w:val="nil"/>
              <w:left w:val="nil"/>
              <w:bottom w:val="single" w:sz="4" w:space="0" w:color="000000"/>
              <w:right w:val="single" w:sz="4" w:space="0" w:color="000000"/>
            </w:tcBorders>
            <w:shd w:val="clear" w:color="auto" w:fill="auto"/>
            <w:vAlign w:val="center"/>
          </w:tcPr>
          <w:p w14:paraId="5734277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41,2%</w:t>
            </w:r>
          </w:p>
        </w:tc>
      </w:tr>
      <w:tr w:rsidR="00A0251B" w:rsidRPr="00CC35F0" w14:paraId="1961A241"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599A59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32722B0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147,8   </w:t>
            </w:r>
          </w:p>
        </w:tc>
        <w:tc>
          <w:tcPr>
            <w:tcW w:w="936" w:type="dxa"/>
            <w:tcBorders>
              <w:top w:val="nil"/>
              <w:left w:val="single" w:sz="4" w:space="0" w:color="000000"/>
              <w:bottom w:val="single" w:sz="4" w:space="0" w:color="000000"/>
              <w:right w:val="nil"/>
            </w:tcBorders>
            <w:shd w:val="clear" w:color="auto" w:fill="auto"/>
            <w:vAlign w:val="center"/>
          </w:tcPr>
          <w:p w14:paraId="60E9ACF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131,7   </w:t>
            </w:r>
          </w:p>
        </w:tc>
        <w:tc>
          <w:tcPr>
            <w:tcW w:w="936" w:type="dxa"/>
            <w:tcBorders>
              <w:top w:val="nil"/>
              <w:left w:val="single" w:sz="4" w:space="0" w:color="000000"/>
              <w:bottom w:val="single" w:sz="4" w:space="0" w:color="000000"/>
              <w:right w:val="nil"/>
            </w:tcBorders>
            <w:shd w:val="clear" w:color="auto" w:fill="auto"/>
            <w:vAlign w:val="center"/>
          </w:tcPr>
          <w:p w14:paraId="7F9C8DF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124,9   </w:t>
            </w:r>
          </w:p>
        </w:tc>
        <w:tc>
          <w:tcPr>
            <w:tcW w:w="936" w:type="dxa"/>
            <w:tcBorders>
              <w:top w:val="nil"/>
              <w:left w:val="single" w:sz="4" w:space="0" w:color="000000"/>
              <w:bottom w:val="single" w:sz="4" w:space="0" w:color="000000"/>
              <w:right w:val="nil"/>
            </w:tcBorders>
            <w:shd w:val="clear" w:color="auto" w:fill="auto"/>
            <w:vAlign w:val="center"/>
          </w:tcPr>
          <w:p w14:paraId="3400071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113,2   </w:t>
            </w:r>
          </w:p>
        </w:tc>
        <w:tc>
          <w:tcPr>
            <w:tcW w:w="936" w:type="dxa"/>
            <w:tcBorders>
              <w:top w:val="nil"/>
              <w:left w:val="single" w:sz="4" w:space="0" w:color="000000"/>
              <w:bottom w:val="single" w:sz="4" w:space="0" w:color="000000"/>
              <w:right w:val="nil"/>
            </w:tcBorders>
            <w:shd w:val="clear" w:color="auto" w:fill="auto"/>
            <w:vAlign w:val="center"/>
          </w:tcPr>
          <w:p w14:paraId="001CD1A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97,6   </w:t>
            </w:r>
          </w:p>
        </w:tc>
        <w:tc>
          <w:tcPr>
            <w:tcW w:w="936" w:type="dxa"/>
            <w:tcBorders>
              <w:top w:val="nil"/>
              <w:left w:val="single" w:sz="4" w:space="0" w:color="000000"/>
              <w:bottom w:val="single" w:sz="4" w:space="0" w:color="000000"/>
              <w:right w:val="nil"/>
            </w:tcBorders>
            <w:shd w:val="clear" w:color="auto" w:fill="auto"/>
            <w:vAlign w:val="center"/>
          </w:tcPr>
          <w:p w14:paraId="6CA3B46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84,1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F4CD139"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-25,8%</w:t>
            </w:r>
          </w:p>
        </w:tc>
        <w:tc>
          <w:tcPr>
            <w:tcW w:w="1243" w:type="dxa"/>
            <w:tcBorders>
              <w:top w:val="nil"/>
              <w:left w:val="nil"/>
              <w:bottom w:val="single" w:sz="4" w:space="0" w:color="000000"/>
              <w:right w:val="single" w:sz="4" w:space="0" w:color="000000"/>
            </w:tcBorders>
            <w:shd w:val="clear" w:color="auto" w:fill="auto"/>
            <w:vAlign w:val="center"/>
          </w:tcPr>
          <w:p w14:paraId="21035F09"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-33,9%</w:t>
            </w:r>
          </w:p>
        </w:tc>
      </w:tr>
      <w:tr w:rsidR="00A0251B" w:rsidRPr="00CC35F0" w14:paraId="16122D70" w14:textId="77777777">
        <w:trPr>
          <w:trHeight w:val="260"/>
        </w:trPr>
        <w:tc>
          <w:tcPr>
            <w:tcW w:w="2056" w:type="dxa"/>
            <w:tcBorders>
              <w:top w:val="nil"/>
              <w:left w:val="nil"/>
              <w:bottom w:val="nil"/>
              <w:right w:val="nil"/>
            </w:tcBorders>
            <w:shd w:val="clear" w:color="auto" w:fill="FFFFFF"/>
            <w:vAlign w:val="center"/>
          </w:tcPr>
          <w:p w14:paraId="519A641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2AFF97D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2A70A46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E604EC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FBADAB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E65A80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CECC11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51B80B9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1CA2368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46DD7D68" w14:textId="77777777">
        <w:trPr>
          <w:trHeight w:val="260"/>
        </w:trPr>
        <w:tc>
          <w:tcPr>
            <w:tcW w:w="2056" w:type="dxa"/>
            <w:tcBorders>
              <w:top w:val="nil"/>
              <w:left w:val="nil"/>
              <w:bottom w:val="single" w:sz="4" w:space="0" w:color="000000"/>
              <w:right w:val="nil"/>
            </w:tcBorders>
            <w:shd w:val="clear" w:color="auto" w:fill="FFFFFF"/>
            <w:vAlign w:val="center"/>
          </w:tcPr>
          <w:p w14:paraId="5265E01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NMVOC</w:t>
            </w:r>
          </w:p>
        </w:tc>
        <w:tc>
          <w:tcPr>
            <w:tcW w:w="936" w:type="dxa"/>
            <w:tcBorders>
              <w:top w:val="nil"/>
              <w:left w:val="nil"/>
              <w:bottom w:val="nil"/>
              <w:right w:val="nil"/>
            </w:tcBorders>
            <w:shd w:val="clear" w:color="auto" w:fill="FFFFFF"/>
            <w:vAlign w:val="center"/>
          </w:tcPr>
          <w:p w14:paraId="29532B0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6A750E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BD6F30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036100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45110CF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A2B63A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2D9BDF0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4FC8010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638B9A96" w14:textId="77777777">
        <w:trPr>
          <w:trHeight w:val="250"/>
        </w:trPr>
        <w:tc>
          <w:tcPr>
            <w:tcW w:w="2056" w:type="dxa"/>
            <w:tcBorders>
              <w:top w:val="nil"/>
              <w:left w:val="single" w:sz="4" w:space="0" w:color="000000"/>
              <w:bottom w:val="nil"/>
              <w:right w:val="single" w:sz="4" w:space="0" w:color="000000"/>
            </w:tcBorders>
            <w:shd w:val="clear" w:color="auto" w:fill="DAEEF3"/>
            <w:vAlign w:val="center"/>
          </w:tcPr>
          <w:p w14:paraId="3A20DA4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WAM_C </w:t>
            </w:r>
          </w:p>
        </w:tc>
        <w:tc>
          <w:tcPr>
            <w:tcW w:w="936" w:type="dxa"/>
            <w:tcBorders>
              <w:top w:val="single" w:sz="4" w:space="0" w:color="000000"/>
              <w:left w:val="nil"/>
              <w:bottom w:val="single" w:sz="4" w:space="0" w:color="000000"/>
              <w:right w:val="nil"/>
            </w:tcBorders>
            <w:shd w:val="clear" w:color="auto" w:fill="DAEEF3"/>
            <w:vAlign w:val="center"/>
          </w:tcPr>
          <w:p w14:paraId="19625A9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6D3A1E4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69A9932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97FA3C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0BAC3E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37F9B6F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2" w:space="0" w:color="000000"/>
              <w:bottom w:val="single" w:sz="4" w:space="0" w:color="000000"/>
              <w:right w:val="single" w:sz="4" w:space="0" w:color="000000"/>
            </w:tcBorders>
            <w:shd w:val="clear" w:color="auto" w:fill="DAEEF3"/>
            <w:vAlign w:val="center"/>
          </w:tcPr>
          <w:p w14:paraId="01EC802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68FD96B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0BEDE100"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64E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55EE4E7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32449C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0D3F093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46520A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single" w:sz="4" w:space="0" w:color="000000"/>
            </w:tcBorders>
            <w:shd w:val="clear" w:color="auto" w:fill="auto"/>
            <w:vAlign w:val="center"/>
          </w:tcPr>
          <w:p w14:paraId="545E4A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nil"/>
            </w:tcBorders>
            <w:shd w:val="clear" w:color="auto" w:fill="auto"/>
            <w:vAlign w:val="center"/>
          </w:tcPr>
          <w:p w14:paraId="40649E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F2B10E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-4,5%</w:t>
            </w:r>
          </w:p>
        </w:tc>
        <w:tc>
          <w:tcPr>
            <w:tcW w:w="1243" w:type="dxa"/>
            <w:tcBorders>
              <w:top w:val="nil"/>
              <w:left w:val="nil"/>
              <w:bottom w:val="single" w:sz="4" w:space="0" w:color="000000"/>
              <w:right w:val="single" w:sz="4" w:space="0" w:color="000000"/>
            </w:tcBorders>
            <w:shd w:val="clear" w:color="auto" w:fill="auto"/>
            <w:vAlign w:val="center"/>
          </w:tcPr>
          <w:p w14:paraId="62344FF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-7,3%</w:t>
            </w:r>
          </w:p>
        </w:tc>
      </w:tr>
      <w:tr w:rsidR="00A0251B" w:rsidRPr="00CC35F0" w14:paraId="0D2C4DC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FDD7E0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2F39129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10,5   </w:t>
            </w:r>
          </w:p>
        </w:tc>
        <w:tc>
          <w:tcPr>
            <w:tcW w:w="936" w:type="dxa"/>
            <w:tcBorders>
              <w:top w:val="nil"/>
              <w:left w:val="nil"/>
              <w:bottom w:val="single" w:sz="4" w:space="0" w:color="000000"/>
              <w:right w:val="single" w:sz="4" w:space="0" w:color="000000"/>
            </w:tcBorders>
            <w:shd w:val="clear" w:color="auto" w:fill="auto"/>
            <w:vAlign w:val="center"/>
          </w:tcPr>
          <w:p w14:paraId="3B8ACC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10,6   </w:t>
            </w:r>
          </w:p>
        </w:tc>
        <w:tc>
          <w:tcPr>
            <w:tcW w:w="936" w:type="dxa"/>
            <w:tcBorders>
              <w:top w:val="nil"/>
              <w:left w:val="nil"/>
              <w:bottom w:val="single" w:sz="4" w:space="0" w:color="000000"/>
              <w:right w:val="single" w:sz="4" w:space="0" w:color="000000"/>
            </w:tcBorders>
            <w:shd w:val="clear" w:color="auto" w:fill="auto"/>
            <w:vAlign w:val="center"/>
          </w:tcPr>
          <w:p w14:paraId="56E272A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12,1   </w:t>
            </w:r>
          </w:p>
        </w:tc>
        <w:tc>
          <w:tcPr>
            <w:tcW w:w="936" w:type="dxa"/>
            <w:tcBorders>
              <w:top w:val="nil"/>
              <w:left w:val="nil"/>
              <w:bottom w:val="single" w:sz="4" w:space="0" w:color="000000"/>
              <w:right w:val="single" w:sz="4" w:space="0" w:color="000000"/>
            </w:tcBorders>
            <w:shd w:val="clear" w:color="auto" w:fill="auto"/>
            <w:vAlign w:val="center"/>
          </w:tcPr>
          <w:p w14:paraId="48567E1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12,5   </w:t>
            </w:r>
          </w:p>
        </w:tc>
        <w:tc>
          <w:tcPr>
            <w:tcW w:w="936" w:type="dxa"/>
            <w:tcBorders>
              <w:top w:val="nil"/>
              <w:left w:val="nil"/>
              <w:bottom w:val="single" w:sz="4" w:space="0" w:color="000000"/>
              <w:right w:val="single" w:sz="4" w:space="0" w:color="000000"/>
            </w:tcBorders>
            <w:shd w:val="clear" w:color="auto" w:fill="auto"/>
            <w:vAlign w:val="center"/>
          </w:tcPr>
          <w:p w14:paraId="392FFC0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14,1   </w:t>
            </w:r>
          </w:p>
        </w:tc>
        <w:tc>
          <w:tcPr>
            <w:tcW w:w="936" w:type="dxa"/>
            <w:tcBorders>
              <w:top w:val="nil"/>
              <w:left w:val="nil"/>
              <w:bottom w:val="single" w:sz="4" w:space="0" w:color="000000"/>
              <w:right w:val="nil"/>
            </w:tcBorders>
            <w:shd w:val="clear" w:color="auto" w:fill="auto"/>
            <w:vAlign w:val="center"/>
          </w:tcPr>
          <w:p w14:paraId="00E400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5E5507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33,4%</w:t>
            </w:r>
          </w:p>
        </w:tc>
        <w:tc>
          <w:tcPr>
            <w:tcW w:w="1243" w:type="dxa"/>
            <w:tcBorders>
              <w:top w:val="nil"/>
              <w:left w:val="nil"/>
              <w:bottom w:val="single" w:sz="4" w:space="0" w:color="000000"/>
              <w:right w:val="single" w:sz="4" w:space="0" w:color="000000"/>
            </w:tcBorders>
            <w:shd w:val="clear" w:color="auto" w:fill="auto"/>
            <w:vAlign w:val="center"/>
          </w:tcPr>
          <w:p w14:paraId="094DEA9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34,4%</w:t>
            </w:r>
          </w:p>
        </w:tc>
      </w:tr>
      <w:tr w:rsidR="00A0251B" w:rsidRPr="00CC35F0" w14:paraId="378ED39A"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7AFF53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345E8A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28,3   </w:t>
            </w:r>
          </w:p>
        </w:tc>
        <w:tc>
          <w:tcPr>
            <w:tcW w:w="936" w:type="dxa"/>
            <w:tcBorders>
              <w:top w:val="nil"/>
              <w:left w:val="nil"/>
              <w:bottom w:val="single" w:sz="4" w:space="0" w:color="000000"/>
              <w:right w:val="single" w:sz="4" w:space="0" w:color="000000"/>
            </w:tcBorders>
            <w:shd w:val="clear" w:color="auto" w:fill="auto"/>
            <w:vAlign w:val="center"/>
          </w:tcPr>
          <w:p w14:paraId="29FB177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29,8   </w:t>
            </w:r>
          </w:p>
        </w:tc>
        <w:tc>
          <w:tcPr>
            <w:tcW w:w="936" w:type="dxa"/>
            <w:tcBorders>
              <w:top w:val="nil"/>
              <w:left w:val="nil"/>
              <w:bottom w:val="single" w:sz="4" w:space="0" w:color="000000"/>
              <w:right w:val="single" w:sz="4" w:space="0" w:color="000000"/>
            </w:tcBorders>
            <w:shd w:val="clear" w:color="auto" w:fill="auto"/>
            <w:vAlign w:val="center"/>
          </w:tcPr>
          <w:p w14:paraId="20BF28E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29,6   </w:t>
            </w:r>
          </w:p>
        </w:tc>
        <w:tc>
          <w:tcPr>
            <w:tcW w:w="936" w:type="dxa"/>
            <w:tcBorders>
              <w:top w:val="nil"/>
              <w:left w:val="nil"/>
              <w:bottom w:val="single" w:sz="4" w:space="0" w:color="000000"/>
              <w:right w:val="single" w:sz="4" w:space="0" w:color="000000"/>
            </w:tcBorders>
            <w:shd w:val="clear" w:color="auto" w:fill="auto"/>
            <w:vAlign w:val="center"/>
          </w:tcPr>
          <w:p w14:paraId="60914AD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27,8   </w:t>
            </w:r>
          </w:p>
        </w:tc>
        <w:tc>
          <w:tcPr>
            <w:tcW w:w="936" w:type="dxa"/>
            <w:tcBorders>
              <w:top w:val="nil"/>
              <w:left w:val="nil"/>
              <w:bottom w:val="single" w:sz="4" w:space="0" w:color="000000"/>
              <w:right w:val="single" w:sz="4" w:space="0" w:color="000000"/>
            </w:tcBorders>
            <w:shd w:val="clear" w:color="auto" w:fill="auto"/>
            <w:vAlign w:val="center"/>
          </w:tcPr>
          <w:p w14:paraId="40F0C59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17,0   </w:t>
            </w:r>
          </w:p>
        </w:tc>
        <w:tc>
          <w:tcPr>
            <w:tcW w:w="936" w:type="dxa"/>
            <w:tcBorders>
              <w:top w:val="nil"/>
              <w:left w:val="nil"/>
              <w:bottom w:val="single" w:sz="4" w:space="0" w:color="000000"/>
              <w:right w:val="nil"/>
            </w:tcBorders>
            <w:shd w:val="clear" w:color="auto" w:fill="auto"/>
            <w:vAlign w:val="center"/>
          </w:tcPr>
          <w:p w14:paraId="6FD80CA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E69B59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-43,1%</w:t>
            </w:r>
          </w:p>
        </w:tc>
        <w:tc>
          <w:tcPr>
            <w:tcW w:w="1243" w:type="dxa"/>
            <w:tcBorders>
              <w:top w:val="nil"/>
              <w:left w:val="nil"/>
              <w:bottom w:val="single" w:sz="4" w:space="0" w:color="000000"/>
              <w:right w:val="single" w:sz="4" w:space="0" w:color="000000"/>
            </w:tcBorders>
            <w:shd w:val="clear" w:color="auto" w:fill="auto"/>
            <w:vAlign w:val="center"/>
          </w:tcPr>
          <w:p w14:paraId="486721F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-40,1%</w:t>
            </w:r>
          </w:p>
        </w:tc>
      </w:tr>
      <w:tr w:rsidR="00A0251B" w:rsidRPr="00CC35F0" w14:paraId="26BC3126"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D5890B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49B57B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33,9   </w:t>
            </w:r>
          </w:p>
        </w:tc>
        <w:tc>
          <w:tcPr>
            <w:tcW w:w="936" w:type="dxa"/>
            <w:tcBorders>
              <w:top w:val="nil"/>
              <w:left w:val="nil"/>
              <w:bottom w:val="single" w:sz="4" w:space="0" w:color="000000"/>
              <w:right w:val="single" w:sz="4" w:space="0" w:color="000000"/>
            </w:tcBorders>
            <w:shd w:val="clear" w:color="auto" w:fill="auto"/>
            <w:vAlign w:val="center"/>
          </w:tcPr>
          <w:p w14:paraId="52566D9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31,6   </w:t>
            </w:r>
          </w:p>
        </w:tc>
        <w:tc>
          <w:tcPr>
            <w:tcW w:w="936" w:type="dxa"/>
            <w:tcBorders>
              <w:top w:val="nil"/>
              <w:left w:val="nil"/>
              <w:bottom w:val="single" w:sz="4" w:space="0" w:color="000000"/>
              <w:right w:val="single" w:sz="4" w:space="0" w:color="000000"/>
            </w:tcBorders>
            <w:shd w:val="clear" w:color="auto" w:fill="auto"/>
            <w:vAlign w:val="center"/>
          </w:tcPr>
          <w:p w14:paraId="58B7409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30,9   </w:t>
            </w:r>
          </w:p>
        </w:tc>
        <w:tc>
          <w:tcPr>
            <w:tcW w:w="936" w:type="dxa"/>
            <w:tcBorders>
              <w:top w:val="nil"/>
              <w:left w:val="nil"/>
              <w:bottom w:val="single" w:sz="4" w:space="0" w:color="000000"/>
              <w:right w:val="single" w:sz="4" w:space="0" w:color="000000"/>
            </w:tcBorders>
            <w:shd w:val="clear" w:color="auto" w:fill="auto"/>
            <w:vAlign w:val="center"/>
          </w:tcPr>
          <w:p w14:paraId="093537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29,8   </w:t>
            </w:r>
          </w:p>
        </w:tc>
        <w:tc>
          <w:tcPr>
            <w:tcW w:w="936" w:type="dxa"/>
            <w:tcBorders>
              <w:top w:val="nil"/>
              <w:left w:val="nil"/>
              <w:bottom w:val="single" w:sz="4" w:space="0" w:color="000000"/>
              <w:right w:val="single" w:sz="4" w:space="0" w:color="000000"/>
            </w:tcBorders>
            <w:shd w:val="clear" w:color="auto" w:fill="auto"/>
            <w:vAlign w:val="center"/>
          </w:tcPr>
          <w:p w14:paraId="59AD322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26,4   </w:t>
            </w:r>
          </w:p>
        </w:tc>
        <w:tc>
          <w:tcPr>
            <w:tcW w:w="936" w:type="dxa"/>
            <w:tcBorders>
              <w:top w:val="nil"/>
              <w:left w:val="nil"/>
              <w:bottom w:val="single" w:sz="4" w:space="0" w:color="000000"/>
              <w:right w:val="nil"/>
            </w:tcBorders>
            <w:shd w:val="clear" w:color="auto" w:fill="auto"/>
            <w:vAlign w:val="center"/>
          </w:tcPr>
          <w:p w14:paraId="6469578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18,6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84FEF0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-16,4%</w:t>
            </w:r>
          </w:p>
        </w:tc>
        <w:tc>
          <w:tcPr>
            <w:tcW w:w="1243" w:type="dxa"/>
            <w:tcBorders>
              <w:top w:val="nil"/>
              <w:left w:val="nil"/>
              <w:bottom w:val="single" w:sz="4" w:space="0" w:color="000000"/>
              <w:right w:val="single" w:sz="4" w:space="0" w:color="000000"/>
            </w:tcBorders>
            <w:shd w:val="clear" w:color="auto" w:fill="auto"/>
            <w:vAlign w:val="center"/>
          </w:tcPr>
          <w:p w14:paraId="6D9275C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-22,1%</w:t>
            </w:r>
          </w:p>
        </w:tc>
      </w:tr>
      <w:tr w:rsidR="00A0251B" w:rsidRPr="00CC35F0" w14:paraId="74B7D420"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CB655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1A0C084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17,1   </w:t>
            </w:r>
          </w:p>
        </w:tc>
        <w:tc>
          <w:tcPr>
            <w:tcW w:w="936" w:type="dxa"/>
            <w:tcBorders>
              <w:top w:val="nil"/>
              <w:left w:val="nil"/>
              <w:bottom w:val="single" w:sz="4" w:space="0" w:color="000000"/>
              <w:right w:val="single" w:sz="4" w:space="0" w:color="000000"/>
            </w:tcBorders>
            <w:shd w:val="clear" w:color="auto" w:fill="auto"/>
            <w:vAlign w:val="center"/>
          </w:tcPr>
          <w:p w14:paraId="5AA6135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19,6   </w:t>
            </w:r>
          </w:p>
        </w:tc>
        <w:tc>
          <w:tcPr>
            <w:tcW w:w="936" w:type="dxa"/>
            <w:tcBorders>
              <w:top w:val="nil"/>
              <w:left w:val="nil"/>
              <w:bottom w:val="single" w:sz="4" w:space="0" w:color="000000"/>
              <w:right w:val="single" w:sz="4" w:space="0" w:color="000000"/>
            </w:tcBorders>
            <w:shd w:val="clear" w:color="auto" w:fill="auto"/>
            <w:vAlign w:val="center"/>
          </w:tcPr>
          <w:p w14:paraId="304197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19,6   </w:t>
            </w:r>
          </w:p>
        </w:tc>
        <w:tc>
          <w:tcPr>
            <w:tcW w:w="936" w:type="dxa"/>
            <w:tcBorders>
              <w:top w:val="nil"/>
              <w:left w:val="nil"/>
              <w:bottom w:val="single" w:sz="4" w:space="0" w:color="000000"/>
              <w:right w:val="single" w:sz="4" w:space="0" w:color="000000"/>
            </w:tcBorders>
            <w:shd w:val="clear" w:color="auto" w:fill="auto"/>
            <w:vAlign w:val="center"/>
          </w:tcPr>
          <w:p w14:paraId="5F5EC7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14,9   </w:t>
            </w:r>
          </w:p>
        </w:tc>
        <w:tc>
          <w:tcPr>
            <w:tcW w:w="936" w:type="dxa"/>
            <w:tcBorders>
              <w:top w:val="nil"/>
              <w:left w:val="nil"/>
              <w:bottom w:val="single" w:sz="4" w:space="0" w:color="000000"/>
              <w:right w:val="single" w:sz="4" w:space="0" w:color="000000"/>
            </w:tcBorders>
            <w:shd w:val="clear" w:color="auto" w:fill="auto"/>
            <w:vAlign w:val="center"/>
          </w:tcPr>
          <w:p w14:paraId="5209C92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14,7   </w:t>
            </w:r>
          </w:p>
        </w:tc>
        <w:tc>
          <w:tcPr>
            <w:tcW w:w="936" w:type="dxa"/>
            <w:tcBorders>
              <w:top w:val="nil"/>
              <w:left w:val="nil"/>
              <w:bottom w:val="single" w:sz="4" w:space="0" w:color="000000"/>
              <w:right w:val="nil"/>
            </w:tcBorders>
            <w:shd w:val="clear" w:color="auto" w:fill="auto"/>
            <w:vAlign w:val="center"/>
          </w:tcPr>
          <w:p w14:paraId="5C75BAC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B8C0CB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-24,9%</w:t>
            </w:r>
          </w:p>
        </w:tc>
        <w:tc>
          <w:tcPr>
            <w:tcW w:w="1243" w:type="dxa"/>
            <w:tcBorders>
              <w:top w:val="nil"/>
              <w:left w:val="nil"/>
              <w:bottom w:val="single" w:sz="4" w:space="0" w:color="000000"/>
              <w:right w:val="single" w:sz="4" w:space="0" w:color="000000"/>
            </w:tcBorders>
            <w:shd w:val="clear" w:color="auto" w:fill="auto"/>
            <w:vAlign w:val="center"/>
          </w:tcPr>
          <w:p w14:paraId="36D06B7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-14,1%</w:t>
            </w:r>
          </w:p>
        </w:tc>
      </w:tr>
      <w:tr w:rsidR="00A0251B" w:rsidRPr="00CC35F0" w14:paraId="59C8A1FA"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B51C14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1A7122D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30,9   </w:t>
            </w:r>
          </w:p>
        </w:tc>
        <w:tc>
          <w:tcPr>
            <w:tcW w:w="936" w:type="dxa"/>
            <w:tcBorders>
              <w:top w:val="nil"/>
              <w:left w:val="nil"/>
              <w:bottom w:val="single" w:sz="4" w:space="0" w:color="000000"/>
              <w:right w:val="single" w:sz="4" w:space="0" w:color="000000"/>
            </w:tcBorders>
            <w:shd w:val="clear" w:color="auto" w:fill="auto"/>
            <w:vAlign w:val="center"/>
          </w:tcPr>
          <w:p w14:paraId="0152DF6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15,6   </w:t>
            </w:r>
          </w:p>
        </w:tc>
        <w:tc>
          <w:tcPr>
            <w:tcW w:w="936" w:type="dxa"/>
            <w:tcBorders>
              <w:top w:val="nil"/>
              <w:left w:val="nil"/>
              <w:bottom w:val="single" w:sz="4" w:space="0" w:color="000000"/>
              <w:right w:val="single" w:sz="4" w:space="0" w:color="000000"/>
            </w:tcBorders>
            <w:shd w:val="clear" w:color="auto" w:fill="auto"/>
            <w:vAlign w:val="center"/>
          </w:tcPr>
          <w:p w14:paraId="63518D4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8,9   </w:t>
            </w:r>
          </w:p>
        </w:tc>
        <w:tc>
          <w:tcPr>
            <w:tcW w:w="936" w:type="dxa"/>
            <w:tcBorders>
              <w:top w:val="nil"/>
              <w:left w:val="nil"/>
              <w:bottom w:val="single" w:sz="4" w:space="0" w:color="000000"/>
              <w:right w:val="single" w:sz="4" w:space="0" w:color="000000"/>
            </w:tcBorders>
            <w:shd w:val="clear" w:color="auto" w:fill="auto"/>
            <w:vAlign w:val="center"/>
          </w:tcPr>
          <w:p w14:paraId="4AA6616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6,3   </w:t>
            </w:r>
          </w:p>
        </w:tc>
        <w:tc>
          <w:tcPr>
            <w:tcW w:w="936" w:type="dxa"/>
            <w:tcBorders>
              <w:top w:val="nil"/>
              <w:left w:val="nil"/>
              <w:bottom w:val="single" w:sz="4" w:space="0" w:color="000000"/>
              <w:right w:val="single" w:sz="4" w:space="0" w:color="000000"/>
            </w:tcBorders>
            <w:shd w:val="clear" w:color="auto" w:fill="auto"/>
            <w:vAlign w:val="center"/>
          </w:tcPr>
          <w:p w14:paraId="6BF33B4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4,8   </w:t>
            </w:r>
          </w:p>
        </w:tc>
        <w:tc>
          <w:tcPr>
            <w:tcW w:w="936" w:type="dxa"/>
            <w:tcBorders>
              <w:top w:val="nil"/>
              <w:left w:val="nil"/>
              <w:bottom w:val="single" w:sz="4" w:space="0" w:color="000000"/>
              <w:right w:val="nil"/>
            </w:tcBorders>
            <w:shd w:val="clear" w:color="auto" w:fill="auto"/>
            <w:vAlign w:val="center"/>
          </w:tcPr>
          <w:p w14:paraId="6D35051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4,3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611A43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-68,9%</w:t>
            </w:r>
          </w:p>
        </w:tc>
        <w:tc>
          <w:tcPr>
            <w:tcW w:w="1243" w:type="dxa"/>
            <w:tcBorders>
              <w:top w:val="nil"/>
              <w:left w:val="nil"/>
              <w:bottom w:val="single" w:sz="4" w:space="0" w:color="000000"/>
              <w:right w:val="single" w:sz="4" w:space="0" w:color="000000"/>
            </w:tcBorders>
            <w:shd w:val="clear" w:color="auto" w:fill="auto"/>
            <w:vAlign w:val="center"/>
          </w:tcPr>
          <w:p w14:paraId="0DD5AFD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-84,3%</w:t>
            </w:r>
          </w:p>
        </w:tc>
      </w:tr>
      <w:tr w:rsidR="00A0251B" w:rsidRPr="00CC35F0" w14:paraId="4DAD5EC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0FAD4D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31C491A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D14811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6A866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57F343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C029BE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3B241E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73B2DAD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49,3%</w:t>
            </w:r>
          </w:p>
        </w:tc>
        <w:tc>
          <w:tcPr>
            <w:tcW w:w="1243" w:type="dxa"/>
            <w:tcBorders>
              <w:top w:val="nil"/>
              <w:left w:val="nil"/>
              <w:bottom w:val="single" w:sz="4" w:space="0" w:color="000000"/>
              <w:right w:val="single" w:sz="4" w:space="0" w:color="000000"/>
            </w:tcBorders>
            <w:shd w:val="clear" w:color="auto" w:fill="auto"/>
            <w:vAlign w:val="center"/>
          </w:tcPr>
          <w:p w14:paraId="2F82F2E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r>
      <w:tr w:rsidR="00A0251B" w:rsidRPr="00CC35F0" w14:paraId="34B48479"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F19265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52DFFC9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5E92C4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D54855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E8B796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7BE0DE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6127756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1D1177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w:t>
            </w:r>
          </w:p>
        </w:tc>
        <w:tc>
          <w:tcPr>
            <w:tcW w:w="1243" w:type="dxa"/>
            <w:tcBorders>
              <w:top w:val="nil"/>
              <w:left w:val="nil"/>
              <w:bottom w:val="single" w:sz="4" w:space="0" w:color="000000"/>
              <w:right w:val="single" w:sz="4" w:space="0" w:color="000000"/>
            </w:tcBorders>
            <w:shd w:val="clear" w:color="auto" w:fill="auto"/>
            <w:vAlign w:val="center"/>
          </w:tcPr>
          <w:p w14:paraId="0D7DF88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80,7%</w:t>
            </w:r>
          </w:p>
        </w:tc>
      </w:tr>
      <w:tr w:rsidR="00A0251B" w:rsidRPr="00CC35F0" w14:paraId="3D664A1E"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C4AF49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32962E8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1,1   </w:t>
            </w:r>
          </w:p>
        </w:tc>
        <w:tc>
          <w:tcPr>
            <w:tcW w:w="936" w:type="dxa"/>
            <w:tcBorders>
              <w:top w:val="nil"/>
              <w:left w:val="nil"/>
              <w:bottom w:val="single" w:sz="4" w:space="0" w:color="000000"/>
              <w:right w:val="single" w:sz="4" w:space="0" w:color="000000"/>
            </w:tcBorders>
            <w:shd w:val="clear" w:color="auto" w:fill="auto"/>
            <w:vAlign w:val="center"/>
          </w:tcPr>
          <w:p w14:paraId="4682E90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36" w:type="dxa"/>
            <w:tcBorders>
              <w:top w:val="nil"/>
              <w:left w:val="nil"/>
              <w:bottom w:val="single" w:sz="4" w:space="0" w:color="000000"/>
              <w:right w:val="single" w:sz="4" w:space="0" w:color="000000"/>
            </w:tcBorders>
            <w:shd w:val="clear" w:color="auto" w:fill="auto"/>
            <w:vAlign w:val="center"/>
          </w:tcPr>
          <w:p w14:paraId="2733579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0,7   </w:t>
            </w:r>
          </w:p>
        </w:tc>
        <w:tc>
          <w:tcPr>
            <w:tcW w:w="936" w:type="dxa"/>
            <w:tcBorders>
              <w:top w:val="nil"/>
              <w:left w:val="nil"/>
              <w:bottom w:val="single" w:sz="4" w:space="0" w:color="000000"/>
              <w:right w:val="single" w:sz="4" w:space="0" w:color="000000"/>
            </w:tcBorders>
            <w:shd w:val="clear" w:color="auto" w:fill="auto"/>
            <w:vAlign w:val="center"/>
          </w:tcPr>
          <w:p w14:paraId="77B2FFD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0,6   </w:t>
            </w:r>
          </w:p>
        </w:tc>
        <w:tc>
          <w:tcPr>
            <w:tcW w:w="936" w:type="dxa"/>
            <w:tcBorders>
              <w:top w:val="nil"/>
              <w:left w:val="nil"/>
              <w:bottom w:val="single" w:sz="4" w:space="0" w:color="000000"/>
              <w:right w:val="single" w:sz="4" w:space="0" w:color="000000"/>
            </w:tcBorders>
            <w:shd w:val="clear" w:color="auto" w:fill="auto"/>
            <w:vAlign w:val="center"/>
          </w:tcPr>
          <w:p w14:paraId="290E7EE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0,5   </w:t>
            </w:r>
          </w:p>
        </w:tc>
        <w:tc>
          <w:tcPr>
            <w:tcW w:w="936" w:type="dxa"/>
            <w:tcBorders>
              <w:top w:val="nil"/>
              <w:left w:val="nil"/>
              <w:bottom w:val="single" w:sz="4" w:space="0" w:color="000000"/>
              <w:right w:val="nil"/>
            </w:tcBorders>
            <w:shd w:val="clear" w:color="auto" w:fill="auto"/>
            <w:vAlign w:val="center"/>
          </w:tcPr>
          <w:p w14:paraId="2C263D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206C7F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-34,8%</w:t>
            </w:r>
          </w:p>
        </w:tc>
        <w:tc>
          <w:tcPr>
            <w:tcW w:w="1243" w:type="dxa"/>
            <w:tcBorders>
              <w:top w:val="nil"/>
              <w:left w:val="nil"/>
              <w:bottom w:val="single" w:sz="4" w:space="0" w:color="000000"/>
              <w:right w:val="single" w:sz="4" w:space="0" w:color="000000"/>
            </w:tcBorders>
            <w:shd w:val="clear" w:color="auto" w:fill="auto"/>
            <w:vAlign w:val="center"/>
          </w:tcPr>
          <w:p w14:paraId="6931FA9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-59,5%</w:t>
            </w:r>
          </w:p>
        </w:tc>
      </w:tr>
      <w:tr w:rsidR="00A0251B" w:rsidRPr="00CC35F0" w14:paraId="6EAEEE01"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83638A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7327B9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56159F5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68E43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AC79F8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7403A7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4610A0A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6F01F4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21,3%</w:t>
            </w:r>
          </w:p>
        </w:tc>
        <w:tc>
          <w:tcPr>
            <w:tcW w:w="1243" w:type="dxa"/>
            <w:tcBorders>
              <w:top w:val="nil"/>
              <w:left w:val="nil"/>
              <w:bottom w:val="single" w:sz="4" w:space="0" w:color="000000"/>
              <w:right w:val="single" w:sz="4" w:space="0" w:color="000000"/>
            </w:tcBorders>
            <w:shd w:val="clear" w:color="auto" w:fill="auto"/>
            <w:vAlign w:val="center"/>
          </w:tcPr>
          <w:p w14:paraId="44EDB7B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-21,2%</w:t>
            </w:r>
          </w:p>
        </w:tc>
      </w:tr>
      <w:tr w:rsidR="00A0251B" w:rsidRPr="00CC35F0" w14:paraId="25890F39"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7ED917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K_Сточарство</w:t>
            </w:r>
          </w:p>
        </w:tc>
        <w:tc>
          <w:tcPr>
            <w:tcW w:w="936" w:type="dxa"/>
            <w:tcBorders>
              <w:top w:val="nil"/>
              <w:left w:val="nil"/>
              <w:bottom w:val="single" w:sz="4" w:space="0" w:color="000000"/>
              <w:right w:val="single" w:sz="4" w:space="0" w:color="000000"/>
            </w:tcBorders>
            <w:shd w:val="clear" w:color="auto" w:fill="auto"/>
            <w:vAlign w:val="center"/>
          </w:tcPr>
          <w:p w14:paraId="7FF2CB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22,1   </w:t>
            </w:r>
          </w:p>
        </w:tc>
        <w:tc>
          <w:tcPr>
            <w:tcW w:w="936" w:type="dxa"/>
            <w:tcBorders>
              <w:top w:val="nil"/>
              <w:left w:val="nil"/>
              <w:bottom w:val="single" w:sz="4" w:space="0" w:color="000000"/>
              <w:right w:val="single" w:sz="4" w:space="0" w:color="000000"/>
            </w:tcBorders>
            <w:shd w:val="clear" w:color="auto" w:fill="auto"/>
            <w:vAlign w:val="center"/>
          </w:tcPr>
          <w:p w14:paraId="20782FC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15,6   </w:t>
            </w:r>
          </w:p>
        </w:tc>
        <w:tc>
          <w:tcPr>
            <w:tcW w:w="936" w:type="dxa"/>
            <w:tcBorders>
              <w:top w:val="nil"/>
              <w:left w:val="nil"/>
              <w:bottom w:val="single" w:sz="4" w:space="0" w:color="000000"/>
              <w:right w:val="single" w:sz="4" w:space="0" w:color="000000"/>
            </w:tcBorders>
            <w:shd w:val="clear" w:color="auto" w:fill="auto"/>
            <w:vAlign w:val="center"/>
          </w:tcPr>
          <w:p w14:paraId="3DCD9E7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14,7   </w:t>
            </w:r>
          </w:p>
        </w:tc>
        <w:tc>
          <w:tcPr>
            <w:tcW w:w="936" w:type="dxa"/>
            <w:tcBorders>
              <w:top w:val="nil"/>
              <w:left w:val="nil"/>
              <w:bottom w:val="single" w:sz="4" w:space="0" w:color="000000"/>
              <w:right w:val="single" w:sz="4" w:space="0" w:color="000000"/>
            </w:tcBorders>
            <w:shd w:val="clear" w:color="auto" w:fill="auto"/>
            <w:vAlign w:val="center"/>
          </w:tcPr>
          <w:p w14:paraId="1445056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14,1   </w:t>
            </w:r>
          </w:p>
        </w:tc>
        <w:tc>
          <w:tcPr>
            <w:tcW w:w="936" w:type="dxa"/>
            <w:tcBorders>
              <w:top w:val="nil"/>
              <w:left w:val="nil"/>
              <w:bottom w:val="single" w:sz="4" w:space="0" w:color="000000"/>
              <w:right w:val="single" w:sz="4" w:space="0" w:color="000000"/>
            </w:tcBorders>
            <w:shd w:val="clear" w:color="auto" w:fill="auto"/>
            <w:vAlign w:val="center"/>
          </w:tcPr>
          <w:p w14:paraId="36ED603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13,4   </w:t>
            </w:r>
          </w:p>
        </w:tc>
        <w:tc>
          <w:tcPr>
            <w:tcW w:w="936" w:type="dxa"/>
            <w:tcBorders>
              <w:top w:val="nil"/>
              <w:left w:val="nil"/>
              <w:bottom w:val="single" w:sz="4" w:space="0" w:color="000000"/>
              <w:right w:val="nil"/>
            </w:tcBorders>
            <w:shd w:val="clear" w:color="auto" w:fill="auto"/>
            <w:vAlign w:val="center"/>
          </w:tcPr>
          <w:p w14:paraId="4B91EED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12,6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8853A9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-14,2%</w:t>
            </w:r>
          </w:p>
        </w:tc>
        <w:tc>
          <w:tcPr>
            <w:tcW w:w="1243" w:type="dxa"/>
            <w:tcBorders>
              <w:top w:val="nil"/>
              <w:left w:val="nil"/>
              <w:bottom w:val="single" w:sz="4" w:space="0" w:color="000000"/>
              <w:right w:val="single" w:sz="4" w:space="0" w:color="000000"/>
            </w:tcBorders>
            <w:shd w:val="clear" w:color="auto" w:fill="auto"/>
            <w:vAlign w:val="center"/>
          </w:tcPr>
          <w:p w14:paraId="6A24EC4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-39,4%</w:t>
            </w:r>
          </w:p>
        </w:tc>
      </w:tr>
      <w:tr w:rsidR="00A0251B" w:rsidRPr="00CC35F0" w14:paraId="54736B1D"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619D6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784F48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14AE990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7,6   </w:t>
            </w:r>
          </w:p>
        </w:tc>
        <w:tc>
          <w:tcPr>
            <w:tcW w:w="936" w:type="dxa"/>
            <w:tcBorders>
              <w:top w:val="nil"/>
              <w:left w:val="nil"/>
              <w:bottom w:val="single" w:sz="4" w:space="0" w:color="000000"/>
              <w:right w:val="single" w:sz="4" w:space="0" w:color="000000"/>
            </w:tcBorders>
            <w:shd w:val="clear" w:color="auto" w:fill="auto"/>
            <w:vAlign w:val="center"/>
          </w:tcPr>
          <w:p w14:paraId="09305F4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   </w:t>
            </w:r>
          </w:p>
        </w:tc>
        <w:tc>
          <w:tcPr>
            <w:tcW w:w="936" w:type="dxa"/>
            <w:tcBorders>
              <w:top w:val="nil"/>
              <w:left w:val="nil"/>
              <w:bottom w:val="single" w:sz="4" w:space="0" w:color="000000"/>
              <w:right w:val="single" w:sz="4" w:space="0" w:color="000000"/>
            </w:tcBorders>
            <w:shd w:val="clear" w:color="auto" w:fill="auto"/>
            <w:vAlign w:val="center"/>
          </w:tcPr>
          <w:p w14:paraId="1FC31A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5,4   </w:t>
            </w:r>
          </w:p>
        </w:tc>
        <w:tc>
          <w:tcPr>
            <w:tcW w:w="936" w:type="dxa"/>
            <w:tcBorders>
              <w:top w:val="nil"/>
              <w:left w:val="nil"/>
              <w:bottom w:val="single" w:sz="4" w:space="0" w:color="000000"/>
              <w:right w:val="single" w:sz="4" w:space="0" w:color="000000"/>
            </w:tcBorders>
            <w:shd w:val="clear" w:color="auto" w:fill="auto"/>
            <w:vAlign w:val="center"/>
          </w:tcPr>
          <w:p w14:paraId="1AE3456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   </w:t>
            </w:r>
          </w:p>
        </w:tc>
        <w:tc>
          <w:tcPr>
            <w:tcW w:w="936" w:type="dxa"/>
            <w:tcBorders>
              <w:top w:val="nil"/>
              <w:left w:val="nil"/>
              <w:bottom w:val="single" w:sz="4" w:space="0" w:color="000000"/>
              <w:right w:val="nil"/>
            </w:tcBorders>
            <w:shd w:val="clear" w:color="auto" w:fill="auto"/>
            <w:vAlign w:val="center"/>
          </w:tcPr>
          <w:p w14:paraId="1BEB33A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928507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-61,4%</w:t>
            </w:r>
          </w:p>
        </w:tc>
        <w:tc>
          <w:tcPr>
            <w:tcW w:w="1243" w:type="dxa"/>
            <w:tcBorders>
              <w:top w:val="nil"/>
              <w:left w:val="nil"/>
              <w:bottom w:val="single" w:sz="4" w:space="0" w:color="000000"/>
              <w:right w:val="single" w:sz="4" w:space="0" w:color="000000"/>
            </w:tcBorders>
            <w:shd w:val="clear" w:color="auto" w:fill="auto"/>
            <w:vAlign w:val="center"/>
          </w:tcPr>
          <w:p w14:paraId="0AA4198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-9,1%</w:t>
            </w:r>
          </w:p>
        </w:tc>
      </w:tr>
      <w:tr w:rsidR="00A0251B" w:rsidRPr="00CC35F0" w14:paraId="1E9E79E5"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AE11E0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594A2BB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147,8   </w:t>
            </w:r>
          </w:p>
        </w:tc>
        <w:tc>
          <w:tcPr>
            <w:tcW w:w="936" w:type="dxa"/>
            <w:tcBorders>
              <w:top w:val="nil"/>
              <w:left w:val="single" w:sz="4" w:space="0" w:color="000000"/>
              <w:bottom w:val="single" w:sz="4" w:space="0" w:color="000000"/>
              <w:right w:val="nil"/>
            </w:tcBorders>
            <w:shd w:val="clear" w:color="auto" w:fill="auto"/>
            <w:vAlign w:val="center"/>
          </w:tcPr>
          <w:p w14:paraId="0D7AF8D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131,7   </w:t>
            </w:r>
          </w:p>
        </w:tc>
        <w:tc>
          <w:tcPr>
            <w:tcW w:w="936" w:type="dxa"/>
            <w:tcBorders>
              <w:top w:val="nil"/>
              <w:left w:val="single" w:sz="4" w:space="0" w:color="000000"/>
              <w:bottom w:val="single" w:sz="4" w:space="0" w:color="000000"/>
              <w:right w:val="nil"/>
            </w:tcBorders>
            <w:shd w:val="clear" w:color="auto" w:fill="auto"/>
            <w:vAlign w:val="center"/>
          </w:tcPr>
          <w:p w14:paraId="41A9649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124,9   </w:t>
            </w:r>
          </w:p>
        </w:tc>
        <w:tc>
          <w:tcPr>
            <w:tcW w:w="936" w:type="dxa"/>
            <w:tcBorders>
              <w:top w:val="nil"/>
              <w:left w:val="single" w:sz="4" w:space="0" w:color="000000"/>
              <w:bottom w:val="single" w:sz="4" w:space="0" w:color="000000"/>
              <w:right w:val="nil"/>
            </w:tcBorders>
            <w:shd w:val="clear" w:color="auto" w:fill="auto"/>
            <w:vAlign w:val="center"/>
          </w:tcPr>
          <w:p w14:paraId="1A85B55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112,1   </w:t>
            </w:r>
          </w:p>
        </w:tc>
        <w:tc>
          <w:tcPr>
            <w:tcW w:w="936" w:type="dxa"/>
            <w:tcBorders>
              <w:top w:val="nil"/>
              <w:left w:val="single" w:sz="4" w:space="0" w:color="000000"/>
              <w:bottom w:val="single" w:sz="4" w:space="0" w:color="000000"/>
              <w:right w:val="nil"/>
            </w:tcBorders>
            <w:shd w:val="clear" w:color="auto" w:fill="auto"/>
            <w:vAlign w:val="center"/>
          </w:tcPr>
          <w:p w14:paraId="168A064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94,4   </w:t>
            </w:r>
          </w:p>
        </w:tc>
        <w:tc>
          <w:tcPr>
            <w:tcW w:w="936" w:type="dxa"/>
            <w:tcBorders>
              <w:top w:val="nil"/>
              <w:left w:val="single" w:sz="4" w:space="0" w:color="000000"/>
              <w:bottom w:val="single" w:sz="4" w:space="0" w:color="000000"/>
              <w:right w:val="nil"/>
            </w:tcBorders>
            <w:shd w:val="clear" w:color="auto" w:fill="auto"/>
            <w:vAlign w:val="center"/>
          </w:tcPr>
          <w:p w14:paraId="481F6C1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82,0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7882A530"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-28,3%</w:t>
            </w:r>
          </w:p>
        </w:tc>
        <w:tc>
          <w:tcPr>
            <w:tcW w:w="1243" w:type="dxa"/>
            <w:tcBorders>
              <w:top w:val="nil"/>
              <w:left w:val="nil"/>
              <w:bottom w:val="single" w:sz="4" w:space="0" w:color="000000"/>
              <w:right w:val="single" w:sz="4" w:space="0" w:color="000000"/>
            </w:tcBorders>
            <w:shd w:val="clear" w:color="auto" w:fill="auto"/>
            <w:vAlign w:val="center"/>
          </w:tcPr>
          <w:p w14:paraId="470825C9"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-36,2%</w:t>
            </w:r>
          </w:p>
        </w:tc>
      </w:tr>
    </w:tbl>
    <w:p w14:paraId="40B712EB"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p w14:paraId="4A5D9B36" w14:textId="77777777" w:rsidR="00A0251B" w:rsidRPr="00CC35F0" w:rsidRDefault="00A0251B">
      <w:pPr>
        <w:rPr>
          <w:rFonts w:ascii="Times New Roman" w:eastAsia="Times New Roman" w:hAnsi="Times New Roman"/>
          <w:sz w:val="24"/>
          <w:szCs w:val="24"/>
          <w:lang w:val="sr-Cyrl-CS"/>
        </w:rPr>
      </w:pPr>
    </w:p>
    <w:tbl>
      <w:tblPr>
        <w:tblStyle w:val="afffff9"/>
        <w:tblW w:w="10158" w:type="dxa"/>
        <w:tblLayout w:type="fixed"/>
        <w:tblLook w:val="0400" w:firstRow="0" w:lastRow="0" w:firstColumn="0" w:lastColumn="0" w:noHBand="0" w:noVBand="1"/>
      </w:tblPr>
      <w:tblGrid>
        <w:gridCol w:w="2056"/>
        <w:gridCol w:w="936"/>
        <w:gridCol w:w="936"/>
        <w:gridCol w:w="936"/>
        <w:gridCol w:w="936"/>
        <w:gridCol w:w="936"/>
        <w:gridCol w:w="936"/>
        <w:gridCol w:w="1243"/>
        <w:gridCol w:w="1243"/>
      </w:tblGrid>
      <w:tr w:rsidR="00A0251B" w:rsidRPr="00CC35F0" w14:paraId="796C35FB" w14:textId="77777777">
        <w:trPr>
          <w:trHeight w:val="250"/>
        </w:trPr>
        <w:tc>
          <w:tcPr>
            <w:tcW w:w="2056" w:type="dxa"/>
            <w:tcBorders>
              <w:top w:val="nil"/>
              <w:left w:val="nil"/>
              <w:bottom w:val="single" w:sz="4" w:space="0" w:color="000000"/>
              <w:right w:val="nil"/>
            </w:tcBorders>
            <w:shd w:val="clear" w:color="auto" w:fill="FFFFFF"/>
            <w:vAlign w:val="center"/>
          </w:tcPr>
          <w:p w14:paraId="0418384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NH</w:t>
            </w:r>
            <w:r w:rsidRPr="00CC35F0">
              <w:rPr>
                <w:rFonts w:ascii="Times New Roman" w:eastAsia="Times New Roman" w:hAnsi="Times New Roman"/>
                <w:b/>
                <w:sz w:val="24"/>
                <w:szCs w:val="24"/>
                <w:vertAlign w:val="subscript"/>
                <w:lang w:val="sr-Cyrl-CS"/>
              </w:rPr>
              <w:t>3</w:t>
            </w:r>
            <w:r w:rsidRPr="00CC35F0">
              <w:rPr>
                <w:rFonts w:ascii="Times New Roman" w:eastAsia="Times New Roman" w:hAnsi="Times New Roman"/>
                <w:b/>
                <w:sz w:val="24"/>
                <w:szCs w:val="24"/>
                <w:lang w:val="sr-Cyrl-CS"/>
              </w:rPr>
              <w:t xml:space="preserve"> емисије</w:t>
            </w:r>
          </w:p>
        </w:tc>
        <w:tc>
          <w:tcPr>
            <w:tcW w:w="936" w:type="dxa"/>
            <w:tcBorders>
              <w:top w:val="nil"/>
              <w:left w:val="nil"/>
              <w:bottom w:val="nil"/>
              <w:right w:val="nil"/>
            </w:tcBorders>
            <w:shd w:val="clear" w:color="auto" w:fill="FFFFFF"/>
            <w:vAlign w:val="center"/>
          </w:tcPr>
          <w:p w14:paraId="3034484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0C573A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1F2BFC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28B44E0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2821108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78392D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single" w:sz="4" w:space="0" w:color="000000"/>
              <w:right w:val="nil"/>
            </w:tcBorders>
            <w:shd w:val="clear" w:color="auto" w:fill="FFFFFF"/>
            <w:vAlign w:val="center"/>
          </w:tcPr>
          <w:p w14:paraId="2DA4F16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2BCD2E0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2099137F" w14:textId="77777777">
        <w:trPr>
          <w:trHeight w:val="360"/>
        </w:trPr>
        <w:tc>
          <w:tcPr>
            <w:tcW w:w="2056" w:type="dxa"/>
            <w:tcBorders>
              <w:top w:val="nil"/>
              <w:left w:val="single" w:sz="4" w:space="0" w:color="000000"/>
              <w:bottom w:val="nil"/>
              <w:right w:val="single" w:sz="4" w:space="0" w:color="000000"/>
            </w:tcBorders>
            <w:shd w:val="clear" w:color="auto" w:fill="DAEEF3"/>
            <w:vAlign w:val="center"/>
          </w:tcPr>
          <w:p w14:paraId="475FE428"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WEM </w:t>
            </w:r>
          </w:p>
        </w:tc>
        <w:tc>
          <w:tcPr>
            <w:tcW w:w="936" w:type="dxa"/>
            <w:tcBorders>
              <w:top w:val="single" w:sz="4" w:space="0" w:color="000000"/>
              <w:left w:val="nil"/>
              <w:bottom w:val="single" w:sz="4" w:space="0" w:color="000000"/>
              <w:right w:val="nil"/>
            </w:tcBorders>
            <w:shd w:val="clear" w:color="auto" w:fill="DAEEF3"/>
            <w:vAlign w:val="center"/>
          </w:tcPr>
          <w:p w14:paraId="44C0A3A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2D541930"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0E570B26"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3C5379E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6979AA7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single" w:sz="18" w:space="0" w:color="000000"/>
            </w:tcBorders>
            <w:shd w:val="clear" w:color="auto" w:fill="DAEEF3"/>
            <w:vAlign w:val="center"/>
          </w:tcPr>
          <w:p w14:paraId="7B8CFBC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8" w:space="0" w:color="000000"/>
              <w:bottom w:val="single" w:sz="4" w:space="0" w:color="000000"/>
              <w:right w:val="single" w:sz="4" w:space="0" w:color="000000"/>
            </w:tcBorders>
            <w:shd w:val="clear" w:color="auto" w:fill="DAEEF3"/>
            <w:vAlign w:val="center"/>
          </w:tcPr>
          <w:p w14:paraId="6AA4FB9B"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5655473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1E455D91"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DA9C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74B8264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57A1D8A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770124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01D6DF2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2B3C4D4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18" w:space="0" w:color="000000"/>
            </w:tcBorders>
            <w:shd w:val="clear" w:color="auto" w:fill="auto"/>
            <w:vAlign w:val="center"/>
          </w:tcPr>
          <w:p w14:paraId="436CD89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1BEBE4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4D9668F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63616AF8"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6233FF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715AD59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6,1   </w:t>
            </w:r>
          </w:p>
        </w:tc>
        <w:tc>
          <w:tcPr>
            <w:tcW w:w="936" w:type="dxa"/>
            <w:tcBorders>
              <w:top w:val="nil"/>
              <w:left w:val="nil"/>
              <w:bottom w:val="single" w:sz="4" w:space="0" w:color="000000"/>
              <w:right w:val="single" w:sz="4" w:space="0" w:color="000000"/>
            </w:tcBorders>
            <w:shd w:val="clear" w:color="auto" w:fill="auto"/>
            <w:vAlign w:val="center"/>
          </w:tcPr>
          <w:p w14:paraId="44C0749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   </w:t>
            </w:r>
          </w:p>
        </w:tc>
        <w:tc>
          <w:tcPr>
            <w:tcW w:w="936" w:type="dxa"/>
            <w:tcBorders>
              <w:top w:val="nil"/>
              <w:left w:val="nil"/>
              <w:bottom w:val="single" w:sz="4" w:space="0" w:color="000000"/>
              <w:right w:val="single" w:sz="4" w:space="0" w:color="000000"/>
            </w:tcBorders>
            <w:shd w:val="clear" w:color="auto" w:fill="auto"/>
            <w:vAlign w:val="center"/>
          </w:tcPr>
          <w:p w14:paraId="2645BF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5CCB2B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7961E8F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18" w:space="0" w:color="000000"/>
            </w:tcBorders>
            <w:shd w:val="clear" w:color="auto" w:fill="auto"/>
            <w:vAlign w:val="center"/>
          </w:tcPr>
          <w:p w14:paraId="3C32FD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B3348E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-89,4%</w:t>
            </w:r>
          </w:p>
        </w:tc>
        <w:tc>
          <w:tcPr>
            <w:tcW w:w="1243" w:type="dxa"/>
            <w:tcBorders>
              <w:top w:val="nil"/>
              <w:left w:val="nil"/>
              <w:bottom w:val="single" w:sz="4" w:space="0" w:color="000000"/>
              <w:right w:val="single" w:sz="4" w:space="0" w:color="000000"/>
            </w:tcBorders>
            <w:shd w:val="clear" w:color="auto" w:fill="auto"/>
            <w:vAlign w:val="center"/>
          </w:tcPr>
          <w:p w14:paraId="49808B0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-93,4%</w:t>
            </w:r>
          </w:p>
        </w:tc>
      </w:tr>
      <w:tr w:rsidR="00A0251B" w:rsidRPr="00CC35F0" w14:paraId="7C4073D0"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B51A27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75D3223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2,4   </w:t>
            </w:r>
          </w:p>
        </w:tc>
        <w:tc>
          <w:tcPr>
            <w:tcW w:w="936" w:type="dxa"/>
            <w:tcBorders>
              <w:top w:val="nil"/>
              <w:left w:val="nil"/>
              <w:bottom w:val="single" w:sz="4" w:space="0" w:color="000000"/>
              <w:right w:val="single" w:sz="4" w:space="0" w:color="000000"/>
            </w:tcBorders>
            <w:shd w:val="clear" w:color="auto" w:fill="auto"/>
            <w:vAlign w:val="center"/>
          </w:tcPr>
          <w:p w14:paraId="3FD4C0D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936" w:type="dxa"/>
            <w:tcBorders>
              <w:top w:val="nil"/>
              <w:left w:val="nil"/>
              <w:bottom w:val="single" w:sz="4" w:space="0" w:color="000000"/>
              <w:right w:val="single" w:sz="4" w:space="0" w:color="000000"/>
            </w:tcBorders>
            <w:shd w:val="clear" w:color="auto" w:fill="auto"/>
            <w:vAlign w:val="center"/>
          </w:tcPr>
          <w:p w14:paraId="5FF7EEA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4" w:space="0" w:color="000000"/>
            </w:tcBorders>
            <w:shd w:val="clear" w:color="auto" w:fill="auto"/>
            <w:vAlign w:val="center"/>
          </w:tcPr>
          <w:p w14:paraId="458C172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   </w:t>
            </w:r>
          </w:p>
        </w:tc>
        <w:tc>
          <w:tcPr>
            <w:tcW w:w="936" w:type="dxa"/>
            <w:tcBorders>
              <w:top w:val="nil"/>
              <w:left w:val="nil"/>
              <w:bottom w:val="single" w:sz="4" w:space="0" w:color="000000"/>
              <w:right w:val="single" w:sz="4" w:space="0" w:color="000000"/>
            </w:tcBorders>
            <w:shd w:val="clear" w:color="auto" w:fill="auto"/>
            <w:vAlign w:val="center"/>
          </w:tcPr>
          <w:p w14:paraId="2A60DE6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single" w:sz="18" w:space="0" w:color="000000"/>
            </w:tcBorders>
            <w:shd w:val="clear" w:color="auto" w:fill="auto"/>
            <w:vAlign w:val="center"/>
          </w:tcPr>
          <w:p w14:paraId="6140E7D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20AF57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w:t>
            </w:r>
          </w:p>
        </w:tc>
        <w:tc>
          <w:tcPr>
            <w:tcW w:w="1243" w:type="dxa"/>
            <w:tcBorders>
              <w:top w:val="nil"/>
              <w:left w:val="nil"/>
              <w:bottom w:val="single" w:sz="4" w:space="0" w:color="000000"/>
              <w:right w:val="single" w:sz="4" w:space="0" w:color="000000"/>
            </w:tcBorders>
            <w:shd w:val="clear" w:color="auto" w:fill="auto"/>
            <w:vAlign w:val="center"/>
          </w:tcPr>
          <w:p w14:paraId="49772E8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10,8%</w:t>
            </w:r>
          </w:p>
        </w:tc>
      </w:tr>
      <w:tr w:rsidR="00A0251B" w:rsidRPr="00CC35F0" w14:paraId="5F15669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FA7E80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777E0D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9D3B66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A094C9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1CBCE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2C518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7E4E47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C21AA3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8,6%</w:t>
            </w:r>
          </w:p>
        </w:tc>
        <w:tc>
          <w:tcPr>
            <w:tcW w:w="1243" w:type="dxa"/>
            <w:tcBorders>
              <w:top w:val="nil"/>
              <w:left w:val="nil"/>
              <w:bottom w:val="single" w:sz="4" w:space="0" w:color="000000"/>
              <w:right w:val="single" w:sz="4" w:space="0" w:color="000000"/>
            </w:tcBorders>
            <w:shd w:val="clear" w:color="auto" w:fill="auto"/>
            <w:vAlign w:val="center"/>
          </w:tcPr>
          <w:p w14:paraId="528BFA7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-70,5%</w:t>
            </w:r>
          </w:p>
        </w:tc>
      </w:tr>
      <w:tr w:rsidR="00A0251B" w:rsidRPr="00CC35F0" w14:paraId="5AA402C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30CF51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3323251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66536E0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29B0C7A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7DE7311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29535C1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18" w:space="0" w:color="000000"/>
            </w:tcBorders>
            <w:shd w:val="clear" w:color="auto" w:fill="auto"/>
            <w:vAlign w:val="center"/>
          </w:tcPr>
          <w:p w14:paraId="7E01515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39A9F7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20,7%</w:t>
            </w:r>
          </w:p>
        </w:tc>
        <w:tc>
          <w:tcPr>
            <w:tcW w:w="1243" w:type="dxa"/>
            <w:tcBorders>
              <w:top w:val="nil"/>
              <w:left w:val="nil"/>
              <w:bottom w:val="single" w:sz="4" w:space="0" w:color="000000"/>
              <w:right w:val="single" w:sz="4" w:space="0" w:color="000000"/>
            </w:tcBorders>
            <w:shd w:val="clear" w:color="auto" w:fill="auto"/>
            <w:vAlign w:val="center"/>
          </w:tcPr>
          <w:p w14:paraId="2DE58EC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128,9%</w:t>
            </w:r>
          </w:p>
        </w:tc>
      </w:tr>
      <w:tr w:rsidR="00A0251B" w:rsidRPr="00CC35F0" w14:paraId="443E93A6" w14:textId="77777777">
        <w:trPr>
          <w:trHeight w:val="29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10B37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065E08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60778F9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65CBEC2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5B2F16F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388FEA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18" w:space="0" w:color="000000"/>
            </w:tcBorders>
            <w:shd w:val="clear" w:color="auto" w:fill="auto"/>
            <w:vAlign w:val="center"/>
          </w:tcPr>
          <w:p w14:paraId="042AC1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74DE60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-30,8%</w:t>
            </w:r>
          </w:p>
        </w:tc>
        <w:tc>
          <w:tcPr>
            <w:tcW w:w="1243" w:type="dxa"/>
            <w:tcBorders>
              <w:top w:val="nil"/>
              <w:left w:val="nil"/>
              <w:bottom w:val="single" w:sz="4" w:space="0" w:color="000000"/>
              <w:right w:val="single" w:sz="4" w:space="0" w:color="000000"/>
            </w:tcBorders>
            <w:shd w:val="clear" w:color="auto" w:fill="auto"/>
            <w:vAlign w:val="center"/>
          </w:tcPr>
          <w:p w14:paraId="027E599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13,3%</w:t>
            </w:r>
          </w:p>
        </w:tc>
      </w:tr>
      <w:tr w:rsidR="00A0251B" w:rsidRPr="00CC35F0" w14:paraId="3E4AEAC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FB312D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03E669D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9765B1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0C91EF0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558BBF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6D452B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18" w:space="0" w:color="000000"/>
            </w:tcBorders>
            <w:shd w:val="clear" w:color="auto" w:fill="auto"/>
            <w:vAlign w:val="center"/>
          </w:tcPr>
          <w:p w14:paraId="119F33A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38CBBA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6906A092"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4AEC807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B1D1FF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0761355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748B4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7B53E19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5C033B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030D591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18" w:space="0" w:color="000000"/>
            </w:tcBorders>
            <w:shd w:val="clear" w:color="auto" w:fill="auto"/>
            <w:vAlign w:val="center"/>
          </w:tcPr>
          <w:p w14:paraId="3220844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48064D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6CA9D8BB"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2B017FFE" w14:textId="77777777">
        <w:trPr>
          <w:trHeight w:val="310"/>
        </w:trPr>
        <w:tc>
          <w:tcPr>
            <w:tcW w:w="2056" w:type="dxa"/>
            <w:tcBorders>
              <w:top w:val="nil"/>
              <w:left w:val="single" w:sz="4" w:space="0" w:color="000000"/>
              <w:bottom w:val="single" w:sz="4" w:space="0" w:color="000000"/>
              <w:right w:val="single" w:sz="4" w:space="0" w:color="000000"/>
            </w:tcBorders>
            <w:shd w:val="clear" w:color="auto" w:fill="auto"/>
            <w:vAlign w:val="center"/>
          </w:tcPr>
          <w:p w14:paraId="6E08F28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684CFFB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CFA94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41FD2D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33E90C2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E84F46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1DA146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F22F43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c>
          <w:tcPr>
            <w:tcW w:w="1243" w:type="dxa"/>
            <w:tcBorders>
              <w:top w:val="nil"/>
              <w:left w:val="nil"/>
              <w:bottom w:val="single" w:sz="4" w:space="0" w:color="000000"/>
              <w:right w:val="single" w:sz="4" w:space="0" w:color="000000"/>
            </w:tcBorders>
            <w:shd w:val="clear" w:color="auto" w:fill="auto"/>
            <w:vAlign w:val="center"/>
          </w:tcPr>
          <w:p w14:paraId="0B00712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-35,5%</w:t>
            </w:r>
          </w:p>
        </w:tc>
      </w:tr>
      <w:tr w:rsidR="00A0251B" w:rsidRPr="00CC35F0" w14:paraId="382A227E"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3980E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2B64216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6,3   </w:t>
            </w:r>
          </w:p>
        </w:tc>
        <w:tc>
          <w:tcPr>
            <w:tcW w:w="936" w:type="dxa"/>
            <w:tcBorders>
              <w:top w:val="nil"/>
              <w:left w:val="nil"/>
              <w:bottom w:val="single" w:sz="4" w:space="0" w:color="000000"/>
              <w:right w:val="single" w:sz="4" w:space="0" w:color="000000"/>
            </w:tcBorders>
            <w:shd w:val="clear" w:color="auto" w:fill="auto"/>
            <w:vAlign w:val="center"/>
          </w:tcPr>
          <w:p w14:paraId="3B620C1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36" w:type="dxa"/>
            <w:tcBorders>
              <w:top w:val="nil"/>
              <w:left w:val="nil"/>
              <w:bottom w:val="single" w:sz="4" w:space="0" w:color="000000"/>
              <w:right w:val="single" w:sz="4" w:space="0" w:color="000000"/>
            </w:tcBorders>
            <w:shd w:val="clear" w:color="auto" w:fill="auto"/>
            <w:vAlign w:val="center"/>
          </w:tcPr>
          <w:p w14:paraId="3B77880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3,9   </w:t>
            </w:r>
          </w:p>
        </w:tc>
        <w:tc>
          <w:tcPr>
            <w:tcW w:w="936" w:type="dxa"/>
            <w:tcBorders>
              <w:top w:val="nil"/>
              <w:left w:val="nil"/>
              <w:bottom w:val="single" w:sz="4" w:space="0" w:color="000000"/>
              <w:right w:val="single" w:sz="4" w:space="0" w:color="000000"/>
            </w:tcBorders>
            <w:shd w:val="clear" w:color="auto" w:fill="auto"/>
            <w:vAlign w:val="center"/>
          </w:tcPr>
          <w:p w14:paraId="73A9758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470F0D8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18" w:space="0" w:color="000000"/>
            </w:tcBorders>
            <w:shd w:val="clear" w:color="auto" w:fill="auto"/>
            <w:vAlign w:val="center"/>
          </w:tcPr>
          <w:p w14:paraId="2787623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FD0A8B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-40,4%</w:t>
            </w:r>
          </w:p>
        </w:tc>
        <w:tc>
          <w:tcPr>
            <w:tcW w:w="1243" w:type="dxa"/>
            <w:tcBorders>
              <w:top w:val="nil"/>
              <w:left w:val="nil"/>
              <w:bottom w:val="single" w:sz="4" w:space="0" w:color="000000"/>
              <w:right w:val="single" w:sz="4" w:space="0" w:color="000000"/>
            </w:tcBorders>
            <w:shd w:val="clear" w:color="auto" w:fill="auto"/>
            <w:vAlign w:val="center"/>
          </w:tcPr>
          <w:p w14:paraId="52E50CD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-55,9%</w:t>
            </w:r>
          </w:p>
        </w:tc>
      </w:tr>
      <w:tr w:rsidR="00A0251B" w:rsidRPr="00CC35F0" w14:paraId="2D6265CD"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37A10D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3CE401F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79,5   </w:t>
            </w:r>
          </w:p>
        </w:tc>
        <w:tc>
          <w:tcPr>
            <w:tcW w:w="936" w:type="dxa"/>
            <w:tcBorders>
              <w:top w:val="nil"/>
              <w:left w:val="nil"/>
              <w:bottom w:val="single" w:sz="4" w:space="0" w:color="000000"/>
              <w:right w:val="single" w:sz="4" w:space="0" w:color="000000"/>
            </w:tcBorders>
            <w:shd w:val="clear" w:color="auto" w:fill="auto"/>
            <w:vAlign w:val="center"/>
          </w:tcPr>
          <w:p w14:paraId="122CF52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33,7   </w:t>
            </w:r>
          </w:p>
        </w:tc>
        <w:tc>
          <w:tcPr>
            <w:tcW w:w="936" w:type="dxa"/>
            <w:tcBorders>
              <w:top w:val="nil"/>
              <w:left w:val="nil"/>
              <w:bottom w:val="single" w:sz="4" w:space="0" w:color="000000"/>
              <w:right w:val="single" w:sz="4" w:space="0" w:color="000000"/>
            </w:tcBorders>
            <w:shd w:val="clear" w:color="auto" w:fill="auto"/>
            <w:vAlign w:val="center"/>
          </w:tcPr>
          <w:p w14:paraId="61C542B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32,4   </w:t>
            </w:r>
          </w:p>
        </w:tc>
        <w:tc>
          <w:tcPr>
            <w:tcW w:w="936" w:type="dxa"/>
            <w:tcBorders>
              <w:top w:val="nil"/>
              <w:left w:val="nil"/>
              <w:bottom w:val="single" w:sz="4" w:space="0" w:color="000000"/>
              <w:right w:val="single" w:sz="4" w:space="0" w:color="000000"/>
            </w:tcBorders>
            <w:shd w:val="clear" w:color="auto" w:fill="auto"/>
            <w:vAlign w:val="center"/>
          </w:tcPr>
          <w:p w14:paraId="679C474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31,4   </w:t>
            </w:r>
          </w:p>
        </w:tc>
        <w:tc>
          <w:tcPr>
            <w:tcW w:w="936" w:type="dxa"/>
            <w:tcBorders>
              <w:top w:val="nil"/>
              <w:left w:val="nil"/>
              <w:bottom w:val="single" w:sz="4" w:space="0" w:color="000000"/>
              <w:right w:val="single" w:sz="4" w:space="0" w:color="000000"/>
            </w:tcBorders>
            <w:shd w:val="clear" w:color="auto" w:fill="auto"/>
            <w:vAlign w:val="center"/>
          </w:tcPr>
          <w:p w14:paraId="7166895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30,7   </w:t>
            </w:r>
          </w:p>
        </w:tc>
        <w:tc>
          <w:tcPr>
            <w:tcW w:w="936" w:type="dxa"/>
            <w:tcBorders>
              <w:top w:val="nil"/>
              <w:left w:val="nil"/>
              <w:bottom w:val="single" w:sz="4" w:space="0" w:color="000000"/>
              <w:right w:val="single" w:sz="18" w:space="0" w:color="000000"/>
            </w:tcBorders>
            <w:shd w:val="clear" w:color="auto" w:fill="auto"/>
            <w:vAlign w:val="center"/>
          </w:tcPr>
          <w:p w14:paraId="05AFAAB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29,4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F342B4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-8,9%</w:t>
            </w:r>
          </w:p>
        </w:tc>
        <w:tc>
          <w:tcPr>
            <w:tcW w:w="1243" w:type="dxa"/>
            <w:tcBorders>
              <w:top w:val="nil"/>
              <w:left w:val="nil"/>
              <w:bottom w:val="single" w:sz="4" w:space="0" w:color="000000"/>
              <w:right w:val="single" w:sz="4" w:space="0" w:color="000000"/>
            </w:tcBorders>
            <w:shd w:val="clear" w:color="auto" w:fill="auto"/>
            <w:vAlign w:val="center"/>
          </w:tcPr>
          <w:p w14:paraId="4F6D40F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-61,4%</w:t>
            </w:r>
          </w:p>
        </w:tc>
      </w:tr>
      <w:tr w:rsidR="00A0251B" w:rsidRPr="00CC35F0" w14:paraId="1A99AE1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2E83F0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12C74D1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13,0   </w:t>
            </w:r>
          </w:p>
        </w:tc>
        <w:tc>
          <w:tcPr>
            <w:tcW w:w="936" w:type="dxa"/>
            <w:tcBorders>
              <w:top w:val="nil"/>
              <w:left w:val="nil"/>
              <w:bottom w:val="single" w:sz="4" w:space="0" w:color="000000"/>
              <w:right w:val="single" w:sz="4" w:space="0" w:color="000000"/>
            </w:tcBorders>
            <w:shd w:val="clear" w:color="auto" w:fill="auto"/>
            <w:vAlign w:val="center"/>
          </w:tcPr>
          <w:p w14:paraId="02E5E2E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38,6   </w:t>
            </w:r>
          </w:p>
        </w:tc>
        <w:tc>
          <w:tcPr>
            <w:tcW w:w="936" w:type="dxa"/>
            <w:tcBorders>
              <w:top w:val="nil"/>
              <w:left w:val="nil"/>
              <w:bottom w:val="single" w:sz="4" w:space="0" w:color="000000"/>
              <w:right w:val="single" w:sz="4" w:space="0" w:color="000000"/>
            </w:tcBorders>
            <w:shd w:val="clear" w:color="auto" w:fill="auto"/>
            <w:vAlign w:val="center"/>
          </w:tcPr>
          <w:p w14:paraId="483F309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41,3   </w:t>
            </w:r>
          </w:p>
        </w:tc>
        <w:tc>
          <w:tcPr>
            <w:tcW w:w="936" w:type="dxa"/>
            <w:tcBorders>
              <w:top w:val="nil"/>
              <w:left w:val="nil"/>
              <w:bottom w:val="single" w:sz="4" w:space="0" w:color="000000"/>
              <w:right w:val="single" w:sz="4" w:space="0" w:color="000000"/>
            </w:tcBorders>
            <w:shd w:val="clear" w:color="auto" w:fill="auto"/>
            <w:vAlign w:val="center"/>
          </w:tcPr>
          <w:p w14:paraId="3B387E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40,3   </w:t>
            </w:r>
          </w:p>
        </w:tc>
        <w:tc>
          <w:tcPr>
            <w:tcW w:w="936" w:type="dxa"/>
            <w:tcBorders>
              <w:top w:val="nil"/>
              <w:left w:val="nil"/>
              <w:bottom w:val="single" w:sz="4" w:space="0" w:color="000000"/>
              <w:right w:val="single" w:sz="4" w:space="0" w:color="000000"/>
            </w:tcBorders>
            <w:shd w:val="clear" w:color="auto" w:fill="auto"/>
            <w:vAlign w:val="center"/>
          </w:tcPr>
          <w:p w14:paraId="016C37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42,5   </w:t>
            </w:r>
          </w:p>
        </w:tc>
        <w:tc>
          <w:tcPr>
            <w:tcW w:w="936" w:type="dxa"/>
            <w:tcBorders>
              <w:top w:val="nil"/>
              <w:left w:val="nil"/>
              <w:bottom w:val="single" w:sz="4" w:space="0" w:color="000000"/>
              <w:right w:val="single" w:sz="18" w:space="0" w:color="000000"/>
            </w:tcBorders>
            <w:shd w:val="clear" w:color="auto" w:fill="auto"/>
            <w:vAlign w:val="center"/>
          </w:tcPr>
          <w:p w14:paraId="2F964A8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41,2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3B6DEC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10,1%</w:t>
            </w:r>
          </w:p>
        </w:tc>
        <w:tc>
          <w:tcPr>
            <w:tcW w:w="1243" w:type="dxa"/>
            <w:tcBorders>
              <w:top w:val="nil"/>
              <w:left w:val="nil"/>
              <w:bottom w:val="single" w:sz="4" w:space="0" w:color="000000"/>
              <w:right w:val="single" w:sz="4" w:space="0" w:color="000000"/>
            </w:tcBorders>
            <w:shd w:val="clear" w:color="auto" w:fill="auto"/>
            <w:vAlign w:val="center"/>
          </w:tcPr>
          <w:p w14:paraId="098DA90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227,6%</w:t>
            </w:r>
          </w:p>
        </w:tc>
      </w:tr>
      <w:tr w:rsidR="00A0251B" w:rsidRPr="00CC35F0" w14:paraId="4B9827B7"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4B7BFC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6845A95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107,5   </w:t>
            </w:r>
          </w:p>
        </w:tc>
        <w:tc>
          <w:tcPr>
            <w:tcW w:w="936" w:type="dxa"/>
            <w:tcBorders>
              <w:top w:val="nil"/>
              <w:left w:val="single" w:sz="4" w:space="0" w:color="000000"/>
              <w:bottom w:val="single" w:sz="4" w:space="0" w:color="000000"/>
              <w:right w:val="nil"/>
            </w:tcBorders>
            <w:shd w:val="clear" w:color="auto" w:fill="auto"/>
            <w:vAlign w:val="center"/>
          </w:tcPr>
          <w:p w14:paraId="537F82C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83,8   </w:t>
            </w:r>
          </w:p>
        </w:tc>
        <w:tc>
          <w:tcPr>
            <w:tcW w:w="936" w:type="dxa"/>
            <w:tcBorders>
              <w:top w:val="nil"/>
              <w:left w:val="single" w:sz="4" w:space="0" w:color="000000"/>
              <w:bottom w:val="single" w:sz="4" w:space="0" w:color="000000"/>
              <w:right w:val="nil"/>
            </w:tcBorders>
            <w:shd w:val="clear" w:color="auto" w:fill="auto"/>
            <w:vAlign w:val="center"/>
          </w:tcPr>
          <w:p w14:paraId="5DCA008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84,3   </w:t>
            </w:r>
          </w:p>
        </w:tc>
        <w:tc>
          <w:tcPr>
            <w:tcW w:w="936" w:type="dxa"/>
            <w:tcBorders>
              <w:top w:val="nil"/>
              <w:left w:val="single" w:sz="4" w:space="0" w:color="000000"/>
              <w:bottom w:val="single" w:sz="4" w:space="0" w:color="000000"/>
              <w:right w:val="nil"/>
            </w:tcBorders>
            <w:shd w:val="clear" w:color="auto" w:fill="auto"/>
            <w:vAlign w:val="center"/>
          </w:tcPr>
          <w:p w14:paraId="2983709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78,6   </w:t>
            </w:r>
          </w:p>
        </w:tc>
        <w:tc>
          <w:tcPr>
            <w:tcW w:w="936" w:type="dxa"/>
            <w:tcBorders>
              <w:top w:val="nil"/>
              <w:left w:val="single" w:sz="4" w:space="0" w:color="000000"/>
              <w:bottom w:val="single" w:sz="4" w:space="0" w:color="000000"/>
              <w:right w:val="nil"/>
            </w:tcBorders>
            <w:shd w:val="clear" w:color="auto" w:fill="auto"/>
            <w:vAlign w:val="center"/>
          </w:tcPr>
          <w:p w14:paraId="3283557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79,4   </w:t>
            </w:r>
          </w:p>
        </w:tc>
        <w:tc>
          <w:tcPr>
            <w:tcW w:w="936" w:type="dxa"/>
            <w:tcBorders>
              <w:top w:val="nil"/>
              <w:left w:val="single" w:sz="4" w:space="0" w:color="000000"/>
              <w:bottom w:val="single" w:sz="4" w:space="0" w:color="000000"/>
              <w:right w:val="single" w:sz="18" w:space="0" w:color="000000"/>
            </w:tcBorders>
            <w:shd w:val="clear" w:color="auto" w:fill="auto"/>
            <w:vAlign w:val="center"/>
          </w:tcPr>
          <w:p w14:paraId="7373167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76,3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132AC34"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-5,2%</w:t>
            </w:r>
          </w:p>
        </w:tc>
        <w:tc>
          <w:tcPr>
            <w:tcW w:w="1243" w:type="dxa"/>
            <w:tcBorders>
              <w:top w:val="nil"/>
              <w:left w:val="nil"/>
              <w:bottom w:val="single" w:sz="4" w:space="0" w:color="000000"/>
              <w:right w:val="single" w:sz="4" w:space="0" w:color="000000"/>
            </w:tcBorders>
            <w:shd w:val="clear" w:color="auto" w:fill="auto"/>
            <w:vAlign w:val="center"/>
          </w:tcPr>
          <w:p w14:paraId="300504DC"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-26,1%</w:t>
            </w:r>
          </w:p>
        </w:tc>
      </w:tr>
      <w:tr w:rsidR="00A0251B" w:rsidRPr="00CC35F0" w14:paraId="51A9955A" w14:textId="77777777">
        <w:trPr>
          <w:trHeight w:val="260"/>
        </w:trPr>
        <w:tc>
          <w:tcPr>
            <w:tcW w:w="2056" w:type="dxa"/>
            <w:tcBorders>
              <w:top w:val="nil"/>
              <w:left w:val="nil"/>
              <w:bottom w:val="nil"/>
              <w:right w:val="nil"/>
            </w:tcBorders>
            <w:shd w:val="clear" w:color="auto" w:fill="auto"/>
            <w:vAlign w:val="center"/>
          </w:tcPr>
          <w:p w14:paraId="27386F60" w14:textId="77777777" w:rsidR="00A0251B" w:rsidRPr="00CC35F0" w:rsidRDefault="00A0251B">
            <w:pPr>
              <w:spacing w:after="0" w:line="240" w:lineRule="auto"/>
              <w:jc w:val="right"/>
              <w:rPr>
                <w:rFonts w:ascii="Times New Roman" w:eastAsia="Times New Roman" w:hAnsi="Times New Roman"/>
                <w:b/>
                <w:sz w:val="24"/>
                <w:szCs w:val="24"/>
                <w:lang w:val="sr-Cyrl-CS"/>
              </w:rPr>
            </w:pPr>
          </w:p>
        </w:tc>
        <w:tc>
          <w:tcPr>
            <w:tcW w:w="936" w:type="dxa"/>
            <w:tcBorders>
              <w:top w:val="nil"/>
              <w:left w:val="nil"/>
              <w:bottom w:val="nil"/>
              <w:right w:val="nil"/>
            </w:tcBorders>
            <w:shd w:val="clear" w:color="auto" w:fill="FFFFFF"/>
            <w:vAlign w:val="center"/>
          </w:tcPr>
          <w:p w14:paraId="3B156BD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FD64F1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BA55CE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1EAF10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D2E4A5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3E7353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27F2372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1239E24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617627F5" w14:textId="77777777">
        <w:trPr>
          <w:trHeight w:val="300"/>
        </w:trPr>
        <w:tc>
          <w:tcPr>
            <w:tcW w:w="2056" w:type="dxa"/>
            <w:tcBorders>
              <w:top w:val="nil"/>
              <w:left w:val="nil"/>
              <w:bottom w:val="single" w:sz="4" w:space="0" w:color="000000"/>
              <w:right w:val="nil"/>
            </w:tcBorders>
            <w:shd w:val="clear" w:color="auto" w:fill="FFFFFF"/>
            <w:vAlign w:val="center"/>
          </w:tcPr>
          <w:p w14:paraId="71D3914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NH</w:t>
            </w:r>
            <w:r w:rsidRPr="00CC35F0">
              <w:rPr>
                <w:rFonts w:ascii="Times New Roman" w:eastAsia="Times New Roman" w:hAnsi="Times New Roman"/>
                <w:sz w:val="24"/>
                <w:szCs w:val="24"/>
                <w:vertAlign w:val="subscript"/>
                <w:lang w:val="sr-Cyrl-CS"/>
              </w:rPr>
              <w:t>3</w:t>
            </w:r>
          </w:p>
        </w:tc>
        <w:tc>
          <w:tcPr>
            <w:tcW w:w="936" w:type="dxa"/>
            <w:tcBorders>
              <w:top w:val="nil"/>
              <w:left w:val="nil"/>
              <w:bottom w:val="nil"/>
              <w:right w:val="nil"/>
            </w:tcBorders>
            <w:shd w:val="clear" w:color="auto" w:fill="FFFFFF"/>
            <w:vAlign w:val="center"/>
          </w:tcPr>
          <w:p w14:paraId="5C7A67F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5EF2D6F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252E1E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755F3F4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620AC30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936" w:type="dxa"/>
            <w:tcBorders>
              <w:top w:val="nil"/>
              <w:left w:val="nil"/>
              <w:bottom w:val="nil"/>
              <w:right w:val="nil"/>
            </w:tcBorders>
            <w:shd w:val="clear" w:color="auto" w:fill="FFFFFF"/>
            <w:vAlign w:val="center"/>
          </w:tcPr>
          <w:p w14:paraId="51E9E8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tcBorders>
              <w:top w:val="nil"/>
              <w:left w:val="nil"/>
              <w:bottom w:val="single" w:sz="4" w:space="0" w:color="000000"/>
              <w:right w:val="nil"/>
            </w:tcBorders>
            <w:shd w:val="clear" w:color="auto" w:fill="FFFFFF"/>
            <w:vAlign w:val="center"/>
          </w:tcPr>
          <w:p w14:paraId="1589260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c>
          <w:tcPr>
            <w:tcW w:w="1243" w:type="dxa"/>
            <w:tcBorders>
              <w:top w:val="nil"/>
              <w:left w:val="nil"/>
              <w:bottom w:val="nil"/>
              <w:right w:val="nil"/>
            </w:tcBorders>
            <w:shd w:val="clear" w:color="auto" w:fill="FFFFFF"/>
            <w:vAlign w:val="center"/>
          </w:tcPr>
          <w:p w14:paraId="4983D4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w:t>
            </w:r>
          </w:p>
        </w:tc>
      </w:tr>
      <w:tr w:rsidR="00A0251B" w:rsidRPr="00CC35F0" w14:paraId="08AB694B" w14:textId="77777777">
        <w:trPr>
          <w:trHeight w:val="270"/>
        </w:trPr>
        <w:tc>
          <w:tcPr>
            <w:tcW w:w="2056" w:type="dxa"/>
            <w:tcBorders>
              <w:top w:val="nil"/>
              <w:left w:val="single" w:sz="4" w:space="0" w:color="000000"/>
              <w:bottom w:val="nil"/>
              <w:right w:val="single" w:sz="4" w:space="0" w:color="000000"/>
            </w:tcBorders>
            <w:shd w:val="clear" w:color="auto" w:fill="DAEEF3"/>
            <w:vAlign w:val="center"/>
          </w:tcPr>
          <w:p w14:paraId="0CE7C2B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WAM_A </w:t>
            </w:r>
          </w:p>
        </w:tc>
        <w:tc>
          <w:tcPr>
            <w:tcW w:w="936" w:type="dxa"/>
            <w:tcBorders>
              <w:top w:val="single" w:sz="4" w:space="0" w:color="000000"/>
              <w:left w:val="nil"/>
              <w:bottom w:val="single" w:sz="4" w:space="0" w:color="000000"/>
              <w:right w:val="nil"/>
            </w:tcBorders>
            <w:shd w:val="clear" w:color="auto" w:fill="DAEEF3"/>
            <w:vAlign w:val="center"/>
          </w:tcPr>
          <w:p w14:paraId="3226933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0CEB8F6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43E9797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6EE5F7F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0767875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single" w:sz="18" w:space="0" w:color="000000"/>
            </w:tcBorders>
            <w:shd w:val="clear" w:color="auto" w:fill="DAEEF3"/>
            <w:vAlign w:val="center"/>
          </w:tcPr>
          <w:p w14:paraId="29C0EEB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8" w:space="0" w:color="000000"/>
              <w:bottom w:val="single" w:sz="4" w:space="0" w:color="000000"/>
              <w:right w:val="single" w:sz="4" w:space="0" w:color="000000"/>
            </w:tcBorders>
            <w:shd w:val="clear" w:color="auto" w:fill="DAEEF3"/>
            <w:vAlign w:val="center"/>
          </w:tcPr>
          <w:p w14:paraId="699222CA"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264D9074"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6508FBF1"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F309B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30C9409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3BF01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41AE0F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4D9FDE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092F1C3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18" w:space="0" w:color="000000"/>
            </w:tcBorders>
            <w:shd w:val="clear" w:color="auto" w:fill="auto"/>
            <w:vAlign w:val="center"/>
          </w:tcPr>
          <w:p w14:paraId="6F5B5E9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F48F8E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4D80E61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7B697477"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4B62DB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7C054F5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6,1   </w:t>
            </w:r>
          </w:p>
        </w:tc>
        <w:tc>
          <w:tcPr>
            <w:tcW w:w="936" w:type="dxa"/>
            <w:tcBorders>
              <w:top w:val="nil"/>
              <w:left w:val="nil"/>
              <w:bottom w:val="single" w:sz="4" w:space="0" w:color="000000"/>
              <w:right w:val="single" w:sz="4" w:space="0" w:color="000000"/>
            </w:tcBorders>
            <w:shd w:val="clear" w:color="auto" w:fill="auto"/>
            <w:vAlign w:val="center"/>
          </w:tcPr>
          <w:p w14:paraId="72C10EA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   </w:t>
            </w:r>
          </w:p>
        </w:tc>
        <w:tc>
          <w:tcPr>
            <w:tcW w:w="936" w:type="dxa"/>
            <w:tcBorders>
              <w:top w:val="nil"/>
              <w:left w:val="nil"/>
              <w:bottom w:val="single" w:sz="4" w:space="0" w:color="000000"/>
              <w:right w:val="single" w:sz="4" w:space="0" w:color="000000"/>
            </w:tcBorders>
            <w:shd w:val="clear" w:color="auto" w:fill="auto"/>
            <w:vAlign w:val="center"/>
          </w:tcPr>
          <w:p w14:paraId="735CCF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4A91347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3F95D64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18" w:space="0" w:color="000000"/>
            </w:tcBorders>
            <w:shd w:val="clear" w:color="auto" w:fill="auto"/>
            <w:vAlign w:val="center"/>
          </w:tcPr>
          <w:p w14:paraId="7249311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7CEDF38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-89,6%</w:t>
            </w:r>
          </w:p>
        </w:tc>
        <w:tc>
          <w:tcPr>
            <w:tcW w:w="1243" w:type="dxa"/>
            <w:tcBorders>
              <w:top w:val="nil"/>
              <w:left w:val="nil"/>
              <w:bottom w:val="single" w:sz="4" w:space="0" w:color="000000"/>
              <w:right w:val="single" w:sz="4" w:space="0" w:color="000000"/>
            </w:tcBorders>
            <w:shd w:val="clear" w:color="auto" w:fill="auto"/>
            <w:vAlign w:val="center"/>
          </w:tcPr>
          <w:p w14:paraId="4FA4AC0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-93,5%</w:t>
            </w:r>
          </w:p>
        </w:tc>
      </w:tr>
      <w:tr w:rsidR="00A0251B" w:rsidRPr="00CC35F0" w14:paraId="08494F48"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7A6023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56AF39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2,4   </w:t>
            </w:r>
          </w:p>
        </w:tc>
        <w:tc>
          <w:tcPr>
            <w:tcW w:w="936" w:type="dxa"/>
            <w:tcBorders>
              <w:top w:val="nil"/>
              <w:left w:val="nil"/>
              <w:bottom w:val="single" w:sz="4" w:space="0" w:color="000000"/>
              <w:right w:val="single" w:sz="4" w:space="0" w:color="000000"/>
            </w:tcBorders>
            <w:shd w:val="clear" w:color="auto" w:fill="auto"/>
            <w:vAlign w:val="center"/>
          </w:tcPr>
          <w:p w14:paraId="1B4BBD3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936" w:type="dxa"/>
            <w:tcBorders>
              <w:top w:val="nil"/>
              <w:left w:val="nil"/>
              <w:bottom w:val="single" w:sz="4" w:space="0" w:color="000000"/>
              <w:right w:val="single" w:sz="4" w:space="0" w:color="000000"/>
            </w:tcBorders>
            <w:shd w:val="clear" w:color="auto" w:fill="auto"/>
            <w:vAlign w:val="center"/>
          </w:tcPr>
          <w:p w14:paraId="43A77A7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4" w:space="0" w:color="000000"/>
            </w:tcBorders>
            <w:shd w:val="clear" w:color="auto" w:fill="auto"/>
            <w:vAlign w:val="center"/>
          </w:tcPr>
          <w:p w14:paraId="0B13097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   </w:t>
            </w:r>
          </w:p>
        </w:tc>
        <w:tc>
          <w:tcPr>
            <w:tcW w:w="936" w:type="dxa"/>
            <w:tcBorders>
              <w:top w:val="nil"/>
              <w:left w:val="nil"/>
              <w:bottom w:val="single" w:sz="4" w:space="0" w:color="000000"/>
              <w:right w:val="single" w:sz="4" w:space="0" w:color="000000"/>
            </w:tcBorders>
            <w:shd w:val="clear" w:color="auto" w:fill="auto"/>
            <w:vAlign w:val="center"/>
          </w:tcPr>
          <w:p w14:paraId="745FF8D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single" w:sz="18" w:space="0" w:color="000000"/>
            </w:tcBorders>
            <w:shd w:val="clear" w:color="auto" w:fill="auto"/>
            <w:vAlign w:val="center"/>
          </w:tcPr>
          <w:p w14:paraId="20D966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4F30ECA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w:t>
            </w:r>
          </w:p>
        </w:tc>
        <w:tc>
          <w:tcPr>
            <w:tcW w:w="1243" w:type="dxa"/>
            <w:tcBorders>
              <w:top w:val="nil"/>
              <w:left w:val="nil"/>
              <w:bottom w:val="single" w:sz="4" w:space="0" w:color="000000"/>
              <w:right w:val="single" w:sz="4" w:space="0" w:color="000000"/>
            </w:tcBorders>
            <w:shd w:val="clear" w:color="auto" w:fill="auto"/>
            <w:vAlign w:val="center"/>
          </w:tcPr>
          <w:p w14:paraId="22F4115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10,8%</w:t>
            </w:r>
          </w:p>
        </w:tc>
      </w:tr>
      <w:tr w:rsidR="00A0251B" w:rsidRPr="00CC35F0" w14:paraId="5A49A62F"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F7344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0417464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BEEF32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8F3A45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5F58BA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7FA856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00DC285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9056C3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8,6%</w:t>
            </w:r>
          </w:p>
        </w:tc>
        <w:tc>
          <w:tcPr>
            <w:tcW w:w="1243" w:type="dxa"/>
            <w:tcBorders>
              <w:top w:val="nil"/>
              <w:left w:val="nil"/>
              <w:bottom w:val="single" w:sz="4" w:space="0" w:color="000000"/>
              <w:right w:val="single" w:sz="4" w:space="0" w:color="000000"/>
            </w:tcBorders>
            <w:shd w:val="clear" w:color="auto" w:fill="auto"/>
            <w:vAlign w:val="center"/>
          </w:tcPr>
          <w:p w14:paraId="0015AAE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-70,5%</w:t>
            </w:r>
          </w:p>
        </w:tc>
      </w:tr>
      <w:tr w:rsidR="00A0251B" w:rsidRPr="00CC35F0" w14:paraId="1BC8BD6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67947D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05C686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2C177D7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1C3417E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1585566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374F84D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18" w:space="0" w:color="000000"/>
            </w:tcBorders>
            <w:shd w:val="clear" w:color="auto" w:fill="auto"/>
            <w:vAlign w:val="center"/>
          </w:tcPr>
          <w:p w14:paraId="00A79E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97FD8C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20,7%</w:t>
            </w:r>
          </w:p>
        </w:tc>
        <w:tc>
          <w:tcPr>
            <w:tcW w:w="1243" w:type="dxa"/>
            <w:tcBorders>
              <w:top w:val="nil"/>
              <w:left w:val="nil"/>
              <w:bottom w:val="single" w:sz="4" w:space="0" w:color="000000"/>
              <w:right w:val="single" w:sz="4" w:space="0" w:color="000000"/>
            </w:tcBorders>
            <w:shd w:val="clear" w:color="auto" w:fill="auto"/>
            <w:vAlign w:val="center"/>
          </w:tcPr>
          <w:p w14:paraId="78ACE48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128,9%</w:t>
            </w:r>
          </w:p>
        </w:tc>
      </w:tr>
      <w:tr w:rsidR="00A0251B" w:rsidRPr="00CC35F0" w14:paraId="1221C3A7"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F16091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0B67321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10FA411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6BA04F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001B640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35D9FFB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18" w:space="0" w:color="000000"/>
            </w:tcBorders>
            <w:shd w:val="clear" w:color="auto" w:fill="auto"/>
            <w:vAlign w:val="center"/>
          </w:tcPr>
          <w:p w14:paraId="0734FEA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719503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-34,7%</w:t>
            </w:r>
          </w:p>
        </w:tc>
        <w:tc>
          <w:tcPr>
            <w:tcW w:w="1243" w:type="dxa"/>
            <w:tcBorders>
              <w:top w:val="nil"/>
              <w:left w:val="nil"/>
              <w:bottom w:val="single" w:sz="4" w:space="0" w:color="000000"/>
              <w:right w:val="single" w:sz="4" w:space="0" w:color="000000"/>
            </w:tcBorders>
            <w:shd w:val="clear" w:color="auto" w:fill="auto"/>
            <w:vAlign w:val="center"/>
          </w:tcPr>
          <w:p w14:paraId="41270CC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6,9%</w:t>
            </w:r>
          </w:p>
        </w:tc>
      </w:tr>
      <w:tr w:rsidR="00A0251B" w:rsidRPr="00CC35F0" w14:paraId="23B9F2F4"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45B883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3685F98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4CC19A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A61B1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50D793F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7955666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18" w:space="0" w:color="000000"/>
            </w:tcBorders>
            <w:shd w:val="clear" w:color="auto" w:fill="auto"/>
            <w:vAlign w:val="center"/>
          </w:tcPr>
          <w:p w14:paraId="5C45F27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2741EB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3BCC327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4D10647D"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FAA49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32D9D6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6A19203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60F4DC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2CC79EF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012ADC5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18" w:space="0" w:color="000000"/>
            </w:tcBorders>
            <w:shd w:val="clear" w:color="auto" w:fill="auto"/>
            <w:vAlign w:val="center"/>
          </w:tcPr>
          <w:p w14:paraId="6454220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0AA9CB9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2EF3765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4343A8DD"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8EBEAA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5D96AB7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83CCC0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F6CBDB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9B6780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827BC5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18" w:space="0" w:color="000000"/>
            </w:tcBorders>
            <w:shd w:val="clear" w:color="auto" w:fill="auto"/>
            <w:vAlign w:val="center"/>
          </w:tcPr>
          <w:p w14:paraId="77717C5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57BB356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c>
          <w:tcPr>
            <w:tcW w:w="1243" w:type="dxa"/>
            <w:tcBorders>
              <w:top w:val="nil"/>
              <w:left w:val="nil"/>
              <w:bottom w:val="single" w:sz="4" w:space="0" w:color="000000"/>
              <w:right w:val="single" w:sz="4" w:space="0" w:color="000000"/>
            </w:tcBorders>
            <w:shd w:val="clear" w:color="auto" w:fill="auto"/>
            <w:vAlign w:val="center"/>
          </w:tcPr>
          <w:p w14:paraId="43FC5B3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-35,5%</w:t>
            </w:r>
          </w:p>
        </w:tc>
      </w:tr>
      <w:tr w:rsidR="00A0251B" w:rsidRPr="00CC35F0" w14:paraId="65562A00"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5B2115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6B50BF8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6,3   </w:t>
            </w:r>
          </w:p>
        </w:tc>
        <w:tc>
          <w:tcPr>
            <w:tcW w:w="936" w:type="dxa"/>
            <w:tcBorders>
              <w:top w:val="nil"/>
              <w:left w:val="nil"/>
              <w:bottom w:val="single" w:sz="4" w:space="0" w:color="000000"/>
              <w:right w:val="single" w:sz="4" w:space="0" w:color="000000"/>
            </w:tcBorders>
            <w:shd w:val="clear" w:color="auto" w:fill="auto"/>
            <w:vAlign w:val="center"/>
          </w:tcPr>
          <w:p w14:paraId="13D168D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36" w:type="dxa"/>
            <w:tcBorders>
              <w:top w:val="nil"/>
              <w:left w:val="nil"/>
              <w:bottom w:val="single" w:sz="4" w:space="0" w:color="000000"/>
              <w:right w:val="single" w:sz="4" w:space="0" w:color="000000"/>
            </w:tcBorders>
            <w:shd w:val="clear" w:color="auto" w:fill="auto"/>
            <w:vAlign w:val="center"/>
          </w:tcPr>
          <w:p w14:paraId="63B04AE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3,9   </w:t>
            </w:r>
          </w:p>
        </w:tc>
        <w:tc>
          <w:tcPr>
            <w:tcW w:w="936" w:type="dxa"/>
            <w:tcBorders>
              <w:top w:val="nil"/>
              <w:left w:val="nil"/>
              <w:bottom w:val="single" w:sz="4" w:space="0" w:color="000000"/>
              <w:right w:val="single" w:sz="4" w:space="0" w:color="000000"/>
            </w:tcBorders>
            <w:shd w:val="clear" w:color="auto" w:fill="auto"/>
            <w:vAlign w:val="center"/>
          </w:tcPr>
          <w:p w14:paraId="7D37A7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5B24190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18" w:space="0" w:color="000000"/>
            </w:tcBorders>
            <w:shd w:val="clear" w:color="auto" w:fill="auto"/>
            <w:vAlign w:val="center"/>
          </w:tcPr>
          <w:p w14:paraId="12DFFF2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364D239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-40,4%</w:t>
            </w:r>
          </w:p>
        </w:tc>
        <w:tc>
          <w:tcPr>
            <w:tcW w:w="1243" w:type="dxa"/>
            <w:tcBorders>
              <w:top w:val="nil"/>
              <w:left w:val="nil"/>
              <w:bottom w:val="single" w:sz="4" w:space="0" w:color="000000"/>
              <w:right w:val="single" w:sz="4" w:space="0" w:color="000000"/>
            </w:tcBorders>
            <w:shd w:val="clear" w:color="auto" w:fill="auto"/>
            <w:vAlign w:val="center"/>
          </w:tcPr>
          <w:p w14:paraId="485AFAD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-55,9%</w:t>
            </w:r>
          </w:p>
        </w:tc>
      </w:tr>
      <w:tr w:rsidR="00A0251B" w:rsidRPr="00CC35F0" w14:paraId="767693D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59633A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5E48EFA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79,5   </w:t>
            </w:r>
          </w:p>
        </w:tc>
        <w:tc>
          <w:tcPr>
            <w:tcW w:w="936" w:type="dxa"/>
            <w:tcBorders>
              <w:top w:val="nil"/>
              <w:left w:val="nil"/>
              <w:bottom w:val="single" w:sz="4" w:space="0" w:color="000000"/>
              <w:right w:val="single" w:sz="4" w:space="0" w:color="000000"/>
            </w:tcBorders>
            <w:shd w:val="clear" w:color="auto" w:fill="auto"/>
            <w:vAlign w:val="center"/>
          </w:tcPr>
          <w:p w14:paraId="2F1EACE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33,7   </w:t>
            </w:r>
          </w:p>
        </w:tc>
        <w:tc>
          <w:tcPr>
            <w:tcW w:w="936" w:type="dxa"/>
            <w:tcBorders>
              <w:top w:val="nil"/>
              <w:left w:val="nil"/>
              <w:bottom w:val="single" w:sz="4" w:space="0" w:color="000000"/>
              <w:right w:val="single" w:sz="4" w:space="0" w:color="000000"/>
            </w:tcBorders>
            <w:shd w:val="clear" w:color="auto" w:fill="auto"/>
            <w:vAlign w:val="center"/>
          </w:tcPr>
          <w:p w14:paraId="46DC5F4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32,4   </w:t>
            </w:r>
          </w:p>
        </w:tc>
        <w:tc>
          <w:tcPr>
            <w:tcW w:w="936" w:type="dxa"/>
            <w:tcBorders>
              <w:top w:val="nil"/>
              <w:left w:val="nil"/>
              <w:bottom w:val="single" w:sz="4" w:space="0" w:color="000000"/>
              <w:right w:val="single" w:sz="4" w:space="0" w:color="000000"/>
            </w:tcBorders>
            <w:shd w:val="clear" w:color="auto" w:fill="auto"/>
            <w:vAlign w:val="center"/>
          </w:tcPr>
          <w:p w14:paraId="0F40119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31,4   </w:t>
            </w:r>
          </w:p>
        </w:tc>
        <w:tc>
          <w:tcPr>
            <w:tcW w:w="936" w:type="dxa"/>
            <w:tcBorders>
              <w:top w:val="nil"/>
              <w:left w:val="nil"/>
              <w:bottom w:val="single" w:sz="4" w:space="0" w:color="000000"/>
              <w:right w:val="single" w:sz="4" w:space="0" w:color="000000"/>
            </w:tcBorders>
            <w:shd w:val="clear" w:color="auto" w:fill="auto"/>
            <w:vAlign w:val="center"/>
          </w:tcPr>
          <w:p w14:paraId="27EEBB4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30,7   </w:t>
            </w:r>
          </w:p>
        </w:tc>
        <w:tc>
          <w:tcPr>
            <w:tcW w:w="936" w:type="dxa"/>
            <w:tcBorders>
              <w:top w:val="nil"/>
              <w:left w:val="nil"/>
              <w:bottom w:val="single" w:sz="4" w:space="0" w:color="000000"/>
              <w:right w:val="single" w:sz="18" w:space="0" w:color="000000"/>
            </w:tcBorders>
            <w:shd w:val="clear" w:color="auto" w:fill="auto"/>
            <w:vAlign w:val="center"/>
          </w:tcPr>
          <w:p w14:paraId="0C9421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29,4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29D09C9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-8,9%</w:t>
            </w:r>
          </w:p>
        </w:tc>
        <w:tc>
          <w:tcPr>
            <w:tcW w:w="1243" w:type="dxa"/>
            <w:tcBorders>
              <w:top w:val="nil"/>
              <w:left w:val="nil"/>
              <w:bottom w:val="single" w:sz="4" w:space="0" w:color="000000"/>
              <w:right w:val="single" w:sz="4" w:space="0" w:color="000000"/>
            </w:tcBorders>
            <w:shd w:val="clear" w:color="auto" w:fill="auto"/>
            <w:vAlign w:val="center"/>
          </w:tcPr>
          <w:p w14:paraId="4314225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-61,4%</w:t>
            </w:r>
          </w:p>
        </w:tc>
      </w:tr>
      <w:tr w:rsidR="00A0251B" w:rsidRPr="00CC35F0" w14:paraId="2C534E4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E125AF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6138E16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13,0   </w:t>
            </w:r>
          </w:p>
        </w:tc>
        <w:tc>
          <w:tcPr>
            <w:tcW w:w="936" w:type="dxa"/>
            <w:tcBorders>
              <w:top w:val="nil"/>
              <w:left w:val="nil"/>
              <w:bottom w:val="single" w:sz="4" w:space="0" w:color="000000"/>
              <w:right w:val="single" w:sz="4" w:space="0" w:color="000000"/>
            </w:tcBorders>
            <w:shd w:val="clear" w:color="auto" w:fill="auto"/>
            <w:vAlign w:val="center"/>
          </w:tcPr>
          <w:p w14:paraId="5E2B987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38,6   </w:t>
            </w:r>
          </w:p>
        </w:tc>
        <w:tc>
          <w:tcPr>
            <w:tcW w:w="936" w:type="dxa"/>
            <w:tcBorders>
              <w:top w:val="nil"/>
              <w:left w:val="nil"/>
              <w:bottom w:val="single" w:sz="4" w:space="0" w:color="000000"/>
              <w:right w:val="single" w:sz="4" w:space="0" w:color="000000"/>
            </w:tcBorders>
            <w:shd w:val="clear" w:color="auto" w:fill="auto"/>
            <w:vAlign w:val="center"/>
          </w:tcPr>
          <w:p w14:paraId="4985C11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40,3   </w:t>
            </w:r>
          </w:p>
        </w:tc>
        <w:tc>
          <w:tcPr>
            <w:tcW w:w="936" w:type="dxa"/>
            <w:tcBorders>
              <w:top w:val="nil"/>
              <w:left w:val="nil"/>
              <w:bottom w:val="single" w:sz="4" w:space="0" w:color="000000"/>
              <w:right w:val="single" w:sz="4" w:space="0" w:color="000000"/>
            </w:tcBorders>
            <w:shd w:val="clear" w:color="auto" w:fill="auto"/>
            <w:vAlign w:val="center"/>
          </w:tcPr>
          <w:p w14:paraId="2B4E36E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38,1   </w:t>
            </w:r>
          </w:p>
        </w:tc>
        <w:tc>
          <w:tcPr>
            <w:tcW w:w="936" w:type="dxa"/>
            <w:tcBorders>
              <w:top w:val="nil"/>
              <w:left w:val="nil"/>
              <w:bottom w:val="single" w:sz="4" w:space="0" w:color="000000"/>
              <w:right w:val="single" w:sz="4" w:space="0" w:color="000000"/>
            </w:tcBorders>
            <w:shd w:val="clear" w:color="auto" w:fill="auto"/>
            <w:vAlign w:val="center"/>
          </w:tcPr>
          <w:p w14:paraId="729BF1D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38,8   </w:t>
            </w:r>
          </w:p>
        </w:tc>
        <w:tc>
          <w:tcPr>
            <w:tcW w:w="936" w:type="dxa"/>
            <w:tcBorders>
              <w:top w:val="nil"/>
              <w:left w:val="nil"/>
              <w:bottom w:val="single" w:sz="4" w:space="0" w:color="000000"/>
              <w:right w:val="single" w:sz="18" w:space="0" w:color="000000"/>
            </w:tcBorders>
            <w:shd w:val="clear" w:color="auto" w:fill="auto"/>
            <w:vAlign w:val="center"/>
          </w:tcPr>
          <w:p w14:paraId="63997D0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36,1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25D565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0,4%</w:t>
            </w:r>
          </w:p>
        </w:tc>
        <w:tc>
          <w:tcPr>
            <w:tcW w:w="1243" w:type="dxa"/>
            <w:tcBorders>
              <w:top w:val="nil"/>
              <w:left w:val="nil"/>
              <w:bottom w:val="single" w:sz="4" w:space="0" w:color="000000"/>
              <w:right w:val="single" w:sz="4" w:space="0" w:color="000000"/>
            </w:tcBorders>
            <w:shd w:val="clear" w:color="auto" w:fill="auto"/>
            <w:vAlign w:val="center"/>
          </w:tcPr>
          <w:p w14:paraId="21C5622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198,5%</w:t>
            </w:r>
          </w:p>
        </w:tc>
      </w:tr>
      <w:tr w:rsidR="00A0251B" w:rsidRPr="00CC35F0" w14:paraId="4327CBD7"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2EDF68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lastRenderedPageBreak/>
              <w:t>Укупно</w:t>
            </w:r>
          </w:p>
        </w:tc>
        <w:tc>
          <w:tcPr>
            <w:tcW w:w="936" w:type="dxa"/>
            <w:tcBorders>
              <w:top w:val="nil"/>
              <w:left w:val="nil"/>
              <w:bottom w:val="single" w:sz="4" w:space="0" w:color="000000"/>
              <w:right w:val="nil"/>
            </w:tcBorders>
            <w:shd w:val="clear" w:color="auto" w:fill="auto"/>
            <w:vAlign w:val="center"/>
          </w:tcPr>
          <w:p w14:paraId="4E171D2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107,5   </w:t>
            </w:r>
          </w:p>
        </w:tc>
        <w:tc>
          <w:tcPr>
            <w:tcW w:w="936" w:type="dxa"/>
            <w:tcBorders>
              <w:top w:val="nil"/>
              <w:left w:val="single" w:sz="4" w:space="0" w:color="000000"/>
              <w:bottom w:val="single" w:sz="4" w:space="0" w:color="000000"/>
              <w:right w:val="nil"/>
            </w:tcBorders>
            <w:shd w:val="clear" w:color="auto" w:fill="auto"/>
            <w:vAlign w:val="center"/>
          </w:tcPr>
          <w:p w14:paraId="67C6ADB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83,8   </w:t>
            </w:r>
          </w:p>
        </w:tc>
        <w:tc>
          <w:tcPr>
            <w:tcW w:w="936" w:type="dxa"/>
            <w:tcBorders>
              <w:top w:val="nil"/>
              <w:left w:val="single" w:sz="4" w:space="0" w:color="000000"/>
              <w:bottom w:val="single" w:sz="4" w:space="0" w:color="000000"/>
              <w:right w:val="nil"/>
            </w:tcBorders>
            <w:shd w:val="clear" w:color="auto" w:fill="auto"/>
            <w:vAlign w:val="center"/>
          </w:tcPr>
          <w:p w14:paraId="4C03676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83,3   </w:t>
            </w:r>
          </w:p>
        </w:tc>
        <w:tc>
          <w:tcPr>
            <w:tcW w:w="936" w:type="dxa"/>
            <w:tcBorders>
              <w:top w:val="nil"/>
              <w:left w:val="single" w:sz="4" w:space="0" w:color="000000"/>
              <w:bottom w:val="single" w:sz="4" w:space="0" w:color="000000"/>
              <w:right w:val="nil"/>
            </w:tcBorders>
            <w:shd w:val="clear" w:color="auto" w:fill="auto"/>
            <w:vAlign w:val="center"/>
          </w:tcPr>
          <w:p w14:paraId="39A2A20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76,3   </w:t>
            </w:r>
          </w:p>
        </w:tc>
        <w:tc>
          <w:tcPr>
            <w:tcW w:w="936" w:type="dxa"/>
            <w:tcBorders>
              <w:top w:val="nil"/>
              <w:left w:val="single" w:sz="4" w:space="0" w:color="000000"/>
              <w:bottom w:val="single" w:sz="4" w:space="0" w:color="000000"/>
              <w:right w:val="nil"/>
            </w:tcBorders>
            <w:shd w:val="clear" w:color="auto" w:fill="auto"/>
            <w:vAlign w:val="center"/>
          </w:tcPr>
          <w:p w14:paraId="2F2F991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75,6   </w:t>
            </w:r>
          </w:p>
        </w:tc>
        <w:tc>
          <w:tcPr>
            <w:tcW w:w="936" w:type="dxa"/>
            <w:tcBorders>
              <w:top w:val="nil"/>
              <w:left w:val="single" w:sz="4" w:space="0" w:color="000000"/>
              <w:bottom w:val="single" w:sz="4" w:space="0" w:color="000000"/>
              <w:right w:val="single" w:sz="18" w:space="0" w:color="000000"/>
            </w:tcBorders>
            <w:shd w:val="clear" w:color="auto" w:fill="auto"/>
            <w:vAlign w:val="center"/>
          </w:tcPr>
          <w:p w14:paraId="50104B4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71,3   </w:t>
            </w:r>
          </w:p>
        </w:tc>
        <w:tc>
          <w:tcPr>
            <w:tcW w:w="1243" w:type="dxa"/>
            <w:tcBorders>
              <w:top w:val="single" w:sz="4" w:space="0" w:color="000000"/>
              <w:left w:val="single" w:sz="18" w:space="0" w:color="000000"/>
              <w:bottom w:val="single" w:sz="4" w:space="0" w:color="000000"/>
              <w:right w:val="single" w:sz="4" w:space="0" w:color="000000"/>
            </w:tcBorders>
            <w:shd w:val="clear" w:color="auto" w:fill="auto"/>
            <w:vAlign w:val="center"/>
          </w:tcPr>
          <w:p w14:paraId="1C242F9F"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-9,7%</w:t>
            </w:r>
          </w:p>
        </w:tc>
        <w:tc>
          <w:tcPr>
            <w:tcW w:w="1243" w:type="dxa"/>
            <w:tcBorders>
              <w:top w:val="nil"/>
              <w:left w:val="nil"/>
              <w:bottom w:val="single" w:sz="4" w:space="0" w:color="000000"/>
              <w:right w:val="single" w:sz="4" w:space="0" w:color="000000"/>
            </w:tcBorders>
            <w:shd w:val="clear" w:color="auto" w:fill="auto"/>
            <w:vAlign w:val="center"/>
          </w:tcPr>
          <w:p w14:paraId="334397EA"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-29,7%</w:t>
            </w:r>
          </w:p>
        </w:tc>
      </w:tr>
    </w:tbl>
    <w:p w14:paraId="68C3DD28" w14:textId="77777777" w:rsidR="00A0251B" w:rsidRPr="00CC35F0" w:rsidRDefault="00A0251B">
      <w:pPr>
        <w:rPr>
          <w:rFonts w:ascii="Times New Roman" w:eastAsia="Times New Roman" w:hAnsi="Times New Roman"/>
          <w:sz w:val="24"/>
          <w:szCs w:val="24"/>
          <w:lang w:val="sr-Cyrl-CS"/>
        </w:rPr>
      </w:pPr>
    </w:p>
    <w:p w14:paraId="3D083082"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p w14:paraId="7E39B10E" w14:textId="77777777" w:rsidR="00A0251B" w:rsidRPr="00CC35F0" w:rsidRDefault="00A0251B">
      <w:pPr>
        <w:rPr>
          <w:rFonts w:ascii="Times New Roman" w:eastAsia="Times New Roman" w:hAnsi="Times New Roman"/>
          <w:sz w:val="24"/>
          <w:szCs w:val="24"/>
          <w:lang w:val="sr-Cyrl-CS"/>
        </w:rPr>
      </w:pPr>
    </w:p>
    <w:tbl>
      <w:tblPr>
        <w:tblStyle w:val="afffffa"/>
        <w:tblW w:w="10158" w:type="dxa"/>
        <w:tblLayout w:type="fixed"/>
        <w:tblLook w:val="0400" w:firstRow="0" w:lastRow="0" w:firstColumn="0" w:lastColumn="0" w:noHBand="0" w:noVBand="1"/>
      </w:tblPr>
      <w:tblGrid>
        <w:gridCol w:w="2056"/>
        <w:gridCol w:w="936"/>
        <w:gridCol w:w="936"/>
        <w:gridCol w:w="936"/>
        <w:gridCol w:w="936"/>
        <w:gridCol w:w="936"/>
        <w:gridCol w:w="936"/>
        <w:gridCol w:w="1243"/>
        <w:gridCol w:w="1243"/>
      </w:tblGrid>
      <w:tr w:rsidR="00A0251B" w:rsidRPr="00CC35F0" w14:paraId="4D74D347" w14:textId="77777777">
        <w:trPr>
          <w:trHeight w:val="260"/>
        </w:trPr>
        <w:tc>
          <w:tcPr>
            <w:tcW w:w="2056" w:type="dxa"/>
            <w:tcBorders>
              <w:top w:val="nil"/>
              <w:left w:val="nil"/>
              <w:bottom w:val="nil"/>
              <w:right w:val="nil"/>
            </w:tcBorders>
            <w:shd w:val="clear" w:color="auto" w:fill="FFFFFF"/>
            <w:vAlign w:val="center"/>
          </w:tcPr>
          <w:p w14:paraId="064A716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0EC637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7B196A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2EDD31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8C829A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1F358D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4FA31FA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4001CEF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206E95C8"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1F0EB6BF" w14:textId="77777777">
        <w:trPr>
          <w:trHeight w:val="260"/>
        </w:trPr>
        <w:tc>
          <w:tcPr>
            <w:tcW w:w="2056" w:type="dxa"/>
            <w:tcBorders>
              <w:top w:val="nil"/>
              <w:left w:val="nil"/>
              <w:bottom w:val="single" w:sz="4" w:space="0" w:color="000000"/>
              <w:right w:val="nil"/>
            </w:tcBorders>
            <w:shd w:val="clear" w:color="auto" w:fill="FFFFFF"/>
            <w:vAlign w:val="center"/>
          </w:tcPr>
          <w:p w14:paraId="15DA186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NH</w:t>
            </w:r>
            <w:r w:rsidRPr="00CC35F0">
              <w:rPr>
                <w:rFonts w:ascii="Times New Roman" w:eastAsia="Times New Roman" w:hAnsi="Times New Roman"/>
                <w:sz w:val="24"/>
                <w:szCs w:val="24"/>
                <w:vertAlign w:val="subscript"/>
                <w:lang w:val="sr-Cyrl-CS"/>
              </w:rPr>
              <w:t>3</w:t>
            </w:r>
          </w:p>
        </w:tc>
        <w:tc>
          <w:tcPr>
            <w:tcW w:w="936" w:type="dxa"/>
            <w:tcBorders>
              <w:top w:val="nil"/>
              <w:left w:val="nil"/>
              <w:bottom w:val="nil"/>
              <w:right w:val="nil"/>
            </w:tcBorders>
            <w:shd w:val="clear" w:color="auto" w:fill="FFFFFF"/>
            <w:vAlign w:val="center"/>
          </w:tcPr>
          <w:p w14:paraId="6AE7A19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32F7DE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FFD71D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906038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6C3110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5470834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7B69C0F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231CB31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572D2E6D" w14:textId="77777777">
        <w:trPr>
          <w:trHeight w:val="250"/>
        </w:trPr>
        <w:tc>
          <w:tcPr>
            <w:tcW w:w="2056" w:type="dxa"/>
            <w:tcBorders>
              <w:top w:val="nil"/>
              <w:left w:val="single" w:sz="4" w:space="0" w:color="000000"/>
              <w:bottom w:val="nil"/>
              <w:right w:val="single" w:sz="4" w:space="0" w:color="000000"/>
            </w:tcBorders>
            <w:shd w:val="clear" w:color="auto" w:fill="DAEEF3"/>
            <w:vAlign w:val="center"/>
          </w:tcPr>
          <w:p w14:paraId="128584D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WAM_B </w:t>
            </w:r>
          </w:p>
        </w:tc>
        <w:tc>
          <w:tcPr>
            <w:tcW w:w="936" w:type="dxa"/>
            <w:tcBorders>
              <w:top w:val="single" w:sz="4" w:space="0" w:color="000000"/>
              <w:left w:val="nil"/>
              <w:bottom w:val="single" w:sz="4" w:space="0" w:color="000000"/>
              <w:right w:val="nil"/>
            </w:tcBorders>
            <w:shd w:val="clear" w:color="auto" w:fill="DAEEF3"/>
            <w:vAlign w:val="center"/>
          </w:tcPr>
          <w:p w14:paraId="27471D6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6E40C433"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45B3BE0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1B8EFDB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57A8657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724A70F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2" w:space="0" w:color="000000"/>
              <w:bottom w:val="single" w:sz="4" w:space="0" w:color="000000"/>
              <w:right w:val="single" w:sz="4" w:space="0" w:color="000000"/>
            </w:tcBorders>
            <w:shd w:val="clear" w:color="auto" w:fill="DAEEF3"/>
            <w:vAlign w:val="center"/>
          </w:tcPr>
          <w:p w14:paraId="2CDC4D3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1A8ABACE"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5E4AAF80"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AF14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6AE6F6E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99BBC8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269CB6E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65217B4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508452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7F6958C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78020D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5977A6E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1CB80ABD"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23BBB8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789732A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6,1   </w:t>
            </w:r>
          </w:p>
        </w:tc>
        <w:tc>
          <w:tcPr>
            <w:tcW w:w="936" w:type="dxa"/>
            <w:tcBorders>
              <w:top w:val="nil"/>
              <w:left w:val="nil"/>
              <w:bottom w:val="single" w:sz="4" w:space="0" w:color="000000"/>
              <w:right w:val="single" w:sz="4" w:space="0" w:color="000000"/>
            </w:tcBorders>
            <w:shd w:val="clear" w:color="auto" w:fill="auto"/>
            <w:vAlign w:val="center"/>
          </w:tcPr>
          <w:p w14:paraId="5B7F9C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   </w:t>
            </w:r>
          </w:p>
        </w:tc>
        <w:tc>
          <w:tcPr>
            <w:tcW w:w="936" w:type="dxa"/>
            <w:tcBorders>
              <w:top w:val="nil"/>
              <w:left w:val="nil"/>
              <w:bottom w:val="single" w:sz="4" w:space="0" w:color="000000"/>
              <w:right w:val="single" w:sz="4" w:space="0" w:color="000000"/>
            </w:tcBorders>
            <w:shd w:val="clear" w:color="auto" w:fill="auto"/>
            <w:vAlign w:val="center"/>
          </w:tcPr>
          <w:p w14:paraId="4996F39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3F0AC24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1ACB743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nil"/>
            </w:tcBorders>
            <w:shd w:val="clear" w:color="auto" w:fill="auto"/>
            <w:vAlign w:val="center"/>
          </w:tcPr>
          <w:p w14:paraId="0A35F65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33910D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-89,7%</w:t>
            </w:r>
          </w:p>
        </w:tc>
        <w:tc>
          <w:tcPr>
            <w:tcW w:w="1243" w:type="dxa"/>
            <w:tcBorders>
              <w:top w:val="nil"/>
              <w:left w:val="nil"/>
              <w:bottom w:val="single" w:sz="4" w:space="0" w:color="000000"/>
              <w:right w:val="single" w:sz="4" w:space="0" w:color="000000"/>
            </w:tcBorders>
            <w:shd w:val="clear" w:color="auto" w:fill="auto"/>
            <w:vAlign w:val="center"/>
          </w:tcPr>
          <w:p w14:paraId="4F481E1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-93,6%</w:t>
            </w:r>
          </w:p>
        </w:tc>
      </w:tr>
      <w:tr w:rsidR="00A0251B" w:rsidRPr="00CC35F0" w14:paraId="5C56E64F"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B80C41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75EF482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2,4   </w:t>
            </w:r>
          </w:p>
        </w:tc>
        <w:tc>
          <w:tcPr>
            <w:tcW w:w="936" w:type="dxa"/>
            <w:tcBorders>
              <w:top w:val="nil"/>
              <w:left w:val="nil"/>
              <w:bottom w:val="single" w:sz="4" w:space="0" w:color="000000"/>
              <w:right w:val="single" w:sz="4" w:space="0" w:color="000000"/>
            </w:tcBorders>
            <w:shd w:val="clear" w:color="auto" w:fill="auto"/>
            <w:vAlign w:val="center"/>
          </w:tcPr>
          <w:p w14:paraId="77AFB09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936" w:type="dxa"/>
            <w:tcBorders>
              <w:top w:val="nil"/>
              <w:left w:val="nil"/>
              <w:bottom w:val="single" w:sz="4" w:space="0" w:color="000000"/>
              <w:right w:val="single" w:sz="4" w:space="0" w:color="000000"/>
            </w:tcBorders>
            <w:shd w:val="clear" w:color="auto" w:fill="auto"/>
            <w:vAlign w:val="center"/>
          </w:tcPr>
          <w:p w14:paraId="2A15B81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4" w:space="0" w:color="000000"/>
            </w:tcBorders>
            <w:shd w:val="clear" w:color="auto" w:fill="auto"/>
            <w:vAlign w:val="center"/>
          </w:tcPr>
          <w:p w14:paraId="1E4334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   </w:t>
            </w:r>
          </w:p>
        </w:tc>
        <w:tc>
          <w:tcPr>
            <w:tcW w:w="936" w:type="dxa"/>
            <w:tcBorders>
              <w:top w:val="nil"/>
              <w:left w:val="nil"/>
              <w:bottom w:val="single" w:sz="4" w:space="0" w:color="000000"/>
              <w:right w:val="single" w:sz="4" w:space="0" w:color="000000"/>
            </w:tcBorders>
            <w:shd w:val="clear" w:color="auto" w:fill="auto"/>
            <w:vAlign w:val="center"/>
          </w:tcPr>
          <w:p w14:paraId="134A812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936" w:type="dxa"/>
            <w:tcBorders>
              <w:top w:val="nil"/>
              <w:left w:val="nil"/>
              <w:bottom w:val="single" w:sz="4" w:space="0" w:color="000000"/>
              <w:right w:val="nil"/>
            </w:tcBorders>
            <w:shd w:val="clear" w:color="auto" w:fill="auto"/>
            <w:vAlign w:val="center"/>
          </w:tcPr>
          <w:p w14:paraId="2C49E79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A45B88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w:t>
            </w:r>
          </w:p>
        </w:tc>
        <w:tc>
          <w:tcPr>
            <w:tcW w:w="1243" w:type="dxa"/>
            <w:tcBorders>
              <w:top w:val="nil"/>
              <w:left w:val="nil"/>
              <w:bottom w:val="single" w:sz="4" w:space="0" w:color="000000"/>
              <w:right w:val="single" w:sz="4" w:space="0" w:color="000000"/>
            </w:tcBorders>
            <w:shd w:val="clear" w:color="auto" w:fill="auto"/>
            <w:vAlign w:val="center"/>
          </w:tcPr>
          <w:p w14:paraId="4FC53A3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10,8%</w:t>
            </w:r>
          </w:p>
        </w:tc>
      </w:tr>
      <w:tr w:rsidR="00A0251B" w:rsidRPr="00CC35F0" w14:paraId="04DA0B41"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CCE437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5FFFBD4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710CD60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47AF1A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B9669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468325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0C5FA1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BCB1A0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8,6%</w:t>
            </w:r>
          </w:p>
        </w:tc>
        <w:tc>
          <w:tcPr>
            <w:tcW w:w="1243" w:type="dxa"/>
            <w:tcBorders>
              <w:top w:val="nil"/>
              <w:left w:val="nil"/>
              <w:bottom w:val="single" w:sz="4" w:space="0" w:color="000000"/>
              <w:right w:val="single" w:sz="4" w:space="0" w:color="000000"/>
            </w:tcBorders>
            <w:shd w:val="clear" w:color="auto" w:fill="auto"/>
            <w:vAlign w:val="center"/>
          </w:tcPr>
          <w:p w14:paraId="49B3769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-70,5%</w:t>
            </w:r>
          </w:p>
        </w:tc>
      </w:tr>
      <w:tr w:rsidR="00A0251B" w:rsidRPr="00CC35F0" w14:paraId="77A3277A"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BEE622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43384C1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61CB9A4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5AEA1E5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629A97D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5FC001B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nil"/>
            </w:tcBorders>
            <w:shd w:val="clear" w:color="auto" w:fill="auto"/>
            <w:vAlign w:val="center"/>
          </w:tcPr>
          <w:p w14:paraId="640E0DC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A32D49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20,7%</w:t>
            </w:r>
          </w:p>
        </w:tc>
        <w:tc>
          <w:tcPr>
            <w:tcW w:w="1243" w:type="dxa"/>
            <w:tcBorders>
              <w:top w:val="nil"/>
              <w:left w:val="nil"/>
              <w:bottom w:val="single" w:sz="4" w:space="0" w:color="000000"/>
              <w:right w:val="single" w:sz="4" w:space="0" w:color="000000"/>
            </w:tcBorders>
            <w:shd w:val="clear" w:color="auto" w:fill="auto"/>
            <w:vAlign w:val="center"/>
          </w:tcPr>
          <w:p w14:paraId="5B12B47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128,9%</w:t>
            </w:r>
          </w:p>
        </w:tc>
      </w:tr>
      <w:tr w:rsidR="00A0251B" w:rsidRPr="00CC35F0" w14:paraId="63C46AC4"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92E6E2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1543B6B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61C646D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0E9808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798B46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6F2556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nil"/>
            </w:tcBorders>
            <w:shd w:val="clear" w:color="auto" w:fill="auto"/>
            <w:vAlign w:val="center"/>
          </w:tcPr>
          <w:p w14:paraId="066768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814FF0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-34,5%</w:t>
            </w:r>
          </w:p>
        </w:tc>
        <w:tc>
          <w:tcPr>
            <w:tcW w:w="1243" w:type="dxa"/>
            <w:tcBorders>
              <w:top w:val="nil"/>
              <w:left w:val="nil"/>
              <w:bottom w:val="single" w:sz="4" w:space="0" w:color="000000"/>
              <w:right w:val="single" w:sz="4" w:space="0" w:color="000000"/>
            </w:tcBorders>
            <w:shd w:val="clear" w:color="auto" w:fill="auto"/>
            <w:vAlign w:val="center"/>
          </w:tcPr>
          <w:p w14:paraId="6888D0F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7,1%</w:t>
            </w:r>
          </w:p>
        </w:tc>
      </w:tr>
      <w:tr w:rsidR="00A0251B" w:rsidRPr="00CC35F0" w14:paraId="7F24BA87"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140CA6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2DA1AC2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2E56531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40BEBFE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70D422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153B443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1DB3C32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145351B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5B73A8E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1FA45802"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F14C7D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1B43C4F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11E74E1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71AB51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5453F5C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408426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3BE97B2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7279245"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14230C87"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790BD091"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ED10AB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3494B49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7E1FCC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3AAF69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0C2133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066CB3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028FC2D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032B09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c>
          <w:tcPr>
            <w:tcW w:w="1243" w:type="dxa"/>
            <w:tcBorders>
              <w:top w:val="nil"/>
              <w:left w:val="nil"/>
              <w:bottom w:val="single" w:sz="4" w:space="0" w:color="000000"/>
              <w:right w:val="single" w:sz="4" w:space="0" w:color="000000"/>
            </w:tcBorders>
            <w:shd w:val="clear" w:color="auto" w:fill="auto"/>
            <w:vAlign w:val="center"/>
          </w:tcPr>
          <w:p w14:paraId="13AD43B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-35,5%</w:t>
            </w:r>
          </w:p>
        </w:tc>
      </w:tr>
      <w:tr w:rsidR="00A0251B" w:rsidRPr="00CC35F0" w14:paraId="7D57434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54D4C0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116989A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6,3   </w:t>
            </w:r>
          </w:p>
        </w:tc>
        <w:tc>
          <w:tcPr>
            <w:tcW w:w="936" w:type="dxa"/>
            <w:tcBorders>
              <w:top w:val="nil"/>
              <w:left w:val="nil"/>
              <w:bottom w:val="single" w:sz="4" w:space="0" w:color="000000"/>
              <w:right w:val="single" w:sz="4" w:space="0" w:color="000000"/>
            </w:tcBorders>
            <w:shd w:val="clear" w:color="auto" w:fill="auto"/>
            <w:vAlign w:val="center"/>
          </w:tcPr>
          <w:p w14:paraId="18D168A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36" w:type="dxa"/>
            <w:tcBorders>
              <w:top w:val="nil"/>
              <w:left w:val="nil"/>
              <w:bottom w:val="single" w:sz="4" w:space="0" w:color="000000"/>
              <w:right w:val="single" w:sz="4" w:space="0" w:color="000000"/>
            </w:tcBorders>
            <w:shd w:val="clear" w:color="auto" w:fill="auto"/>
            <w:vAlign w:val="center"/>
          </w:tcPr>
          <w:p w14:paraId="34A800D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3,9   </w:t>
            </w:r>
          </w:p>
        </w:tc>
        <w:tc>
          <w:tcPr>
            <w:tcW w:w="936" w:type="dxa"/>
            <w:tcBorders>
              <w:top w:val="nil"/>
              <w:left w:val="nil"/>
              <w:bottom w:val="single" w:sz="4" w:space="0" w:color="000000"/>
              <w:right w:val="single" w:sz="4" w:space="0" w:color="000000"/>
            </w:tcBorders>
            <w:shd w:val="clear" w:color="auto" w:fill="auto"/>
            <w:vAlign w:val="center"/>
          </w:tcPr>
          <w:p w14:paraId="2C34365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6A151DA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nil"/>
            </w:tcBorders>
            <w:shd w:val="clear" w:color="auto" w:fill="auto"/>
            <w:vAlign w:val="center"/>
          </w:tcPr>
          <w:p w14:paraId="471EF05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2,3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8F7630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-40,4%</w:t>
            </w:r>
          </w:p>
        </w:tc>
        <w:tc>
          <w:tcPr>
            <w:tcW w:w="1243" w:type="dxa"/>
            <w:tcBorders>
              <w:top w:val="nil"/>
              <w:left w:val="nil"/>
              <w:bottom w:val="single" w:sz="4" w:space="0" w:color="000000"/>
              <w:right w:val="single" w:sz="4" w:space="0" w:color="000000"/>
            </w:tcBorders>
            <w:shd w:val="clear" w:color="auto" w:fill="auto"/>
            <w:vAlign w:val="center"/>
          </w:tcPr>
          <w:p w14:paraId="159E84B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-55,9%</w:t>
            </w:r>
          </w:p>
        </w:tc>
      </w:tr>
      <w:tr w:rsidR="00A0251B" w:rsidRPr="00CC35F0" w14:paraId="03043DC9"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7BC642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315B7EC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79,5   </w:t>
            </w:r>
          </w:p>
        </w:tc>
        <w:tc>
          <w:tcPr>
            <w:tcW w:w="936" w:type="dxa"/>
            <w:tcBorders>
              <w:top w:val="nil"/>
              <w:left w:val="nil"/>
              <w:bottom w:val="single" w:sz="4" w:space="0" w:color="000000"/>
              <w:right w:val="single" w:sz="4" w:space="0" w:color="000000"/>
            </w:tcBorders>
            <w:shd w:val="clear" w:color="auto" w:fill="auto"/>
            <w:vAlign w:val="center"/>
          </w:tcPr>
          <w:p w14:paraId="1E1BFBE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33,7   </w:t>
            </w:r>
          </w:p>
        </w:tc>
        <w:tc>
          <w:tcPr>
            <w:tcW w:w="936" w:type="dxa"/>
            <w:tcBorders>
              <w:top w:val="nil"/>
              <w:left w:val="nil"/>
              <w:bottom w:val="single" w:sz="4" w:space="0" w:color="000000"/>
              <w:right w:val="single" w:sz="4" w:space="0" w:color="000000"/>
            </w:tcBorders>
            <w:shd w:val="clear" w:color="auto" w:fill="auto"/>
            <w:vAlign w:val="center"/>
          </w:tcPr>
          <w:p w14:paraId="329C86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32,4   </w:t>
            </w:r>
          </w:p>
        </w:tc>
        <w:tc>
          <w:tcPr>
            <w:tcW w:w="936" w:type="dxa"/>
            <w:tcBorders>
              <w:top w:val="nil"/>
              <w:left w:val="nil"/>
              <w:bottom w:val="single" w:sz="4" w:space="0" w:color="000000"/>
              <w:right w:val="single" w:sz="4" w:space="0" w:color="000000"/>
            </w:tcBorders>
            <w:shd w:val="clear" w:color="auto" w:fill="auto"/>
            <w:vAlign w:val="center"/>
          </w:tcPr>
          <w:p w14:paraId="39D4F08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31,4   </w:t>
            </w:r>
          </w:p>
        </w:tc>
        <w:tc>
          <w:tcPr>
            <w:tcW w:w="936" w:type="dxa"/>
            <w:tcBorders>
              <w:top w:val="nil"/>
              <w:left w:val="nil"/>
              <w:bottom w:val="single" w:sz="4" w:space="0" w:color="000000"/>
              <w:right w:val="single" w:sz="4" w:space="0" w:color="000000"/>
            </w:tcBorders>
            <w:shd w:val="clear" w:color="auto" w:fill="auto"/>
            <w:vAlign w:val="center"/>
          </w:tcPr>
          <w:p w14:paraId="391B2B2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30,6   </w:t>
            </w:r>
          </w:p>
        </w:tc>
        <w:tc>
          <w:tcPr>
            <w:tcW w:w="936" w:type="dxa"/>
            <w:tcBorders>
              <w:top w:val="nil"/>
              <w:left w:val="nil"/>
              <w:bottom w:val="single" w:sz="4" w:space="0" w:color="000000"/>
              <w:right w:val="nil"/>
            </w:tcBorders>
            <w:shd w:val="clear" w:color="auto" w:fill="auto"/>
            <w:vAlign w:val="center"/>
          </w:tcPr>
          <w:p w14:paraId="62534A0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29,4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04C376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w:t>
            </w:r>
          </w:p>
        </w:tc>
        <w:tc>
          <w:tcPr>
            <w:tcW w:w="1243" w:type="dxa"/>
            <w:tcBorders>
              <w:top w:val="nil"/>
              <w:left w:val="nil"/>
              <w:bottom w:val="single" w:sz="4" w:space="0" w:color="000000"/>
              <w:right w:val="single" w:sz="4" w:space="0" w:color="000000"/>
            </w:tcBorders>
            <w:shd w:val="clear" w:color="auto" w:fill="auto"/>
            <w:vAlign w:val="center"/>
          </w:tcPr>
          <w:p w14:paraId="76F7299C"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-61,5%</w:t>
            </w:r>
          </w:p>
        </w:tc>
      </w:tr>
      <w:tr w:rsidR="00A0251B" w:rsidRPr="00CC35F0" w14:paraId="62B912C9"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4C3021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5833FD6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13,0   </w:t>
            </w:r>
          </w:p>
        </w:tc>
        <w:tc>
          <w:tcPr>
            <w:tcW w:w="936" w:type="dxa"/>
            <w:tcBorders>
              <w:top w:val="nil"/>
              <w:left w:val="nil"/>
              <w:bottom w:val="single" w:sz="4" w:space="0" w:color="000000"/>
              <w:right w:val="single" w:sz="4" w:space="0" w:color="000000"/>
            </w:tcBorders>
            <w:shd w:val="clear" w:color="auto" w:fill="auto"/>
            <w:vAlign w:val="center"/>
          </w:tcPr>
          <w:p w14:paraId="5D8E43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38,6   </w:t>
            </w:r>
          </w:p>
        </w:tc>
        <w:tc>
          <w:tcPr>
            <w:tcW w:w="936" w:type="dxa"/>
            <w:tcBorders>
              <w:top w:val="nil"/>
              <w:left w:val="nil"/>
              <w:bottom w:val="single" w:sz="4" w:space="0" w:color="000000"/>
              <w:right w:val="single" w:sz="4" w:space="0" w:color="000000"/>
            </w:tcBorders>
            <w:shd w:val="clear" w:color="auto" w:fill="auto"/>
            <w:vAlign w:val="center"/>
          </w:tcPr>
          <w:p w14:paraId="35D2673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37,8   </w:t>
            </w:r>
          </w:p>
        </w:tc>
        <w:tc>
          <w:tcPr>
            <w:tcW w:w="936" w:type="dxa"/>
            <w:tcBorders>
              <w:top w:val="nil"/>
              <w:left w:val="nil"/>
              <w:bottom w:val="single" w:sz="4" w:space="0" w:color="000000"/>
              <w:right w:val="single" w:sz="4" w:space="0" w:color="000000"/>
            </w:tcBorders>
            <w:shd w:val="clear" w:color="auto" w:fill="auto"/>
            <w:vAlign w:val="center"/>
          </w:tcPr>
          <w:p w14:paraId="63CEBF4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33,8   </w:t>
            </w:r>
          </w:p>
        </w:tc>
        <w:tc>
          <w:tcPr>
            <w:tcW w:w="936" w:type="dxa"/>
            <w:tcBorders>
              <w:top w:val="nil"/>
              <w:left w:val="nil"/>
              <w:bottom w:val="single" w:sz="4" w:space="0" w:color="000000"/>
              <w:right w:val="single" w:sz="4" w:space="0" w:color="000000"/>
            </w:tcBorders>
            <w:shd w:val="clear" w:color="auto" w:fill="auto"/>
            <w:vAlign w:val="center"/>
          </w:tcPr>
          <w:p w14:paraId="0D8D3B9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31,1   </w:t>
            </w:r>
          </w:p>
        </w:tc>
        <w:tc>
          <w:tcPr>
            <w:tcW w:w="936" w:type="dxa"/>
            <w:tcBorders>
              <w:top w:val="nil"/>
              <w:left w:val="nil"/>
              <w:bottom w:val="single" w:sz="4" w:space="0" w:color="000000"/>
              <w:right w:val="nil"/>
            </w:tcBorders>
            <w:shd w:val="clear" w:color="auto" w:fill="auto"/>
            <w:vAlign w:val="center"/>
          </w:tcPr>
          <w:p w14:paraId="7E341B8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3010AD5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-19,5%</w:t>
            </w:r>
          </w:p>
        </w:tc>
        <w:tc>
          <w:tcPr>
            <w:tcW w:w="1243" w:type="dxa"/>
            <w:tcBorders>
              <w:top w:val="nil"/>
              <w:left w:val="nil"/>
              <w:bottom w:val="single" w:sz="4" w:space="0" w:color="000000"/>
              <w:right w:val="single" w:sz="4" w:space="0" w:color="000000"/>
            </w:tcBorders>
            <w:shd w:val="clear" w:color="auto" w:fill="auto"/>
            <w:vAlign w:val="center"/>
          </w:tcPr>
          <w:p w14:paraId="0AD6850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139,5%</w:t>
            </w:r>
          </w:p>
        </w:tc>
      </w:tr>
      <w:tr w:rsidR="00A0251B" w:rsidRPr="00CC35F0" w14:paraId="129A1735"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7112954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70F623C7"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107,5   </w:t>
            </w:r>
          </w:p>
        </w:tc>
        <w:tc>
          <w:tcPr>
            <w:tcW w:w="936" w:type="dxa"/>
            <w:tcBorders>
              <w:top w:val="nil"/>
              <w:left w:val="single" w:sz="4" w:space="0" w:color="000000"/>
              <w:bottom w:val="single" w:sz="4" w:space="0" w:color="000000"/>
              <w:right w:val="nil"/>
            </w:tcBorders>
            <w:shd w:val="clear" w:color="auto" w:fill="auto"/>
            <w:vAlign w:val="center"/>
          </w:tcPr>
          <w:p w14:paraId="2DC778B6"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83,8   </w:t>
            </w:r>
          </w:p>
        </w:tc>
        <w:tc>
          <w:tcPr>
            <w:tcW w:w="936" w:type="dxa"/>
            <w:tcBorders>
              <w:top w:val="nil"/>
              <w:left w:val="single" w:sz="4" w:space="0" w:color="000000"/>
              <w:bottom w:val="single" w:sz="4" w:space="0" w:color="000000"/>
              <w:right w:val="nil"/>
            </w:tcBorders>
            <w:shd w:val="clear" w:color="auto" w:fill="auto"/>
            <w:vAlign w:val="center"/>
          </w:tcPr>
          <w:p w14:paraId="586EBBD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80,7   </w:t>
            </w:r>
          </w:p>
        </w:tc>
        <w:tc>
          <w:tcPr>
            <w:tcW w:w="936" w:type="dxa"/>
            <w:tcBorders>
              <w:top w:val="nil"/>
              <w:left w:val="single" w:sz="4" w:space="0" w:color="000000"/>
              <w:bottom w:val="single" w:sz="4" w:space="0" w:color="000000"/>
              <w:right w:val="nil"/>
            </w:tcBorders>
            <w:shd w:val="clear" w:color="auto" w:fill="auto"/>
            <w:vAlign w:val="center"/>
          </w:tcPr>
          <w:p w14:paraId="2B297CF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72,0   </w:t>
            </w:r>
          </w:p>
        </w:tc>
        <w:tc>
          <w:tcPr>
            <w:tcW w:w="936" w:type="dxa"/>
            <w:tcBorders>
              <w:top w:val="nil"/>
              <w:left w:val="single" w:sz="4" w:space="0" w:color="000000"/>
              <w:bottom w:val="single" w:sz="4" w:space="0" w:color="000000"/>
              <w:right w:val="nil"/>
            </w:tcBorders>
            <w:shd w:val="clear" w:color="auto" w:fill="auto"/>
            <w:vAlign w:val="center"/>
          </w:tcPr>
          <w:p w14:paraId="71AB5F8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67,9   </w:t>
            </w:r>
          </w:p>
        </w:tc>
        <w:tc>
          <w:tcPr>
            <w:tcW w:w="936" w:type="dxa"/>
            <w:tcBorders>
              <w:top w:val="nil"/>
              <w:left w:val="single" w:sz="4" w:space="0" w:color="000000"/>
              <w:bottom w:val="single" w:sz="4" w:space="0" w:color="000000"/>
              <w:right w:val="nil"/>
            </w:tcBorders>
            <w:shd w:val="clear" w:color="auto" w:fill="auto"/>
            <w:vAlign w:val="center"/>
          </w:tcPr>
          <w:p w14:paraId="567D85E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62,0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887CFE8"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-18,9%</w:t>
            </w:r>
          </w:p>
        </w:tc>
        <w:tc>
          <w:tcPr>
            <w:tcW w:w="1243" w:type="dxa"/>
            <w:tcBorders>
              <w:top w:val="nil"/>
              <w:left w:val="nil"/>
              <w:bottom w:val="single" w:sz="4" w:space="0" w:color="000000"/>
              <w:right w:val="single" w:sz="4" w:space="0" w:color="000000"/>
            </w:tcBorders>
            <w:shd w:val="clear" w:color="auto" w:fill="auto"/>
            <w:vAlign w:val="center"/>
          </w:tcPr>
          <w:p w14:paraId="7D3FC5F4"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-36,8%</w:t>
            </w:r>
          </w:p>
        </w:tc>
      </w:tr>
      <w:tr w:rsidR="00A0251B" w:rsidRPr="00CC35F0" w14:paraId="1FE20BED" w14:textId="77777777">
        <w:trPr>
          <w:trHeight w:val="260"/>
        </w:trPr>
        <w:tc>
          <w:tcPr>
            <w:tcW w:w="2056" w:type="dxa"/>
            <w:tcBorders>
              <w:top w:val="nil"/>
              <w:left w:val="nil"/>
              <w:bottom w:val="nil"/>
              <w:right w:val="nil"/>
            </w:tcBorders>
            <w:shd w:val="clear" w:color="auto" w:fill="FFFFFF"/>
            <w:vAlign w:val="center"/>
          </w:tcPr>
          <w:p w14:paraId="3C78FF9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8F1BADE"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C9A91E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0DCB1D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D9FA4A0"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07B834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4D69713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612882F9"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6A35754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6E56103F" w14:textId="77777777">
        <w:trPr>
          <w:trHeight w:val="260"/>
        </w:trPr>
        <w:tc>
          <w:tcPr>
            <w:tcW w:w="2056" w:type="dxa"/>
            <w:tcBorders>
              <w:top w:val="nil"/>
              <w:left w:val="nil"/>
              <w:bottom w:val="single" w:sz="4" w:space="0" w:color="000000"/>
              <w:right w:val="nil"/>
            </w:tcBorders>
            <w:shd w:val="clear" w:color="auto" w:fill="FFFFFF"/>
            <w:vAlign w:val="center"/>
          </w:tcPr>
          <w:p w14:paraId="3DF04DB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NH</w:t>
            </w:r>
            <w:r w:rsidRPr="00CC35F0">
              <w:rPr>
                <w:rFonts w:ascii="Times New Roman" w:eastAsia="Times New Roman" w:hAnsi="Times New Roman"/>
                <w:sz w:val="24"/>
                <w:szCs w:val="24"/>
                <w:vertAlign w:val="subscript"/>
                <w:lang w:val="sr-Cyrl-CS"/>
              </w:rPr>
              <w:t>3</w:t>
            </w:r>
          </w:p>
        </w:tc>
        <w:tc>
          <w:tcPr>
            <w:tcW w:w="936" w:type="dxa"/>
            <w:tcBorders>
              <w:top w:val="nil"/>
              <w:left w:val="nil"/>
              <w:bottom w:val="nil"/>
              <w:right w:val="nil"/>
            </w:tcBorders>
            <w:shd w:val="clear" w:color="auto" w:fill="FFFFFF"/>
            <w:vAlign w:val="center"/>
          </w:tcPr>
          <w:p w14:paraId="46E2AF1D"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0164BD8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10C6F32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3B69F6BB"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6B2B3CA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936" w:type="dxa"/>
            <w:tcBorders>
              <w:top w:val="nil"/>
              <w:left w:val="nil"/>
              <w:bottom w:val="nil"/>
              <w:right w:val="nil"/>
            </w:tcBorders>
            <w:shd w:val="clear" w:color="auto" w:fill="FFFFFF"/>
            <w:vAlign w:val="center"/>
          </w:tcPr>
          <w:p w14:paraId="74C3F88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1D21AC02"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c>
          <w:tcPr>
            <w:tcW w:w="1243" w:type="dxa"/>
            <w:tcBorders>
              <w:top w:val="nil"/>
              <w:left w:val="nil"/>
              <w:bottom w:val="nil"/>
              <w:right w:val="nil"/>
            </w:tcBorders>
            <w:shd w:val="clear" w:color="auto" w:fill="FFFFFF"/>
            <w:vAlign w:val="center"/>
          </w:tcPr>
          <w:p w14:paraId="2FD08A4A"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w:t>
            </w:r>
          </w:p>
        </w:tc>
      </w:tr>
      <w:tr w:rsidR="00A0251B" w:rsidRPr="00CC35F0" w14:paraId="0AFD849B" w14:textId="77777777">
        <w:trPr>
          <w:trHeight w:val="250"/>
        </w:trPr>
        <w:tc>
          <w:tcPr>
            <w:tcW w:w="2056" w:type="dxa"/>
            <w:tcBorders>
              <w:top w:val="nil"/>
              <w:left w:val="single" w:sz="4" w:space="0" w:color="000000"/>
              <w:bottom w:val="nil"/>
              <w:right w:val="single" w:sz="4" w:space="0" w:color="000000"/>
            </w:tcBorders>
            <w:shd w:val="clear" w:color="auto" w:fill="DAEEF3"/>
            <w:vAlign w:val="center"/>
          </w:tcPr>
          <w:p w14:paraId="76BA392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Сценарио WAM_C </w:t>
            </w:r>
          </w:p>
        </w:tc>
        <w:tc>
          <w:tcPr>
            <w:tcW w:w="936" w:type="dxa"/>
            <w:tcBorders>
              <w:top w:val="single" w:sz="4" w:space="0" w:color="000000"/>
              <w:left w:val="nil"/>
              <w:bottom w:val="single" w:sz="4" w:space="0" w:color="000000"/>
              <w:right w:val="nil"/>
            </w:tcBorders>
            <w:shd w:val="clear" w:color="auto" w:fill="DAEEF3"/>
            <w:vAlign w:val="center"/>
          </w:tcPr>
          <w:p w14:paraId="612F2ECF"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2005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6A23AA77"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2015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754F8D51"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07ED407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2025</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33CE8EDD"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w:t>
            </w:r>
          </w:p>
        </w:tc>
        <w:tc>
          <w:tcPr>
            <w:tcW w:w="936" w:type="dxa"/>
            <w:tcBorders>
              <w:top w:val="single" w:sz="4" w:space="0" w:color="000000"/>
              <w:left w:val="single" w:sz="4" w:space="0" w:color="000000"/>
              <w:bottom w:val="single" w:sz="4" w:space="0" w:color="000000"/>
              <w:right w:val="nil"/>
            </w:tcBorders>
            <w:shd w:val="clear" w:color="auto" w:fill="DAEEF3"/>
            <w:vAlign w:val="center"/>
          </w:tcPr>
          <w:p w14:paraId="164B7D4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2035</w:t>
            </w:r>
          </w:p>
        </w:tc>
        <w:tc>
          <w:tcPr>
            <w:tcW w:w="1243" w:type="dxa"/>
            <w:tcBorders>
              <w:top w:val="single" w:sz="4" w:space="0" w:color="000000"/>
              <w:left w:val="single" w:sz="12" w:space="0" w:color="000000"/>
              <w:bottom w:val="single" w:sz="4" w:space="0" w:color="000000"/>
              <w:right w:val="single" w:sz="4" w:space="0" w:color="000000"/>
            </w:tcBorders>
            <w:shd w:val="clear" w:color="auto" w:fill="DAEEF3"/>
            <w:vAlign w:val="center"/>
          </w:tcPr>
          <w:p w14:paraId="69117065"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2030/2015</w:t>
            </w:r>
          </w:p>
        </w:tc>
        <w:tc>
          <w:tcPr>
            <w:tcW w:w="1243" w:type="dxa"/>
            <w:tcBorders>
              <w:top w:val="single" w:sz="4" w:space="0" w:color="000000"/>
              <w:left w:val="nil"/>
              <w:bottom w:val="single" w:sz="4" w:space="0" w:color="000000"/>
              <w:right w:val="single" w:sz="4" w:space="0" w:color="000000"/>
            </w:tcBorders>
            <w:shd w:val="clear" w:color="auto" w:fill="DAEEF3"/>
            <w:vAlign w:val="center"/>
          </w:tcPr>
          <w:p w14:paraId="5D11B299" w14:textId="77777777" w:rsidR="00A0251B" w:rsidRPr="00CC35F0" w:rsidRDefault="008D6506">
            <w:pPr>
              <w:spacing w:before="12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2030/2005</w:t>
            </w:r>
          </w:p>
        </w:tc>
      </w:tr>
      <w:tr w:rsidR="00A0251B" w:rsidRPr="00CC35F0" w14:paraId="30B955B5" w14:textId="77777777">
        <w:trPr>
          <w:trHeight w:val="250"/>
        </w:trPr>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4EC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А_Ел. енергија, јавна </w:t>
            </w:r>
          </w:p>
        </w:tc>
        <w:tc>
          <w:tcPr>
            <w:tcW w:w="936" w:type="dxa"/>
            <w:tcBorders>
              <w:top w:val="nil"/>
              <w:left w:val="nil"/>
              <w:bottom w:val="single" w:sz="4" w:space="0" w:color="000000"/>
              <w:right w:val="single" w:sz="4" w:space="0" w:color="000000"/>
            </w:tcBorders>
            <w:shd w:val="clear" w:color="auto" w:fill="auto"/>
            <w:vAlign w:val="center"/>
          </w:tcPr>
          <w:p w14:paraId="158D3AA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6611069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637BA5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12F42E0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C97035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0867BB9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E94059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5FA7501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2EF311E4"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119CD2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B_Индустрија</w:t>
            </w:r>
          </w:p>
        </w:tc>
        <w:tc>
          <w:tcPr>
            <w:tcW w:w="936" w:type="dxa"/>
            <w:tcBorders>
              <w:top w:val="nil"/>
              <w:left w:val="nil"/>
              <w:bottom w:val="single" w:sz="4" w:space="0" w:color="000000"/>
              <w:right w:val="single" w:sz="4" w:space="0" w:color="000000"/>
            </w:tcBorders>
            <w:shd w:val="clear" w:color="auto" w:fill="auto"/>
            <w:vAlign w:val="center"/>
          </w:tcPr>
          <w:p w14:paraId="65E1420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6,1   </w:t>
            </w:r>
          </w:p>
        </w:tc>
        <w:tc>
          <w:tcPr>
            <w:tcW w:w="936" w:type="dxa"/>
            <w:tcBorders>
              <w:top w:val="nil"/>
              <w:left w:val="nil"/>
              <w:bottom w:val="single" w:sz="4" w:space="0" w:color="000000"/>
              <w:right w:val="single" w:sz="4" w:space="0" w:color="000000"/>
            </w:tcBorders>
            <w:shd w:val="clear" w:color="auto" w:fill="auto"/>
            <w:vAlign w:val="center"/>
          </w:tcPr>
          <w:p w14:paraId="0DAF5BC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   </w:t>
            </w:r>
          </w:p>
        </w:tc>
        <w:tc>
          <w:tcPr>
            <w:tcW w:w="936" w:type="dxa"/>
            <w:tcBorders>
              <w:top w:val="nil"/>
              <w:left w:val="nil"/>
              <w:bottom w:val="single" w:sz="4" w:space="0" w:color="000000"/>
              <w:right w:val="single" w:sz="4" w:space="0" w:color="000000"/>
            </w:tcBorders>
            <w:shd w:val="clear" w:color="auto" w:fill="auto"/>
            <w:vAlign w:val="center"/>
          </w:tcPr>
          <w:p w14:paraId="1B612C4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79EC55B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7AA22B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nil"/>
            </w:tcBorders>
            <w:shd w:val="clear" w:color="auto" w:fill="auto"/>
            <w:vAlign w:val="center"/>
          </w:tcPr>
          <w:p w14:paraId="3A6A858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390FA9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-89,7%</w:t>
            </w:r>
          </w:p>
        </w:tc>
        <w:tc>
          <w:tcPr>
            <w:tcW w:w="1243" w:type="dxa"/>
            <w:tcBorders>
              <w:top w:val="nil"/>
              <w:left w:val="nil"/>
              <w:bottom w:val="single" w:sz="4" w:space="0" w:color="000000"/>
              <w:right w:val="single" w:sz="4" w:space="0" w:color="000000"/>
            </w:tcBorders>
            <w:shd w:val="clear" w:color="auto" w:fill="auto"/>
            <w:vAlign w:val="center"/>
          </w:tcPr>
          <w:p w14:paraId="0BEA19F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-93,6%</w:t>
            </w:r>
          </w:p>
        </w:tc>
      </w:tr>
      <w:tr w:rsidR="00A0251B" w:rsidRPr="00CC35F0" w14:paraId="173D1378" w14:textId="77777777">
        <w:trPr>
          <w:trHeight w:val="50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E0226A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C_Остали стационарни извори</w:t>
            </w:r>
          </w:p>
        </w:tc>
        <w:tc>
          <w:tcPr>
            <w:tcW w:w="936" w:type="dxa"/>
            <w:tcBorders>
              <w:top w:val="nil"/>
              <w:left w:val="nil"/>
              <w:bottom w:val="single" w:sz="4" w:space="0" w:color="000000"/>
              <w:right w:val="single" w:sz="4" w:space="0" w:color="000000"/>
            </w:tcBorders>
            <w:shd w:val="clear" w:color="auto" w:fill="auto"/>
            <w:vAlign w:val="center"/>
          </w:tcPr>
          <w:p w14:paraId="7391B1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2,4   </w:t>
            </w:r>
          </w:p>
        </w:tc>
        <w:tc>
          <w:tcPr>
            <w:tcW w:w="936" w:type="dxa"/>
            <w:tcBorders>
              <w:top w:val="nil"/>
              <w:left w:val="nil"/>
              <w:bottom w:val="single" w:sz="4" w:space="0" w:color="000000"/>
              <w:right w:val="single" w:sz="4" w:space="0" w:color="000000"/>
            </w:tcBorders>
            <w:shd w:val="clear" w:color="auto" w:fill="auto"/>
            <w:vAlign w:val="center"/>
          </w:tcPr>
          <w:p w14:paraId="375EFD3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2,5   </w:t>
            </w:r>
          </w:p>
        </w:tc>
        <w:tc>
          <w:tcPr>
            <w:tcW w:w="936" w:type="dxa"/>
            <w:tcBorders>
              <w:top w:val="nil"/>
              <w:left w:val="nil"/>
              <w:bottom w:val="single" w:sz="4" w:space="0" w:color="000000"/>
              <w:right w:val="single" w:sz="4" w:space="0" w:color="000000"/>
            </w:tcBorders>
            <w:shd w:val="clear" w:color="auto" w:fill="auto"/>
            <w:vAlign w:val="center"/>
          </w:tcPr>
          <w:p w14:paraId="5224BE4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single" w:sz="4" w:space="0" w:color="000000"/>
            </w:tcBorders>
            <w:shd w:val="clear" w:color="auto" w:fill="auto"/>
            <w:vAlign w:val="center"/>
          </w:tcPr>
          <w:p w14:paraId="66A4BCC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   </w:t>
            </w:r>
          </w:p>
        </w:tc>
        <w:tc>
          <w:tcPr>
            <w:tcW w:w="936" w:type="dxa"/>
            <w:tcBorders>
              <w:top w:val="nil"/>
              <w:left w:val="nil"/>
              <w:bottom w:val="single" w:sz="4" w:space="0" w:color="000000"/>
              <w:right w:val="single" w:sz="4" w:space="0" w:color="000000"/>
            </w:tcBorders>
            <w:shd w:val="clear" w:color="auto" w:fill="auto"/>
            <w:vAlign w:val="center"/>
          </w:tcPr>
          <w:p w14:paraId="58EBECD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2,3   </w:t>
            </w:r>
          </w:p>
        </w:tc>
        <w:tc>
          <w:tcPr>
            <w:tcW w:w="936" w:type="dxa"/>
            <w:tcBorders>
              <w:top w:val="nil"/>
              <w:left w:val="nil"/>
              <w:bottom w:val="single" w:sz="4" w:space="0" w:color="000000"/>
              <w:right w:val="nil"/>
            </w:tcBorders>
            <w:shd w:val="clear" w:color="auto" w:fill="auto"/>
            <w:vAlign w:val="center"/>
          </w:tcPr>
          <w:p w14:paraId="6DEA1BA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933687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-7,3%</w:t>
            </w:r>
          </w:p>
        </w:tc>
        <w:tc>
          <w:tcPr>
            <w:tcW w:w="1243" w:type="dxa"/>
            <w:tcBorders>
              <w:top w:val="nil"/>
              <w:left w:val="nil"/>
              <w:bottom w:val="single" w:sz="4" w:space="0" w:color="000000"/>
              <w:right w:val="single" w:sz="4" w:space="0" w:color="000000"/>
            </w:tcBorders>
            <w:shd w:val="clear" w:color="auto" w:fill="auto"/>
            <w:vAlign w:val="center"/>
          </w:tcPr>
          <w:p w14:paraId="543BDA9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w:t>
            </w:r>
          </w:p>
        </w:tc>
      </w:tr>
      <w:tr w:rsidR="00A0251B" w:rsidRPr="00CC35F0" w14:paraId="125E144A"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D20A2C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D_Ненамерне</w:t>
            </w:r>
          </w:p>
        </w:tc>
        <w:tc>
          <w:tcPr>
            <w:tcW w:w="936" w:type="dxa"/>
            <w:tcBorders>
              <w:top w:val="nil"/>
              <w:left w:val="nil"/>
              <w:bottom w:val="single" w:sz="4" w:space="0" w:color="000000"/>
              <w:right w:val="single" w:sz="4" w:space="0" w:color="000000"/>
            </w:tcBorders>
            <w:shd w:val="clear" w:color="auto" w:fill="auto"/>
            <w:vAlign w:val="center"/>
          </w:tcPr>
          <w:p w14:paraId="0812AC3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F65FC6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16917C6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65F161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68E089C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0911EA4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0F54DFD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8,6%</w:t>
            </w:r>
          </w:p>
        </w:tc>
        <w:tc>
          <w:tcPr>
            <w:tcW w:w="1243" w:type="dxa"/>
            <w:tcBorders>
              <w:top w:val="nil"/>
              <w:left w:val="nil"/>
              <w:bottom w:val="single" w:sz="4" w:space="0" w:color="000000"/>
              <w:right w:val="single" w:sz="4" w:space="0" w:color="000000"/>
            </w:tcBorders>
            <w:shd w:val="clear" w:color="auto" w:fill="auto"/>
            <w:vAlign w:val="center"/>
          </w:tcPr>
          <w:p w14:paraId="461AEF6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-70,5%</w:t>
            </w:r>
          </w:p>
        </w:tc>
      </w:tr>
      <w:tr w:rsidR="00A0251B" w:rsidRPr="00CC35F0" w14:paraId="2B06A745"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E3D094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E_Растварачи</w:t>
            </w:r>
          </w:p>
        </w:tc>
        <w:tc>
          <w:tcPr>
            <w:tcW w:w="936" w:type="dxa"/>
            <w:tcBorders>
              <w:top w:val="nil"/>
              <w:left w:val="nil"/>
              <w:bottom w:val="single" w:sz="4" w:space="0" w:color="000000"/>
              <w:right w:val="single" w:sz="4" w:space="0" w:color="000000"/>
            </w:tcBorders>
            <w:shd w:val="clear" w:color="auto" w:fill="auto"/>
            <w:vAlign w:val="center"/>
          </w:tcPr>
          <w:p w14:paraId="469939E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7F4E9E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0,1   </w:t>
            </w:r>
          </w:p>
        </w:tc>
        <w:tc>
          <w:tcPr>
            <w:tcW w:w="936" w:type="dxa"/>
            <w:tcBorders>
              <w:top w:val="nil"/>
              <w:left w:val="nil"/>
              <w:bottom w:val="single" w:sz="4" w:space="0" w:color="000000"/>
              <w:right w:val="single" w:sz="4" w:space="0" w:color="000000"/>
            </w:tcBorders>
            <w:shd w:val="clear" w:color="auto" w:fill="auto"/>
            <w:vAlign w:val="center"/>
          </w:tcPr>
          <w:p w14:paraId="0625159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57BAD6B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35CC0A8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nil"/>
            </w:tcBorders>
            <w:shd w:val="clear" w:color="auto" w:fill="auto"/>
            <w:vAlign w:val="center"/>
          </w:tcPr>
          <w:p w14:paraId="6FBD24B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636D02E"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20,7%</w:t>
            </w:r>
          </w:p>
        </w:tc>
        <w:tc>
          <w:tcPr>
            <w:tcW w:w="1243" w:type="dxa"/>
            <w:tcBorders>
              <w:top w:val="nil"/>
              <w:left w:val="nil"/>
              <w:bottom w:val="single" w:sz="4" w:space="0" w:color="000000"/>
              <w:right w:val="single" w:sz="4" w:space="0" w:color="000000"/>
            </w:tcBorders>
            <w:shd w:val="clear" w:color="auto" w:fill="auto"/>
            <w:vAlign w:val="center"/>
          </w:tcPr>
          <w:p w14:paraId="3FDD6208"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128,9%</w:t>
            </w:r>
          </w:p>
        </w:tc>
      </w:tr>
      <w:tr w:rsidR="00A0251B" w:rsidRPr="00CC35F0" w14:paraId="5DBDB4FB"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94BDE2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F_Друмски саобраћај</w:t>
            </w:r>
          </w:p>
        </w:tc>
        <w:tc>
          <w:tcPr>
            <w:tcW w:w="936" w:type="dxa"/>
            <w:tcBorders>
              <w:top w:val="nil"/>
              <w:left w:val="nil"/>
              <w:bottom w:val="single" w:sz="4" w:space="0" w:color="000000"/>
              <w:right w:val="single" w:sz="4" w:space="0" w:color="000000"/>
            </w:tcBorders>
            <w:shd w:val="clear" w:color="auto" w:fill="auto"/>
            <w:vAlign w:val="center"/>
          </w:tcPr>
          <w:p w14:paraId="2E96611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936" w:type="dxa"/>
            <w:tcBorders>
              <w:top w:val="nil"/>
              <w:left w:val="nil"/>
              <w:bottom w:val="single" w:sz="4" w:space="0" w:color="000000"/>
              <w:right w:val="single" w:sz="4" w:space="0" w:color="000000"/>
            </w:tcBorders>
            <w:shd w:val="clear" w:color="auto" w:fill="auto"/>
            <w:vAlign w:val="center"/>
          </w:tcPr>
          <w:p w14:paraId="5A16E6C0"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3B9F2D3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0,4   </w:t>
            </w:r>
          </w:p>
        </w:tc>
        <w:tc>
          <w:tcPr>
            <w:tcW w:w="936" w:type="dxa"/>
            <w:tcBorders>
              <w:top w:val="nil"/>
              <w:left w:val="nil"/>
              <w:bottom w:val="single" w:sz="4" w:space="0" w:color="000000"/>
              <w:right w:val="single" w:sz="4" w:space="0" w:color="000000"/>
            </w:tcBorders>
            <w:shd w:val="clear" w:color="auto" w:fill="auto"/>
            <w:vAlign w:val="center"/>
          </w:tcPr>
          <w:p w14:paraId="64966C2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single" w:sz="4" w:space="0" w:color="000000"/>
            </w:tcBorders>
            <w:shd w:val="clear" w:color="auto" w:fill="auto"/>
            <w:vAlign w:val="center"/>
          </w:tcPr>
          <w:p w14:paraId="79C0C1F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0,3   </w:t>
            </w:r>
          </w:p>
        </w:tc>
        <w:tc>
          <w:tcPr>
            <w:tcW w:w="936" w:type="dxa"/>
            <w:tcBorders>
              <w:top w:val="nil"/>
              <w:left w:val="nil"/>
              <w:bottom w:val="single" w:sz="4" w:space="0" w:color="000000"/>
              <w:right w:val="nil"/>
            </w:tcBorders>
            <w:shd w:val="clear" w:color="auto" w:fill="auto"/>
            <w:vAlign w:val="center"/>
          </w:tcPr>
          <w:p w14:paraId="72DE868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0,2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5DDC1334"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-34,5%</w:t>
            </w:r>
          </w:p>
        </w:tc>
        <w:tc>
          <w:tcPr>
            <w:tcW w:w="1243" w:type="dxa"/>
            <w:tcBorders>
              <w:top w:val="nil"/>
              <w:left w:val="nil"/>
              <w:bottom w:val="single" w:sz="4" w:space="0" w:color="000000"/>
              <w:right w:val="single" w:sz="4" w:space="0" w:color="000000"/>
            </w:tcBorders>
            <w:shd w:val="clear" w:color="auto" w:fill="auto"/>
            <w:vAlign w:val="center"/>
          </w:tcPr>
          <w:p w14:paraId="5ED99F3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7,1%</w:t>
            </w:r>
          </w:p>
        </w:tc>
      </w:tr>
      <w:tr w:rsidR="00A0251B" w:rsidRPr="00CC35F0" w14:paraId="44F33BC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51D4DD4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G_Водни саобраћај</w:t>
            </w:r>
          </w:p>
        </w:tc>
        <w:tc>
          <w:tcPr>
            <w:tcW w:w="936" w:type="dxa"/>
            <w:tcBorders>
              <w:top w:val="nil"/>
              <w:left w:val="nil"/>
              <w:bottom w:val="single" w:sz="4" w:space="0" w:color="000000"/>
              <w:right w:val="single" w:sz="4" w:space="0" w:color="000000"/>
            </w:tcBorders>
            <w:shd w:val="clear" w:color="auto" w:fill="auto"/>
            <w:vAlign w:val="center"/>
          </w:tcPr>
          <w:p w14:paraId="6E3982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2F625B4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6B5598D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4DD6A58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E9962C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1D6FE06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800EDBD"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06AD647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6B3011C9"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248733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H_Авио саобраћај</w:t>
            </w:r>
          </w:p>
        </w:tc>
        <w:tc>
          <w:tcPr>
            <w:tcW w:w="936" w:type="dxa"/>
            <w:tcBorders>
              <w:top w:val="nil"/>
              <w:left w:val="nil"/>
              <w:bottom w:val="single" w:sz="4" w:space="0" w:color="000000"/>
              <w:right w:val="single" w:sz="4" w:space="0" w:color="000000"/>
            </w:tcBorders>
            <w:shd w:val="clear" w:color="auto" w:fill="auto"/>
            <w:vAlign w:val="center"/>
          </w:tcPr>
          <w:p w14:paraId="7078FAD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6C3BFF9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54C93CD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4730D19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single" w:sz="4" w:space="0" w:color="000000"/>
            </w:tcBorders>
            <w:shd w:val="clear" w:color="auto" w:fill="auto"/>
            <w:vAlign w:val="center"/>
          </w:tcPr>
          <w:p w14:paraId="36E63A0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936" w:type="dxa"/>
            <w:tcBorders>
              <w:top w:val="nil"/>
              <w:left w:val="nil"/>
              <w:bottom w:val="single" w:sz="4" w:space="0" w:color="000000"/>
              <w:right w:val="nil"/>
            </w:tcBorders>
            <w:shd w:val="clear" w:color="auto" w:fill="auto"/>
            <w:vAlign w:val="center"/>
          </w:tcPr>
          <w:p w14:paraId="394C9E5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B6274B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c>
          <w:tcPr>
            <w:tcW w:w="1243" w:type="dxa"/>
            <w:tcBorders>
              <w:top w:val="nil"/>
              <w:left w:val="nil"/>
              <w:bottom w:val="single" w:sz="4" w:space="0" w:color="000000"/>
              <w:right w:val="single" w:sz="4" w:space="0" w:color="000000"/>
            </w:tcBorders>
            <w:shd w:val="clear" w:color="auto" w:fill="auto"/>
            <w:vAlign w:val="center"/>
          </w:tcPr>
          <w:p w14:paraId="1B24BB3F"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w:t>
            </w:r>
          </w:p>
        </w:tc>
      </w:tr>
      <w:tr w:rsidR="00A0251B" w:rsidRPr="00CC35F0" w14:paraId="511B1BA6"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2E274B2D"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I_ТМ</w:t>
            </w:r>
          </w:p>
        </w:tc>
        <w:tc>
          <w:tcPr>
            <w:tcW w:w="936" w:type="dxa"/>
            <w:tcBorders>
              <w:top w:val="nil"/>
              <w:left w:val="nil"/>
              <w:bottom w:val="single" w:sz="4" w:space="0" w:color="000000"/>
              <w:right w:val="single" w:sz="4" w:space="0" w:color="000000"/>
            </w:tcBorders>
            <w:shd w:val="clear" w:color="auto" w:fill="auto"/>
            <w:vAlign w:val="center"/>
          </w:tcPr>
          <w:p w14:paraId="347BBA4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09A5900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2F9347C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035014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single" w:sz="4" w:space="0" w:color="000000"/>
            </w:tcBorders>
            <w:shd w:val="clear" w:color="auto" w:fill="auto"/>
            <w:vAlign w:val="center"/>
          </w:tcPr>
          <w:p w14:paraId="4C7E9074"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936" w:type="dxa"/>
            <w:tcBorders>
              <w:top w:val="nil"/>
              <w:left w:val="nil"/>
              <w:bottom w:val="single" w:sz="4" w:space="0" w:color="000000"/>
              <w:right w:val="nil"/>
            </w:tcBorders>
            <w:shd w:val="clear" w:color="auto" w:fill="auto"/>
            <w:vAlign w:val="center"/>
          </w:tcPr>
          <w:p w14:paraId="2E788A8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0,0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6168505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-21,0%</w:t>
            </w:r>
          </w:p>
        </w:tc>
        <w:tc>
          <w:tcPr>
            <w:tcW w:w="1243" w:type="dxa"/>
            <w:tcBorders>
              <w:top w:val="nil"/>
              <w:left w:val="nil"/>
              <w:bottom w:val="single" w:sz="4" w:space="0" w:color="000000"/>
              <w:right w:val="single" w:sz="4" w:space="0" w:color="000000"/>
            </w:tcBorders>
            <w:shd w:val="clear" w:color="auto" w:fill="auto"/>
            <w:vAlign w:val="center"/>
          </w:tcPr>
          <w:p w14:paraId="79DDE806"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-35,5%</w:t>
            </w:r>
          </w:p>
        </w:tc>
      </w:tr>
      <w:tr w:rsidR="00A0251B" w:rsidRPr="00CC35F0" w14:paraId="685AEF36"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180097AF"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J_Отпад</w:t>
            </w:r>
          </w:p>
        </w:tc>
        <w:tc>
          <w:tcPr>
            <w:tcW w:w="936" w:type="dxa"/>
            <w:tcBorders>
              <w:top w:val="nil"/>
              <w:left w:val="nil"/>
              <w:bottom w:val="single" w:sz="4" w:space="0" w:color="000000"/>
              <w:right w:val="single" w:sz="4" w:space="0" w:color="000000"/>
            </w:tcBorders>
            <w:shd w:val="clear" w:color="auto" w:fill="auto"/>
            <w:vAlign w:val="center"/>
          </w:tcPr>
          <w:p w14:paraId="69C7C90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6,3   </w:t>
            </w:r>
          </w:p>
        </w:tc>
        <w:tc>
          <w:tcPr>
            <w:tcW w:w="936" w:type="dxa"/>
            <w:tcBorders>
              <w:top w:val="nil"/>
              <w:left w:val="nil"/>
              <w:bottom w:val="single" w:sz="4" w:space="0" w:color="000000"/>
              <w:right w:val="single" w:sz="4" w:space="0" w:color="000000"/>
            </w:tcBorders>
            <w:shd w:val="clear" w:color="auto" w:fill="auto"/>
            <w:vAlign w:val="center"/>
          </w:tcPr>
          <w:p w14:paraId="3077CAB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4,6   </w:t>
            </w:r>
          </w:p>
        </w:tc>
        <w:tc>
          <w:tcPr>
            <w:tcW w:w="936" w:type="dxa"/>
            <w:tcBorders>
              <w:top w:val="nil"/>
              <w:left w:val="nil"/>
              <w:bottom w:val="single" w:sz="4" w:space="0" w:color="000000"/>
              <w:right w:val="single" w:sz="4" w:space="0" w:color="000000"/>
            </w:tcBorders>
            <w:shd w:val="clear" w:color="auto" w:fill="auto"/>
            <w:vAlign w:val="center"/>
          </w:tcPr>
          <w:p w14:paraId="7EA898A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3,9   </w:t>
            </w:r>
          </w:p>
        </w:tc>
        <w:tc>
          <w:tcPr>
            <w:tcW w:w="936" w:type="dxa"/>
            <w:tcBorders>
              <w:top w:val="nil"/>
              <w:left w:val="nil"/>
              <w:bottom w:val="single" w:sz="4" w:space="0" w:color="000000"/>
              <w:right w:val="single" w:sz="4" w:space="0" w:color="000000"/>
            </w:tcBorders>
            <w:shd w:val="clear" w:color="auto" w:fill="auto"/>
            <w:vAlign w:val="center"/>
          </w:tcPr>
          <w:p w14:paraId="24F55E7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   </w:t>
            </w:r>
          </w:p>
        </w:tc>
        <w:tc>
          <w:tcPr>
            <w:tcW w:w="936" w:type="dxa"/>
            <w:tcBorders>
              <w:top w:val="nil"/>
              <w:left w:val="nil"/>
              <w:bottom w:val="single" w:sz="4" w:space="0" w:color="000000"/>
              <w:right w:val="single" w:sz="4" w:space="0" w:color="000000"/>
            </w:tcBorders>
            <w:shd w:val="clear" w:color="auto" w:fill="auto"/>
            <w:vAlign w:val="center"/>
          </w:tcPr>
          <w:p w14:paraId="7436CC2E"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2,8   </w:t>
            </w:r>
          </w:p>
        </w:tc>
        <w:tc>
          <w:tcPr>
            <w:tcW w:w="936" w:type="dxa"/>
            <w:tcBorders>
              <w:top w:val="nil"/>
              <w:left w:val="nil"/>
              <w:bottom w:val="single" w:sz="4" w:space="0" w:color="000000"/>
              <w:right w:val="nil"/>
            </w:tcBorders>
            <w:shd w:val="clear" w:color="auto" w:fill="auto"/>
            <w:vAlign w:val="center"/>
          </w:tcPr>
          <w:p w14:paraId="7543FAB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2,3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4BF54D6A"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-40,4%</w:t>
            </w:r>
          </w:p>
        </w:tc>
        <w:tc>
          <w:tcPr>
            <w:tcW w:w="1243" w:type="dxa"/>
            <w:tcBorders>
              <w:top w:val="nil"/>
              <w:left w:val="nil"/>
              <w:bottom w:val="single" w:sz="4" w:space="0" w:color="000000"/>
              <w:right w:val="single" w:sz="4" w:space="0" w:color="000000"/>
            </w:tcBorders>
            <w:shd w:val="clear" w:color="auto" w:fill="auto"/>
            <w:vAlign w:val="center"/>
          </w:tcPr>
          <w:p w14:paraId="1CA7B1C1"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-55,9%</w:t>
            </w:r>
          </w:p>
        </w:tc>
      </w:tr>
      <w:tr w:rsidR="00A0251B" w:rsidRPr="00CC35F0" w14:paraId="02A9D80D"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0397CA01"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K_Сточарство</w:t>
            </w:r>
          </w:p>
        </w:tc>
        <w:tc>
          <w:tcPr>
            <w:tcW w:w="936" w:type="dxa"/>
            <w:tcBorders>
              <w:top w:val="nil"/>
              <w:left w:val="nil"/>
              <w:bottom w:val="single" w:sz="4" w:space="0" w:color="000000"/>
              <w:right w:val="single" w:sz="4" w:space="0" w:color="000000"/>
            </w:tcBorders>
            <w:shd w:val="clear" w:color="auto" w:fill="auto"/>
            <w:vAlign w:val="center"/>
          </w:tcPr>
          <w:p w14:paraId="712D449A"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79,5   </w:t>
            </w:r>
          </w:p>
        </w:tc>
        <w:tc>
          <w:tcPr>
            <w:tcW w:w="936" w:type="dxa"/>
            <w:tcBorders>
              <w:top w:val="nil"/>
              <w:left w:val="nil"/>
              <w:bottom w:val="single" w:sz="4" w:space="0" w:color="000000"/>
              <w:right w:val="single" w:sz="4" w:space="0" w:color="000000"/>
            </w:tcBorders>
            <w:shd w:val="clear" w:color="auto" w:fill="auto"/>
            <w:vAlign w:val="center"/>
          </w:tcPr>
          <w:p w14:paraId="70ADC9A5"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33,7   </w:t>
            </w:r>
          </w:p>
        </w:tc>
        <w:tc>
          <w:tcPr>
            <w:tcW w:w="936" w:type="dxa"/>
            <w:tcBorders>
              <w:top w:val="nil"/>
              <w:left w:val="nil"/>
              <w:bottom w:val="single" w:sz="4" w:space="0" w:color="000000"/>
              <w:right w:val="single" w:sz="4" w:space="0" w:color="000000"/>
            </w:tcBorders>
            <w:shd w:val="clear" w:color="auto" w:fill="auto"/>
            <w:vAlign w:val="center"/>
          </w:tcPr>
          <w:p w14:paraId="561DA8F7"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32,4   </w:t>
            </w:r>
          </w:p>
        </w:tc>
        <w:tc>
          <w:tcPr>
            <w:tcW w:w="936" w:type="dxa"/>
            <w:tcBorders>
              <w:top w:val="nil"/>
              <w:left w:val="nil"/>
              <w:bottom w:val="single" w:sz="4" w:space="0" w:color="000000"/>
              <w:right w:val="single" w:sz="4" w:space="0" w:color="000000"/>
            </w:tcBorders>
            <w:shd w:val="clear" w:color="auto" w:fill="auto"/>
            <w:vAlign w:val="center"/>
          </w:tcPr>
          <w:p w14:paraId="4AE7E67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31,4   </w:t>
            </w:r>
          </w:p>
        </w:tc>
        <w:tc>
          <w:tcPr>
            <w:tcW w:w="936" w:type="dxa"/>
            <w:tcBorders>
              <w:top w:val="nil"/>
              <w:left w:val="nil"/>
              <w:bottom w:val="single" w:sz="4" w:space="0" w:color="000000"/>
              <w:right w:val="single" w:sz="4" w:space="0" w:color="000000"/>
            </w:tcBorders>
            <w:shd w:val="clear" w:color="auto" w:fill="auto"/>
            <w:vAlign w:val="center"/>
          </w:tcPr>
          <w:p w14:paraId="3D81622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30,6   </w:t>
            </w:r>
          </w:p>
        </w:tc>
        <w:tc>
          <w:tcPr>
            <w:tcW w:w="936" w:type="dxa"/>
            <w:tcBorders>
              <w:top w:val="nil"/>
              <w:left w:val="nil"/>
              <w:bottom w:val="single" w:sz="4" w:space="0" w:color="000000"/>
              <w:right w:val="nil"/>
            </w:tcBorders>
            <w:shd w:val="clear" w:color="auto" w:fill="auto"/>
            <w:vAlign w:val="center"/>
          </w:tcPr>
          <w:p w14:paraId="279F8D3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29,4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EF889E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w:t>
            </w:r>
          </w:p>
        </w:tc>
        <w:tc>
          <w:tcPr>
            <w:tcW w:w="1243" w:type="dxa"/>
            <w:tcBorders>
              <w:top w:val="nil"/>
              <w:left w:val="nil"/>
              <w:bottom w:val="single" w:sz="4" w:space="0" w:color="000000"/>
              <w:right w:val="single" w:sz="4" w:space="0" w:color="000000"/>
            </w:tcBorders>
            <w:shd w:val="clear" w:color="auto" w:fill="auto"/>
            <w:vAlign w:val="center"/>
          </w:tcPr>
          <w:p w14:paraId="0FCE9153"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-61,5%</w:t>
            </w:r>
          </w:p>
        </w:tc>
      </w:tr>
      <w:tr w:rsidR="00A0251B" w:rsidRPr="00CC35F0" w14:paraId="4BDECB13" w14:textId="77777777">
        <w:trPr>
          <w:trHeight w:val="250"/>
        </w:trPr>
        <w:tc>
          <w:tcPr>
            <w:tcW w:w="2056" w:type="dxa"/>
            <w:tcBorders>
              <w:top w:val="nil"/>
              <w:left w:val="single" w:sz="4" w:space="0" w:color="000000"/>
              <w:bottom w:val="single" w:sz="4" w:space="0" w:color="000000"/>
              <w:right w:val="single" w:sz="4" w:space="0" w:color="000000"/>
            </w:tcBorders>
            <w:shd w:val="clear" w:color="auto" w:fill="auto"/>
            <w:vAlign w:val="center"/>
          </w:tcPr>
          <w:p w14:paraId="48D2155B"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L_Остала пољопривреда</w:t>
            </w:r>
          </w:p>
        </w:tc>
        <w:tc>
          <w:tcPr>
            <w:tcW w:w="936" w:type="dxa"/>
            <w:tcBorders>
              <w:top w:val="nil"/>
              <w:left w:val="nil"/>
              <w:bottom w:val="single" w:sz="4" w:space="0" w:color="000000"/>
              <w:right w:val="single" w:sz="4" w:space="0" w:color="000000"/>
            </w:tcBorders>
            <w:shd w:val="clear" w:color="auto" w:fill="auto"/>
            <w:vAlign w:val="center"/>
          </w:tcPr>
          <w:p w14:paraId="3E8A2B76"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13,0   </w:t>
            </w:r>
          </w:p>
        </w:tc>
        <w:tc>
          <w:tcPr>
            <w:tcW w:w="936" w:type="dxa"/>
            <w:tcBorders>
              <w:top w:val="nil"/>
              <w:left w:val="nil"/>
              <w:bottom w:val="single" w:sz="4" w:space="0" w:color="000000"/>
              <w:right w:val="single" w:sz="4" w:space="0" w:color="000000"/>
            </w:tcBorders>
            <w:shd w:val="clear" w:color="auto" w:fill="auto"/>
            <w:vAlign w:val="center"/>
          </w:tcPr>
          <w:p w14:paraId="55B231D2"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38,6   </w:t>
            </w:r>
          </w:p>
        </w:tc>
        <w:tc>
          <w:tcPr>
            <w:tcW w:w="936" w:type="dxa"/>
            <w:tcBorders>
              <w:top w:val="nil"/>
              <w:left w:val="nil"/>
              <w:bottom w:val="single" w:sz="4" w:space="0" w:color="000000"/>
              <w:right w:val="single" w:sz="4" w:space="0" w:color="000000"/>
            </w:tcBorders>
            <w:shd w:val="clear" w:color="auto" w:fill="auto"/>
            <w:vAlign w:val="center"/>
          </w:tcPr>
          <w:p w14:paraId="302E2AF8"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37,8   </w:t>
            </w:r>
          </w:p>
        </w:tc>
        <w:tc>
          <w:tcPr>
            <w:tcW w:w="936" w:type="dxa"/>
            <w:tcBorders>
              <w:top w:val="nil"/>
              <w:left w:val="nil"/>
              <w:bottom w:val="single" w:sz="4" w:space="0" w:color="000000"/>
              <w:right w:val="single" w:sz="4" w:space="0" w:color="000000"/>
            </w:tcBorders>
            <w:shd w:val="clear" w:color="auto" w:fill="auto"/>
            <w:vAlign w:val="center"/>
          </w:tcPr>
          <w:p w14:paraId="76333239"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33,2   </w:t>
            </w:r>
          </w:p>
        </w:tc>
        <w:tc>
          <w:tcPr>
            <w:tcW w:w="936" w:type="dxa"/>
            <w:tcBorders>
              <w:top w:val="nil"/>
              <w:left w:val="nil"/>
              <w:bottom w:val="single" w:sz="4" w:space="0" w:color="000000"/>
              <w:right w:val="single" w:sz="4" w:space="0" w:color="000000"/>
            </w:tcBorders>
            <w:shd w:val="clear" w:color="auto" w:fill="auto"/>
            <w:vAlign w:val="center"/>
          </w:tcPr>
          <w:p w14:paraId="251AB583"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30,1   </w:t>
            </w:r>
          </w:p>
        </w:tc>
        <w:tc>
          <w:tcPr>
            <w:tcW w:w="936" w:type="dxa"/>
            <w:tcBorders>
              <w:top w:val="nil"/>
              <w:left w:val="nil"/>
              <w:bottom w:val="single" w:sz="4" w:space="0" w:color="000000"/>
              <w:right w:val="nil"/>
            </w:tcBorders>
            <w:shd w:val="clear" w:color="auto" w:fill="auto"/>
            <w:vAlign w:val="center"/>
          </w:tcPr>
          <w:p w14:paraId="0CB21F5C" w14:textId="77777777" w:rsidR="00A0251B" w:rsidRPr="00CC35F0" w:rsidRDefault="008D6506">
            <w:pPr>
              <w:spacing w:after="0" w:line="240" w:lineRule="auto"/>
              <w:jc w:val="lef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 xml:space="preserve">    27,0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2869CBD0"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-22,2%</w:t>
            </w:r>
          </w:p>
        </w:tc>
        <w:tc>
          <w:tcPr>
            <w:tcW w:w="1243" w:type="dxa"/>
            <w:tcBorders>
              <w:top w:val="nil"/>
              <w:left w:val="nil"/>
              <w:bottom w:val="single" w:sz="4" w:space="0" w:color="000000"/>
              <w:right w:val="single" w:sz="4" w:space="0" w:color="000000"/>
            </w:tcBorders>
            <w:shd w:val="clear" w:color="auto" w:fill="auto"/>
            <w:vAlign w:val="center"/>
          </w:tcPr>
          <w:p w14:paraId="7DBCB7A9" w14:textId="77777777" w:rsidR="00A0251B" w:rsidRPr="00CC35F0" w:rsidRDefault="008D6506">
            <w:pPr>
              <w:spacing w:after="0" w:line="240" w:lineRule="auto"/>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131,5%</w:t>
            </w:r>
          </w:p>
        </w:tc>
      </w:tr>
      <w:tr w:rsidR="00A0251B" w:rsidRPr="00CC35F0" w14:paraId="572CC2AB" w14:textId="77777777">
        <w:trPr>
          <w:trHeight w:val="260"/>
        </w:trPr>
        <w:tc>
          <w:tcPr>
            <w:tcW w:w="2056" w:type="dxa"/>
            <w:tcBorders>
              <w:top w:val="nil"/>
              <w:left w:val="single" w:sz="4" w:space="0" w:color="000000"/>
              <w:bottom w:val="single" w:sz="4" w:space="0" w:color="000000"/>
              <w:right w:val="single" w:sz="4" w:space="0" w:color="000000"/>
            </w:tcBorders>
            <w:shd w:val="clear" w:color="auto" w:fill="auto"/>
            <w:vAlign w:val="center"/>
          </w:tcPr>
          <w:p w14:paraId="3D217B55"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Укупно</w:t>
            </w:r>
          </w:p>
        </w:tc>
        <w:tc>
          <w:tcPr>
            <w:tcW w:w="936" w:type="dxa"/>
            <w:tcBorders>
              <w:top w:val="nil"/>
              <w:left w:val="nil"/>
              <w:bottom w:val="single" w:sz="4" w:space="0" w:color="000000"/>
              <w:right w:val="nil"/>
            </w:tcBorders>
            <w:shd w:val="clear" w:color="auto" w:fill="auto"/>
            <w:vAlign w:val="center"/>
          </w:tcPr>
          <w:p w14:paraId="48854724"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107,5   </w:t>
            </w:r>
          </w:p>
        </w:tc>
        <w:tc>
          <w:tcPr>
            <w:tcW w:w="936" w:type="dxa"/>
            <w:tcBorders>
              <w:top w:val="nil"/>
              <w:left w:val="single" w:sz="4" w:space="0" w:color="000000"/>
              <w:bottom w:val="single" w:sz="4" w:space="0" w:color="000000"/>
              <w:right w:val="nil"/>
            </w:tcBorders>
            <w:shd w:val="clear" w:color="auto" w:fill="auto"/>
            <w:vAlign w:val="center"/>
          </w:tcPr>
          <w:p w14:paraId="3C07130F"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83,8   </w:t>
            </w:r>
          </w:p>
        </w:tc>
        <w:tc>
          <w:tcPr>
            <w:tcW w:w="936" w:type="dxa"/>
            <w:tcBorders>
              <w:top w:val="nil"/>
              <w:left w:val="single" w:sz="4" w:space="0" w:color="000000"/>
              <w:bottom w:val="single" w:sz="4" w:space="0" w:color="000000"/>
              <w:right w:val="nil"/>
            </w:tcBorders>
            <w:shd w:val="clear" w:color="auto" w:fill="auto"/>
            <w:vAlign w:val="center"/>
          </w:tcPr>
          <w:p w14:paraId="7672FE43"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80,7   </w:t>
            </w:r>
          </w:p>
        </w:tc>
        <w:tc>
          <w:tcPr>
            <w:tcW w:w="936" w:type="dxa"/>
            <w:tcBorders>
              <w:top w:val="nil"/>
              <w:left w:val="single" w:sz="4" w:space="0" w:color="000000"/>
              <w:bottom w:val="single" w:sz="4" w:space="0" w:color="000000"/>
              <w:right w:val="nil"/>
            </w:tcBorders>
            <w:shd w:val="clear" w:color="auto" w:fill="auto"/>
            <w:vAlign w:val="center"/>
          </w:tcPr>
          <w:p w14:paraId="34914C0C"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71,5   </w:t>
            </w:r>
          </w:p>
        </w:tc>
        <w:tc>
          <w:tcPr>
            <w:tcW w:w="936" w:type="dxa"/>
            <w:tcBorders>
              <w:top w:val="nil"/>
              <w:left w:val="single" w:sz="4" w:space="0" w:color="000000"/>
              <w:bottom w:val="single" w:sz="4" w:space="0" w:color="000000"/>
              <w:right w:val="nil"/>
            </w:tcBorders>
            <w:shd w:val="clear" w:color="auto" w:fill="auto"/>
            <w:vAlign w:val="center"/>
          </w:tcPr>
          <w:p w14:paraId="451F3E0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66,6   </w:t>
            </w:r>
          </w:p>
        </w:tc>
        <w:tc>
          <w:tcPr>
            <w:tcW w:w="936" w:type="dxa"/>
            <w:tcBorders>
              <w:top w:val="nil"/>
              <w:left w:val="single" w:sz="4" w:space="0" w:color="000000"/>
              <w:bottom w:val="single" w:sz="4" w:space="0" w:color="000000"/>
              <w:right w:val="nil"/>
            </w:tcBorders>
            <w:shd w:val="clear" w:color="auto" w:fill="auto"/>
            <w:vAlign w:val="center"/>
          </w:tcPr>
          <w:p w14:paraId="5A9A7771" w14:textId="77777777" w:rsidR="00A0251B" w:rsidRPr="00CC35F0" w:rsidRDefault="008D6506">
            <w:pPr>
              <w:spacing w:after="0" w:line="240" w:lineRule="auto"/>
              <w:jc w:val="lef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 xml:space="preserve">    61,6   </w:t>
            </w:r>
          </w:p>
        </w:tc>
        <w:tc>
          <w:tcPr>
            <w:tcW w:w="1243" w:type="dxa"/>
            <w:tcBorders>
              <w:top w:val="nil"/>
              <w:left w:val="single" w:sz="12" w:space="0" w:color="000000"/>
              <w:bottom w:val="single" w:sz="4" w:space="0" w:color="000000"/>
              <w:right w:val="single" w:sz="4" w:space="0" w:color="000000"/>
            </w:tcBorders>
            <w:shd w:val="clear" w:color="auto" w:fill="auto"/>
            <w:vAlign w:val="center"/>
          </w:tcPr>
          <w:p w14:paraId="72E50409"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-20,5%</w:t>
            </w:r>
          </w:p>
        </w:tc>
        <w:tc>
          <w:tcPr>
            <w:tcW w:w="1243" w:type="dxa"/>
            <w:tcBorders>
              <w:top w:val="nil"/>
              <w:left w:val="nil"/>
              <w:bottom w:val="single" w:sz="4" w:space="0" w:color="000000"/>
              <w:right w:val="single" w:sz="4" w:space="0" w:color="000000"/>
            </w:tcBorders>
            <w:shd w:val="clear" w:color="auto" w:fill="auto"/>
            <w:vAlign w:val="center"/>
          </w:tcPr>
          <w:p w14:paraId="56D8D33E" w14:textId="77777777" w:rsidR="00A0251B" w:rsidRPr="00CC35F0" w:rsidRDefault="008D6506">
            <w:pPr>
              <w:spacing w:after="0" w:line="240" w:lineRule="auto"/>
              <w:jc w:val="right"/>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-38,1%</w:t>
            </w:r>
          </w:p>
        </w:tc>
      </w:tr>
    </w:tbl>
    <w:p w14:paraId="6B350F75" w14:textId="77777777" w:rsidR="00A0251B" w:rsidRPr="00CC35F0" w:rsidRDefault="00A0251B">
      <w:pPr>
        <w:rPr>
          <w:rFonts w:ascii="Times New Roman" w:eastAsia="Times New Roman" w:hAnsi="Times New Roman"/>
          <w:sz w:val="24"/>
          <w:szCs w:val="24"/>
          <w:lang w:val="sr-Cyrl-CS"/>
        </w:rPr>
      </w:pPr>
    </w:p>
    <w:p w14:paraId="6D9EE693" w14:textId="77777777" w:rsidR="00A0251B" w:rsidRPr="00CC35F0" w:rsidRDefault="00A0251B">
      <w:pPr>
        <w:rPr>
          <w:rFonts w:ascii="Times New Roman" w:eastAsia="Times New Roman" w:hAnsi="Times New Roman"/>
          <w:sz w:val="24"/>
          <w:szCs w:val="24"/>
          <w:lang w:val="sr-Cyrl-CS"/>
        </w:rPr>
      </w:pPr>
    </w:p>
    <w:p w14:paraId="040084F9" w14:textId="77777777" w:rsidR="00A0251B" w:rsidRPr="00CC35F0" w:rsidRDefault="008D6506">
      <w:pPr>
        <w:spacing w:after="160"/>
        <w:jc w:val="left"/>
        <w:rPr>
          <w:rFonts w:ascii="Times New Roman" w:eastAsia="Times New Roman" w:hAnsi="Times New Roman"/>
          <w:sz w:val="24"/>
          <w:szCs w:val="24"/>
          <w:lang w:val="sr-Cyrl-CS"/>
        </w:rPr>
      </w:pPr>
      <w:r w:rsidRPr="00CC35F0">
        <w:rPr>
          <w:lang w:val="sr-Cyrl-CS"/>
        </w:rPr>
        <w:br w:type="page"/>
      </w:r>
    </w:p>
    <w:bookmarkStart w:id="188" w:name="_heading=h.3fg1ce0" w:colFirst="0" w:colLast="0"/>
    <w:bookmarkEnd w:id="188"/>
    <w:p w14:paraId="22FA09C5" w14:textId="77777777" w:rsidR="007908A3" w:rsidRPr="00CC35F0" w:rsidRDefault="008D6506" w:rsidP="007908A3">
      <w:pPr>
        <w:keepNext/>
        <w:keepLines/>
        <w:pBdr>
          <w:top w:val="nil"/>
          <w:left w:val="nil"/>
          <w:bottom w:val="nil"/>
          <w:right w:val="nil"/>
          <w:between w:val="nil"/>
        </w:pBdr>
        <w:spacing w:before="360" w:after="240" w:line="240" w:lineRule="auto"/>
        <w:ind w:left="7632" w:firstLine="288"/>
        <w:rPr>
          <w:rFonts w:ascii="Times New Roman" w:eastAsia="Times New Roman" w:hAnsi="Times New Roman"/>
          <w:b/>
          <w:smallCaps/>
          <w:color w:val="1F3864"/>
          <w:sz w:val="24"/>
          <w:szCs w:val="24"/>
          <w:lang w:val="sr-Cyrl-CS"/>
        </w:rPr>
      </w:pPr>
      <w:r w:rsidRPr="00CC35F0">
        <w:rPr>
          <w:lang w:val="sr-Cyrl-CS"/>
        </w:rPr>
        <w:lastRenderedPageBreak/>
        <w:fldChar w:fldCharType="begin"/>
      </w:r>
      <w:r w:rsidRPr="00CC35F0">
        <w:rPr>
          <w:lang w:val="sr-Cyrl-CS"/>
        </w:rPr>
        <w:instrText xml:space="preserve"> HYPERLINK \l "_heading=h.4anzqyu" \h </w:instrText>
      </w:r>
      <w:r w:rsidRPr="00CC35F0">
        <w:rPr>
          <w:lang w:val="sr-Cyrl-CS"/>
        </w:rPr>
      </w:r>
      <w:r w:rsidRPr="00CC35F0">
        <w:rPr>
          <w:lang w:val="sr-Cyrl-CS"/>
        </w:rPr>
        <w:fldChar w:fldCharType="separate"/>
      </w:r>
      <w:r w:rsidRPr="00CC35F0">
        <w:rPr>
          <w:rFonts w:ascii="Times New Roman" w:eastAsia="Times New Roman" w:hAnsi="Times New Roman"/>
          <w:b/>
          <w:smallCaps/>
          <w:color w:val="0000FF"/>
          <w:sz w:val="24"/>
          <w:szCs w:val="24"/>
          <w:lang w:val="sr-Cyrl-CS"/>
        </w:rPr>
        <w:t>Прилог 4</w:t>
      </w:r>
      <w:r w:rsidRPr="00CC35F0">
        <w:rPr>
          <w:rFonts w:ascii="Times New Roman" w:eastAsia="Times New Roman" w:hAnsi="Times New Roman"/>
          <w:b/>
          <w:smallCaps/>
          <w:color w:val="0000FF"/>
          <w:sz w:val="24"/>
          <w:szCs w:val="24"/>
          <w:lang w:val="sr-Cyrl-CS"/>
        </w:rPr>
        <w:fldChar w:fldCharType="end"/>
      </w:r>
      <w:r w:rsidRPr="00CC35F0">
        <w:rPr>
          <w:rFonts w:ascii="Times New Roman" w:eastAsia="Times New Roman" w:hAnsi="Times New Roman"/>
          <w:b/>
          <w:smallCaps/>
          <w:color w:val="1F3864"/>
          <w:sz w:val="24"/>
          <w:szCs w:val="24"/>
          <w:lang w:val="sr-Cyrl-CS"/>
        </w:rPr>
        <w:t xml:space="preserve">  </w:t>
      </w:r>
    </w:p>
    <w:p w14:paraId="6D557EB7" w14:textId="77777777" w:rsidR="00A0251B" w:rsidRPr="00CC35F0" w:rsidRDefault="008D6506" w:rsidP="007908A3">
      <w:pPr>
        <w:keepNext/>
        <w:keepLines/>
        <w:pBdr>
          <w:top w:val="nil"/>
          <w:left w:val="nil"/>
          <w:bottom w:val="nil"/>
          <w:right w:val="nil"/>
          <w:between w:val="nil"/>
        </w:pBdr>
        <w:spacing w:before="360" w:after="240" w:line="240" w:lineRule="auto"/>
        <w:ind w:left="432" w:hanging="432"/>
        <w:jc w:val="center"/>
        <w:rPr>
          <w:rFonts w:ascii="Times New Roman" w:eastAsia="Times New Roman" w:hAnsi="Times New Roman"/>
          <w:b/>
          <w:smallCaps/>
          <w:color w:val="1F3864"/>
          <w:sz w:val="24"/>
          <w:szCs w:val="24"/>
          <w:lang w:val="sr-Cyrl-CS"/>
        </w:rPr>
      </w:pPr>
      <w:r w:rsidRPr="00CC35F0">
        <w:rPr>
          <w:rFonts w:ascii="Times New Roman" w:eastAsia="Times New Roman" w:hAnsi="Times New Roman"/>
          <w:b/>
          <w:smallCaps/>
          <w:color w:val="1F3864"/>
          <w:sz w:val="24"/>
          <w:szCs w:val="24"/>
          <w:lang w:val="sr-Cyrl-CS"/>
        </w:rPr>
        <w:t>Резултати моделирања ширења утицаја сценарија WAM-A, WAM-B и WAM-C</w:t>
      </w:r>
    </w:p>
    <w:p w14:paraId="03EB1C82" w14:textId="77777777" w:rsidR="00A0251B" w:rsidRPr="00CC35F0" w:rsidRDefault="00A0251B">
      <w:pPr>
        <w:spacing w:after="0"/>
        <w:ind w:right="-1134"/>
        <w:rPr>
          <w:rFonts w:ascii="Times New Roman" w:eastAsia="Times New Roman" w:hAnsi="Times New Roman"/>
          <w:i/>
          <w:sz w:val="24"/>
          <w:szCs w:val="24"/>
          <w:lang w:val="sr-Cyrl-CS"/>
        </w:rPr>
      </w:pPr>
    </w:p>
    <w:p w14:paraId="6DB15B99" w14:textId="77777777" w:rsidR="00A0251B" w:rsidRPr="00CC35F0" w:rsidRDefault="008D6506">
      <w:pPr>
        <w:spacing w:after="0"/>
        <w:ind w:left="-360" w:right="-1134"/>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516F767A" wp14:editId="3C210FD2">
            <wp:extent cx="5414575" cy="5802102"/>
            <wp:effectExtent l="0" t="0" r="0" b="0"/>
            <wp:docPr id="55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5414575" cy="5802102"/>
                    </a:xfrm>
                    <a:prstGeom prst="rect">
                      <a:avLst/>
                    </a:prstGeom>
                    <a:ln/>
                  </pic:spPr>
                </pic:pic>
              </a:graphicData>
            </a:graphic>
          </wp:inline>
        </w:drawing>
      </w:r>
    </w:p>
    <w:p w14:paraId="4813FB83" w14:textId="77777777" w:rsidR="00A0251B" w:rsidRPr="00CC35F0" w:rsidRDefault="00A0251B">
      <w:pPr>
        <w:spacing w:after="0"/>
        <w:ind w:left="-1134" w:right="-1134"/>
        <w:rPr>
          <w:rFonts w:ascii="Times New Roman" w:eastAsia="Times New Roman" w:hAnsi="Times New Roman"/>
          <w:i/>
          <w:sz w:val="24"/>
          <w:szCs w:val="24"/>
          <w:lang w:val="sr-Cyrl-CS"/>
        </w:rPr>
      </w:pPr>
    </w:p>
    <w:p w14:paraId="41A49F0A" w14:textId="77777777" w:rsidR="00A0251B" w:rsidRPr="00CC35F0" w:rsidRDefault="00A0251B">
      <w:pPr>
        <w:spacing w:after="0"/>
        <w:ind w:left="-1134" w:right="-1134"/>
        <w:rPr>
          <w:rFonts w:ascii="Times New Roman" w:eastAsia="Times New Roman" w:hAnsi="Times New Roman"/>
          <w:i/>
          <w:sz w:val="24"/>
          <w:szCs w:val="24"/>
          <w:lang w:val="sr-Cyrl-CS"/>
        </w:rPr>
      </w:pPr>
    </w:p>
    <w:p w14:paraId="6376234A" w14:textId="77777777" w:rsidR="00A0251B" w:rsidRPr="00CC35F0" w:rsidRDefault="00A0251B">
      <w:pPr>
        <w:spacing w:after="0"/>
        <w:ind w:left="-1134" w:right="-1134"/>
        <w:rPr>
          <w:rFonts w:ascii="Times New Roman" w:eastAsia="Times New Roman" w:hAnsi="Times New Roman"/>
          <w:i/>
          <w:sz w:val="24"/>
          <w:szCs w:val="24"/>
          <w:lang w:val="sr-Cyrl-CS"/>
        </w:rPr>
      </w:pPr>
    </w:p>
    <w:p w14:paraId="4634B3DC" w14:textId="77777777" w:rsidR="00A0251B" w:rsidRPr="00CC35F0" w:rsidRDefault="00A0251B">
      <w:pPr>
        <w:spacing w:after="0"/>
        <w:ind w:left="-1134" w:right="-1134"/>
        <w:rPr>
          <w:rFonts w:ascii="Times New Roman" w:eastAsia="Times New Roman" w:hAnsi="Times New Roman"/>
          <w:i/>
          <w:sz w:val="24"/>
          <w:szCs w:val="24"/>
          <w:lang w:val="sr-Cyrl-CS"/>
        </w:rPr>
      </w:pPr>
    </w:p>
    <w:p w14:paraId="6EE4E0ED" w14:textId="77777777" w:rsidR="00A0251B" w:rsidRPr="00CC35F0" w:rsidRDefault="00A0251B">
      <w:pPr>
        <w:spacing w:after="0"/>
        <w:ind w:left="-1134" w:right="-1134"/>
        <w:rPr>
          <w:rFonts w:ascii="Times New Roman" w:eastAsia="Times New Roman" w:hAnsi="Times New Roman"/>
          <w:i/>
          <w:sz w:val="24"/>
          <w:szCs w:val="24"/>
          <w:lang w:val="sr-Cyrl-CS"/>
        </w:rPr>
      </w:pPr>
    </w:p>
    <w:p w14:paraId="5D95D46A" w14:textId="77777777" w:rsidR="00A0251B" w:rsidRPr="00CC35F0" w:rsidRDefault="00A0251B">
      <w:pPr>
        <w:spacing w:after="0"/>
        <w:ind w:left="-1134" w:right="-1134"/>
        <w:rPr>
          <w:rFonts w:ascii="Times New Roman" w:eastAsia="Times New Roman" w:hAnsi="Times New Roman"/>
          <w:i/>
          <w:sz w:val="24"/>
          <w:szCs w:val="24"/>
          <w:lang w:val="sr-Cyrl-CS"/>
        </w:rPr>
      </w:pPr>
    </w:p>
    <w:p w14:paraId="5802CB23" w14:textId="77777777" w:rsidR="00A0251B" w:rsidRPr="00CC35F0" w:rsidRDefault="00A0251B">
      <w:pPr>
        <w:spacing w:after="0"/>
        <w:ind w:left="-1134" w:right="-1134"/>
        <w:rPr>
          <w:rFonts w:ascii="Times New Roman" w:eastAsia="Times New Roman" w:hAnsi="Times New Roman"/>
          <w:i/>
          <w:sz w:val="24"/>
          <w:szCs w:val="24"/>
          <w:lang w:val="sr-Cyrl-CS"/>
        </w:rPr>
      </w:pPr>
    </w:p>
    <w:p w14:paraId="7E37D561" w14:textId="77777777" w:rsidR="00A0251B" w:rsidRPr="00CC35F0" w:rsidRDefault="00A0251B">
      <w:pPr>
        <w:spacing w:after="0"/>
        <w:ind w:left="-1134" w:right="-1134"/>
        <w:rPr>
          <w:rFonts w:ascii="Times New Roman" w:eastAsia="Times New Roman" w:hAnsi="Times New Roman"/>
          <w:sz w:val="24"/>
          <w:szCs w:val="24"/>
          <w:lang w:val="sr-Cyrl-CS"/>
        </w:rPr>
      </w:pPr>
    </w:p>
    <w:p w14:paraId="3F01D802" w14:textId="77777777" w:rsidR="00A0251B" w:rsidRPr="00CC35F0" w:rsidRDefault="00A0251B">
      <w:pPr>
        <w:spacing w:after="0"/>
        <w:ind w:left="-90" w:right="-1134"/>
        <w:rPr>
          <w:rFonts w:ascii="Times New Roman" w:eastAsia="Times New Roman" w:hAnsi="Times New Roman"/>
          <w:sz w:val="24"/>
          <w:szCs w:val="24"/>
          <w:lang w:val="sr-Cyrl-CS"/>
        </w:rPr>
      </w:pPr>
    </w:p>
    <w:p w14:paraId="44C8A29D" w14:textId="77777777" w:rsidR="00A0251B" w:rsidRPr="00CC35F0" w:rsidRDefault="008D6506">
      <w:pPr>
        <w:spacing w:after="160"/>
        <w:jc w:val="left"/>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5B68BB89" wp14:editId="5BEF6536">
            <wp:extent cx="2932162" cy="2980240"/>
            <wp:effectExtent l="0" t="0" r="0" b="0"/>
            <wp:docPr id="55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2932162" cy="2980240"/>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0A0ABEC8" wp14:editId="5945C34A">
            <wp:extent cx="2972444" cy="2903522"/>
            <wp:effectExtent l="0" t="0" r="0" b="0"/>
            <wp:docPr id="55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3"/>
                    <a:srcRect/>
                    <a:stretch>
                      <a:fillRect/>
                    </a:stretch>
                  </pic:blipFill>
                  <pic:spPr>
                    <a:xfrm>
                      <a:off x="0" y="0"/>
                      <a:ext cx="2972444" cy="2903522"/>
                    </a:xfrm>
                    <a:prstGeom prst="rect">
                      <a:avLst/>
                    </a:prstGeom>
                    <a:ln/>
                  </pic:spPr>
                </pic:pic>
              </a:graphicData>
            </a:graphic>
          </wp:inline>
        </w:drawing>
      </w:r>
    </w:p>
    <w:p w14:paraId="60132B5D" w14:textId="77777777" w:rsidR="00A0251B" w:rsidRPr="00CC35F0" w:rsidRDefault="008D6506">
      <w:pPr>
        <w:spacing w:after="160"/>
        <w:jc w:val="left"/>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6461D668" wp14:editId="186B3C89">
            <wp:extent cx="2905267" cy="2766092"/>
            <wp:effectExtent l="0" t="0" r="0" b="0"/>
            <wp:docPr id="55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4"/>
                    <a:srcRect/>
                    <a:stretch>
                      <a:fillRect/>
                    </a:stretch>
                  </pic:blipFill>
                  <pic:spPr>
                    <a:xfrm>
                      <a:off x="0" y="0"/>
                      <a:ext cx="2905267" cy="2766092"/>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64FE04B2" wp14:editId="000711F6">
            <wp:extent cx="2810748" cy="2671894"/>
            <wp:effectExtent l="0" t="0" r="0" b="0"/>
            <wp:docPr id="55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95"/>
                    <a:srcRect/>
                    <a:stretch>
                      <a:fillRect/>
                    </a:stretch>
                  </pic:blipFill>
                  <pic:spPr>
                    <a:xfrm>
                      <a:off x="0" y="0"/>
                      <a:ext cx="2810748" cy="2671894"/>
                    </a:xfrm>
                    <a:prstGeom prst="rect">
                      <a:avLst/>
                    </a:prstGeom>
                    <a:ln/>
                  </pic:spPr>
                </pic:pic>
              </a:graphicData>
            </a:graphic>
          </wp:inline>
        </w:drawing>
      </w:r>
      <w:r w:rsidRPr="00CC35F0">
        <w:rPr>
          <w:lang w:val="sr-Cyrl-CS"/>
        </w:rPr>
        <w:br w:type="page"/>
      </w:r>
    </w:p>
    <w:p w14:paraId="5A736FD1" w14:textId="77777777" w:rsidR="00A0251B" w:rsidRPr="00CC35F0" w:rsidRDefault="008D6506">
      <w:pPr>
        <w:spacing w:after="160"/>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2A48B00F" wp14:editId="4196F0F0">
            <wp:extent cx="5943600" cy="5772150"/>
            <wp:effectExtent l="0" t="0" r="0" b="0"/>
            <wp:docPr id="55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96"/>
                    <a:srcRect/>
                    <a:stretch>
                      <a:fillRect/>
                    </a:stretch>
                  </pic:blipFill>
                  <pic:spPr>
                    <a:xfrm>
                      <a:off x="0" y="0"/>
                      <a:ext cx="5943600" cy="5772150"/>
                    </a:xfrm>
                    <a:prstGeom prst="rect">
                      <a:avLst/>
                    </a:prstGeom>
                    <a:ln/>
                  </pic:spPr>
                </pic:pic>
              </a:graphicData>
            </a:graphic>
          </wp:inline>
        </w:drawing>
      </w:r>
    </w:p>
    <w:p w14:paraId="19958762" w14:textId="77777777" w:rsidR="00A0251B" w:rsidRPr="00CC35F0" w:rsidRDefault="00A0251B">
      <w:pPr>
        <w:spacing w:after="0"/>
        <w:ind w:left="-1134" w:right="-1134"/>
        <w:rPr>
          <w:rFonts w:ascii="Times New Roman" w:eastAsia="Times New Roman" w:hAnsi="Times New Roman"/>
          <w:sz w:val="24"/>
          <w:szCs w:val="24"/>
          <w:lang w:val="sr-Cyrl-CS"/>
        </w:rPr>
      </w:pPr>
    </w:p>
    <w:p w14:paraId="18778801" w14:textId="77777777" w:rsidR="00A0251B" w:rsidRPr="00CC35F0" w:rsidRDefault="00A0251B">
      <w:pPr>
        <w:spacing w:after="0"/>
        <w:ind w:left="-1134" w:right="-1134"/>
        <w:rPr>
          <w:rFonts w:ascii="Times New Roman" w:eastAsia="Times New Roman" w:hAnsi="Times New Roman"/>
          <w:sz w:val="24"/>
          <w:szCs w:val="24"/>
          <w:lang w:val="sr-Cyrl-CS"/>
        </w:rPr>
      </w:pPr>
    </w:p>
    <w:p w14:paraId="3CA95A31" w14:textId="77777777" w:rsidR="00A0251B" w:rsidRPr="00CC35F0" w:rsidRDefault="00A0251B">
      <w:pPr>
        <w:spacing w:after="0"/>
        <w:ind w:left="-1134" w:right="-1134"/>
        <w:rPr>
          <w:rFonts w:ascii="Times New Roman" w:eastAsia="Times New Roman" w:hAnsi="Times New Roman"/>
          <w:sz w:val="24"/>
          <w:szCs w:val="24"/>
          <w:lang w:val="sr-Cyrl-CS"/>
        </w:rPr>
      </w:pPr>
    </w:p>
    <w:p w14:paraId="47F5DCBF" w14:textId="77777777" w:rsidR="00A0251B" w:rsidRPr="00CC35F0" w:rsidRDefault="00A0251B">
      <w:pPr>
        <w:spacing w:after="0"/>
        <w:ind w:left="-1134" w:right="-1134"/>
        <w:rPr>
          <w:rFonts w:ascii="Times New Roman" w:eastAsia="Times New Roman" w:hAnsi="Times New Roman"/>
          <w:sz w:val="24"/>
          <w:szCs w:val="24"/>
          <w:lang w:val="sr-Cyrl-CS"/>
        </w:rPr>
      </w:pPr>
    </w:p>
    <w:p w14:paraId="3E226826" w14:textId="77777777" w:rsidR="00A0251B" w:rsidRPr="00CC35F0" w:rsidRDefault="00A0251B">
      <w:pPr>
        <w:spacing w:after="0"/>
        <w:ind w:left="-1134" w:right="-1134"/>
        <w:rPr>
          <w:rFonts w:ascii="Times New Roman" w:eastAsia="Times New Roman" w:hAnsi="Times New Roman"/>
          <w:sz w:val="24"/>
          <w:szCs w:val="24"/>
          <w:lang w:val="sr-Cyrl-CS"/>
        </w:rPr>
      </w:pPr>
    </w:p>
    <w:p w14:paraId="49024EB3" w14:textId="77777777" w:rsidR="00A0251B" w:rsidRPr="00CC35F0" w:rsidRDefault="00A0251B">
      <w:pPr>
        <w:spacing w:after="0"/>
        <w:ind w:left="-1134" w:right="-1134"/>
        <w:rPr>
          <w:rFonts w:ascii="Times New Roman" w:eastAsia="Times New Roman" w:hAnsi="Times New Roman"/>
          <w:sz w:val="24"/>
          <w:szCs w:val="24"/>
          <w:lang w:val="sr-Cyrl-CS"/>
        </w:rPr>
      </w:pPr>
    </w:p>
    <w:p w14:paraId="7891FB25" w14:textId="77777777" w:rsidR="00A0251B" w:rsidRPr="00CC35F0" w:rsidRDefault="00A0251B">
      <w:pPr>
        <w:spacing w:after="0"/>
        <w:ind w:left="-1134" w:right="-1134"/>
        <w:rPr>
          <w:rFonts w:ascii="Times New Roman" w:eastAsia="Times New Roman" w:hAnsi="Times New Roman"/>
          <w:sz w:val="24"/>
          <w:szCs w:val="24"/>
          <w:lang w:val="sr-Cyrl-CS"/>
        </w:rPr>
      </w:pPr>
    </w:p>
    <w:p w14:paraId="135CBDA5" w14:textId="77777777" w:rsidR="00A0251B" w:rsidRPr="00CC35F0" w:rsidRDefault="00A0251B">
      <w:pPr>
        <w:spacing w:after="0"/>
        <w:ind w:left="-1134" w:right="-1134"/>
        <w:rPr>
          <w:rFonts w:ascii="Times New Roman" w:eastAsia="Times New Roman" w:hAnsi="Times New Roman"/>
          <w:sz w:val="24"/>
          <w:szCs w:val="24"/>
          <w:lang w:val="sr-Cyrl-CS"/>
        </w:rPr>
      </w:pPr>
    </w:p>
    <w:p w14:paraId="67E41883" w14:textId="77777777" w:rsidR="00A0251B" w:rsidRPr="00CC35F0" w:rsidRDefault="00A0251B">
      <w:pPr>
        <w:spacing w:after="0"/>
        <w:ind w:left="-1134" w:right="-1134"/>
        <w:rPr>
          <w:rFonts w:ascii="Times New Roman" w:eastAsia="Times New Roman" w:hAnsi="Times New Roman"/>
          <w:sz w:val="24"/>
          <w:szCs w:val="24"/>
          <w:lang w:val="sr-Cyrl-CS"/>
        </w:rPr>
      </w:pPr>
    </w:p>
    <w:p w14:paraId="348D54EC" w14:textId="77777777" w:rsidR="00A0251B" w:rsidRPr="00CC35F0" w:rsidRDefault="00A0251B">
      <w:pPr>
        <w:spacing w:after="0"/>
        <w:ind w:left="-1134" w:right="-1134"/>
        <w:rPr>
          <w:rFonts w:ascii="Times New Roman" w:eastAsia="Times New Roman" w:hAnsi="Times New Roman"/>
          <w:sz w:val="24"/>
          <w:szCs w:val="24"/>
          <w:lang w:val="sr-Cyrl-CS"/>
        </w:rPr>
      </w:pPr>
    </w:p>
    <w:p w14:paraId="2CFFBAD3" w14:textId="77777777" w:rsidR="00A0251B" w:rsidRPr="00CC35F0" w:rsidRDefault="009C7DF8" w:rsidP="009C7DF8">
      <w:pPr>
        <w:spacing w:after="0"/>
        <w:ind w:right="-1134"/>
        <w:rPr>
          <w:rFonts w:ascii="Times New Roman" w:eastAsia="Times New Roman" w:hAnsi="Times New Roman"/>
          <w:sz w:val="24"/>
          <w:szCs w:val="24"/>
          <w:lang w:val="sr-Cyrl-CS"/>
        </w:rPr>
      </w:pPr>
      <w:r w:rsidRPr="00CC35F0">
        <w:rPr>
          <w:noProof/>
          <w:lang w:val="sr-Cyrl-RS" w:eastAsia="sr-Cyrl-RS"/>
        </w:rPr>
        <w:lastRenderedPageBreak/>
        <w:drawing>
          <wp:anchor distT="0" distB="0" distL="114300" distR="114300" simplePos="0" relativeHeight="251660288" behindDoc="0" locked="0" layoutInCell="1" hidden="0" allowOverlap="1" wp14:anchorId="56A60539" wp14:editId="3A2333F9">
            <wp:simplePos x="0" y="0"/>
            <wp:positionH relativeFrom="margin">
              <wp:posOffset>-635</wp:posOffset>
            </wp:positionH>
            <wp:positionV relativeFrom="paragraph">
              <wp:posOffset>3018790</wp:posOffset>
            </wp:positionV>
            <wp:extent cx="3009900" cy="2853055"/>
            <wp:effectExtent l="0" t="0" r="0" b="4445"/>
            <wp:wrapSquare wrapText="bothSides" distT="0" distB="0" distL="114300" distR="114300"/>
            <wp:docPr id="57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97"/>
                    <a:srcRect/>
                    <a:stretch>
                      <a:fillRect/>
                    </a:stretch>
                  </pic:blipFill>
                  <pic:spPr>
                    <a:xfrm>
                      <a:off x="0" y="0"/>
                      <a:ext cx="3009900" cy="2853055"/>
                    </a:xfrm>
                    <a:prstGeom prst="rect">
                      <a:avLst/>
                    </a:prstGeom>
                    <a:ln/>
                  </pic:spPr>
                </pic:pic>
              </a:graphicData>
            </a:graphic>
            <wp14:sizeRelH relativeFrom="margin">
              <wp14:pctWidth>0</wp14:pctWidth>
            </wp14:sizeRelH>
          </wp:anchor>
        </w:drawing>
      </w:r>
      <w:r w:rsidR="008D6506" w:rsidRPr="00CC35F0">
        <w:rPr>
          <w:rFonts w:ascii="Times New Roman" w:eastAsia="Times New Roman" w:hAnsi="Times New Roman"/>
          <w:noProof/>
          <w:sz w:val="24"/>
          <w:szCs w:val="24"/>
          <w:lang w:val="sr-Cyrl-RS" w:eastAsia="sr-Cyrl-RS"/>
        </w:rPr>
        <w:drawing>
          <wp:inline distT="0" distB="0" distL="0" distR="0" wp14:anchorId="738DB03F" wp14:editId="1DAF4418">
            <wp:extent cx="2952750" cy="2895600"/>
            <wp:effectExtent l="0" t="0" r="0" b="0"/>
            <wp:docPr id="55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8"/>
                    <a:srcRect/>
                    <a:stretch>
                      <a:fillRect/>
                    </a:stretch>
                  </pic:blipFill>
                  <pic:spPr>
                    <a:xfrm>
                      <a:off x="0" y="0"/>
                      <a:ext cx="2964556" cy="2907177"/>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67D41313" wp14:editId="4DECAF3F">
            <wp:extent cx="3011810" cy="2927828"/>
            <wp:effectExtent l="0" t="0" r="0" b="0"/>
            <wp:docPr id="551" name="image1.png"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551" name="image1.png" descr="Map&#10;&#10;Description automatically generated"/>
                    <pic:cNvPicPr preferRelativeResize="0"/>
                  </pic:nvPicPr>
                  <pic:blipFill>
                    <a:blip r:embed="rId99"/>
                    <a:srcRect/>
                    <a:stretch>
                      <a:fillRect/>
                    </a:stretch>
                  </pic:blipFill>
                  <pic:spPr>
                    <a:xfrm>
                      <a:off x="0" y="0"/>
                      <a:ext cx="3011810" cy="2927828"/>
                    </a:xfrm>
                    <a:prstGeom prst="rect">
                      <a:avLst/>
                    </a:prstGeom>
                    <a:ln/>
                  </pic:spPr>
                </pic:pic>
              </a:graphicData>
            </a:graphic>
          </wp:inline>
        </w:drawing>
      </w:r>
      <w:r w:rsidR="008D6506" w:rsidRPr="00CC35F0">
        <w:rPr>
          <w:rFonts w:ascii="Times New Roman" w:eastAsia="Times New Roman" w:hAnsi="Times New Roman"/>
          <w:noProof/>
          <w:sz w:val="24"/>
          <w:szCs w:val="24"/>
          <w:lang w:val="sr-Cyrl-RS" w:eastAsia="sr-Cyrl-RS"/>
        </w:rPr>
        <w:drawing>
          <wp:inline distT="0" distB="0" distL="0" distR="0" wp14:anchorId="0C0BDA95" wp14:editId="3DCD3FAD">
            <wp:extent cx="2840355" cy="3028315"/>
            <wp:effectExtent l="0" t="0" r="0" b="635"/>
            <wp:docPr id="56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00"/>
                    <a:srcRect/>
                    <a:stretch>
                      <a:fillRect/>
                    </a:stretch>
                  </pic:blipFill>
                  <pic:spPr>
                    <a:xfrm>
                      <a:off x="0" y="0"/>
                      <a:ext cx="2844671" cy="3032917"/>
                    </a:xfrm>
                    <a:prstGeom prst="rect">
                      <a:avLst/>
                    </a:prstGeom>
                    <a:ln/>
                  </pic:spPr>
                </pic:pic>
              </a:graphicData>
            </a:graphic>
          </wp:inline>
        </w:drawing>
      </w:r>
    </w:p>
    <w:p w14:paraId="69AF095D" w14:textId="77777777" w:rsidR="00A0251B" w:rsidRPr="00CC35F0" w:rsidRDefault="008D6506">
      <w:pPr>
        <w:spacing w:after="0"/>
        <w:ind w:left="-630" w:right="360"/>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br/>
      </w:r>
    </w:p>
    <w:p w14:paraId="7B073762" w14:textId="77777777" w:rsidR="00A0251B" w:rsidRPr="00CC35F0" w:rsidRDefault="00A0251B">
      <w:pPr>
        <w:ind w:left="360"/>
        <w:rPr>
          <w:rFonts w:ascii="Times New Roman" w:eastAsia="Times New Roman" w:hAnsi="Times New Roman"/>
          <w:sz w:val="24"/>
          <w:szCs w:val="24"/>
          <w:lang w:val="sr-Cyrl-CS"/>
        </w:rPr>
      </w:pPr>
    </w:p>
    <w:p w14:paraId="5EE49B71" w14:textId="77777777" w:rsidR="00A0251B" w:rsidRPr="00CC35F0" w:rsidRDefault="00A0251B">
      <w:pPr>
        <w:ind w:right="-857"/>
        <w:rPr>
          <w:rFonts w:ascii="Times New Roman" w:eastAsia="Times New Roman" w:hAnsi="Times New Roman"/>
          <w:sz w:val="24"/>
          <w:szCs w:val="24"/>
          <w:lang w:val="sr-Cyrl-CS"/>
        </w:rPr>
      </w:pPr>
    </w:p>
    <w:p w14:paraId="032C2D2C" w14:textId="77777777" w:rsidR="00A0251B" w:rsidRPr="00CC35F0" w:rsidRDefault="00A0251B">
      <w:pPr>
        <w:ind w:right="-857"/>
        <w:rPr>
          <w:rFonts w:ascii="Times New Roman" w:eastAsia="Times New Roman" w:hAnsi="Times New Roman"/>
          <w:sz w:val="24"/>
          <w:szCs w:val="24"/>
          <w:lang w:val="sr-Cyrl-CS"/>
        </w:rPr>
      </w:pPr>
    </w:p>
    <w:p w14:paraId="50CDB2C5" w14:textId="77777777" w:rsidR="00A0251B" w:rsidRPr="00CC35F0" w:rsidRDefault="00A0251B">
      <w:pPr>
        <w:ind w:right="-857"/>
        <w:rPr>
          <w:rFonts w:ascii="Times New Roman" w:eastAsia="Times New Roman" w:hAnsi="Times New Roman"/>
          <w:sz w:val="24"/>
          <w:szCs w:val="24"/>
          <w:lang w:val="sr-Cyrl-CS"/>
        </w:rPr>
      </w:pPr>
    </w:p>
    <w:p w14:paraId="7E501BD6" w14:textId="77777777" w:rsidR="00A0251B" w:rsidRPr="00CC35F0" w:rsidRDefault="00A0251B">
      <w:pPr>
        <w:ind w:right="-857"/>
        <w:rPr>
          <w:rFonts w:ascii="Times New Roman" w:eastAsia="Times New Roman" w:hAnsi="Times New Roman"/>
          <w:sz w:val="24"/>
          <w:szCs w:val="24"/>
          <w:lang w:val="sr-Cyrl-CS"/>
        </w:rPr>
      </w:pPr>
    </w:p>
    <w:p w14:paraId="6248E3A4" w14:textId="77777777" w:rsidR="00A0251B" w:rsidRPr="00CC35F0" w:rsidRDefault="00A0251B">
      <w:pPr>
        <w:ind w:right="-857"/>
        <w:rPr>
          <w:rFonts w:ascii="Times New Roman" w:eastAsia="Times New Roman" w:hAnsi="Times New Roman"/>
          <w:sz w:val="24"/>
          <w:szCs w:val="24"/>
          <w:lang w:val="sr-Cyrl-CS"/>
        </w:rPr>
      </w:pPr>
    </w:p>
    <w:p w14:paraId="2151F102" w14:textId="77777777" w:rsidR="00A0251B" w:rsidRPr="00CC35F0" w:rsidRDefault="00A0251B">
      <w:pPr>
        <w:ind w:right="-857"/>
        <w:rPr>
          <w:rFonts w:ascii="Times New Roman" w:eastAsia="Times New Roman" w:hAnsi="Times New Roman"/>
          <w:sz w:val="24"/>
          <w:szCs w:val="24"/>
          <w:lang w:val="sr-Cyrl-CS"/>
        </w:rPr>
      </w:pPr>
    </w:p>
    <w:p w14:paraId="5F9798D1" w14:textId="77777777" w:rsidR="00A0251B" w:rsidRPr="00CC35F0" w:rsidRDefault="00A0251B">
      <w:pPr>
        <w:ind w:right="-857"/>
        <w:rPr>
          <w:rFonts w:ascii="Times New Roman" w:eastAsia="Times New Roman" w:hAnsi="Times New Roman"/>
          <w:sz w:val="24"/>
          <w:szCs w:val="24"/>
          <w:lang w:val="sr-Cyrl-CS"/>
        </w:rPr>
      </w:pPr>
    </w:p>
    <w:p w14:paraId="55CE6184" w14:textId="77777777" w:rsidR="00A0251B" w:rsidRPr="00CC35F0" w:rsidRDefault="00A0251B">
      <w:pPr>
        <w:ind w:right="-857"/>
        <w:rPr>
          <w:rFonts w:ascii="Times New Roman" w:eastAsia="Times New Roman" w:hAnsi="Times New Roman"/>
          <w:sz w:val="24"/>
          <w:szCs w:val="24"/>
          <w:lang w:val="sr-Cyrl-CS"/>
        </w:rPr>
      </w:pPr>
    </w:p>
    <w:p w14:paraId="697FEBC1" w14:textId="77777777" w:rsidR="00A0251B" w:rsidRPr="00CC35F0" w:rsidRDefault="008D6506">
      <w:pPr>
        <w:ind w:right="-857"/>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06109682" wp14:editId="456AB7B7">
            <wp:extent cx="5645511" cy="5346951"/>
            <wp:effectExtent l="0" t="0" r="0" b="0"/>
            <wp:docPr id="55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1"/>
                    <a:srcRect/>
                    <a:stretch>
                      <a:fillRect/>
                    </a:stretch>
                  </pic:blipFill>
                  <pic:spPr>
                    <a:xfrm>
                      <a:off x="0" y="0"/>
                      <a:ext cx="5645511" cy="5346951"/>
                    </a:xfrm>
                    <a:prstGeom prst="rect">
                      <a:avLst/>
                    </a:prstGeom>
                    <a:ln/>
                  </pic:spPr>
                </pic:pic>
              </a:graphicData>
            </a:graphic>
          </wp:inline>
        </w:drawing>
      </w:r>
    </w:p>
    <w:p w14:paraId="6B842D0B" w14:textId="77777777" w:rsidR="00A0251B" w:rsidRPr="00CC35F0" w:rsidRDefault="00A0251B">
      <w:pPr>
        <w:ind w:right="-857"/>
        <w:rPr>
          <w:rFonts w:ascii="Times New Roman" w:eastAsia="Times New Roman" w:hAnsi="Times New Roman"/>
          <w:sz w:val="24"/>
          <w:szCs w:val="24"/>
          <w:lang w:val="sr-Cyrl-CS"/>
        </w:rPr>
      </w:pPr>
    </w:p>
    <w:p w14:paraId="48C0E858" w14:textId="77777777" w:rsidR="00A0251B" w:rsidRPr="00CC35F0" w:rsidRDefault="00A0251B">
      <w:pPr>
        <w:ind w:right="-857"/>
        <w:rPr>
          <w:rFonts w:ascii="Times New Roman" w:eastAsia="Times New Roman" w:hAnsi="Times New Roman"/>
          <w:sz w:val="24"/>
          <w:szCs w:val="24"/>
          <w:lang w:val="sr-Cyrl-CS"/>
        </w:rPr>
      </w:pPr>
    </w:p>
    <w:p w14:paraId="2B9E60CC" w14:textId="77777777" w:rsidR="00A0251B" w:rsidRPr="00CC35F0" w:rsidRDefault="00A0251B">
      <w:pPr>
        <w:ind w:right="-857"/>
        <w:rPr>
          <w:rFonts w:ascii="Times New Roman" w:eastAsia="Times New Roman" w:hAnsi="Times New Roman"/>
          <w:sz w:val="24"/>
          <w:szCs w:val="24"/>
          <w:lang w:val="sr-Cyrl-CS"/>
        </w:rPr>
      </w:pPr>
    </w:p>
    <w:p w14:paraId="75F42A01" w14:textId="77777777" w:rsidR="00A0251B" w:rsidRPr="00CC35F0" w:rsidRDefault="00A0251B">
      <w:pPr>
        <w:ind w:right="-857"/>
        <w:rPr>
          <w:rFonts w:ascii="Times New Roman" w:eastAsia="Times New Roman" w:hAnsi="Times New Roman"/>
          <w:sz w:val="24"/>
          <w:szCs w:val="24"/>
          <w:lang w:val="sr-Cyrl-CS"/>
        </w:rPr>
      </w:pPr>
    </w:p>
    <w:p w14:paraId="32FC5589" w14:textId="77777777" w:rsidR="00A0251B" w:rsidRPr="00CC35F0" w:rsidRDefault="00A0251B">
      <w:pPr>
        <w:ind w:left="-1276" w:right="-857"/>
        <w:rPr>
          <w:rFonts w:ascii="Times New Roman" w:eastAsia="Times New Roman" w:hAnsi="Times New Roman"/>
          <w:sz w:val="24"/>
          <w:szCs w:val="24"/>
          <w:lang w:val="sr-Cyrl-CS"/>
        </w:rPr>
      </w:pPr>
    </w:p>
    <w:p w14:paraId="156A3546" w14:textId="77777777" w:rsidR="00A0251B" w:rsidRPr="00CC35F0" w:rsidRDefault="00A0251B">
      <w:pPr>
        <w:ind w:left="-1276" w:right="-857"/>
        <w:rPr>
          <w:rFonts w:ascii="Times New Roman" w:eastAsia="Times New Roman" w:hAnsi="Times New Roman"/>
          <w:sz w:val="24"/>
          <w:szCs w:val="24"/>
          <w:lang w:val="sr-Cyrl-CS"/>
        </w:rPr>
      </w:pPr>
    </w:p>
    <w:p w14:paraId="268A835E" w14:textId="77777777" w:rsidR="00A0251B" w:rsidRPr="00CC35F0" w:rsidRDefault="00A0251B">
      <w:pPr>
        <w:ind w:left="-1276" w:right="-857"/>
        <w:rPr>
          <w:rFonts w:ascii="Times New Roman" w:eastAsia="Times New Roman" w:hAnsi="Times New Roman"/>
          <w:sz w:val="24"/>
          <w:szCs w:val="24"/>
          <w:lang w:val="sr-Cyrl-CS"/>
        </w:rPr>
      </w:pPr>
    </w:p>
    <w:p w14:paraId="2ADE64D2" w14:textId="77777777" w:rsidR="00A0251B" w:rsidRPr="00CC35F0" w:rsidRDefault="00A0251B">
      <w:pPr>
        <w:ind w:left="-1276" w:right="-857"/>
        <w:rPr>
          <w:rFonts w:ascii="Times New Roman" w:eastAsia="Times New Roman" w:hAnsi="Times New Roman"/>
          <w:sz w:val="24"/>
          <w:szCs w:val="24"/>
          <w:lang w:val="sr-Cyrl-CS"/>
        </w:rPr>
      </w:pPr>
    </w:p>
    <w:p w14:paraId="30CEA48E" w14:textId="77777777" w:rsidR="00A0251B" w:rsidRPr="00CC35F0" w:rsidRDefault="00A0251B">
      <w:pPr>
        <w:ind w:left="-1276" w:right="-857"/>
        <w:rPr>
          <w:rFonts w:ascii="Times New Roman" w:eastAsia="Times New Roman" w:hAnsi="Times New Roman"/>
          <w:sz w:val="24"/>
          <w:szCs w:val="24"/>
          <w:lang w:val="sr-Cyrl-CS"/>
        </w:rPr>
      </w:pPr>
    </w:p>
    <w:p w14:paraId="028BB461" w14:textId="77777777" w:rsidR="00A0251B" w:rsidRPr="00CC35F0" w:rsidRDefault="00A0251B">
      <w:pPr>
        <w:ind w:left="-1276" w:right="-857"/>
        <w:rPr>
          <w:rFonts w:ascii="Times New Roman" w:eastAsia="Times New Roman" w:hAnsi="Times New Roman"/>
          <w:sz w:val="24"/>
          <w:szCs w:val="24"/>
          <w:lang w:val="sr-Cyrl-CS"/>
        </w:rPr>
      </w:pPr>
    </w:p>
    <w:p w14:paraId="4493AA15" w14:textId="77777777" w:rsidR="00A0251B" w:rsidRPr="00CC35F0" w:rsidRDefault="00A0251B">
      <w:pPr>
        <w:ind w:left="-1276" w:right="-857"/>
        <w:rPr>
          <w:rFonts w:ascii="Times New Roman" w:eastAsia="Times New Roman" w:hAnsi="Times New Roman"/>
          <w:sz w:val="24"/>
          <w:szCs w:val="24"/>
          <w:lang w:val="sr-Cyrl-CS"/>
        </w:rPr>
      </w:pPr>
    </w:p>
    <w:p w14:paraId="6FF0ADFC" w14:textId="77777777" w:rsidR="00A0251B" w:rsidRPr="00CC35F0" w:rsidRDefault="008D6506">
      <w:pPr>
        <w:ind w:left="-630" w:right="-857"/>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2A16D40E" wp14:editId="48D1D821">
            <wp:extent cx="3336186" cy="3203594"/>
            <wp:effectExtent l="0" t="0" r="0" b="0"/>
            <wp:docPr id="56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02"/>
                    <a:srcRect/>
                    <a:stretch>
                      <a:fillRect/>
                    </a:stretch>
                  </pic:blipFill>
                  <pic:spPr>
                    <a:xfrm>
                      <a:off x="0" y="0"/>
                      <a:ext cx="3336186" cy="3203594"/>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355D48EC" wp14:editId="56C364E4">
            <wp:extent cx="3341495" cy="3208691"/>
            <wp:effectExtent l="0" t="0" r="0" b="0"/>
            <wp:docPr id="56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03"/>
                    <a:srcRect/>
                    <a:stretch>
                      <a:fillRect/>
                    </a:stretch>
                  </pic:blipFill>
                  <pic:spPr>
                    <a:xfrm>
                      <a:off x="0" y="0"/>
                      <a:ext cx="3341495" cy="3208691"/>
                    </a:xfrm>
                    <a:prstGeom prst="rect">
                      <a:avLst/>
                    </a:prstGeom>
                    <a:ln/>
                  </pic:spPr>
                </pic:pic>
              </a:graphicData>
            </a:graphic>
          </wp:inline>
        </w:drawing>
      </w:r>
    </w:p>
    <w:p w14:paraId="7F4FA2E4" w14:textId="77777777" w:rsidR="00A0251B" w:rsidRPr="00CC35F0" w:rsidRDefault="008D6506">
      <w:pPr>
        <w:ind w:left="-720" w:right="-857"/>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210272E5" wp14:editId="75FE7C87">
            <wp:extent cx="3388918" cy="3259299"/>
            <wp:effectExtent l="0" t="0" r="0" b="0"/>
            <wp:docPr id="56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04"/>
                    <a:srcRect/>
                    <a:stretch>
                      <a:fillRect/>
                    </a:stretch>
                  </pic:blipFill>
                  <pic:spPr>
                    <a:xfrm>
                      <a:off x="0" y="0"/>
                      <a:ext cx="3388918" cy="3259299"/>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3EFC2FDE" wp14:editId="6BC535FB">
            <wp:extent cx="3387012" cy="3203548"/>
            <wp:effectExtent l="0" t="0" r="0" b="0"/>
            <wp:docPr id="57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05"/>
                    <a:srcRect/>
                    <a:stretch>
                      <a:fillRect/>
                    </a:stretch>
                  </pic:blipFill>
                  <pic:spPr>
                    <a:xfrm>
                      <a:off x="0" y="0"/>
                      <a:ext cx="3387012" cy="3203548"/>
                    </a:xfrm>
                    <a:prstGeom prst="rect">
                      <a:avLst/>
                    </a:prstGeom>
                    <a:ln/>
                  </pic:spPr>
                </pic:pic>
              </a:graphicData>
            </a:graphic>
          </wp:inline>
        </w:drawing>
      </w:r>
    </w:p>
    <w:p w14:paraId="2D28F8E5" w14:textId="77777777" w:rsidR="00A0251B" w:rsidRPr="00CC35F0" w:rsidRDefault="00A0251B">
      <w:pPr>
        <w:ind w:left="-1276" w:right="-857"/>
        <w:rPr>
          <w:rFonts w:ascii="Times New Roman" w:eastAsia="Times New Roman" w:hAnsi="Times New Roman"/>
          <w:sz w:val="24"/>
          <w:szCs w:val="24"/>
          <w:lang w:val="sr-Cyrl-CS"/>
        </w:rPr>
      </w:pPr>
    </w:p>
    <w:p w14:paraId="17E12A9B" w14:textId="77777777" w:rsidR="00A0251B" w:rsidRPr="00CC35F0" w:rsidRDefault="00A0251B">
      <w:pPr>
        <w:ind w:left="-1276" w:right="-857"/>
        <w:rPr>
          <w:rFonts w:ascii="Times New Roman" w:eastAsia="Times New Roman" w:hAnsi="Times New Roman"/>
          <w:sz w:val="24"/>
          <w:szCs w:val="24"/>
          <w:lang w:val="sr-Cyrl-CS"/>
        </w:rPr>
      </w:pPr>
    </w:p>
    <w:p w14:paraId="342C45BD" w14:textId="77777777" w:rsidR="00A0251B" w:rsidRPr="00CC35F0" w:rsidRDefault="00A0251B">
      <w:pPr>
        <w:ind w:left="-1276" w:right="-857"/>
        <w:rPr>
          <w:rFonts w:ascii="Times New Roman" w:eastAsia="Times New Roman" w:hAnsi="Times New Roman"/>
          <w:sz w:val="24"/>
          <w:szCs w:val="24"/>
          <w:lang w:val="sr-Cyrl-CS"/>
        </w:rPr>
      </w:pPr>
    </w:p>
    <w:p w14:paraId="217C3DCD" w14:textId="77777777" w:rsidR="00A0251B" w:rsidRPr="00CC35F0" w:rsidRDefault="00A0251B">
      <w:pPr>
        <w:ind w:left="-1276" w:right="-857"/>
        <w:rPr>
          <w:rFonts w:ascii="Times New Roman" w:eastAsia="Times New Roman" w:hAnsi="Times New Roman"/>
          <w:sz w:val="24"/>
          <w:szCs w:val="24"/>
          <w:lang w:val="sr-Cyrl-CS"/>
        </w:rPr>
      </w:pPr>
    </w:p>
    <w:p w14:paraId="365BA8A8" w14:textId="77777777" w:rsidR="00A0251B" w:rsidRPr="00CC35F0" w:rsidRDefault="00A0251B">
      <w:pPr>
        <w:ind w:left="-1276" w:right="-857"/>
        <w:rPr>
          <w:rFonts w:ascii="Times New Roman" w:eastAsia="Times New Roman" w:hAnsi="Times New Roman"/>
          <w:sz w:val="24"/>
          <w:szCs w:val="24"/>
          <w:lang w:val="sr-Cyrl-CS"/>
        </w:rPr>
      </w:pPr>
    </w:p>
    <w:p w14:paraId="7561FDEF" w14:textId="77777777" w:rsidR="00A0251B" w:rsidRPr="00CC35F0" w:rsidRDefault="00A0251B">
      <w:pPr>
        <w:ind w:left="-1276" w:right="-857"/>
        <w:rPr>
          <w:rFonts w:ascii="Times New Roman" w:eastAsia="Times New Roman" w:hAnsi="Times New Roman"/>
          <w:sz w:val="24"/>
          <w:szCs w:val="24"/>
          <w:lang w:val="sr-Cyrl-CS"/>
        </w:rPr>
      </w:pPr>
    </w:p>
    <w:p w14:paraId="4B57AFE9" w14:textId="77777777" w:rsidR="00A0251B" w:rsidRPr="00CC35F0" w:rsidRDefault="00A0251B">
      <w:pPr>
        <w:ind w:left="-1080" w:right="-857"/>
        <w:rPr>
          <w:rFonts w:ascii="Times New Roman" w:eastAsia="Times New Roman" w:hAnsi="Times New Roman"/>
          <w:sz w:val="24"/>
          <w:szCs w:val="24"/>
          <w:lang w:val="sr-Cyrl-CS"/>
        </w:rPr>
      </w:pPr>
    </w:p>
    <w:p w14:paraId="7E0461AC" w14:textId="77777777" w:rsidR="00A0251B" w:rsidRPr="00CC35F0" w:rsidRDefault="00A0251B">
      <w:pPr>
        <w:spacing w:after="160"/>
        <w:jc w:val="left"/>
        <w:rPr>
          <w:rFonts w:ascii="Times New Roman" w:eastAsia="Times New Roman" w:hAnsi="Times New Roman"/>
          <w:sz w:val="24"/>
          <w:szCs w:val="24"/>
          <w:lang w:val="sr-Cyrl-CS"/>
        </w:rPr>
      </w:pPr>
    </w:p>
    <w:p w14:paraId="0923F022"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07B4D254" wp14:editId="3EF5829C">
            <wp:extent cx="5943600" cy="5706745"/>
            <wp:effectExtent l="0" t="0" r="0" b="0"/>
            <wp:docPr id="57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06"/>
                    <a:srcRect/>
                    <a:stretch>
                      <a:fillRect/>
                    </a:stretch>
                  </pic:blipFill>
                  <pic:spPr>
                    <a:xfrm>
                      <a:off x="0" y="0"/>
                      <a:ext cx="5943600" cy="5706745"/>
                    </a:xfrm>
                    <a:prstGeom prst="rect">
                      <a:avLst/>
                    </a:prstGeom>
                    <a:ln/>
                  </pic:spPr>
                </pic:pic>
              </a:graphicData>
            </a:graphic>
          </wp:inline>
        </w:drawing>
      </w:r>
    </w:p>
    <w:p w14:paraId="42C00A83" w14:textId="77777777" w:rsidR="00A0251B" w:rsidRPr="00CC35F0" w:rsidRDefault="00A0251B">
      <w:pPr>
        <w:ind w:left="-1276" w:right="-857"/>
        <w:rPr>
          <w:rFonts w:ascii="Times New Roman" w:eastAsia="Times New Roman" w:hAnsi="Times New Roman"/>
          <w:sz w:val="24"/>
          <w:szCs w:val="24"/>
          <w:lang w:val="sr-Cyrl-CS"/>
        </w:rPr>
      </w:pPr>
    </w:p>
    <w:p w14:paraId="5C602C57" w14:textId="77777777" w:rsidR="00A0251B" w:rsidRPr="00CC35F0" w:rsidRDefault="00A0251B">
      <w:pPr>
        <w:ind w:left="-1276" w:right="-999"/>
        <w:rPr>
          <w:rFonts w:ascii="Times New Roman" w:eastAsia="Times New Roman" w:hAnsi="Times New Roman"/>
          <w:sz w:val="24"/>
          <w:szCs w:val="24"/>
          <w:lang w:val="sr-Cyrl-CS"/>
        </w:rPr>
      </w:pPr>
    </w:p>
    <w:p w14:paraId="7091DCE5" w14:textId="77777777" w:rsidR="00A0251B" w:rsidRPr="00CC35F0" w:rsidRDefault="00A0251B">
      <w:pPr>
        <w:ind w:left="-1276" w:right="-999"/>
        <w:rPr>
          <w:rFonts w:ascii="Times New Roman" w:eastAsia="Times New Roman" w:hAnsi="Times New Roman"/>
          <w:sz w:val="24"/>
          <w:szCs w:val="24"/>
          <w:lang w:val="sr-Cyrl-CS"/>
        </w:rPr>
      </w:pPr>
    </w:p>
    <w:p w14:paraId="26D42E7C" w14:textId="77777777" w:rsidR="00A0251B" w:rsidRPr="00CC35F0" w:rsidRDefault="00A0251B">
      <w:pPr>
        <w:ind w:left="-1276" w:right="-999"/>
        <w:rPr>
          <w:rFonts w:ascii="Times New Roman" w:eastAsia="Times New Roman" w:hAnsi="Times New Roman"/>
          <w:sz w:val="24"/>
          <w:szCs w:val="24"/>
          <w:lang w:val="sr-Cyrl-CS"/>
        </w:rPr>
      </w:pPr>
    </w:p>
    <w:p w14:paraId="3508171A" w14:textId="77777777" w:rsidR="00A0251B" w:rsidRPr="00CC35F0" w:rsidRDefault="00A0251B">
      <w:pPr>
        <w:ind w:left="-1276" w:right="-999"/>
        <w:rPr>
          <w:rFonts w:ascii="Times New Roman" w:eastAsia="Times New Roman" w:hAnsi="Times New Roman"/>
          <w:sz w:val="24"/>
          <w:szCs w:val="24"/>
          <w:lang w:val="sr-Cyrl-CS"/>
        </w:rPr>
      </w:pPr>
    </w:p>
    <w:p w14:paraId="126B01F0" w14:textId="77777777" w:rsidR="00A0251B" w:rsidRPr="00CC35F0" w:rsidRDefault="00A0251B">
      <w:pPr>
        <w:ind w:left="-1276" w:right="-999"/>
        <w:rPr>
          <w:rFonts w:ascii="Times New Roman" w:eastAsia="Times New Roman" w:hAnsi="Times New Roman"/>
          <w:sz w:val="24"/>
          <w:szCs w:val="24"/>
          <w:lang w:val="sr-Cyrl-CS"/>
        </w:rPr>
      </w:pPr>
    </w:p>
    <w:p w14:paraId="2E35FE39" w14:textId="77777777" w:rsidR="00A0251B" w:rsidRPr="00CC35F0" w:rsidRDefault="00A0251B">
      <w:pPr>
        <w:ind w:left="-1276" w:right="-999"/>
        <w:rPr>
          <w:rFonts w:ascii="Times New Roman" w:eastAsia="Times New Roman" w:hAnsi="Times New Roman"/>
          <w:sz w:val="24"/>
          <w:szCs w:val="24"/>
          <w:lang w:val="sr-Cyrl-CS"/>
        </w:rPr>
      </w:pPr>
    </w:p>
    <w:p w14:paraId="6866A6B9" w14:textId="77777777" w:rsidR="00A0251B" w:rsidRPr="00CC35F0" w:rsidRDefault="00A0251B">
      <w:pPr>
        <w:ind w:left="-1276" w:right="-999"/>
        <w:rPr>
          <w:rFonts w:ascii="Times New Roman" w:eastAsia="Times New Roman" w:hAnsi="Times New Roman"/>
          <w:sz w:val="24"/>
          <w:szCs w:val="24"/>
          <w:lang w:val="sr-Cyrl-CS"/>
        </w:rPr>
      </w:pPr>
    </w:p>
    <w:p w14:paraId="4516F520" w14:textId="77777777" w:rsidR="00A0251B" w:rsidRPr="00CC35F0" w:rsidRDefault="00A0251B">
      <w:pPr>
        <w:ind w:left="-1276" w:right="-999"/>
        <w:rPr>
          <w:rFonts w:ascii="Times New Roman" w:eastAsia="Times New Roman" w:hAnsi="Times New Roman"/>
          <w:sz w:val="24"/>
          <w:szCs w:val="24"/>
          <w:lang w:val="sr-Cyrl-CS"/>
        </w:rPr>
      </w:pPr>
    </w:p>
    <w:p w14:paraId="1CC6B860" w14:textId="77777777" w:rsidR="00A0251B" w:rsidRPr="00CC35F0" w:rsidRDefault="008D6506">
      <w:pPr>
        <w:ind w:left="-810" w:right="-999"/>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6BA066F2" wp14:editId="039A4EAC">
            <wp:extent cx="3414761" cy="3246211"/>
            <wp:effectExtent l="0" t="0" r="0" b="0"/>
            <wp:docPr id="57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07"/>
                    <a:srcRect/>
                    <a:stretch>
                      <a:fillRect/>
                    </a:stretch>
                  </pic:blipFill>
                  <pic:spPr>
                    <a:xfrm>
                      <a:off x="0" y="0"/>
                      <a:ext cx="3414761" cy="3246211"/>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51C8E098" wp14:editId="225D0555">
            <wp:extent cx="3409995" cy="3260989"/>
            <wp:effectExtent l="0" t="0" r="0" b="0"/>
            <wp:docPr id="57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08"/>
                    <a:srcRect/>
                    <a:stretch>
                      <a:fillRect/>
                    </a:stretch>
                  </pic:blipFill>
                  <pic:spPr>
                    <a:xfrm>
                      <a:off x="0" y="0"/>
                      <a:ext cx="3409995" cy="3260989"/>
                    </a:xfrm>
                    <a:prstGeom prst="rect">
                      <a:avLst/>
                    </a:prstGeom>
                    <a:ln/>
                  </pic:spPr>
                </pic:pic>
              </a:graphicData>
            </a:graphic>
          </wp:inline>
        </w:drawing>
      </w:r>
    </w:p>
    <w:p w14:paraId="0E9BF5FF" w14:textId="77777777" w:rsidR="00A0251B" w:rsidRPr="00CC35F0" w:rsidRDefault="008D6506">
      <w:pPr>
        <w:ind w:left="-810" w:right="-999"/>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65A246BF" wp14:editId="1D81086C">
            <wp:extent cx="3319291" cy="3131340"/>
            <wp:effectExtent l="0" t="0" r="0" b="0"/>
            <wp:docPr id="57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09"/>
                    <a:srcRect/>
                    <a:stretch>
                      <a:fillRect/>
                    </a:stretch>
                  </pic:blipFill>
                  <pic:spPr>
                    <a:xfrm>
                      <a:off x="0" y="0"/>
                      <a:ext cx="3319291" cy="3131340"/>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7A2CD473" wp14:editId="24DF28FB">
            <wp:extent cx="3422619" cy="3232839"/>
            <wp:effectExtent l="0" t="0" r="0" b="0"/>
            <wp:docPr id="56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10"/>
                    <a:srcRect/>
                    <a:stretch>
                      <a:fillRect/>
                    </a:stretch>
                  </pic:blipFill>
                  <pic:spPr>
                    <a:xfrm>
                      <a:off x="0" y="0"/>
                      <a:ext cx="3422619" cy="3232839"/>
                    </a:xfrm>
                    <a:prstGeom prst="rect">
                      <a:avLst/>
                    </a:prstGeom>
                    <a:ln/>
                  </pic:spPr>
                </pic:pic>
              </a:graphicData>
            </a:graphic>
          </wp:inline>
        </w:drawing>
      </w:r>
    </w:p>
    <w:p w14:paraId="1038F72E" w14:textId="77777777" w:rsidR="00A0251B" w:rsidRPr="00CC35F0" w:rsidRDefault="00A0251B">
      <w:pPr>
        <w:ind w:left="-142"/>
        <w:rPr>
          <w:rFonts w:ascii="Times New Roman" w:eastAsia="Times New Roman" w:hAnsi="Times New Roman"/>
          <w:sz w:val="24"/>
          <w:szCs w:val="24"/>
          <w:lang w:val="sr-Cyrl-CS"/>
        </w:rPr>
      </w:pPr>
    </w:p>
    <w:p w14:paraId="746F5462" w14:textId="77777777" w:rsidR="00A0251B" w:rsidRPr="00CC35F0" w:rsidRDefault="00A0251B">
      <w:pPr>
        <w:ind w:left="-142"/>
        <w:rPr>
          <w:rFonts w:ascii="Times New Roman" w:eastAsia="Times New Roman" w:hAnsi="Times New Roman"/>
          <w:sz w:val="24"/>
          <w:szCs w:val="24"/>
          <w:lang w:val="sr-Cyrl-CS"/>
        </w:rPr>
      </w:pPr>
    </w:p>
    <w:p w14:paraId="6E05280A" w14:textId="77777777" w:rsidR="00A0251B" w:rsidRPr="00CC35F0" w:rsidRDefault="00A0251B">
      <w:pPr>
        <w:ind w:left="-142"/>
        <w:rPr>
          <w:rFonts w:ascii="Times New Roman" w:eastAsia="Times New Roman" w:hAnsi="Times New Roman"/>
          <w:sz w:val="24"/>
          <w:szCs w:val="24"/>
          <w:lang w:val="sr-Cyrl-CS"/>
        </w:rPr>
      </w:pPr>
    </w:p>
    <w:p w14:paraId="56DDEBF6" w14:textId="77777777" w:rsidR="00A0251B" w:rsidRPr="00CC35F0" w:rsidRDefault="00A0251B">
      <w:pPr>
        <w:ind w:left="-142"/>
        <w:rPr>
          <w:rFonts w:ascii="Times New Roman" w:eastAsia="Times New Roman" w:hAnsi="Times New Roman"/>
          <w:sz w:val="24"/>
          <w:szCs w:val="24"/>
          <w:lang w:val="sr-Cyrl-CS"/>
        </w:rPr>
      </w:pPr>
    </w:p>
    <w:p w14:paraId="1AB21E9A" w14:textId="77777777" w:rsidR="00A0251B" w:rsidRPr="00CC35F0" w:rsidRDefault="00A0251B">
      <w:pPr>
        <w:ind w:left="-142"/>
        <w:rPr>
          <w:rFonts w:ascii="Times New Roman" w:eastAsia="Times New Roman" w:hAnsi="Times New Roman"/>
          <w:sz w:val="24"/>
          <w:szCs w:val="24"/>
          <w:lang w:val="sr-Cyrl-CS"/>
        </w:rPr>
      </w:pPr>
    </w:p>
    <w:p w14:paraId="3E4CB271" w14:textId="77777777" w:rsidR="00A0251B" w:rsidRPr="00CC35F0" w:rsidRDefault="00A0251B">
      <w:pPr>
        <w:ind w:left="-142"/>
        <w:rPr>
          <w:rFonts w:ascii="Times New Roman" w:eastAsia="Times New Roman" w:hAnsi="Times New Roman"/>
          <w:sz w:val="24"/>
          <w:szCs w:val="24"/>
          <w:lang w:val="sr-Cyrl-CS"/>
        </w:rPr>
      </w:pPr>
    </w:p>
    <w:p w14:paraId="1F66713E" w14:textId="77777777" w:rsidR="00A0251B" w:rsidRPr="00CC35F0" w:rsidRDefault="00A0251B">
      <w:pPr>
        <w:ind w:left="-142"/>
        <w:rPr>
          <w:rFonts w:ascii="Times New Roman" w:eastAsia="Times New Roman" w:hAnsi="Times New Roman"/>
          <w:sz w:val="24"/>
          <w:szCs w:val="24"/>
          <w:lang w:val="sr-Cyrl-CS"/>
        </w:rPr>
      </w:pPr>
    </w:p>
    <w:p w14:paraId="38132959" w14:textId="77777777" w:rsidR="00A0251B" w:rsidRPr="00CC35F0" w:rsidRDefault="008D6506">
      <w:pPr>
        <w:ind w:left="-142"/>
        <w:jc w:val="center"/>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2033D990" wp14:editId="002E1B85">
            <wp:extent cx="5943600" cy="5597525"/>
            <wp:effectExtent l="0" t="0" r="0" b="0"/>
            <wp:docPr id="5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11"/>
                    <a:srcRect/>
                    <a:stretch>
                      <a:fillRect/>
                    </a:stretch>
                  </pic:blipFill>
                  <pic:spPr>
                    <a:xfrm>
                      <a:off x="0" y="0"/>
                      <a:ext cx="5943600" cy="5597525"/>
                    </a:xfrm>
                    <a:prstGeom prst="rect">
                      <a:avLst/>
                    </a:prstGeom>
                    <a:ln/>
                  </pic:spPr>
                </pic:pic>
              </a:graphicData>
            </a:graphic>
          </wp:inline>
        </w:drawing>
      </w:r>
    </w:p>
    <w:p w14:paraId="5225FC4B" w14:textId="77777777" w:rsidR="00A0251B" w:rsidRPr="00CC35F0" w:rsidRDefault="00A0251B">
      <w:pPr>
        <w:ind w:left="-993" w:right="-999"/>
        <w:rPr>
          <w:rFonts w:ascii="Times New Roman" w:eastAsia="Times New Roman" w:hAnsi="Times New Roman"/>
          <w:sz w:val="24"/>
          <w:szCs w:val="24"/>
          <w:lang w:val="sr-Cyrl-CS"/>
        </w:rPr>
      </w:pPr>
    </w:p>
    <w:p w14:paraId="164CB598" w14:textId="77777777" w:rsidR="00A0251B" w:rsidRPr="00CC35F0" w:rsidRDefault="00A0251B">
      <w:pPr>
        <w:ind w:left="-993" w:right="-999"/>
        <w:rPr>
          <w:rFonts w:ascii="Times New Roman" w:eastAsia="Times New Roman" w:hAnsi="Times New Roman"/>
          <w:sz w:val="24"/>
          <w:szCs w:val="24"/>
          <w:lang w:val="sr-Cyrl-CS"/>
        </w:rPr>
      </w:pPr>
    </w:p>
    <w:p w14:paraId="17DF54B9" w14:textId="77777777" w:rsidR="00A0251B" w:rsidRPr="00CC35F0" w:rsidRDefault="00A0251B">
      <w:pPr>
        <w:ind w:left="-993" w:right="-999"/>
        <w:rPr>
          <w:rFonts w:ascii="Times New Roman" w:eastAsia="Times New Roman" w:hAnsi="Times New Roman"/>
          <w:sz w:val="24"/>
          <w:szCs w:val="24"/>
          <w:lang w:val="sr-Cyrl-CS"/>
        </w:rPr>
      </w:pPr>
    </w:p>
    <w:p w14:paraId="6DC20223" w14:textId="77777777" w:rsidR="00A0251B" w:rsidRPr="00CC35F0" w:rsidRDefault="00A0251B">
      <w:pPr>
        <w:ind w:left="-993" w:right="-999"/>
        <w:rPr>
          <w:rFonts w:ascii="Times New Roman" w:eastAsia="Times New Roman" w:hAnsi="Times New Roman"/>
          <w:sz w:val="24"/>
          <w:szCs w:val="24"/>
          <w:lang w:val="sr-Cyrl-CS"/>
        </w:rPr>
      </w:pPr>
    </w:p>
    <w:p w14:paraId="46D8FD1D" w14:textId="77777777" w:rsidR="00A0251B" w:rsidRPr="00CC35F0" w:rsidRDefault="00A0251B">
      <w:pPr>
        <w:ind w:left="-993" w:right="-999"/>
        <w:rPr>
          <w:rFonts w:ascii="Times New Roman" w:eastAsia="Times New Roman" w:hAnsi="Times New Roman"/>
          <w:sz w:val="24"/>
          <w:szCs w:val="24"/>
          <w:lang w:val="sr-Cyrl-CS"/>
        </w:rPr>
      </w:pPr>
    </w:p>
    <w:p w14:paraId="0D7319E1" w14:textId="77777777" w:rsidR="00A0251B" w:rsidRPr="00CC35F0" w:rsidRDefault="00A0251B">
      <w:pPr>
        <w:ind w:left="-993" w:right="-999"/>
        <w:rPr>
          <w:rFonts w:ascii="Times New Roman" w:eastAsia="Times New Roman" w:hAnsi="Times New Roman"/>
          <w:sz w:val="24"/>
          <w:szCs w:val="24"/>
          <w:lang w:val="sr-Cyrl-CS"/>
        </w:rPr>
      </w:pPr>
    </w:p>
    <w:p w14:paraId="13B48623" w14:textId="77777777" w:rsidR="00A0251B" w:rsidRPr="00CC35F0" w:rsidRDefault="00A0251B">
      <w:pPr>
        <w:ind w:left="-993" w:right="-999"/>
        <w:rPr>
          <w:rFonts w:ascii="Times New Roman" w:eastAsia="Times New Roman" w:hAnsi="Times New Roman"/>
          <w:sz w:val="24"/>
          <w:szCs w:val="24"/>
          <w:lang w:val="sr-Cyrl-CS"/>
        </w:rPr>
      </w:pPr>
    </w:p>
    <w:p w14:paraId="0F8AA570" w14:textId="77777777" w:rsidR="00A0251B" w:rsidRPr="00CC35F0" w:rsidRDefault="00A0251B">
      <w:pPr>
        <w:ind w:left="-993" w:right="-999"/>
        <w:rPr>
          <w:rFonts w:ascii="Times New Roman" w:eastAsia="Times New Roman" w:hAnsi="Times New Roman"/>
          <w:sz w:val="24"/>
          <w:szCs w:val="24"/>
          <w:lang w:val="sr-Cyrl-CS"/>
        </w:rPr>
      </w:pPr>
    </w:p>
    <w:p w14:paraId="54F9806B" w14:textId="77777777" w:rsidR="00A0251B" w:rsidRPr="00CC35F0" w:rsidRDefault="00A0251B">
      <w:pPr>
        <w:ind w:left="-993" w:right="-999"/>
        <w:rPr>
          <w:rFonts w:ascii="Times New Roman" w:eastAsia="Times New Roman" w:hAnsi="Times New Roman"/>
          <w:sz w:val="24"/>
          <w:szCs w:val="24"/>
          <w:lang w:val="sr-Cyrl-CS"/>
        </w:rPr>
      </w:pPr>
    </w:p>
    <w:p w14:paraId="02C074B2" w14:textId="77777777" w:rsidR="00A0251B" w:rsidRPr="00CC35F0" w:rsidRDefault="00A0251B">
      <w:pPr>
        <w:ind w:left="-993" w:right="-999"/>
        <w:rPr>
          <w:rFonts w:ascii="Times New Roman" w:eastAsia="Times New Roman" w:hAnsi="Times New Roman"/>
          <w:sz w:val="24"/>
          <w:szCs w:val="24"/>
          <w:lang w:val="sr-Cyrl-CS"/>
        </w:rPr>
      </w:pPr>
    </w:p>
    <w:p w14:paraId="2C4992C1" w14:textId="77777777" w:rsidR="00A0251B" w:rsidRPr="00CC35F0" w:rsidRDefault="00A0251B">
      <w:pPr>
        <w:ind w:left="-993" w:right="-999"/>
        <w:rPr>
          <w:rFonts w:ascii="Times New Roman" w:eastAsia="Times New Roman" w:hAnsi="Times New Roman"/>
          <w:sz w:val="24"/>
          <w:szCs w:val="24"/>
          <w:lang w:val="sr-Cyrl-CS"/>
        </w:rPr>
      </w:pPr>
    </w:p>
    <w:p w14:paraId="1D8FB189" w14:textId="77777777" w:rsidR="00A0251B" w:rsidRPr="00CC35F0" w:rsidRDefault="008D6506">
      <w:pPr>
        <w:ind w:left="-900" w:right="-999"/>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lastRenderedPageBreak/>
        <w:drawing>
          <wp:inline distT="0" distB="0" distL="0" distR="0" wp14:anchorId="03E26542" wp14:editId="1F534157">
            <wp:extent cx="3535926" cy="3330797"/>
            <wp:effectExtent l="0" t="0" r="0" b="0"/>
            <wp:docPr id="56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12"/>
                    <a:srcRect/>
                    <a:stretch>
                      <a:fillRect/>
                    </a:stretch>
                  </pic:blipFill>
                  <pic:spPr>
                    <a:xfrm>
                      <a:off x="0" y="0"/>
                      <a:ext cx="3535926" cy="3330797"/>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57FE5678" wp14:editId="53482587">
            <wp:extent cx="3470792" cy="3320241"/>
            <wp:effectExtent l="0" t="0" r="0" b="0"/>
            <wp:docPr id="56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3"/>
                    <a:srcRect/>
                    <a:stretch>
                      <a:fillRect/>
                    </a:stretch>
                  </pic:blipFill>
                  <pic:spPr>
                    <a:xfrm>
                      <a:off x="0" y="0"/>
                      <a:ext cx="3470792" cy="3320241"/>
                    </a:xfrm>
                    <a:prstGeom prst="rect">
                      <a:avLst/>
                    </a:prstGeom>
                    <a:ln/>
                  </pic:spPr>
                </pic:pic>
              </a:graphicData>
            </a:graphic>
          </wp:inline>
        </w:drawing>
      </w:r>
    </w:p>
    <w:p w14:paraId="2C9AA0D3" w14:textId="77777777" w:rsidR="00A0251B" w:rsidRPr="00CC35F0" w:rsidRDefault="008D6506">
      <w:pPr>
        <w:ind w:left="-900" w:right="-999"/>
        <w:rPr>
          <w:rFonts w:ascii="Times New Roman" w:eastAsia="Times New Roman" w:hAnsi="Times New Roman"/>
          <w:sz w:val="24"/>
          <w:szCs w:val="24"/>
          <w:lang w:val="sr-Cyrl-CS"/>
        </w:rPr>
      </w:pPr>
      <w:r w:rsidRPr="00CC35F0">
        <w:rPr>
          <w:rFonts w:ascii="Times New Roman" w:eastAsia="Times New Roman" w:hAnsi="Times New Roman"/>
          <w:noProof/>
          <w:sz w:val="24"/>
          <w:szCs w:val="24"/>
          <w:lang w:val="sr-Cyrl-RS" w:eastAsia="sr-Cyrl-RS"/>
        </w:rPr>
        <w:drawing>
          <wp:inline distT="0" distB="0" distL="0" distR="0" wp14:anchorId="11D48BCE" wp14:editId="2204168F">
            <wp:extent cx="3520927" cy="3362936"/>
            <wp:effectExtent l="0" t="0" r="0" b="0"/>
            <wp:docPr id="56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4"/>
                    <a:srcRect/>
                    <a:stretch>
                      <a:fillRect/>
                    </a:stretch>
                  </pic:blipFill>
                  <pic:spPr>
                    <a:xfrm>
                      <a:off x="0" y="0"/>
                      <a:ext cx="3520927" cy="3362936"/>
                    </a:xfrm>
                    <a:prstGeom prst="rect">
                      <a:avLst/>
                    </a:prstGeom>
                    <a:ln/>
                  </pic:spPr>
                </pic:pic>
              </a:graphicData>
            </a:graphic>
          </wp:inline>
        </w:drawing>
      </w:r>
      <w:r w:rsidRPr="00CC35F0">
        <w:rPr>
          <w:rFonts w:ascii="Times New Roman" w:eastAsia="Times New Roman" w:hAnsi="Times New Roman"/>
          <w:noProof/>
          <w:sz w:val="24"/>
          <w:szCs w:val="24"/>
          <w:lang w:val="sr-Cyrl-RS" w:eastAsia="sr-Cyrl-RS"/>
        </w:rPr>
        <w:drawing>
          <wp:inline distT="0" distB="0" distL="0" distR="0" wp14:anchorId="11E232AF" wp14:editId="2DBF2909">
            <wp:extent cx="3550512" cy="3361607"/>
            <wp:effectExtent l="0" t="0" r="0" b="0"/>
            <wp:docPr id="56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15"/>
                    <a:srcRect/>
                    <a:stretch>
                      <a:fillRect/>
                    </a:stretch>
                  </pic:blipFill>
                  <pic:spPr>
                    <a:xfrm>
                      <a:off x="0" y="0"/>
                      <a:ext cx="3550512" cy="3361607"/>
                    </a:xfrm>
                    <a:prstGeom prst="rect">
                      <a:avLst/>
                    </a:prstGeom>
                    <a:ln/>
                  </pic:spPr>
                </pic:pic>
              </a:graphicData>
            </a:graphic>
          </wp:inline>
        </w:drawing>
      </w:r>
    </w:p>
    <w:p w14:paraId="43188024" w14:textId="77777777" w:rsidR="00A0251B" w:rsidRPr="00CC35F0" w:rsidRDefault="00A0251B">
      <w:pPr>
        <w:ind w:left="-900" w:right="-999"/>
        <w:rPr>
          <w:rFonts w:ascii="Times New Roman" w:eastAsia="Times New Roman" w:hAnsi="Times New Roman"/>
          <w:sz w:val="24"/>
          <w:szCs w:val="24"/>
          <w:lang w:val="sr-Cyrl-CS"/>
        </w:rPr>
      </w:pPr>
    </w:p>
    <w:p w14:paraId="1DF8B57B" w14:textId="77777777" w:rsidR="00A0251B" w:rsidRPr="00CC35F0" w:rsidRDefault="00A0251B">
      <w:pPr>
        <w:ind w:left="-900" w:right="-999"/>
        <w:rPr>
          <w:rFonts w:ascii="Times New Roman" w:eastAsia="Times New Roman" w:hAnsi="Times New Roman"/>
          <w:sz w:val="24"/>
          <w:szCs w:val="24"/>
          <w:lang w:val="sr-Cyrl-CS"/>
        </w:rPr>
      </w:pPr>
    </w:p>
    <w:p w14:paraId="6956DF56" w14:textId="77777777" w:rsidR="00A0251B" w:rsidRPr="00CC35F0" w:rsidRDefault="00A0251B">
      <w:pPr>
        <w:ind w:firstLine="720"/>
        <w:rPr>
          <w:rFonts w:ascii="Times New Roman" w:eastAsia="Times New Roman" w:hAnsi="Times New Roman"/>
          <w:b/>
          <w:color w:val="2F5496"/>
          <w:sz w:val="24"/>
          <w:szCs w:val="24"/>
          <w:lang w:val="sr-Cyrl-CS"/>
        </w:rPr>
      </w:pPr>
    </w:p>
    <w:p w14:paraId="44C2D429" w14:textId="77777777" w:rsidR="00A0251B" w:rsidRPr="00CC35F0" w:rsidRDefault="00A0251B">
      <w:pPr>
        <w:ind w:firstLine="720"/>
        <w:rPr>
          <w:rFonts w:ascii="Times New Roman" w:eastAsia="Times New Roman" w:hAnsi="Times New Roman"/>
          <w:b/>
          <w:color w:val="2F5496"/>
          <w:sz w:val="24"/>
          <w:szCs w:val="24"/>
          <w:lang w:val="sr-Cyrl-CS"/>
        </w:rPr>
      </w:pPr>
    </w:p>
    <w:p w14:paraId="015214A5" w14:textId="77777777" w:rsidR="00A0251B" w:rsidRPr="00CC35F0" w:rsidRDefault="00A0251B">
      <w:pPr>
        <w:ind w:firstLine="720"/>
        <w:rPr>
          <w:rFonts w:ascii="Times New Roman" w:eastAsia="Times New Roman" w:hAnsi="Times New Roman"/>
          <w:b/>
          <w:color w:val="2F5496"/>
          <w:sz w:val="24"/>
          <w:szCs w:val="24"/>
          <w:lang w:val="sr-Cyrl-CS"/>
        </w:rPr>
      </w:pPr>
    </w:p>
    <w:p w14:paraId="44EEB90F" w14:textId="77777777" w:rsidR="00A0251B" w:rsidRPr="00CC35F0" w:rsidRDefault="00A0251B">
      <w:pPr>
        <w:ind w:firstLine="720"/>
        <w:rPr>
          <w:rFonts w:ascii="Times New Roman" w:eastAsia="Times New Roman" w:hAnsi="Times New Roman"/>
          <w:b/>
          <w:color w:val="2F5496"/>
          <w:sz w:val="24"/>
          <w:szCs w:val="24"/>
          <w:lang w:val="sr-Cyrl-CS"/>
        </w:rPr>
      </w:pPr>
    </w:p>
    <w:p w14:paraId="153E5A5B" w14:textId="77777777" w:rsidR="00A0251B" w:rsidRPr="00CC35F0" w:rsidRDefault="00A0251B">
      <w:pPr>
        <w:ind w:left="-900" w:right="-999"/>
        <w:rPr>
          <w:rFonts w:ascii="Times New Roman" w:eastAsia="Times New Roman" w:hAnsi="Times New Roman"/>
          <w:sz w:val="24"/>
          <w:szCs w:val="24"/>
          <w:lang w:val="sr-Cyrl-CS"/>
        </w:rPr>
      </w:pPr>
    </w:p>
    <w:p w14:paraId="141D1533" w14:textId="77777777" w:rsidR="00E00F0F" w:rsidRPr="00CC35F0" w:rsidRDefault="00000000" w:rsidP="00E00F0F">
      <w:pPr>
        <w:keepNext/>
        <w:keepLines/>
        <w:pBdr>
          <w:top w:val="nil"/>
          <w:left w:val="nil"/>
          <w:bottom w:val="nil"/>
          <w:right w:val="nil"/>
          <w:between w:val="nil"/>
        </w:pBdr>
        <w:spacing w:before="360" w:after="240" w:line="240" w:lineRule="auto"/>
        <w:ind w:left="6912" w:firstLine="288"/>
        <w:rPr>
          <w:rFonts w:ascii="Times New Roman" w:eastAsia="Times New Roman" w:hAnsi="Times New Roman"/>
          <w:b/>
          <w:smallCaps/>
          <w:color w:val="1F3864"/>
          <w:sz w:val="24"/>
          <w:szCs w:val="24"/>
          <w:lang w:val="sr-Cyrl-CS"/>
        </w:rPr>
      </w:pPr>
      <w:hyperlink w:anchor="_heading=h.4anzqyu">
        <w:r w:rsidR="008D6506" w:rsidRPr="00CC35F0">
          <w:rPr>
            <w:rFonts w:ascii="Times New Roman" w:eastAsia="Times New Roman" w:hAnsi="Times New Roman"/>
            <w:b/>
            <w:smallCaps/>
            <w:color w:val="0000FF"/>
            <w:sz w:val="24"/>
            <w:szCs w:val="24"/>
            <w:lang w:val="sr-Cyrl-CS"/>
          </w:rPr>
          <w:t>Прилог 5</w:t>
        </w:r>
      </w:hyperlink>
      <w:r w:rsidR="008D6506" w:rsidRPr="00CC35F0">
        <w:rPr>
          <w:rFonts w:ascii="Times New Roman" w:eastAsia="Times New Roman" w:hAnsi="Times New Roman"/>
          <w:b/>
          <w:smallCaps/>
          <w:color w:val="1F3864"/>
          <w:sz w:val="24"/>
          <w:szCs w:val="24"/>
          <w:lang w:val="sr-Cyrl-CS"/>
        </w:rPr>
        <w:t xml:space="preserve">  </w:t>
      </w:r>
    </w:p>
    <w:p w14:paraId="3AC30B96" w14:textId="77777777" w:rsidR="00F214C5" w:rsidRPr="00CC35F0" w:rsidRDefault="008D6506" w:rsidP="00E00F0F">
      <w:pPr>
        <w:keepNext/>
        <w:keepLines/>
        <w:pBdr>
          <w:top w:val="nil"/>
          <w:left w:val="nil"/>
          <w:bottom w:val="nil"/>
          <w:right w:val="nil"/>
          <w:between w:val="nil"/>
        </w:pBdr>
        <w:spacing w:before="360" w:after="240" w:line="240" w:lineRule="auto"/>
        <w:ind w:left="432" w:hanging="432"/>
        <w:jc w:val="center"/>
        <w:rPr>
          <w:rFonts w:ascii="Times New Roman" w:eastAsia="Times New Roman" w:hAnsi="Times New Roman"/>
          <w:b/>
          <w:smallCaps/>
          <w:color w:val="1F3864"/>
          <w:sz w:val="24"/>
          <w:szCs w:val="24"/>
          <w:lang w:val="sr-Cyrl-CS"/>
        </w:rPr>
      </w:pPr>
      <w:r w:rsidRPr="00CC35F0">
        <w:rPr>
          <w:rFonts w:ascii="Times New Roman" w:eastAsia="Times New Roman" w:hAnsi="Times New Roman"/>
          <w:b/>
          <w:smallCaps/>
          <w:color w:val="1F3864"/>
          <w:sz w:val="24"/>
          <w:szCs w:val="24"/>
          <w:lang w:val="sr-Cyrl-CS"/>
        </w:rPr>
        <w:t xml:space="preserve">очекивано увођење НОВИХ УРЕЂАЈА КОЈИ испуњавају захтеве </w:t>
      </w:r>
    </w:p>
    <w:p w14:paraId="67A04CF6" w14:textId="77777777" w:rsidR="00A0251B" w:rsidRPr="00CC35F0" w:rsidRDefault="008D6506" w:rsidP="00E00F0F">
      <w:pPr>
        <w:keepNext/>
        <w:keepLines/>
        <w:pBdr>
          <w:top w:val="nil"/>
          <w:left w:val="nil"/>
          <w:bottom w:val="nil"/>
          <w:right w:val="nil"/>
          <w:between w:val="nil"/>
        </w:pBdr>
        <w:spacing w:before="360" w:after="240" w:line="240" w:lineRule="auto"/>
        <w:ind w:left="432" w:hanging="432"/>
        <w:jc w:val="center"/>
        <w:rPr>
          <w:rFonts w:ascii="Times New Roman" w:eastAsia="Times New Roman" w:hAnsi="Times New Roman"/>
          <w:b/>
          <w:smallCaps/>
          <w:color w:val="1F3864"/>
          <w:sz w:val="24"/>
          <w:szCs w:val="24"/>
          <w:lang w:val="sr-Cyrl-CS"/>
        </w:rPr>
      </w:pPr>
      <w:r w:rsidRPr="00CC35F0">
        <w:rPr>
          <w:rFonts w:ascii="Times New Roman" w:eastAsia="Times New Roman" w:hAnsi="Times New Roman"/>
          <w:b/>
          <w:smallCaps/>
          <w:color w:val="1F3864"/>
          <w:sz w:val="24"/>
          <w:szCs w:val="24"/>
          <w:lang w:val="sr-Cyrl-CS"/>
        </w:rPr>
        <w:t>Директиве о еко - дизајну</w:t>
      </w:r>
    </w:p>
    <w:p w14:paraId="0BB5608C" w14:textId="77777777" w:rsidR="00A0251B" w:rsidRPr="00CC35F0" w:rsidRDefault="00A0251B">
      <w:pPr>
        <w:ind w:left="-900" w:right="-999"/>
        <w:rPr>
          <w:rFonts w:ascii="Times New Roman" w:eastAsia="Times New Roman" w:hAnsi="Times New Roman"/>
          <w:sz w:val="24"/>
          <w:szCs w:val="24"/>
          <w:lang w:val="sr-Cyrl-CS"/>
        </w:rPr>
      </w:pPr>
    </w:p>
    <w:p w14:paraId="484592E8" w14:textId="77777777" w:rsidR="00A0251B" w:rsidRPr="00CC35F0" w:rsidRDefault="00A0251B">
      <w:pPr>
        <w:rPr>
          <w:rFonts w:ascii="Times New Roman" w:eastAsia="Times New Roman" w:hAnsi="Times New Roman"/>
          <w:color w:val="0070C0"/>
          <w:sz w:val="24"/>
          <w:szCs w:val="24"/>
          <w:lang w:val="sr-Cyrl-CS"/>
        </w:rPr>
      </w:pPr>
    </w:p>
    <w:tbl>
      <w:tblPr>
        <w:tblStyle w:val="afffffb"/>
        <w:tblW w:w="9592" w:type="dxa"/>
        <w:tblLayout w:type="fixed"/>
        <w:tblLook w:val="0400" w:firstRow="0" w:lastRow="0" w:firstColumn="0" w:lastColumn="0" w:noHBand="0" w:noVBand="1"/>
      </w:tblPr>
      <w:tblGrid>
        <w:gridCol w:w="2552"/>
        <w:gridCol w:w="1000"/>
        <w:gridCol w:w="1000"/>
        <w:gridCol w:w="1000"/>
        <w:gridCol w:w="1000"/>
        <w:gridCol w:w="1000"/>
        <w:gridCol w:w="1000"/>
        <w:gridCol w:w="1040"/>
      </w:tblGrid>
      <w:tr w:rsidR="00A0251B" w:rsidRPr="00CC35F0" w14:paraId="54299DAB" w14:textId="77777777">
        <w:trPr>
          <w:trHeight w:val="750"/>
        </w:trPr>
        <w:tc>
          <w:tcPr>
            <w:tcW w:w="2552" w:type="dxa"/>
            <w:tcBorders>
              <w:top w:val="nil"/>
              <w:left w:val="nil"/>
              <w:bottom w:val="nil"/>
              <w:right w:val="nil"/>
            </w:tcBorders>
            <w:shd w:val="clear" w:color="auto" w:fill="003366"/>
            <w:vAlign w:val="bottom"/>
          </w:tcPr>
          <w:p w14:paraId="3021A307" w14:textId="77777777" w:rsidR="00A0251B" w:rsidRPr="00CC35F0" w:rsidRDefault="008D6506">
            <w:pPr>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Циљне вредности из Акционог плана (збирно)</w:t>
            </w:r>
          </w:p>
        </w:tc>
        <w:tc>
          <w:tcPr>
            <w:tcW w:w="1000" w:type="dxa"/>
            <w:tcBorders>
              <w:top w:val="nil"/>
              <w:left w:val="nil"/>
              <w:bottom w:val="nil"/>
              <w:right w:val="nil"/>
            </w:tcBorders>
            <w:shd w:val="clear" w:color="auto" w:fill="003366"/>
            <w:vAlign w:val="bottom"/>
          </w:tcPr>
          <w:p w14:paraId="157807BB" w14:textId="77777777" w:rsidR="00A0251B" w:rsidRPr="00CC35F0" w:rsidRDefault="008D6506">
            <w:pPr>
              <w:jc w:val="right"/>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2024</w:t>
            </w:r>
          </w:p>
        </w:tc>
        <w:tc>
          <w:tcPr>
            <w:tcW w:w="1000" w:type="dxa"/>
            <w:tcBorders>
              <w:top w:val="nil"/>
              <w:left w:val="nil"/>
              <w:bottom w:val="nil"/>
              <w:right w:val="nil"/>
            </w:tcBorders>
            <w:shd w:val="clear" w:color="auto" w:fill="003366"/>
            <w:vAlign w:val="bottom"/>
          </w:tcPr>
          <w:p w14:paraId="38CD4FA6" w14:textId="77777777" w:rsidR="00A0251B" w:rsidRPr="00CC35F0" w:rsidRDefault="008D6506">
            <w:pPr>
              <w:jc w:val="right"/>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2025</w:t>
            </w:r>
          </w:p>
        </w:tc>
        <w:tc>
          <w:tcPr>
            <w:tcW w:w="1000" w:type="dxa"/>
            <w:tcBorders>
              <w:top w:val="nil"/>
              <w:left w:val="nil"/>
              <w:bottom w:val="nil"/>
              <w:right w:val="nil"/>
            </w:tcBorders>
            <w:shd w:val="clear" w:color="auto" w:fill="003366"/>
            <w:vAlign w:val="bottom"/>
          </w:tcPr>
          <w:p w14:paraId="37756E6B" w14:textId="77777777" w:rsidR="00A0251B" w:rsidRPr="00CC35F0" w:rsidRDefault="008D6506">
            <w:pPr>
              <w:jc w:val="right"/>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2026</w:t>
            </w:r>
          </w:p>
        </w:tc>
        <w:tc>
          <w:tcPr>
            <w:tcW w:w="1000" w:type="dxa"/>
            <w:tcBorders>
              <w:top w:val="nil"/>
              <w:left w:val="nil"/>
              <w:bottom w:val="nil"/>
              <w:right w:val="nil"/>
            </w:tcBorders>
            <w:shd w:val="clear" w:color="auto" w:fill="003366"/>
            <w:vAlign w:val="bottom"/>
          </w:tcPr>
          <w:p w14:paraId="2F19D3EB" w14:textId="77777777" w:rsidR="00A0251B" w:rsidRPr="00CC35F0" w:rsidRDefault="008D6506">
            <w:pPr>
              <w:jc w:val="right"/>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2027</w:t>
            </w:r>
          </w:p>
        </w:tc>
        <w:tc>
          <w:tcPr>
            <w:tcW w:w="1000" w:type="dxa"/>
            <w:tcBorders>
              <w:top w:val="nil"/>
              <w:left w:val="nil"/>
              <w:bottom w:val="nil"/>
              <w:right w:val="nil"/>
            </w:tcBorders>
            <w:shd w:val="clear" w:color="auto" w:fill="003366"/>
            <w:vAlign w:val="bottom"/>
          </w:tcPr>
          <w:p w14:paraId="0CE39812" w14:textId="77777777" w:rsidR="00A0251B" w:rsidRPr="00CC35F0" w:rsidRDefault="008D6506">
            <w:pPr>
              <w:jc w:val="right"/>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2028</w:t>
            </w:r>
          </w:p>
        </w:tc>
        <w:tc>
          <w:tcPr>
            <w:tcW w:w="1000" w:type="dxa"/>
            <w:tcBorders>
              <w:top w:val="nil"/>
              <w:left w:val="nil"/>
              <w:bottom w:val="nil"/>
              <w:right w:val="nil"/>
            </w:tcBorders>
            <w:shd w:val="clear" w:color="auto" w:fill="003366"/>
            <w:vAlign w:val="bottom"/>
          </w:tcPr>
          <w:p w14:paraId="124D98C6" w14:textId="77777777" w:rsidR="00A0251B" w:rsidRPr="00CC35F0" w:rsidRDefault="008D6506">
            <w:pPr>
              <w:jc w:val="right"/>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2029</w:t>
            </w:r>
          </w:p>
        </w:tc>
        <w:tc>
          <w:tcPr>
            <w:tcW w:w="1040" w:type="dxa"/>
            <w:tcBorders>
              <w:top w:val="nil"/>
              <w:left w:val="nil"/>
              <w:bottom w:val="nil"/>
              <w:right w:val="nil"/>
            </w:tcBorders>
            <w:shd w:val="clear" w:color="auto" w:fill="003366"/>
            <w:vAlign w:val="bottom"/>
          </w:tcPr>
          <w:p w14:paraId="45EA9A2E" w14:textId="77777777" w:rsidR="00A0251B" w:rsidRPr="00CC35F0" w:rsidRDefault="008D6506">
            <w:pPr>
              <w:jc w:val="right"/>
              <w:rPr>
                <w:rFonts w:ascii="Times New Roman" w:eastAsia="Times New Roman" w:hAnsi="Times New Roman"/>
                <w:color w:val="FFFFFF"/>
                <w:sz w:val="24"/>
                <w:szCs w:val="24"/>
                <w:lang w:val="sr-Cyrl-CS"/>
              </w:rPr>
            </w:pPr>
            <w:r w:rsidRPr="00CC35F0">
              <w:rPr>
                <w:rFonts w:ascii="Times New Roman" w:eastAsia="Times New Roman" w:hAnsi="Times New Roman"/>
                <w:color w:val="FFFFFF"/>
                <w:sz w:val="24"/>
                <w:szCs w:val="24"/>
                <w:lang w:val="sr-Cyrl-CS"/>
              </w:rPr>
              <w:t>2030</w:t>
            </w:r>
          </w:p>
        </w:tc>
      </w:tr>
      <w:tr w:rsidR="00A0251B" w:rsidRPr="00CC35F0" w14:paraId="1ECB0823" w14:textId="77777777">
        <w:trPr>
          <w:trHeight w:val="260"/>
        </w:trPr>
        <w:tc>
          <w:tcPr>
            <w:tcW w:w="9592" w:type="dxa"/>
            <w:gridSpan w:val="8"/>
            <w:tcBorders>
              <w:top w:val="nil"/>
              <w:left w:val="nil"/>
              <w:bottom w:val="nil"/>
              <w:right w:val="nil"/>
            </w:tcBorders>
            <w:shd w:val="clear" w:color="auto" w:fill="B4C6E7"/>
            <w:vAlign w:val="bottom"/>
          </w:tcPr>
          <w:p w14:paraId="5B92837C" w14:textId="77777777" w:rsidR="00A0251B" w:rsidRPr="00CC35F0" w:rsidRDefault="008D6506">
            <w:pPr>
              <w:jc w:val="center"/>
              <w:rPr>
                <w:rFonts w:ascii="Times New Roman" w:eastAsia="Times New Roman" w:hAnsi="Times New Roman"/>
                <w:b/>
                <w:sz w:val="24"/>
                <w:szCs w:val="24"/>
                <w:lang w:val="sr-Cyrl-CS"/>
              </w:rPr>
            </w:pPr>
            <w:r w:rsidRPr="00CC35F0">
              <w:rPr>
                <w:rFonts w:ascii="Times New Roman" w:eastAsia="Times New Roman" w:hAnsi="Times New Roman"/>
                <w:b/>
                <w:sz w:val="24"/>
                <w:szCs w:val="24"/>
                <w:lang w:val="sr-Cyrl-CS"/>
              </w:rPr>
              <w:t>Укупан број уређаја који испуњавају захтеве Директиве о еко - дизајну, Република Србија</w:t>
            </w:r>
          </w:p>
        </w:tc>
      </w:tr>
      <w:tr w:rsidR="00A0251B" w:rsidRPr="00CC35F0" w14:paraId="34D861AC" w14:textId="77777777">
        <w:trPr>
          <w:trHeight w:val="250"/>
        </w:trPr>
        <w:tc>
          <w:tcPr>
            <w:tcW w:w="2552" w:type="dxa"/>
            <w:tcBorders>
              <w:top w:val="nil"/>
              <w:left w:val="nil"/>
              <w:bottom w:val="nil"/>
              <w:right w:val="nil"/>
            </w:tcBorders>
            <w:shd w:val="clear" w:color="auto" w:fill="8DB4E2"/>
          </w:tcPr>
          <w:p w14:paraId="6E03E34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Уређаји на чврста горива који испуњавају захтеве Директиве о еко - дизајну (трупци и пелети)</w:t>
            </w:r>
          </w:p>
        </w:tc>
        <w:tc>
          <w:tcPr>
            <w:tcW w:w="1000" w:type="dxa"/>
            <w:tcBorders>
              <w:top w:val="nil"/>
              <w:left w:val="nil"/>
              <w:bottom w:val="nil"/>
              <w:right w:val="nil"/>
            </w:tcBorders>
            <w:shd w:val="clear" w:color="auto" w:fill="F2F2F2"/>
            <w:vAlign w:val="bottom"/>
          </w:tcPr>
          <w:p w14:paraId="26322BD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32577</w:t>
            </w:r>
          </w:p>
        </w:tc>
        <w:tc>
          <w:tcPr>
            <w:tcW w:w="1000" w:type="dxa"/>
            <w:tcBorders>
              <w:top w:val="nil"/>
              <w:left w:val="nil"/>
              <w:bottom w:val="nil"/>
              <w:right w:val="nil"/>
            </w:tcBorders>
            <w:shd w:val="clear" w:color="auto" w:fill="F2F2F2"/>
            <w:vAlign w:val="bottom"/>
          </w:tcPr>
          <w:p w14:paraId="6DC8173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90002</w:t>
            </w:r>
          </w:p>
        </w:tc>
        <w:tc>
          <w:tcPr>
            <w:tcW w:w="1000" w:type="dxa"/>
            <w:tcBorders>
              <w:top w:val="nil"/>
              <w:left w:val="nil"/>
              <w:bottom w:val="nil"/>
              <w:right w:val="nil"/>
            </w:tcBorders>
            <w:shd w:val="clear" w:color="auto" w:fill="F2F2F2"/>
            <w:vAlign w:val="bottom"/>
          </w:tcPr>
          <w:p w14:paraId="302E8EF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249337</w:t>
            </w:r>
          </w:p>
        </w:tc>
        <w:tc>
          <w:tcPr>
            <w:tcW w:w="1000" w:type="dxa"/>
            <w:tcBorders>
              <w:top w:val="nil"/>
              <w:left w:val="nil"/>
              <w:bottom w:val="nil"/>
              <w:right w:val="nil"/>
            </w:tcBorders>
            <w:shd w:val="clear" w:color="auto" w:fill="F2F2F2"/>
            <w:vAlign w:val="bottom"/>
          </w:tcPr>
          <w:p w14:paraId="052F5D6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404221</w:t>
            </w:r>
          </w:p>
        </w:tc>
        <w:tc>
          <w:tcPr>
            <w:tcW w:w="1000" w:type="dxa"/>
            <w:tcBorders>
              <w:top w:val="nil"/>
              <w:left w:val="nil"/>
              <w:bottom w:val="nil"/>
              <w:right w:val="nil"/>
            </w:tcBorders>
            <w:shd w:val="clear" w:color="auto" w:fill="F2F2F2"/>
            <w:vAlign w:val="bottom"/>
          </w:tcPr>
          <w:p w14:paraId="051E9FF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554653</w:t>
            </w:r>
          </w:p>
        </w:tc>
        <w:tc>
          <w:tcPr>
            <w:tcW w:w="1000" w:type="dxa"/>
            <w:tcBorders>
              <w:top w:val="nil"/>
              <w:left w:val="nil"/>
              <w:bottom w:val="nil"/>
              <w:right w:val="nil"/>
            </w:tcBorders>
            <w:shd w:val="clear" w:color="auto" w:fill="F2F2F2"/>
            <w:vAlign w:val="bottom"/>
          </w:tcPr>
          <w:p w14:paraId="02ECA4E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700632</w:t>
            </w:r>
          </w:p>
        </w:tc>
        <w:tc>
          <w:tcPr>
            <w:tcW w:w="1040" w:type="dxa"/>
            <w:tcBorders>
              <w:top w:val="nil"/>
              <w:left w:val="nil"/>
              <w:bottom w:val="nil"/>
              <w:right w:val="nil"/>
            </w:tcBorders>
            <w:shd w:val="clear" w:color="auto" w:fill="F2F2F2"/>
            <w:vAlign w:val="bottom"/>
          </w:tcPr>
          <w:p w14:paraId="4B7DD16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842160</w:t>
            </w:r>
          </w:p>
        </w:tc>
      </w:tr>
      <w:tr w:rsidR="00A0251B" w:rsidRPr="00CC35F0" w14:paraId="6E145293" w14:textId="77777777">
        <w:trPr>
          <w:trHeight w:val="250"/>
        </w:trPr>
        <w:tc>
          <w:tcPr>
            <w:tcW w:w="2552" w:type="dxa"/>
            <w:tcBorders>
              <w:top w:val="nil"/>
              <w:left w:val="nil"/>
              <w:bottom w:val="nil"/>
              <w:right w:val="nil"/>
            </w:tcBorders>
            <w:shd w:val="clear" w:color="auto" w:fill="8DB4E2"/>
          </w:tcPr>
          <w:p w14:paraId="6C27E5D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Топлотне пумпе замењују уређаје на чврста горива</w:t>
            </w:r>
          </w:p>
        </w:tc>
        <w:tc>
          <w:tcPr>
            <w:tcW w:w="1000" w:type="dxa"/>
            <w:tcBorders>
              <w:top w:val="nil"/>
              <w:left w:val="nil"/>
              <w:bottom w:val="nil"/>
              <w:right w:val="nil"/>
            </w:tcBorders>
            <w:shd w:val="clear" w:color="auto" w:fill="F2F2F2"/>
            <w:vAlign w:val="bottom"/>
          </w:tcPr>
          <w:p w14:paraId="51AA3C1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1159</w:t>
            </w:r>
          </w:p>
        </w:tc>
        <w:tc>
          <w:tcPr>
            <w:tcW w:w="1000" w:type="dxa"/>
            <w:tcBorders>
              <w:top w:val="nil"/>
              <w:left w:val="nil"/>
              <w:bottom w:val="nil"/>
              <w:right w:val="nil"/>
            </w:tcBorders>
            <w:shd w:val="clear" w:color="auto" w:fill="F2F2F2"/>
            <w:vAlign w:val="bottom"/>
          </w:tcPr>
          <w:p w14:paraId="0ACFC19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6136</w:t>
            </w:r>
          </w:p>
        </w:tc>
        <w:tc>
          <w:tcPr>
            <w:tcW w:w="1000" w:type="dxa"/>
            <w:tcBorders>
              <w:top w:val="nil"/>
              <w:left w:val="nil"/>
              <w:bottom w:val="nil"/>
              <w:right w:val="nil"/>
            </w:tcBorders>
            <w:shd w:val="clear" w:color="auto" w:fill="F2F2F2"/>
            <w:vAlign w:val="bottom"/>
          </w:tcPr>
          <w:p w14:paraId="5F421D56"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13514</w:t>
            </w:r>
          </w:p>
        </w:tc>
        <w:tc>
          <w:tcPr>
            <w:tcW w:w="1000" w:type="dxa"/>
            <w:tcBorders>
              <w:top w:val="nil"/>
              <w:left w:val="nil"/>
              <w:bottom w:val="nil"/>
              <w:right w:val="nil"/>
            </w:tcBorders>
            <w:shd w:val="clear" w:color="auto" w:fill="F2F2F2"/>
            <w:vAlign w:val="bottom"/>
          </w:tcPr>
          <w:p w14:paraId="066C4C8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20696</w:t>
            </w:r>
          </w:p>
        </w:tc>
        <w:tc>
          <w:tcPr>
            <w:tcW w:w="1000" w:type="dxa"/>
            <w:tcBorders>
              <w:top w:val="nil"/>
              <w:left w:val="nil"/>
              <w:bottom w:val="nil"/>
              <w:right w:val="nil"/>
            </w:tcBorders>
            <w:shd w:val="clear" w:color="auto" w:fill="F2F2F2"/>
            <w:vAlign w:val="bottom"/>
          </w:tcPr>
          <w:p w14:paraId="03C09A2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27682</w:t>
            </w:r>
          </w:p>
        </w:tc>
        <w:tc>
          <w:tcPr>
            <w:tcW w:w="1000" w:type="dxa"/>
            <w:tcBorders>
              <w:top w:val="nil"/>
              <w:left w:val="nil"/>
              <w:bottom w:val="nil"/>
              <w:right w:val="nil"/>
            </w:tcBorders>
            <w:shd w:val="clear" w:color="auto" w:fill="F2F2F2"/>
            <w:vAlign w:val="bottom"/>
          </w:tcPr>
          <w:p w14:paraId="0EE7A6F6"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34472</w:t>
            </w:r>
          </w:p>
        </w:tc>
        <w:tc>
          <w:tcPr>
            <w:tcW w:w="1040" w:type="dxa"/>
            <w:tcBorders>
              <w:top w:val="nil"/>
              <w:left w:val="nil"/>
              <w:bottom w:val="nil"/>
              <w:right w:val="nil"/>
            </w:tcBorders>
            <w:shd w:val="clear" w:color="auto" w:fill="F2F2F2"/>
            <w:vAlign w:val="bottom"/>
          </w:tcPr>
          <w:p w14:paraId="67FCF37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41066</w:t>
            </w:r>
          </w:p>
        </w:tc>
      </w:tr>
    </w:tbl>
    <w:p w14:paraId="1CB0BC67" w14:textId="77777777" w:rsidR="00A0251B" w:rsidRPr="00CC35F0" w:rsidRDefault="00A0251B">
      <w:pPr>
        <w:rPr>
          <w:rFonts w:ascii="Times New Roman" w:eastAsia="Times New Roman" w:hAnsi="Times New Roman"/>
          <w:sz w:val="24"/>
          <w:szCs w:val="24"/>
          <w:lang w:val="sr-Cyrl-CS"/>
        </w:rPr>
      </w:pPr>
    </w:p>
    <w:p w14:paraId="43387D94" w14:textId="77777777" w:rsidR="00A0251B" w:rsidRPr="00CC35F0" w:rsidRDefault="00A0251B">
      <w:pPr>
        <w:rPr>
          <w:rFonts w:ascii="Times New Roman" w:eastAsia="Times New Roman" w:hAnsi="Times New Roman"/>
          <w:sz w:val="24"/>
          <w:szCs w:val="24"/>
          <w:lang w:val="sr-Cyrl-CS"/>
        </w:rPr>
      </w:pPr>
    </w:p>
    <w:tbl>
      <w:tblPr>
        <w:tblStyle w:val="afffffc"/>
        <w:tblW w:w="9592" w:type="dxa"/>
        <w:tblLayout w:type="fixed"/>
        <w:tblLook w:val="0400" w:firstRow="0" w:lastRow="0" w:firstColumn="0" w:lastColumn="0" w:noHBand="0" w:noVBand="1"/>
      </w:tblPr>
      <w:tblGrid>
        <w:gridCol w:w="2552"/>
        <w:gridCol w:w="1000"/>
        <w:gridCol w:w="1000"/>
        <w:gridCol w:w="1000"/>
        <w:gridCol w:w="1000"/>
        <w:gridCol w:w="1000"/>
        <w:gridCol w:w="1000"/>
        <w:gridCol w:w="1040"/>
      </w:tblGrid>
      <w:tr w:rsidR="00A0251B" w:rsidRPr="00CC35F0" w14:paraId="6AC6C23E" w14:textId="77777777">
        <w:trPr>
          <w:trHeight w:val="260"/>
        </w:trPr>
        <w:tc>
          <w:tcPr>
            <w:tcW w:w="9592" w:type="dxa"/>
            <w:gridSpan w:val="8"/>
            <w:tcBorders>
              <w:top w:val="nil"/>
              <w:left w:val="nil"/>
              <w:bottom w:val="nil"/>
              <w:right w:val="nil"/>
            </w:tcBorders>
            <w:shd w:val="clear" w:color="auto" w:fill="B4C6E7"/>
            <w:vAlign w:val="bottom"/>
          </w:tcPr>
          <w:p w14:paraId="69367F83"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b/>
                <w:sz w:val="24"/>
                <w:szCs w:val="24"/>
                <w:lang w:val="sr-Cyrl-CS"/>
              </w:rPr>
              <w:t>Детаљи о Крагујевцу (збирно)</w:t>
            </w:r>
          </w:p>
        </w:tc>
      </w:tr>
      <w:tr w:rsidR="00A0251B" w:rsidRPr="00CC35F0" w14:paraId="5CB9F334" w14:textId="77777777">
        <w:trPr>
          <w:trHeight w:val="250"/>
        </w:trPr>
        <w:tc>
          <w:tcPr>
            <w:tcW w:w="2552" w:type="dxa"/>
            <w:tcBorders>
              <w:top w:val="nil"/>
              <w:left w:val="nil"/>
              <w:bottom w:val="nil"/>
              <w:right w:val="nil"/>
            </w:tcBorders>
            <w:shd w:val="clear" w:color="auto" w:fill="8DB4E2"/>
            <w:vAlign w:val="bottom"/>
          </w:tcPr>
          <w:p w14:paraId="6616B5D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Уређаји на дрва који испуњавају захтеве Директиве о еко - дизајну (75% трупаца и 25% пелета)</w:t>
            </w:r>
          </w:p>
        </w:tc>
        <w:tc>
          <w:tcPr>
            <w:tcW w:w="1000" w:type="dxa"/>
            <w:tcBorders>
              <w:top w:val="nil"/>
              <w:left w:val="nil"/>
              <w:bottom w:val="nil"/>
              <w:right w:val="nil"/>
            </w:tcBorders>
            <w:shd w:val="clear" w:color="auto" w:fill="F2F2F2"/>
            <w:vAlign w:val="bottom"/>
          </w:tcPr>
          <w:p w14:paraId="1049DEF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669</w:t>
            </w:r>
          </w:p>
        </w:tc>
        <w:tc>
          <w:tcPr>
            <w:tcW w:w="1000" w:type="dxa"/>
            <w:tcBorders>
              <w:top w:val="nil"/>
              <w:left w:val="nil"/>
              <w:bottom w:val="nil"/>
              <w:right w:val="nil"/>
            </w:tcBorders>
            <w:shd w:val="clear" w:color="auto" w:fill="F2F2F2"/>
            <w:vAlign w:val="bottom"/>
          </w:tcPr>
          <w:p w14:paraId="7CFC04A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2659</w:t>
            </w:r>
          </w:p>
        </w:tc>
        <w:tc>
          <w:tcPr>
            <w:tcW w:w="1000" w:type="dxa"/>
            <w:tcBorders>
              <w:top w:val="nil"/>
              <w:left w:val="nil"/>
              <w:bottom w:val="nil"/>
              <w:right w:val="nil"/>
            </w:tcBorders>
            <w:shd w:val="clear" w:color="auto" w:fill="F2F2F2"/>
            <w:vAlign w:val="bottom"/>
          </w:tcPr>
          <w:p w14:paraId="6B4C0AE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5921</w:t>
            </w:r>
          </w:p>
        </w:tc>
        <w:tc>
          <w:tcPr>
            <w:tcW w:w="1000" w:type="dxa"/>
            <w:tcBorders>
              <w:top w:val="nil"/>
              <w:left w:val="nil"/>
              <w:bottom w:val="nil"/>
              <w:right w:val="nil"/>
            </w:tcBorders>
            <w:shd w:val="clear" w:color="auto" w:fill="F2F2F2"/>
            <w:vAlign w:val="bottom"/>
          </w:tcPr>
          <w:p w14:paraId="5F4A563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9112</w:t>
            </w:r>
          </w:p>
        </w:tc>
        <w:tc>
          <w:tcPr>
            <w:tcW w:w="1000" w:type="dxa"/>
            <w:tcBorders>
              <w:top w:val="nil"/>
              <w:left w:val="nil"/>
              <w:bottom w:val="nil"/>
              <w:right w:val="nil"/>
            </w:tcBorders>
            <w:shd w:val="clear" w:color="auto" w:fill="F2F2F2"/>
            <w:vAlign w:val="bottom"/>
          </w:tcPr>
          <w:p w14:paraId="41D98AC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12234</w:t>
            </w:r>
          </w:p>
        </w:tc>
        <w:tc>
          <w:tcPr>
            <w:tcW w:w="1000" w:type="dxa"/>
            <w:tcBorders>
              <w:top w:val="nil"/>
              <w:left w:val="nil"/>
              <w:bottom w:val="nil"/>
              <w:right w:val="nil"/>
            </w:tcBorders>
            <w:shd w:val="clear" w:color="auto" w:fill="F2F2F2"/>
            <w:vAlign w:val="bottom"/>
          </w:tcPr>
          <w:p w14:paraId="51AD496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15285</w:t>
            </w:r>
          </w:p>
        </w:tc>
        <w:tc>
          <w:tcPr>
            <w:tcW w:w="1040" w:type="dxa"/>
            <w:tcBorders>
              <w:top w:val="nil"/>
              <w:left w:val="nil"/>
              <w:bottom w:val="nil"/>
              <w:right w:val="nil"/>
            </w:tcBorders>
            <w:shd w:val="clear" w:color="auto" w:fill="F2F2F2"/>
            <w:vAlign w:val="bottom"/>
          </w:tcPr>
          <w:p w14:paraId="7FE7050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18266</w:t>
            </w:r>
          </w:p>
        </w:tc>
      </w:tr>
      <w:tr w:rsidR="00A0251B" w:rsidRPr="00CC35F0" w14:paraId="532256C2" w14:textId="77777777">
        <w:trPr>
          <w:trHeight w:val="250"/>
        </w:trPr>
        <w:tc>
          <w:tcPr>
            <w:tcW w:w="2552" w:type="dxa"/>
            <w:tcBorders>
              <w:top w:val="nil"/>
              <w:left w:val="nil"/>
              <w:bottom w:val="nil"/>
              <w:right w:val="nil"/>
            </w:tcBorders>
            <w:shd w:val="clear" w:color="auto" w:fill="8DB4E2"/>
            <w:vAlign w:val="bottom"/>
          </w:tcPr>
          <w:p w14:paraId="64B3FB50"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Топлотне пумпе</w:t>
            </w:r>
          </w:p>
        </w:tc>
        <w:tc>
          <w:tcPr>
            <w:tcW w:w="1000" w:type="dxa"/>
            <w:tcBorders>
              <w:top w:val="nil"/>
              <w:left w:val="nil"/>
              <w:bottom w:val="nil"/>
              <w:right w:val="nil"/>
            </w:tcBorders>
            <w:shd w:val="clear" w:color="auto" w:fill="F2F2F2"/>
            <w:vAlign w:val="bottom"/>
          </w:tcPr>
          <w:p w14:paraId="67BD1BB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00" w:type="dxa"/>
            <w:tcBorders>
              <w:top w:val="nil"/>
              <w:left w:val="nil"/>
              <w:bottom w:val="nil"/>
              <w:right w:val="nil"/>
            </w:tcBorders>
            <w:shd w:val="clear" w:color="auto" w:fill="F2F2F2"/>
            <w:vAlign w:val="bottom"/>
          </w:tcPr>
          <w:p w14:paraId="5CDCBAF4"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00" w:type="dxa"/>
            <w:tcBorders>
              <w:top w:val="nil"/>
              <w:left w:val="nil"/>
              <w:bottom w:val="nil"/>
              <w:right w:val="nil"/>
            </w:tcBorders>
            <w:shd w:val="clear" w:color="auto" w:fill="F2F2F2"/>
            <w:vAlign w:val="bottom"/>
          </w:tcPr>
          <w:p w14:paraId="1AFD186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00" w:type="dxa"/>
            <w:tcBorders>
              <w:top w:val="nil"/>
              <w:left w:val="nil"/>
              <w:bottom w:val="nil"/>
              <w:right w:val="nil"/>
            </w:tcBorders>
            <w:shd w:val="clear" w:color="auto" w:fill="F2F2F2"/>
            <w:vAlign w:val="bottom"/>
          </w:tcPr>
          <w:p w14:paraId="7A9EFC1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00" w:type="dxa"/>
            <w:tcBorders>
              <w:top w:val="nil"/>
              <w:left w:val="nil"/>
              <w:bottom w:val="nil"/>
              <w:right w:val="nil"/>
            </w:tcBorders>
            <w:shd w:val="clear" w:color="auto" w:fill="F2F2F2"/>
            <w:vAlign w:val="bottom"/>
          </w:tcPr>
          <w:p w14:paraId="403AE1A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00" w:type="dxa"/>
            <w:tcBorders>
              <w:top w:val="nil"/>
              <w:left w:val="nil"/>
              <w:bottom w:val="nil"/>
              <w:right w:val="nil"/>
            </w:tcBorders>
            <w:shd w:val="clear" w:color="auto" w:fill="F2F2F2"/>
            <w:vAlign w:val="bottom"/>
          </w:tcPr>
          <w:p w14:paraId="2DF01DC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40" w:type="dxa"/>
            <w:tcBorders>
              <w:top w:val="nil"/>
              <w:left w:val="nil"/>
              <w:bottom w:val="nil"/>
              <w:right w:val="nil"/>
            </w:tcBorders>
            <w:shd w:val="clear" w:color="auto" w:fill="F2F2F2"/>
            <w:vAlign w:val="bottom"/>
          </w:tcPr>
          <w:p w14:paraId="6FB3787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r>
    </w:tbl>
    <w:p w14:paraId="67673A59" w14:textId="77777777" w:rsidR="00A0251B" w:rsidRPr="00CC35F0" w:rsidRDefault="00A0251B">
      <w:pPr>
        <w:rPr>
          <w:rFonts w:ascii="Times New Roman" w:eastAsia="Times New Roman" w:hAnsi="Times New Roman"/>
          <w:sz w:val="24"/>
          <w:szCs w:val="24"/>
          <w:lang w:val="sr-Cyrl-CS"/>
        </w:rPr>
      </w:pPr>
    </w:p>
    <w:tbl>
      <w:tblPr>
        <w:tblStyle w:val="afffffd"/>
        <w:tblW w:w="9592" w:type="dxa"/>
        <w:tblLayout w:type="fixed"/>
        <w:tblLook w:val="0400" w:firstRow="0" w:lastRow="0" w:firstColumn="0" w:lastColumn="0" w:noHBand="0" w:noVBand="1"/>
      </w:tblPr>
      <w:tblGrid>
        <w:gridCol w:w="2552"/>
        <w:gridCol w:w="1000"/>
        <w:gridCol w:w="1000"/>
        <w:gridCol w:w="1000"/>
        <w:gridCol w:w="1000"/>
        <w:gridCol w:w="1000"/>
        <w:gridCol w:w="1000"/>
        <w:gridCol w:w="1040"/>
      </w:tblGrid>
      <w:tr w:rsidR="00A0251B" w:rsidRPr="00CC35F0" w14:paraId="065E1814" w14:textId="77777777">
        <w:trPr>
          <w:trHeight w:val="260"/>
        </w:trPr>
        <w:tc>
          <w:tcPr>
            <w:tcW w:w="9592" w:type="dxa"/>
            <w:gridSpan w:val="8"/>
            <w:tcBorders>
              <w:top w:val="nil"/>
              <w:left w:val="nil"/>
              <w:bottom w:val="nil"/>
              <w:right w:val="nil"/>
            </w:tcBorders>
            <w:shd w:val="clear" w:color="auto" w:fill="B4C6E7"/>
            <w:vAlign w:val="bottom"/>
          </w:tcPr>
          <w:p w14:paraId="7E365B6B"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b/>
                <w:sz w:val="24"/>
                <w:szCs w:val="24"/>
                <w:lang w:val="sr-Cyrl-CS"/>
              </w:rPr>
              <w:t>Детаљи о Београду (збирно)</w:t>
            </w:r>
          </w:p>
        </w:tc>
      </w:tr>
      <w:tr w:rsidR="00A0251B" w:rsidRPr="00CC35F0" w14:paraId="12C943C1" w14:textId="77777777">
        <w:trPr>
          <w:trHeight w:val="250"/>
        </w:trPr>
        <w:tc>
          <w:tcPr>
            <w:tcW w:w="2552" w:type="dxa"/>
            <w:tcBorders>
              <w:top w:val="nil"/>
              <w:left w:val="nil"/>
              <w:bottom w:val="nil"/>
              <w:right w:val="nil"/>
            </w:tcBorders>
            <w:shd w:val="clear" w:color="auto" w:fill="8DB4E2"/>
            <w:vAlign w:val="bottom"/>
          </w:tcPr>
          <w:p w14:paraId="62CE62A6"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Уређаји на дрва који испуњавају захтеве Директиве о еко - дизајну (пелети)</w:t>
            </w:r>
          </w:p>
        </w:tc>
        <w:tc>
          <w:tcPr>
            <w:tcW w:w="1000" w:type="dxa"/>
            <w:tcBorders>
              <w:top w:val="nil"/>
              <w:left w:val="nil"/>
              <w:bottom w:val="nil"/>
              <w:right w:val="nil"/>
            </w:tcBorders>
            <w:shd w:val="clear" w:color="auto" w:fill="F2F2F2"/>
            <w:vAlign w:val="bottom"/>
          </w:tcPr>
          <w:p w14:paraId="22AB5AA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4072</w:t>
            </w:r>
          </w:p>
        </w:tc>
        <w:tc>
          <w:tcPr>
            <w:tcW w:w="1000" w:type="dxa"/>
            <w:tcBorders>
              <w:top w:val="nil"/>
              <w:left w:val="nil"/>
              <w:bottom w:val="nil"/>
              <w:right w:val="nil"/>
            </w:tcBorders>
            <w:shd w:val="clear" w:color="auto" w:fill="F2F2F2"/>
            <w:vAlign w:val="bottom"/>
          </w:tcPr>
          <w:p w14:paraId="22C1F5D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16120</w:t>
            </w:r>
          </w:p>
        </w:tc>
        <w:tc>
          <w:tcPr>
            <w:tcW w:w="1000" w:type="dxa"/>
            <w:tcBorders>
              <w:top w:val="nil"/>
              <w:left w:val="nil"/>
              <w:bottom w:val="nil"/>
              <w:right w:val="nil"/>
            </w:tcBorders>
            <w:shd w:val="clear" w:color="auto" w:fill="F2F2F2"/>
            <w:vAlign w:val="bottom"/>
          </w:tcPr>
          <w:p w14:paraId="0601EB6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35642</w:t>
            </w:r>
          </w:p>
        </w:tc>
        <w:tc>
          <w:tcPr>
            <w:tcW w:w="1000" w:type="dxa"/>
            <w:tcBorders>
              <w:top w:val="nil"/>
              <w:left w:val="nil"/>
              <w:bottom w:val="nil"/>
              <w:right w:val="nil"/>
            </w:tcBorders>
            <w:shd w:val="clear" w:color="auto" w:fill="F2F2F2"/>
            <w:vAlign w:val="bottom"/>
          </w:tcPr>
          <w:p w14:paraId="12B109F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54466</w:t>
            </w:r>
          </w:p>
        </w:tc>
        <w:tc>
          <w:tcPr>
            <w:tcW w:w="1000" w:type="dxa"/>
            <w:tcBorders>
              <w:top w:val="nil"/>
              <w:left w:val="nil"/>
              <w:bottom w:val="nil"/>
              <w:right w:val="nil"/>
            </w:tcBorders>
            <w:shd w:val="clear" w:color="auto" w:fill="F2F2F2"/>
            <w:vAlign w:val="bottom"/>
          </w:tcPr>
          <w:p w14:paraId="2CD8150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72591</w:t>
            </w:r>
          </w:p>
        </w:tc>
        <w:tc>
          <w:tcPr>
            <w:tcW w:w="1000" w:type="dxa"/>
            <w:tcBorders>
              <w:top w:val="nil"/>
              <w:left w:val="nil"/>
              <w:bottom w:val="nil"/>
              <w:right w:val="nil"/>
            </w:tcBorders>
            <w:shd w:val="clear" w:color="auto" w:fill="F2F2F2"/>
            <w:vAlign w:val="bottom"/>
          </w:tcPr>
          <w:p w14:paraId="78AAC41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90018</w:t>
            </w:r>
          </w:p>
        </w:tc>
        <w:tc>
          <w:tcPr>
            <w:tcW w:w="1040" w:type="dxa"/>
            <w:tcBorders>
              <w:top w:val="nil"/>
              <w:left w:val="nil"/>
              <w:bottom w:val="nil"/>
              <w:right w:val="nil"/>
            </w:tcBorders>
            <w:shd w:val="clear" w:color="auto" w:fill="F2F2F2"/>
            <w:vAlign w:val="bottom"/>
          </w:tcPr>
          <w:p w14:paraId="4A329D4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106747</w:t>
            </w:r>
          </w:p>
        </w:tc>
      </w:tr>
      <w:tr w:rsidR="00A0251B" w:rsidRPr="00CC35F0" w14:paraId="2CB2CCBC" w14:textId="77777777">
        <w:trPr>
          <w:trHeight w:val="250"/>
        </w:trPr>
        <w:tc>
          <w:tcPr>
            <w:tcW w:w="2552" w:type="dxa"/>
            <w:tcBorders>
              <w:top w:val="nil"/>
              <w:left w:val="nil"/>
              <w:bottom w:val="nil"/>
              <w:right w:val="nil"/>
            </w:tcBorders>
            <w:shd w:val="clear" w:color="auto" w:fill="8DB4E2"/>
            <w:vAlign w:val="bottom"/>
          </w:tcPr>
          <w:p w14:paraId="4E39001B"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Топлотне пумпе</w:t>
            </w:r>
          </w:p>
        </w:tc>
        <w:tc>
          <w:tcPr>
            <w:tcW w:w="1000" w:type="dxa"/>
            <w:tcBorders>
              <w:top w:val="nil"/>
              <w:left w:val="nil"/>
              <w:bottom w:val="nil"/>
              <w:right w:val="nil"/>
            </w:tcBorders>
            <w:shd w:val="clear" w:color="auto" w:fill="F2F2F2"/>
            <w:vAlign w:val="bottom"/>
          </w:tcPr>
          <w:p w14:paraId="7BC5E01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00" w:type="dxa"/>
            <w:tcBorders>
              <w:top w:val="nil"/>
              <w:left w:val="nil"/>
              <w:bottom w:val="nil"/>
              <w:right w:val="nil"/>
            </w:tcBorders>
            <w:shd w:val="clear" w:color="auto" w:fill="F2F2F2"/>
            <w:vAlign w:val="bottom"/>
          </w:tcPr>
          <w:p w14:paraId="71332C8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00" w:type="dxa"/>
            <w:tcBorders>
              <w:top w:val="nil"/>
              <w:left w:val="nil"/>
              <w:bottom w:val="nil"/>
              <w:right w:val="nil"/>
            </w:tcBorders>
            <w:shd w:val="clear" w:color="auto" w:fill="F2F2F2"/>
            <w:vAlign w:val="bottom"/>
          </w:tcPr>
          <w:p w14:paraId="5340CE4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00" w:type="dxa"/>
            <w:tcBorders>
              <w:top w:val="nil"/>
              <w:left w:val="nil"/>
              <w:bottom w:val="nil"/>
              <w:right w:val="nil"/>
            </w:tcBorders>
            <w:shd w:val="clear" w:color="auto" w:fill="F2F2F2"/>
            <w:vAlign w:val="bottom"/>
          </w:tcPr>
          <w:p w14:paraId="783738E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00" w:type="dxa"/>
            <w:tcBorders>
              <w:top w:val="nil"/>
              <w:left w:val="nil"/>
              <w:bottom w:val="nil"/>
              <w:right w:val="nil"/>
            </w:tcBorders>
            <w:shd w:val="clear" w:color="auto" w:fill="F2F2F2"/>
            <w:vAlign w:val="bottom"/>
          </w:tcPr>
          <w:p w14:paraId="798F33C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00" w:type="dxa"/>
            <w:tcBorders>
              <w:top w:val="nil"/>
              <w:left w:val="nil"/>
              <w:bottom w:val="nil"/>
              <w:right w:val="nil"/>
            </w:tcBorders>
            <w:shd w:val="clear" w:color="auto" w:fill="F2F2F2"/>
            <w:vAlign w:val="bottom"/>
          </w:tcPr>
          <w:p w14:paraId="05C28AA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c>
          <w:tcPr>
            <w:tcW w:w="1040" w:type="dxa"/>
            <w:tcBorders>
              <w:top w:val="nil"/>
              <w:left w:val="nil"/>
              <w:bottom w:val="nil"/>
              <w:right w:val="nil"/>
            </w:tcBorders>
            <w:shd w:val="clear" w:color="auto" w:fill="F2F2F2"/>
            <w:vAlign w:val="bottom"/>
          </w:tcPr>
          <w:p w14:paraId="134DDA0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0</w:t>
            </w:r>
          </w:p>
        </w:tc>
      </w:tr>
    </w:tbl>
    <w:p w14:paraId="626521FC" w14:textId="77777777" w:rsidR="00A0251B" w:rsidRPr="00CC35F0" w:rsidRDefault="00A0251B">
      <w:pPr>
        <w:rPr>
          <w:rFonts w:ascii="Times New Roman" w:eastAsia="Times New Roman" w:hAnsi="Times New Roman"/>
          <w:sz w:val="24"/>
          <w:szCs w:val="24"/>
          <w:lang w:val="sr-Cyrl-CS"/>
        </w:rPr>
      </w:pPr>
    </w:p>
    <w:tbl>
      <w:tblPr>
        <w:tblStyle w:val="afffffe"/>
        <w:tblW w:w="9592" w:type="dxa"/>
        <w:tblLayout w:type="fixed"/>
        <w:tblLook w:val="0400" w:firstRow="0" w:lastRow="0" w:firstColumn="0" w:lastColumn="0" w:noHBand="0" w:noVBand="1"/>
      </w:tblPr>
      <w:tblGrid>
        <w:gridCol w:w="2552"/>
        <w:gridCol w:w="1000"/>
        <w:gridCol w:w="1000"/>
        <w:gridCol w:w="1000"/>
        <w:gridCol w:w="1000"/>
        <w:gridCol w:w="1000"/>
        <w:gridCol w:w="1000"/>
        <w:gridCol w:w="1040"/>
      </w:tblGrid>
      <w:tr w:rsidR="00A0251B" w:rsidRPr="00CC35F0" w14:paraId="0C005D94" w14:textId="77777777">
        <w:trPr>
          <w:trHeight w:val="260"/>
        </w:trPr>
        <w:tc>
          <w:tcPr>
            <w:tcW w:w="9592" w:type="dxa"/>
            <w:gridSpan w:val="8"/>
            <w:tcBorders>
              <w:top w:val="nil"/>
              <w:left w:val="nil"/>
              <w:bottom w:val="nil"/>
              <w:right w:val="nil"/>
            </w:tcBorders>
            <w:shd w:val="clear" w:color="auto" w:fill="B4C6E7"/>
            <w:vAlign w:val="bottom"/>
          </w:tcPr>
          <w:p w14:paraId="5CD5AAA5"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b/>
                <w:sz w:val="24"/>
                <w:szCs w:val="24"/>
                <w:lang w:val="sr-Cyrl-CS"/>
              </w:rPr>
              <w:t>Детаљи о Нишу (збирно)</w:t>
            </w:r>
          </w:p>
        </w:tc>
      </w:tr>
      <w:tr w:rsidR="00A0251B" w:rsidRPr="00CC35F0" w14:paraId="5C1A08C6" w14:textId="77777777">
        <w:trPr>
          <w:trHeight w:val="250"/>
        </w:trPr>
        <w:tc>
          <w:tcPr>
            <w:tcW w:w="2552" w:type="dxa"/>
            <w:tcBorders>
              <w:top w:val="nil"/>
              <w:left w:val="nil"/>
              <w:bottom w:val="nil"/>
              <w:right w:val="nil"/>
            </w:tcBorders>
            <w:shd w:val="clear" w:color="auto" w:fill="8DB4E2"/>
            <w:vAlign w:val="bottom"/>
          </w:tcPr>
          <w:p w14:paraId="05129DE2"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lastRenderedPageBreak/>
              <w:t>Уређаји на дрва који испуњавају захтеве Директиве о еко - дизајну (пелети)</w:t>
            </w:r>
          </w:p>
        </w:tc>
        <w:tc>
          <w:tcPr>
            <w:tcW w:w="1000" w:type="dxa"/>
            <w:tcBorders>
              <w:top w:val="nil"/>
              <w:left w:val="nil"/>
              <w:bottom w:val="nil"/>
              <w:right w:val="nil"/>
            </w:tcBorders>
            <w:shd w:val="clear" w:color="auto" w:fill="F2F2F2"/>
            <w:vAlign w:val="bottom"/>
          </w:tcPr>
          <w:p w14:paraId="363F938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495</w:t>
            </w:r>
          </w:p>
        </w:tc>
        <w:tc>
          <w:tcPr>
            <w:tcW w:w="1000" w:type="dxa"/>
            <w:tcBorders>
              <w:top w:val="nil"/>
              <w:left w:val="nil"/>
              <w:bottom w:val="nil"/>
              <w:right w:val="nil"/>
            </w:tcBorders>
            <w:shd w:val="clear" w:color="auto" w:fill="F2F2F2"/>
            <w:vAlign w:val="bottom"/>
          </w:tcPr>
          <w:p w14:paraId="400BBD9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2458</w:t>
            </w:r>
          </w:p>
        </w:tc>
        <w:tc>
          <w:tcPr>
            <w:tcW w:w="1000" w:type="dxa"/>
            <w:tcBorders>
              <w:top w:val="nil"/>
              <w:left w:val="nil"/>
              <w:bottom w:val="nil"/>
              <w:right w:val="nil"/>
            </w:tcBorders>
            <w:shd w:val="clear" w:color="auto" w:fill="F2F2F2"/>
            <w:vAlign w:val="bottom"/>
          </w:tcPr>
          <w:p w14:paraId="1D754D5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5541</w:t>
            </w:r>
          </w:p>
        </w:tc>
        <w:tc>
          <w:tcPr>
            <w:tcW w:w="1000" w:type="dxa"/>
            <w:tcBorders>
              <w:top w:val="nil"/>
              <w:left w:val="nil"/>
              <w:bottom w:val="nil"/>
              <w:right w:val="nil"/>
            </w:tcBorders>
            <w:shd w:val="clear" w:color="auto" w:fill="F2F2F2"/>
            <w:vAlign w:val="bottom"/>
          </w:tcPr>
          <w:p w14:paraId="38256D6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8555</w:t>
            </w:r>
          </w:p>
        </w:tc>
        <w:tc>
          <w:tcPr>
            <w:tcW w:w="1000" w:type="dxa"/>
            <w:tcBorders>
              <w:top w:val="nil"/>
              <w:left w:val="nil"/>
              <w:bottom w:val="nil"/>
              <w:right w:val="nil"/>
            </w:tcBorders>
            <w:shd w:val="clear" w:color="auto" w:fill="F2F2F2"/>
            <w:vAlign w:val="bottom"/>
          </w:tcPr>
          <w:p w14:paraId="0EE3F8D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11498</w:t>
            </w:r>
          </w:p>
        </w:tc>
        <w:tc>
          <w:tcPr>
            <w:tcW w:w="1000" w:type="dxa"/>
            <w:tcBorders>
              <w:top w:val="nil"/>
              <w:left w:val="nil"/>
              <w:bottom w:val="nil"/>
              <w:right w:val="nil"/>
            </w:tcBorders>
            <w:shd w:val="clear" w:color="auto" w:fill="F2F2F2"/>
            <w:vAlign w:val="bottom"/>
          </w:tcPr>
          <w:p w14:paraId="5ACE2ED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14372</w:t>
            </w:r>
          </w:p>
        </w:tc>
        <w:tc>
          <w:tcPr>
            <w:tcW w:w="1040" w:type="dxa"/>
            <w:tcBorders>
              <w:top w:val="nil"/>
              <w:left w:val="nil"/>
              <w:bottom w:val="nil"/>
              <w:right w:val="nil"/>
            </w:tcBorders>
            <w:shd w:val="clear" w:color="auto" w:fill="F2F2F2"/>
            <w:vAlign w:val="bottom"/>
          </w:tcPr>
          <w:p w14:paraId="32E6D22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17176</w:t>
            </w:r>
          </w:p>
        </w:tc>
      </w:tr>
      <w:tr w:rsidR="00A0251B" w:rsidRPr="00CC35F0" w14:paraId="3796EF27" w14:textId="77777777">
        <w:trPr>
          <w:trHeight w:val="250"/>
        </w:trPr>
        <w:tc>
          <w:tcPr>
            <w:tcW w:w="2552" w:type="dxa"/>
            <w:tcBorders>
              <w:top w:val="nil"/>
              <w:left w:val="nil"/>
              <w:bottom w:val="nil"/>
              <w:right w:val="nil"/>
            </w:tcBorders>
            <w:shd w:val="clear" w:color="auto" w:fill="8DB4E2"/>
            <w:vAlign w:val="bottom"/>
          </w:tcPr>
          <w:p w14:paraId="6DCF7A81"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Топлотне пумпе</w:t>
            </w:r>
          </w:p>
        </w:tc>
        <w:tc>
          <w:tcPr>
            <w:tcW w:w="1000" w:type="dxa"/>
            <w:tcBorders>
              <w:top w:val="nil"/>
              <w:left w:val="nil"/>
              <w:bottom w:val="nil"/>
              <w:right w:val="nil"/>
            </w:tcBorders>
            <w:shd w:val="clear" w:color="auto" w:fill="F2F2F2"/>
            <w:vAlign w:val="bottom"/>
          </w:tcPr>
          <w:p w14:paraId="4B9B9A4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495</w:t>
            </w:r>
          </w:p>
        </w:tc>
        <w:tc>
          <w:tcPr>
            <w:tcW w:w="1000" w:type="dxa"/>
            <w:tcBorders>
              <w:top w:val="nil"/>
              <w:left w:val="nil"/>
              <w:bottom w:val="nil"/>
              <w:right w:val="nil"/>
            </w:tcBorders>
            <w:shd w:val="clear" w:color="auto" w:fill="F2F2F2"/>
            <w:vAlign w:val="bottom"/>
          </w:tcPr>
          <w:p w14:paraId="2B797EF7"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2458</w:t>
            </w:r>
          </w:p>
        </w:tc>
        <w:tc>
          <w:tcPr>
            <w:tcW w:w="1000" w:type="dxa"/>
            <w:tcBorders>
              <w:top w:val="nil"/>
              <w:left w:val="nil"/>
              <w:bottom w:val="nil"/>
              <w:right w:val="nil"/>
            </w:tcBorders>
            <w:shd w:val="clear" w:color="auto" w:fill="F2F2F2"/>
            <w:vAlign w:val="bottom"/>
          </w:tcPr>
          <w:p w14:paraId="6F088AE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5541</w:t>
            </w:r>
          </w:p>
        </w:tc>
        <w:tc>
          <w:tcPr>
            <w:tcW w:w="1000" w:type="dxa"/>
            <w:tcBorders>
              <w:top w:val="nil"/>
              <w:left w:val="nil"/>
              <w:bottom w:val="nil"/>
              <w:right w:val="nil"/>
            </w:tcBorders>
            <w:shd w:val="clear" w:color="auto" w:fill="F2F2F2"/>
            <w:vAlign w:val="bottom"/>
          </w:tcPr>
          <w:p w14:paraId="35C6344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8555</w:t>
            </w:r>
          </w:p>
        </w:tc>
        <w:tc>
          <w:tcPr>
            <w:tcW w:w="1000" w:type="dxa"/>
            <w:tcBorders>
              <w:top w:val="nil"/>
              <w:left w:val="nil"/>
              <w:bottom w:val="nil"/>
              <w:right w:val="nil"/>
            </w:tcBorders>
            <w:shd w:val="clear" w:color="auto" w:fill="F2F2F2"/>
            <w:vAlign w:val="bottom"/>
          </w:tcPr>
          <w:p w14:paraId="0FCFAE8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11498</w:t>
            </w:r>
          </w:p>
        </w:tc>
        <w:tc>
          <w:tcPr>
            <w:tcW w:w="1000" w:type="dxa"/>
            <w:tcBorders>
              <w:top w:val="nil"/>
              <w:left w:val="nil"/>
              <w:bottom w:val="nil"/>
              <w:right w:val="nil"/>
            </w:tcBorders>
            <w:shd w:val="clear" w:color="auto" w:fill="F2F2F2"/>
            <w:vAlign w:val="bottom"/>
          </w:tcPr>
          <w:p w14:paraId="2D684A9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14372</w:t>
            </w:r>
          </w:p>
        </w:tc>
        <w:tc>
          <w:tcPr>
            <w:tcW w:w="1040" w:type="dxa"/>
            <w:tcBorders>
              <w:top w:val="nil"/>
              <w:left w:val="nil"/>
              <w:bottom w:val="nil"/>
              <w:right w:val="nil"/>
            </w:tcBorders>
            <w:shd w:val="clear" w:color="auto" w:fill="F2F2F2"/>
            <w:vAlign w:val="bottom"/>
          </w:tcPr>
          <w:p w14:paraId="1503386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17176</w:t>
            </w:r>
          </w:p>
        </w:tc>
      </w:tr>
    </w:tbl>
    <w:p w14:paraId="3461860F" w14:textId="77777777" w:rsidR="00A0251B" w:rsidRPr="00CC35F0" w:rsidRDefault="00A0251B">
      <w:pPr>
        <w:rPr>
          <w:rFonts w:ascii="Times New Roman" w:eastAsia="Times New Roman" w:hAnsi="Times New Roman"/>
          <w:sz w:val="24"/>
          <w:szCs w:val="24"/>
          <w:lang w:val="sr-Cyrl-CS"/>
        </w:rPr>
      </w:pPr>
    </w:p>
    <w:tbl>
      <w:tblPr>
        <w:tblStyle w:val="affffff"/>
        <w:tblW w:w="9592" w:type="dxa"/>
        <w:tblLayout w:type="fixed"/>
        <w:tblLook w:val="0400" w:firstRow="0" w:lastRow="0" w:firstColumn="0" w:lastColumn="0" w:noHBand="0" w:noVBand="1"/>
      </w:tblPr>
      <w:tblGrid>
        <w:gridCol w:w="2552"/>
        <w:gridCol w:w="1000"/>
        <w:gridCol w:w="1000"/>
        <w:gridCol w:w="1000"/>
        <w:gridCol w:w="1000"/>
        <w:gridCol w:w="1000"/>
        <w:gridCol w:w="1000"/>
        <w:gridCol w:w="1040"/>
      </w:tblGrid>
      <w:tr w:rsidR="00A0251B" w:rsidRPr="00CC35F0" w14:paraId="43F03FEA" w14:textId="77777777">
        <w:trPr>
          <w:trHeight w:val="260"/>
        </w:trPr>
        <w:tc>
          <w:tcPr>
            <w:tcW w:w="9592" w:type="dxa"/>
            <w:gridSpan w:val="8"/>
            <w:tcBorders>
              <w:top w:val="nil"/>
              <w:left w:val="nil"/>
              <w:bottom w:val="nil"/>
              <w:right w:val="nil"/>
            </w:tcBorders>
            <w:shd w:val="clear" w:color="auto" w:fill="B4C6E7"/>
            <w:vAlign w:val="bottom"/>
          </w:tcPr>
          <w:p w14:paraId="1C60AD97"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b/>
                <w:sz w:val="24"/>
                <w:szCs w:val="24"/>
                <w:lang w:val="sr-Cyrl-CS"/>
              </w:rPr>
              <w:t>Детаљи о Ваљеву (збирно)</w:t>
            </w:r>
          </w:p>
        </w:tc>
      </w:tr>
      <w:tr w:rsidR="00A0251B" w:rsidRPr="00CC35F0" w14:paraId="100AD52F" w14:textId="77777777">
        <w:trPr>
          <w:trHeight w:val="250"/>
        </w:trPr>
        <w:tc>
          <w:tcPr>
            <w:tcW w:w="2552" w:type="dxa"/>
            <w:tcBorders>
              <w:top w:val="nil"/>
              <w:left w:val="nil"/>
              <w:bottom w:val="nil"/>
              <w:right w:val="nil"/>
            </w:tcBorders>
            <w:shd w:val="clear" w:color="auto" w:fill="8DB4E2"/>
            <w:vAlign w:val="bottom"/>
          </w:tcPr>
          <w:p w14:paraId="72D0C77A"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Уређаји на дрва који испуњавају захтеве Директиве о еко - дизајну (пелети)</w:t>
            </w:r>
          </w:p>
        </w:tc>
        <w:tc>
          <w:tcPr>
            <w:tcW w:w="1000" w:type="dxa"/>
            <w:tcBorders>
              <w:top w:val="nil"/>
              <w:left w:val="nil"/>
              <w:bottom w:val="nil"/>
              <w:right w:val="nil"/>
            </w:tcBorders>
            <w:shd w:val="clear" w:color="auto" w:fill="F2F2F2"/>
            <w:vAlign w:val="bottom"/>
          </w:tcPr>
          <w:p w14:paraId="4E817A7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279</w:t>
            </w:r>
          </w:p>
        </w:tc>
        <w:tc>
          <w:tcPr>
            <w:tcW w:w="1000" w:type="dxa"/>
            <w:tcBorders>
              <w:top w:val="nil"/>
              <w:left w:val="nil"/>
              <w:bottom w:val="nil"/>
              <w:right w:val="nil"/>
            </w:tcBorders>
            <w:shd w:val="clear" w:color="auto" w:fill="F2F2F2"/>
            <w:vAlign w:val="bottom"/>
          </w:tcPr>
          <w:p w14:paraId="5845389F"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1384</w:t>
            </w:r>
          </w:p>
        </w:tc>
        <w:tc>
          <w:tcPr>
            <w:tcW w:w="1000" w:type="dxa"/>
            <w:tcBorders>
              <w:top w:val="nil"/>
              <w:left w:val="nil"/>
              <w:bottom w:val="nil"/>
              <w:right w:val="nil"/>
            </w:tcBorders>
            <w:shd w:val="clear" w:color="auto" w:fill="F2F2F2"/>
            <w:vAlign w:val="bottom"/>
          </w:tcPr>
          <w:p w14:paraId="729A077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3111</w:t>
            </w:r>
          </w:p>
        </w:tc>
        <w:tc>
          <w:tcPr>
            <w:tcW w:w="1000" w:type="dxa"/>
            <w:tcBorders>
              <w:top w:val="nil"/>
              <w:left w:val="nil"/>
              <w:bottom w:val="nil"/>
              <w:right w:val="nil"/>
            </w:tcBorders>
            <w:shd w:val="clear" w:color="auto" w:fill="F2F2F2"/>
            <w:vAlign w:val="bottom"/>
          </w:tcPr>
          <w:p w14:paraId="1A1D9363"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4787</w:t>
            </w:r>
          </w:p>
        </w:tc>
        <w:tc>
          <w:tcPr>
            <w:tcW w:w="1000" w:type="dxa"/>
            <w:tcBorders>
              <w:top w:val="nil"/>
              <w:left w:val="nil"/>
              <w:bottom w:val="nil"/>
              <w:right w:val="nil"/>
            </w:tcBorders>
            <w:shd w:val="clear" w:color="auto" w:fill="F2F2F2"/>
            <w:vAlign w:val="bottom"/>
          </w:tcPr>
          <w:p w14:paraId="7BABFC2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6413</w:t>
            </w:r>
          </w:p>
        </w:tc>
        <w:tc>
          <w:tcPr>
            <w:tcW w:w="1000" w:type="dxa"/>
            <w:tcBorders>
              <w:top w:val="nil"/>
              <w:left w:val="nil"/>
              <w:bottom w:val="nil"/>
              <w:right w:val="nil"/>
            </w:tcBorders>
            <w:shd w:val="clear" w:color="auto" w:fill="F2F2F2"/>
            <w:vAlign w:val="bottom"/>
          </w:tcPr>
          <w:p w14:paraId="0FF45C8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7988</w:t>
            </w:r>
          </w:p>
        </w:tc>
        <w:tc>
          <w:tcPr>
            <w:tcW w:w="1040" w:type="dxa"/>
            <w:tcBorders>
              <w:top w:val="nil"/>
              <w:left w:val="nil"/>
              <w:bottom w:val="nil"/>
              <w:right w:val="nil"/>
            </w:tcBorders>
            <w:shd w:val="clear" w:color="auto" w:fill="F2F2F2"/>
            <w:vAlign w:val="bottom"/>
          </w:tcPr>
          <w:p w14:paraId="2C8F49B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9514</w:t>
            </w:r>
          </w:p>
        </w:tc>
      </w:tr>
      <w:tr w:rsidR="00A0251B" w:rsidRPr="00CC35F0" w14:paraId="6A6A24BA" w14:textId="77777777">
        <w:trPr>
          <w:trHeight w:val="250"/>
        </w:trPr>
        <w:tc>
          <w:tcPr>
            <w:tcW w:w="2552" w:type="dxa"/>
            <w:tcBorders>
              <w:top w:val="nil"/>
              <w:left w:val="nil"/>
              <w:bottom w:val="nil"/>
              <w:right w:val="nil"/>
            </w:tcBorders>
            <w:shd w:val="clear" w:color="auto" w:fill="8DB4E2"/>
            <w:vAlign w:val="bottom"/>
          </w:tcPr>
          <w:p w14:paraId="0AA1234D"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Топлотне пумпе</w:t>
            </w:r>
          </w:p>
        </w:tc>
        <w:tc>
          <w:tcPr>
            <w:tcW w:w="1000" w:type="dxa"/>
            <w:tcBorders>
              <w:top w:val="nil"/>
              <w:left w:val="nil"/>
              <w:bottom w:val="nil"/>
              <w:right w:val="nil"/>
            </w:tcBorders>
            <w:shd w:val="clear" w:color="auto" w:fill="F2F2F2"/>
            <w:vAlign w:val="bottom"/>
          </w:tcPr>
          <w:p w14:paraId="62D3EF6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279</w:t>
            </w:r>
          </w:p>
        </w:tc>
        <w:tc>
          <w:tcPr>
            <w:tcW w:w="1000" w:type="dxa"/>
            <w:tcBorders>
              <w:top w:val="nil"/>
              <w:left w:val="nil"/>
              <w:bottom w:val="nil"/>
              <w:right w:val="nil"/>
            </w:tcBorders>
            <w:shd w:val="clear" w:color="auto" w:fill="F2F2F2"/>
            <w:vAlign w:val="bottom"/>
          </w:tcPr>
          <w:p w14:paraId="77951A1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1384</w:t>
            </w:r>
          </w:p>
        </w:tc>
        <w:tc>
          <w:tcPr>
            <w:tcW w:w="1000" w:type="dxa"/>
            <w:tcBorders>
              <w:top w:val="nil"/>
              <w:left w:val="nil"/>
              <w:bottom w:val="nil"/>
              <w:right w:val="nil"/>
            </w:tcBorders>
            <w:shd w:val="clear" w:color="auto" w:fill="F2F2F2"/>
            <w:vAlign w:val="bottom"/>
          </w:tcPr>
          <w:p w14:paraId="2E17AB7E"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3111</w:t>
            </w:r>
          </w:p>
        </w:tc>
        <w:tc>
          <w:tcPr>
            <w:tcW w:w="1000" w:type="dxa"/>
            <w:tcBorders>
              <w:top w:val="nil"/>
              <w:left w:val="nil"/>
              <w:bottom w:val="nil"/>
              <w:right w:val="nil"/>
            </w:tcBorders>
            <w:shd w:val="clear" w:color="auto" w:fill="F2F2F2"/>
            <w:vAlign w:val="bottom"/>
          </w:tcPr>
          <w:p w14:paraId="5D1ADC69"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4787</w:t>
            </w:r>
          </w:p>
        </w:tc>
        <w:tc>
          <w:tcPr>
            <w:tcW w:w="1000" w:type="dxa"/>
            <w:tcBorders>
              <w:top w:val="nil"/>
              <w:left w:val="nil"/>
              <w:bottom w:val="nil"/>
              <w:right w:val="nil"/>
            </w:tcBorders>
            <w:shd w:val="clear" w:color="auto" w:fill="F2F2F2"/>
            <w:vAlign w:val="bottom"/>
          </w:tcPr>
          <w:p w14:paraId="6A86879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6413</w:t>
            </w:r>
          </w:p>
        </w:tc>
        <w:tc>
          <w:tcPr>
            <w:tcW w:w="1000" w:type="dxa"/>
            <w:tcBorders>
              <w:top w:val="nil"/>
              <w:left w:val="nil"/>
              <w:bottom w:val="nil"/>
              <w:right w:val="nil"/>
            </w:tcBorders>
            <w:shd w:val="clear" w:color="auto" w:fill="F2F2F2"/>
            <w:vAlign w:val="bottom"/>
          </w:tcPr>
          <w:p w14:paraId="460D0885"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7988</w:t>
            </w:r>
          </w:p>
        </w:tc>
        <w:tc>
          <w:tcPr>
            <w:tcW w:w="1040" w:type="dxa"/>
            <w:tcBorders>
              <w:top w:val="nil"/>
              <w:left w:val="nil"/>
              <w:bottom w:val="nil"/>
              <w:right w:val="nil"/>
            </w:tcBorders>
            <w:shd w:val="clear" w:color="auto" w:fill="F2F2F2"/>
            <w:vAlign w:val="bottom"/>
          </w:tcPr>
          <w:p w14:paraId="7D0CAD8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9514</w:t>
            </w:r>
          </w:p>
        </w:tc>
      </w:tr>
    </w:tbl>
    <w:p w14:paraId="050FEA30" w14:textId="77777777" w:rsidR="00A0251B" w:rsidRPr="00CC35F0" w:rsidRDefault="00A0251B">
      <w:pPr>
        <w:rPr>
          <w:rFonts w:ascii="Times New Roman" w:eastAsia="Times New Roman" w:hAnsi="Times New Roman"/>
          <w:sz w:val="24"/>
          <w:szCs w:val="24"/>
          <w:lang w:val="sr-Cyrl-CS"/>
        </w:rPr>
      </w:pPr>
    </w:p>
    <w:tbl>
      <w:tblPr>
        <w:tblStyle w:val="affffff0"/>
        <w:tblW w:w="9592" w:type="dxa"/>
        <w:tblLayout w:type="fixed"/>
        <w:tblLook w:val="0400" w:firstRow="0" w:lastRow="0" w:firstColumn="0" w:lastColumn="0" w:noHBand="0" w:noVBand="1"/>
      </w:tblPr>
      <w:tblGrid>
        <w:gridCol w:w="2552"/>
        <w:gridCol w:w="1000"/>
        <w:gridCol w:w="1000"/>
        <w:gridCol w:w="1000"/>
        <w:gridCol w:w="1000"/>
        <w:gridCol w:w="1000"/>
        <w:gridCol w:w="1000"/>
        <w:gridCol w:w="1040"/>
      </w:tblGrid>
      <w:tr w:rsidR="00A0251B" w:rsidRPr="00CC35F0" w14:paraId="31D92F55" w14:textId="77777777">
        <w:trPr>
          <w:trHeight w:val="260"/>
        </w:trPr>
        <w:tc>
          <w:tcPr>
            <w:tcW w:w="9592" w:type="dxa"/>
            <w:gridSpan w:val="8"/>
            <w:tcBorders>
              <w:top w:val="nil"/>
              <w:left w:val="nil"/>
              <w:bottom w:val="nil"/>
              <w:right w:val="nil"/>
            </w:tcBorders>
            <w:shd w:val="clear" w:color="auto" w:fill="B4C6E7"/>
            <w:vAlign w:val="bottom"/>
          </w:tcPr>
          <w:p w14:paraId="4E97D528" w14:textId="77777777" w:rsidR="00A0251B" w:rsidRPr="00CC35F0" w:rsidRDefault="008D6506">
            <w:pPr>
              <w:jc w:val="center"/>
              <w:rPr>
                <w:rFonts w:ascii="Times New Roman" w:eastAsia="Times New Roman" w:hAnsi="Times New Roman"/>
                <w:sz w:val="24"/>
                <w:szCs w:val="24"/>
                <w:lang w:val="sr-Cyrl-CS"/>
              </w:rPr>
            </w:pPr>
            <w:r w:rsidRPr="00CC35F0">
              <w:rPr>
                <w:rFonts w:ascii="Times New Roman" w:eastAsia="Times New Roman" w:hAnsi="Times New Roman"/>
                <w:b/>
                <w:sz w:val="24"/>
                <w:szCs w:val="24"/>
                <w:lang w:val="sr-Cyrl-CS"/>
              </w:rPr>
              <w:t>Детаљи о Ужицу (збирно)</w:t>
            </w:r>
          </w:p>
        </w:tc>
      </w:tr>
      <w:tr w:rsidR="00A0251B" w:rsidRPr="00CC35F0" w14:paraId="5A9C7883" w14:textId="77777777">
        <w:trPr>
          <w:trHeight w:val="250"/>
        </w:trPr>
        <w:tc>
          <w:tcPr>
            <w:tcW w:w="2552" w:type="dxa"/>
            <w:tcBorders>
              <w:top w:val="nil"/>
              <w:left w:val="nil"/>
              <w:bottom w:val="nil"/>
              <w:right w:val="nil"/>
            </w:tcBorders>
            <w:shd w:val="clear" w:color="auto" w:fill="8DB4E2"/>
            <w:vAlign w:val="bottom"/>
          </w:tcPr>
          <w:p w14:paraId="73F99483"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Уређаји на дрва који испуњавају захтеве Директиве о еко - дизајну (пелети)</w:t>
            </w:r>
          </w:p>
        </w:tc>
        <w:tc>
          <w:tcPr>
            <w:tcW w:w="1000" w:type="dxa"/>
            <w:tcBorders>
              <w:top w:val="nil"/>
              <w:left w:val="nil"/>
              <w:bottom w:val="nil"/>
              <w:right w:val="nil"/>
            </w:tcBorders>
            <w:shd w:val="clear" w:color="auto" w:fill="F2F2F2"/>
            <w:vAlign w:val="bottom"/>
          </w:tcPr>
          <w:p w14:paraId="48C34E1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68</w:t>
            </w:r>
          </w:p>
        </w:tc>
        <w:tc>
          <w:tcPr>
            <w:tcW w:w="1000" w:type="dxa"/>
            <w:tcBorders>
              <w:top w:val="nil"/>
              <w:left w:val="nil"/>
              <w:bottom w:val="nil"/>
              <w:right w:val="nil"/>
            </w:tcBorders>
            <w:shd w:val="clear" w:color="auto" w:fill="F2F2F2"/>
            <w:vAlign w:val="bottom"/>
          </w:tcPr>
          <w:p w14:paraId="0798975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405</w:t>
            </w:r>
          </w:p>
        </w:tc>
        <w:tc>
          <w:tcPr>
            <w:tcW w:w="1000" w:type="dxa"/>
            <w:tcBorders>
              <w:top w:val="nil"/>
              <w:left w:val="nil"/>
              <w:bottom w:val="nil"/>
              <w:right w:val="nil"/>
            </w:tcBorders>
            <w:shd w:val="clear" w:color="auto" w:fill="F2F2F2"/>
            <w:vAlign w:val="bottom"/>
          </w:tcPr>
          <w:p w14:paraId="03F382B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858</w:t>
            </w:r>
          </w:p>
        </w:tc>
        <w:tc>
          <w:tcPr>
            <w:tcW w:w="1000" w:type="dxa"/>
            <w:tcBorders>
              <w:top w:val="nil"/>
              <w:left w:val="nil"/>
              <w:bottom w:val="nil"/>
              <w:right w:val="nil"/>
            </w:tcBorders>
            <w:shd w:val="clear" w:color="auto" w:fill="F2F2F2"/>
            <w:vAlign w:val="bottom"/>
          </w:tcPr>
          <w:p w14:paraId="2FE93A6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1298</w:t>
            </w:r>
          </w:p>
        </w:tc>
        <w:tc>
          <w:tcPr>
            <w:tcW w:w="1000" w:type="dxa"/>
            <w:tcBorders>
              <w:top w:val="nil"/>
              <w:left w:val="nil"/>
              <w:bottom w:val="nil"/>
              <w:right w:val="nil"/>
            </w:tcBorders>
            <w:shd w:val="clear" w:color="auto" w:fill="F2F2F2"/>
            <w:vAlign w:val="bottom"/>
          </w:tcPr>
          <w:p w14:paraId="21718E08"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1724</w:t>
            </w:r>
          </w:p>
        </w:tc>
        <w:tc>
          <w:tcPr>
            <w:tcW w:w="1000" w:type="dxa"/>
            <w:tcBorders>
              <w:top w:val="nil"/>
              <w:left w:val="nil"/>
              <w:bottom w:val="nil"/>
              <w:right w:val="nil"/>
            </w:tcBorders>
            <w:shd w:val="clear" w:color="auto" w:fill="F2F2F2"/>
            <w:vAlign w:val="bottom"/>
          </w:tcPr>
          <w:p w14:paraId="1C6286E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2137</w:t>
            </w:r>
          </w:p>
        </w:tc>
        <w:tc>
          <w:tcPr>
            <w:tcW w:w="1040" w:type="dxa"/>
            <w:tcBorders>
              <w:top w:val="nil"/>
              <w:left w:val="nil"/>
              <w:bottom w:val="nil"/>
              <w:right w:val="nil"/>
            </w:tcBorders>
            <w:shd w:val="clear" w:color="auto" w:fill="F2F2F2"/>
            <w:vAlign w:val="bottom"/>
          </w:tcPr>
          <w:p w14:paraId="0ADCFB2C"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2537</w:t>
            </w:r>
          </w:p>
        </w:tc>
      </w:tr>
      <w:tr w:rsidR="00A0251B" w:rsidRPr="00CC35F0" w14:paraId="30A7919D" w14:textId="77777777">
        <w:trPr>
          <w:trHeight w:val="250"/>
        </w:trPr>
        <w:tc>
          <w:tcPr>
            <w:tcW w:w="2552" w:type="dxa"/>
            <w:tcBorders>
              <w:top w:val="nil"/>
              <w:left w:val="nil"/>
              <w:bottom w:val="nil"/>
              <w:right w:val="nil"/>
            </w:tcBorders>
            <w:shd w:val="clear" w:color="auto" w:fill="8DB4E2"/>
            <w:vAlign w:val="bottom"/>
          </w:tcPr>
          <w:p w14:paraId="3FC815E7" w14:textId="77777777" w:rsidR="00A0251B" w:rsidRPr="00CC35F0" w:rsidRDefault="008D6506">
            <w:pPr>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Топлотне пумпе</w:t>
            </w:r>
          </w:p>
        </w:tc>
        <w:tc>
          <w:tcPr>
            <w:tcW w:w="1000" w:type="dxa"/>
            <w:tcBorders>
              <w:top w:val="nil"/>
              <w:left w:val="nil"/>
              <w:bottom w:val="nil"/>
              <w:right w:val="nil"/>
            </w:tcBorders>
            <w:shd w:val="clear" w:color="auto" w:fill="F2F2F2"/>
            <w:vAlign w:val="bottom"/>
          </w:tcPr>
          <w:p w14:paraId="79FD105D"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386</w:t>
            </w:r>
          </w:p>
        </w:tc>
        <w:tc>
          <w:tcPr>
            <w:tcW w:w="1000" w:type="dxa"/>
            <w:tcBorders>
              <w:top w:val="nil"/>
              <w:left w:val="nil"/>
              <w:bottom w:val="nil"/>
              <w:right w:val="nil"/>
            </w:tcBorders>
            <w:shd w:val="clear" w:color="auto" w:fill="F2F2F2"/>
            <w:vAlign w:val="bottom"/>
          </w:tcPr>
          <w:p w14:paraId="7C69AAA1"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2294</w:t>
            </w:r>
          </w:p>
        </w:tc>
        <w:tc>
          <w:tcPr>
            <w:tcW w:w="1000" w:type="dxa"/>
            <w:tcBorders>
              <w:top w:val="nil"/>
              <w:left w:val="nil"/>
              <w:bottom w:val="nil"/>
              <w:right w:val="nil"/>
            </w:tcBorders>
            <w:shd w:val="clear" w:color="auto" w:fill="F2F2F2"/>
            <w:vAlign w:val="bottom"/>
          </w:tcPr>
          <w:p w14:paraId="7CC3E396"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4862</w:t>
            </w:r>
          </w:p>
        </w:tc>
        <w:tc>
          <w:tcPr>
            <w:tcW w:w="1000" w:type="dxa"/>
            <w:tcBorders>
              <w:top w:val="nil"/>
              <w:left w:val="nil"/>
              <w:bottom w:val="nil"/>
              <w:right w:val="nil"/>
            </w:tcBorders>
            <w:shd w:val="clear" w:color="auto" w:fill="F2F2F2"/>
            <w:vAlign w:val="bottom"/>
          </w:tcPr>
          <w:p w14:paraId="01FEF080"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7354</w:t>
            </w:r>
          </w:p>
        </w:tc>
        <w:tc>
          <w:tcPr>
            <w:tcW w:w="1000" w:type="dxa"/>
            <w:tcBorders>
              <w:top w:val="nil"/>
              <w:left w:val="nil"/>
              <w:bottom w:val="nil"/>
              <w:right w:val="nil"/>
            </w:tcBorders>
            <w:shd w:val="clear" w:color="auto" w:fill="F2F2F2"/>
            <w:vAlign w:val="bottom"/>
          </w:tcPr>
          <w:p w14:paraId="2C5D0D7B"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9771</w:t>
            </w:r>
          </w:p>
        </w:tc>
        <w:tc>
          <w:tcPr>
            <w:tcW w:w="1000" w:type="dxa"/>
            <w:tcBorders>
              <w:top w:val="nil"/>
              <w:left w:val="nil"/>
              <w:bottom w:val="nil"/>
              <w:right w:val="nil"/>
            </w:tcBorders>
            <w:shd w:val="clear" w:color="auto" w:fill="F2F2F2"/>
            <w:vAlign w:val="bottom"/>
          </w:tcPr>
          <w:p w14:paraId="08DAFD42"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12111</w:t>
            </w:r>
          </w:p>
        </w:tc>
        <w:tc>
          <w:tcPr>
            <w:tcW w:w="1040" w:type="dxa"/>
            <w:tcBorders>
              <w:top w:val="nil"/>
              <w:left w:val="nil"/>
              <w:bottom w:val="nil"/>
              <w:right w:val="nil"/>
            </w:tcBorders>
            <w:shd w:val="clear" w:color="auto" w:fill="F2F2F2"/>
            <w:vAlign w:val="bottom"/>
          </w:tcPr>
          <w:p w14:paraId="543281BA" w14:textId="77777777" w:rsidR="00A0251B" w:rsidRPr="00CC35F0" w:rsidRDefault="008D6506">
            <w:pPr>
              <w:jc w:val="right"/>
              <w:rPr>
                <w:rFonts w:ascii="Times New Roman" w:eastAsia="Times New Roman" w:hAnsi="Times New Roman"/>
                <w:sz w:val="24"/>
                <w:szCs w:val="24"/>
                <w:lang w:val="sr-Cyrl-CS"/>
              </w:rPr>
            </w:pPr>
            <w:r w:rsidRPr="00CC35F0">
              <w:rPr>
                <w:rFonts w:ascii="Times New Roman" w:eastAsia="Times New Roman" w:hAnsi="Times New Roman"/>
                <w:sz w:val="24"/>
                <w:szCs w:val="24"/>
                <w:lang w:val="sr-Cyrl-CS"/>
              </w:rPr>
              <w:t>14376</w:t>
            </w:r>
          </w:p>
        </w:tc>
      </w:tr>
    </w:tbl>
    <w:p w14:paraId="278A1418" w14:textId="77777777" w:rsidR="00A0251B" w:rsidRPr="00CC35F0" w:rsidRDefault="00A0251B">
      <w:pPr>
        <w:rPr>
          <w:rFonts w:ascii="Times New Roman" w:eastAsia="Times New Roman" w:hAnsi="Times New Roman"/>
          <w:sz w:val="24"/>
          <w:szCs w:val="24"/>
          <w:lang w:val="sr-Cyrl-CS"/>
        </w:rPr>
      </w:pPr>
    </w:p>
    <w:p w14:paraId="7731B14F" w14:textId="77777777" w:rsidR="00BF06C2" w:rsidRPr="00CC35F0" w:rsidRDefault="00BF06C2">
      <w:pPr>
        <w:rPr>
          <w:rFonts w:ascii="Times New Roman" w:eastAsia="Times New Roman" w:hAnsi="Times New Roman"/>
          <w:sz w:val="24"/>
          <w:szCs w:val="24"/>
          <w:lang w:val="sr-Cyrl-CS"/>
        </w:rPr>
      </w:pPr>
    </w:p>
    <w:p w14:paraId="486C26AC" w14:textId="77777777" w:rsidR="00BF06C2" w:rsidRPr="00CC35F0" w:rsidRDefault="00BF06C2">
      <w:pPr>
        <w:rPr>
          <w:rFonts w:ascii="Times New Roman" w:eastAsia="Times New Roman" w:hAnsi="Times New Roman"/>
          <w:sz w:val="24"/>
          <w:szCs w:val="24"/>
          <w:lang w:val="sr-Cyrl-CS"/>
        </w:rPr>
      </w:pPr>
    </w:p>
    <w:p w14:paraId="781481CD" w14:textId="77777777" w:rsidR="00BF06C2" w:rsidRPr="00CC35F0" w:rsidRDefault="00BF06C2">
      <w:pPr>
        <w:rPr>
          <w:rFonts w:ascii="Times New Roman" w:eastAsia="Times New Roman" w:hAnsi="Times New Roman"/>
          <w:sz w:val="24"/>
          <w:szCs w:val="24"/>
          <w:lang w:val="sr-Cyrl-CS"/>
        </w:rPr>
      </w:pPr>
    </w:p>
    <w:p w14:paraId="45C49633" w14:textId="77777777" w:rsidR="00BF06C2" w:rsidRPr="00CC35F0" w:rsidRDefault="00BF06C2">
      <w:pPr>
        <w:rPr>
          <w:rFonts w:ascii="Times New Roman" w:eastAsia="Times New Roman" w:hAnsi="Times New Roman"/>
          <w:sz w:val="24"/>
          <w:szCs w:val="24"/>
          <w:lang w:val="sr-Cyrl-CS"/>
        </w:rPr>
      </w:pPr>
    </w:p>
    <w:p w14:paraId="21C2FEC4" w14:textId="77777777" w:rsidR="00BF06C2" w:rsidRPr="00CC35F0" w:rsidRDefault="00BF06C2">
      <w:pPr>
        <w:rPr>
          <w:rFonts w:ascii="Times New Roman" w:eastAsia="Times New Roman" w:hAnsi="Times New Roman"/>
          <w:sz w:val="24"/>
          <w:szCs w:val="24"/>
          <w:lang w:val="sr-Cyrl-CS"/>
        </w:rPr>
      </w:pPr>
    </w:p>
    <w:p w14:paraId="50B46FAE" w14:textId="77777777" w:rsidR="00BF06C2" w:rsidRPr="00CC35F0" w:rsidRDefault="00BF06C2">
      <w:pPr>
        <w:rPr>
          <w:rFonts w:ascii="Times New Roman" w:eastAsia="Times New Roman" w:hAnsi="Times New Roman"/>
          <w:sz w:val="24"/>
          <w:szCs w:val="24"/>
          <w:lang w:val="sr-Cyrl-CS"/>
        </w:rPr>
      </w:pPr>
    </w:p>
    <w:p w14:paraId="352D552E" w14:textId="77777777" w:rsidR="00BF06C2" w:rsidRPr="00CC35F0" w:rsidRDefault="00BF06C2">
      <w:pPr>
        <w:rPr>
          <w:rFonts w:ascii="Times New Roman" w:eastAsia="Times New Roman" w:hAnsi="Times New Roman"/>
          <w:sz w:val="24"/>
          <w:szCs w:val="24"/>
          <w:lang w:val="sr-Cyrl-CS"/>
        </w:rPr>
      </w:pPr>
    </w:p>
    <w:p w14:paraId="27299FED" w14:textId="77777777" w:rsidR="00BF06C2" w:rsidRPr="00CC35F0" w:rsidRDefault="00BF06C2">
      <w:pPr>
        <w:rPr>
          <w:rFonts w:ascii="Times New Roman" w:eastAsia="Times New Roman" w:hAnsi="Times New Roman"/>
          <w:sz w:val="24"/>
          <w:szCs w:val="24"/>
          <w:lang w:val="sr-Cyrl-CS"/>
        </w:rPr>
      </w:pPr>
    </w:p>
    <w:p w14:paraId="02E91540" w14:textId="77777777" w:rsidR="00BF06C2" w:rsidRPr="00CC35F0" w:rsidRDefault="00BF06C2">
      <w:pPr>
        <w:rPr>
          <w:rFonts w:ascii="Times New Roman" w:eastAsia="Times New Roman" w:hAnsi="Times New Roman"/>
          <w:sz w:val="24"/>
          <w:szCs w:val="24"/>
          <w:lang w:val="sr-Cyrl-CS"/>
        </w:rPr>
      </w:pPr>
    </w:p>
    <w:p w14:paraId="42E0FD09" w14:textId="77777777" w:rsidR="00BF06C2" w:rsidRPr="00CC35F0" w:rsidRDefault="00BF06C2">
      <w:pPr>
        <w:rPr>
          <w:rFonts w:ascii="Times New Roman" w:eastAsia="Times New Roman" w:hAnsi="Times New Roman"/>
          <w:sz w:val="24"/>
          <w:szCs w:val="24"/>
          <w:lang w:val="sr-Cyrl-CS"/>
        </w:rPr>
      </w:pPr>
    </w:p>
    <w:p w14:paraId="4C58125F" w14:textId="77777777" w:rsidR="00BF06C2" w:rsidRPr="00CC35F0" w:rsidRDefault="00BF06C2">
      <w:pPr>
        <w:rPr>
          <w:rFonts w:ascii="Times New Roman" w:eastAsia="Times New Roman" w:hAnsi="Times New Roman"/>
          <w:sz w:val="24"/>
          <w:szCs w:val="24"/>
          <w:lang w:val="sr-Cyrl-CS"/>
        </w:rPr>
      </w:pPr>
    </w:p>
    <w:p w14:paraId="69C597A8" w14:textId="77777777" w:rsidR="00BF06C2" w:rsidRPr="00CC35F0" w:rsidRDefault="00BF06C2">
      <w:pPr>
        <w:rPr>
          <w:rFonts w:ascii="Times New Roman" w:eastAsia="Times New Roman" w:hAnsi="Times New Roman"/>
          <w:sz w:val="24"/>
          <w:szCs w:val="24"/>
          <w:lang w:val="sr-Cyrl-CS"/>
        </w:rPr>
      </w:pPr>
    </w:p>
    <w:p w14:paraId="5C57FD5E" w14:textId="77777777" w:rsidR="00BF06C2" w:rsidRPr="00CC35F0" w:rsidRDefault="00BF06C2">
      <w:pPr>
        <w:rPr>
          <w:rFonts w:ascii="Times New Roman" w:eastAsia="Times New Roman" w:hAnsi="Times New Roman"/>
          <w:sz w:val="24"/>
          <w:szCs w:val="24"/>
          <w:lang w:val="sr-Cyrl-CS"/>
        </w:rPr>
      </w:pPr>
    </w:p>
    <w:p w14:paraId="369FEA39" w14:textId="77777777" w:rsidR="00BF06C2" w:rsidRPr="00CC35F0" w:rsidRDefault="00BF06C2">
      <w:pPr>
        <w:rPr>
          <w:rFonts w:ascii="Times New Roman" w:eastAsia="Times New Roman" w:hAnsi="Times New Roman"/>
          <w:sz w:val="24"/>
          <w:szCs w:val="24"/>
          <w:lang w:val="sr-Cyrl-CS"/>
        </w:rPr>
      </w:pPr>
    </w:p>
    <w:p w14:paraId="2FE955D7" w14:textId="77777777" w:rsidR="00BF06C2" w:rsidRPr="00CC35F0" w:rsidRDefault="00BF06C2">
      <w:pPr>
        <w:rPr>
          <w:rFonts w:ascii="Times New Roman" w:eastAsia="Times New Roman" w:hAnsi="Times New Roman"/>
          <w:sz w:val="24"/>
          <w:szCs w:val="24"/>
          <w:lang w:val="sr-Cyrl-CS"/>
        </w:rPr>
      </w:pPr>
    </w:p>
    <w:p w14:paraId="258ED75F" w14:textId="77777777" w:rsidR="00BF06C2" w:rsidRPr="00CC35F0" w:rsidRDefault="00BF06C2">
      <w:pPr>
        <w:rPr>
          <w:rFonts w:ascii="Times New Roman" w:eastAsia="Times New Roman" w:hAnsi="Times New Roman"/>
          <w:sz w:val="24"/>
          <w:szCs w:val="24"/>
          <w:lang w:val="sr-Cyrl-CS"/>
        </w:rPr>
      </w:pPr>
    </w:p>
    <w:sectPr w:rsidR="00BF06C2" w:rsidRPr="00CC35F0">
      <w:headerReference w:type="default" r:id="rId116"/>
      <w:footerReference w:type="default" r:id="rId117"/>
      <w:pgSz w:w="11901" w:h="16817"/>
      <w:pgMar w:top="1411" w:right="1138" w:bottom="1411" w:left="1411" w:header="144"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3D46DB" w14:textId="77777777" w:rsidR="00990075" w:rsidRDefault="00990075">
      <w:pPr>
        <w:spacing w:after="0" w:line="240" w:lineRule="auto"/>
      </w:pPr>
      <w:r>
        <w:separator/>
      </w:r>
    </w:p>
  </w:endnote>
  <w:endnote w:type="continuationSeparator" w:id="0">
    <w:p w14:paraId="5115CD45" w14:textId="77777777" w:rsidR="00990075" w:rsidRDefault="009900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Bold">
    <w:altName w:val="Calibri"/>
    <w:panose1 w:val="020F0702030404030204"/>
    <w:charset w:val="00"/>
    <w:family w:val="auto"/>
    <w:pitch w:val="variable"/>
    <w:sig w:usb0="E10002FF" w:usb1="4000ACFF" w:usb2="00000009" w:usb3="00000000" w:csb0="0000019F" w:csb1="00000000"/>
  </w:font>
  <w:font w:name="Calibri Light">
    <w:panose1 w:val="020F03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8FB1D2" w14:textId="77777777" w:rsidR="00697062" w:rsidRDefault="00697062">
    <w:pPr>
      <w:pBdr>
        <w:top w:val="nil"/>
        <w:left w:val="nil"/>
        <w:bottom w:val="nil"/>
        <w:right w:val="nil"/>
        <w:between w:val="nil"/>
      </w:pBdr>
      <w:tabs>
        <w:tab w:val="center" w:pos="4680"/>
        <w:tab w:val="right" w:pos="9360"/>
      </w:tabs>
      <w:spacing w:after="0"/>
      <w:jc w:val="right"/>
      <w:rPr>
        <w:rFonts w:cs="Calibri"/>
        <w:color w:val="000000"/>
        <w:sz w:val="20"/>
        <w:szCs w:val="20"/>
      </w:rPr>
    </w:pPr>
    <w:r>
      <w:rPr>
        <w:rFonts w:cs="Calibri"/>
        <w:color w:val="000000"/>
        <w:sz w:val="20"/>
        <w:szCs w:val="20"/>
      </w:rPr>
      <w:fldChar w:fldCharType="begin"/>
    </w:r>
    <w:r>
      <w:rPr>
        <w:rFonts w:cs="Calibri"/>
        <w:color w:val="000000"/>
        <w:sz w:val="20"/>
        <w:szCs w:val="20"/>
      </w:rPr>
      <w:instrText>PAGE</w:instrText>
    </w:r>
    <w:r>
      <w:rPr>
        <w:rFonts w:cs="Calibri"/>
        <w:color w:val="000000"/>
        <w:sz w:val="20"/>
        <w:szCs w:val="20"/>
      </w:rPr>
      <w:fldChar w:fldCharType="separate"/>
    </w:r>
    <w:r w:rsidR="00FF43DC">
      <w:rPr>
        <w:rFonts w:cs="Calibri"/>
        <w:noProof/>
        <w:color w:val="000000"/>
        <w:sz w:val="20"/>
        <w:szCs w:val="20"/>
      </w:rPr>
      <w:t>53</w:t>
    </w:r>
    <w:r>
      <w:rPr>
        <w:rFonts w:cs="Calibri"/>
        <w:color w:val="000000"/>
        <w:sz w:val="20"/>
        <w:szCs w:val="20"/>
      </w:rPr>
      <w:fldChar w:fldCharType="end"/>
    </w:r>
  </w:p>
  <w:p w14:paraId="60A5BE39" w14:textId="77777777" w:rsidR="00697062" w:rsidRDefault="00697062">
    <w:pPr>
      <w:spacing w:after="0"/>
      <w:rPr>
        <w:sz w:val="4"/>
        <w:szCs w:val="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C0F8BA" w14:textId="77777777" w:rsidR="00697062" w:rsidRDefault="00697062">
    <w:pPr>
      <w:pBdr>
        <w:top w:val="nil"/>
        <w:left w:val="nil"/>
        <w:bottom w:val="nil"/>
        <w:right w:val="nil"/>
        <w:between w:val="nil"/>
      </w:pBdr>
      <w:tabs>
        <w:tab w:val="center" w:pos="4680"/>
        <w:tab w:val="right" w:pos="9360"/>
      </w:tabs>
      <w:spacing w:after="0"/>
      <w:jc w:val="right"/>
      <w:rPr>
        <w:rFonts w:cs="Calibri"/>
        <w:color w:val="000000"/>
        <w:sz w:val="20"/>
        <w:szCs w:val="20"/>
      </w:rPr>
    </w:pPr>
    <w:r>
      <w:rPr>
        <w:rFonts w:cs="Calibri"/>
        <w:color w:val="000000"/>
        <w:sz w:val="20"/>
        <w:szCs w:val="20"/>
      </w:rPr>
      <w:fldChar w:fldCharType="begin"/>
    </w:r>
    <w:r>
      <w:rPr>
        <w:rFonts w:cs="Calibri"/>
        <w:color w:val="000000"/>
        <w:sz w:val="20"/>
        <w:szCs w:val="20"/>
      </w:rPr>
      <w:instrText>PAGE</w:instrText>
    </w:r>
    <w:r>
      <w:rPr>
        <w:rFonts w:cs="Calibri"/>
        <w:color w:val="000000"/>
        <w:sz w:val="20"/>
        <w:szCs w:val="20"/>
      </w:rPr>
      <w:fldChar w:fldCharType="separate"/>
    </w:r>
    <w:r w:rsidR="00FF43DC">
      <w:rPr>
        <w:rFonts w:cs="Calibri"/>
        <w:noProof/>
        <w:color w:val="000000"/>
        <w:sz w:val="20"/>
        <w:szCs w:val="20"/>
      </w:rPr>
      <w:t>78</w:t>
    </w:r>
    <w:r>
      <w:rPr>
        <w:rFonts w:cs="Calibri"/>
        <w:color w:val="000000"/>
        <w:sz w:val="20"/>
        <w:szCs w:val="20"/>
      </w:rPr>
      <w:fldChar w:fldCharType="end"/>
    </w:r>
  </w:p>
  <w:p w14:paraId="2C12E2A5" w14:textId="77777777" w:rsidR="00697062" w:rsidRDefault="00697062">
    <w:pPr>
      <w:spacing w:after="0"/>
      <w:rPr>
        <w:sz w:val="4"/>
        <w:szCs w:val="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57595" w14:textId="77777777" w:rsidR="00697062" w:rsidRDefault="00697062">
    <w:pPr>
      <w:pBdr>
        <w:top w:val="nil"/>
        <w:left w:val="nil"/>
        <w:bottom w:val="nil"/>
        <w:right w:val="nil"/>
        <w:between w:val="nil"/>
      </w:pBdr>
      <w:tabs>
        <w:tab w:val="center" w:pos="4680"/>
        <w:tab w:val="right" w:pos="9360"/>
      </w:tabs>
      <w:spacing w:after="0"/>
      <w:jc w:val="right"/>
      <w:rPr>
        <w:rFonts w:cs="Calibri"/>
        <w:color w:val="000000"/>
        <w:sz w:val="20"/>
        <w:szCs w:val="20"/>
      </w:rPr>
    </w:pPr>
    <w:r>
      <w:rPr>
        <w:rFonts w:cs="Calibri"/>
        <w:color w:val="000000"/>
        <w:sz w:val="20"/>
        <w:szCs w:val="20"/>
      </w:rPr>
      <w:fldChar w:fldCharType="begin"/>
    </w:r>
    <w:r>
      <w:rPr>
        <w:rFonts w:cs="Calibri"/>
        <w:color w:val="000000"/>
        <w:sz w:val="20"/>
        <w:szCs w:val="20"/>
      </w:rPr>
      <w:instrText>PAGE</w:instrText>
    </w:r>
    <w:r>
      <w:rPr>
        <w:rFonts w:cs="Calibri"/>
        <w:color w:val="000000"/>
        <w:sz w:val="20"/>
        <w:szCs w:val="20"/>
      </w:rPr>
      <w:fldChar w:fldCharType="separate"/>
    </w:r>
    <w:r w:rsidR="00FF43DC">
      <w:rPr>
        <w:rFonts w:cs="Calibri"/>
        <w:noProof/>
        <w:color w:val="000000"/>
        <w:sz w:val="20"/>
        <w:szCs w:val="20"/>
      </w:rPr>
      <w:t>117</w:t>
    </w:r>
    <w:r>
      <w:rPr>
        <w:rFonts w:cs="Calibri"/>
        <w:color w:val="000000"/>
        <w:sz w:val="20"/>
        <w:szCs w:val="20"/>
      </w:rPr>
      <w:fldChar w:fldCharType="end"/>
    </w:r>
  </w:p>
  <w:p w14:paraId="534CBF3A" w14:textId="77777777" w:rsidR="00697062" w:rsidRDefault="00697062">
    <w:pPr>
      <w:spacing w:after="0"/>
      <w:rPr>
        <w:sz w:val="4"/>
        <w:szCs w:val="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16C74D" w14:textId="77777777" w:rsidR="00697062" w:rsidRDefault="00697062">
    <w:pPr>
      <w:pBdr>
        <w:top w:val="nil"/>
        <w:left w:val="nil"/>
        <w:bottom w:val="nil"/>
        <w:right w:val="nil"/>
        <w:between w:val="nil"/>
      </w:pBdr>
      <w:tabs>
        <w:tab w:val="center" w:pos="4680"/>
        <w:tab w:val="right" w:pos="9360"/>
      </w:tabs>
      <w:spacing w:after="0"/>
      <w:jc w:val="right"/>
      <w:rPr>
        <w:rFonts w:cs="Calibri"/>
        <w:color w:val="000000"/>
        <w:sz w:val="20"/>
        <w:szCs w:val="20"/>
      </w:rPr>
    </w:pPr>
    <w:r>
      <w:rPr>
        <w:rFonts w:cs="Calibri"/>
        <w:color w:val="000000"/>
        <w:sz w:val="20"/>
        <w:szCs w:val="20"/>
      </w:rPr>
      <w:fldChar w:fldCharType="begin"/>
    </w:r>
    <w:r>
      <w:rPr>
        <w:rFonts w:cs="Calibri"/>
        <w:color w:val="000000"/>
        <w:sz w:val="20"/>
        <w:szCs w:val="20"/>
      </w:rPr>
      <w:instrText>PAGE</w:instrText>
    </w:r>
    <w:r>
      <w:rPr>
        <w:rFonts w:cs="Calibri"/>
        <w:color w:val="000000"/>
        <w:sz w:val="20"/>
        <w:szCs w:val="20"/>
      </w:rPr>
      <w:fldChar w:fldCharType="separate"/>
    </w:r>
    <w:r w:rsidR="00FF43DC">
      <w:rPr>
        <w:rFonts w:cs="Calibri"/>
        <w:noProof/>
        <w:color w:val="000000"/>
        <w:sz w:val="20"/>
        <w:szCs w:val="20"/>
      </w:rPr>
      <w:t>118</w:t>
    </w:r>
    <w:r>
      <w:rPr>
        <w:rFonts w:cs="Calibri"/>
        <w:color w:val="000000"/>
        <w:sz w:val="20"/>
        <w:szCs w:val="20"/>
      </w:rPr>
      <w:fldChar w:fldCharType="end"/>
    </w:r>
  </w:p>
  <w:p w14:paraId="77E88B71" w14:textId="77777777" w:rsidR="00697062" w:rsidRDefault="0069706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98FDF" w14:textId="77777777" w:rsidR="00697062" w:rsidRDefault="00697062">
    <w:pPr>
      <w:pBdr>
        <w:top w:val="nil"/>
        <w:left w:val="nil"/>
        <w:bottom w:val="nil"/>
        <w:right w:val="nil"/>
        <w:between w:val="nil"/>
      </w:pBdr>
      <w:tabs>
        <w:tab w:val="center" w:pos="4680"/>
        <w:tab w:val="right" w:pos="9360"/>
      </w:tabs>
      <w:spacing w:after="0"/>
      <w:jc w:val="right"/>
      <w:rPr>
        <w:rFonts w:cs="Calibri"/>
        <w:color w:val="000000"/>
        <w:sz w:val="20"/>
        <w:szCs w:val="20"/>
      </w:rPr>
    </w:pPr>
    <w:r>
      <w:rPr>
        <w:rFonts w:cs="Calibri"/>
        <w:color w:val="000000"/>
        <w:sz w:val="20"/>
        <w:szCs w:val="20"/>
      </w:rPr>
      <w:fldChar w:fldCharType="begin"/>
    </w:r>
    <w:r>
      <w:rPr>
        <w:rFonts w:cs="Calibri"/>
        <w:color w:val="000000"/>
        <w:sz w:val="20"/>
        <w:szCs w:val="20"/>
      </w:rPr>
      <w:instrText>PAGE</w:instrText>
    </w:r>
    <w:r>
      <w:rPr>
        <w:rFonts w:cs="Calibri"/>
        <w:color w:val="000000"/>
        <w:sz w:val="20"/>
        <w:szCs w:val="20"/>
      </w:rPr>
      <w:fldChar w:fldCharType="separate"/>
    </w:r>
    <w:r w:rsidR="00FF43DC">
      <w:rPr>
        <w:rFonts w:cs="Calibri"/>
        <w:noProof/>
        <w:color w:val="000000"/>
        <w:sz w:val="20"/>
        <w:szCs w:val="20"/>
      </w:rPr>
      <w:t>123</w:t>
    </w:r>
    <w:r>
      <w:rPr>
        <w:rFonts w:cs="Calibri"/>
        <w:color w:val="000000"/>
        <w:sz w:val="20"/>
        <w:szCs w:val="20"/>
      </w:rPr>
      <w:fldChar w:fldCharType="end"/>
    </w:r>
  </w:p>
  <w:p w14:paraId="7D31542C" w14:textId="77777777" w:rsidR="00697062" w:rsidRDefault="00697062">
    <w:pPr>
      <w:spacing w:after="0"/>
      <w:rPr>
        <w:sz w:val="4"/>
        <w:szCs w:val="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8B408" w14:textId="77777777" w:rsidR="00697062" w:rsidRDefault="00697062">
    <w:pPr>
      <w:pBdr>
        <w:top w:val="nil"/>
        <w:left w:val="nil"/>
        <w:bottom w:val="nil"/>
        <w:right w:val="nil"/>
        <w:between w:val="nil"/>
      </w:pBdr>
      <w:tabs>
        <w:tab w:val="center" w:pos="4680"/>
        <w:tab w:val="right" w:pos="9360"/>
      </w:tabs>
      <w:spacing w:after="0"/>
      <w:jc w:val="right"/>
      <w:rPr>
        <w:rFonts w:cs="Calibri"/>
        <w:color w:val="000000"/>
        <w:sz w:val="20"/>
        <w:szCs w:val="20"/>
      </w:rPr>
    </w:pPr>
    <w:r>
      <w:rPr>
        <w:rFonts w:cs="Calibri"/>
        <w:color w:val="000000"/>
        <w:sz w:val="20"/>
        <w:szCs w:val="20"/>
      </w:rPr>
      <w:fldChar w:fldCharType="begin"/>
    </w:r>
    <w:r>
      <w:rPr>
        <w:rFonts w:cs="Calibri"/>
        <w:color w:val="000000"/>
        <w:sz w:val="20"/>
        <w:szCs w:val="20"/>
      </w:rPr>
      <w:instrText>PAGE</w:instrText>
    </w:r>
    <w:r>
      <w:rPr>
        <w:rFonts w:cs="Calibri"/>
        <w:color w:val="000000"/>
        <w:sz w:val="20"/>
        <w:szCs w:val="20"/>
      </w:rPr>
      <w:fldChar w:fldCharType="separate"/>
    </w:r>
    <w:r w:rsidR="00FF43DC">
      <w:rPr>
        <w:rFonts w:cs="Calibri"/>
        <w:noProof/>
        <w:color w:val="000000"/>
        <w:sz w:val="20"/>
        <w:szCs w:val="20"/>
      </w:rPr>
      <w:t>159</w:t>
    </w:r>
    <w:r>
      <w:rPr>
        <w:rFonts w:cs="Calibri"/>
        <w:color w:val="000000"/>
        <w:sz w:val="20"/>
        <w:szCs w:val="20"/>
      </w:rPr>
      <w:fldChar w:fldCharType="end"/>
    </w:r>
  </w:p>
  <w:p w14:paraId="2AEF7132" w14:textId="77777777" w:rsidR="00697062" w:rsidRDefault="00697062">
    <w:pPr>
      <w:spacing w:after="0"/>
      <w:rPr>
        <w:sz w:val="4"/>
        <w:szCs w:val="4"/>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0B2B44" w14:textId="77777777" w:rsidR="00697062" w:rsidRDefault="00697062">
    <w:pPr>
      <w:pBdr>
        <w:top w:val="nil"/>
        <w:left w:val="nil"/>
        <w:bottom w:val="nil"/>
        <w:right w:val="nil"/>
        <w:between w:val="nil"/>
      </w:pBdr>
      <w:tabs>
        <w:tab w:val="center" w:pos="4680"/>
        <w:tab w:val="right" w:pos="9360"/>
      </w:tabs>
      <w:spacing w:after="0"/>
      <w:jc w:val="right"/>
      <w:rPr>
        <w:rFonts w:cs="Calibri"/>
        <w:color w:val="000000"/>
        <w:sz w:val="20"/>
        <w:szCs w:val="20"/>
      </w:rPr>
    </w:pPr>
    <w:r>
      <w:rPr>
        <w:rFonts w:cs="Calibri"/>
        <w:color w:val="000000"/>
        <w:sz w:val="20"/>
        <w:szCs w:val="20"/>
      </w:rPr>
      <w:fldChar w:fldCharType="begin"/>
    </w:r>
    <w:r>
      <w:rPr>
        <w:rFonts w:cs="Calibri"/>
        <w:color w:val="000000"/>
        <w:sz w:val="20"/>
        <w:szCs w:val="20"/>
      </w:rPr>
      <w:instrText>PAGE</w:instrText>
    </w:r>
    <w:r>
      <w:rPr>
        <w:rFonts w:cs="Calibri"/>
        <w:color w:val="000000"/>
        <w:sz w:val="20"/>
        <w:szCs w:val="20"/>
      </w:rPr>
      <w:fldChar w:fldCharType="separate"/>
    </w:r>
    <w:r w:rsidR="00FF43DC">
      <w:rPr>
        <w:rFonts w:cs="Calibri"/>
        <w:noProof/>
        <w:color w:val="000000"/>
        <w:sz w:val="20"/>
        <w:szCs w:val="20"/>
      </w:rPr>
      <w:t>217</w:t>
    </w:r>
    <w:r>
      <w:rPr>
        <w:rFonts w:cs="Calibri"/>
        <w:color w:val="000000"/>
        <w:sz w:val="20"/>
        <w:szCs w:val="20"/>
      </w:rPr>
      <w:fldChar w:fldCharType="end"/>
    </w:r>
  </w:p>
  <w:p w14:paraId="1287BBD4" w14:textId="77777777" w:rsidR="00697062" w:rsidRDefault="00697062">
    <w:pPr>
      <w:spacing w:after="0"/>
      <w:rPr>
        <w:sz w:val="4"/>
        <w:szCs w:val="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E2DC1" w14:textId="77777777" w:rsidR="00697062" w:rsidRDefault="00697062">
    <w:pPr>
      <w:pBdr>
        <w:top w:val="nil"/>
        <w:left w:val="nil"/>
        <w:bottom w:val="nil"/>
        <w:right w:val="nil"/>
        <w:between w:val="nil"/>
      </w:pBdr>
      <w:tabs>
        <w:tab w:val="center" w:pos="4680"/>
        <w:tab w:val="right" w:pos="9360"/>
      </w:tabs>
      <w:spacing w:after="0"/>
      <w:jc w:val="right"/>
      <w:rPr>
        <w:rFonts w:cs="Calibri"/>
        <w:color w:val="000000"/>
        <w:sz w:val="20"/>
        <w:szCs w:val="20"/>
      </w:rPr>
    </w:pPr>
    <w:r>
      <w:rPr>
        <w:rFonts w:cs="Calibri"/>
        <w:color w:val="000000"/>
        <w:sz w:val="20"/>
        <w:szCs w:val="20"/>
      </w:rPr>
      <w:fldChar w:fldCharType="begin"/>
    </w:r>
    <w:r>
      <w:rPr>
        <w:rFonts w:cs="Calibri"/>
        <w:color w:val="000000"/>
        <w:sz w:val="20"/>
        <w:szCs w:val="20"/>
      </w:rPr>
      <w:instrText>PAGE</w:instrText>
    </w:r>
    <w:r>
      <w:rPr>
        <w:rFonts w:cs="Calibri"/>
        <w:color w:val="000000"/>
        <w:sz w:val="20"/>
        <w:szCs w:val="20"/>
      </w:rPr>
      <w:fldChar w:fldCharType="separate"/>
    </w:r>
    <w:r w:rsidR="00D97BF9">
      <w:rPr>
        <w:rFonts w:cs="Calibri"/>
        <w:noProof/>
        <w:color w:val="000000"/>
        <w:sz w:val="20"/>
        <w:szCs w:val="20"/>
      </w:rPr>
      <w:t>244</w:t>
    </w:r>
    <w:r>
      <w:rPr>
        <w:rFonts w:cs="Calibri"/>
        <w:color w:val="000000"/>
        <w:sz w:val="20"/>
        <w:szCs w:val="20"/>
      </w:rPr>
      <w:fldChar w:fldCharType="end"/>
    </w:r>
  </w:p>
  <w:p w14:paraId="611DFCB5" w14:textId="77777777" w:rsidR="00697062" w:rsidRDefault="006970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FC5A4B" w14:textId="77777777" w:rsidR="00990075" w:rsidRDefault="00990075">
      <w:pPr>
        <w:spacing w:after="0" w:line="240" w:lineRule="auto"/>
      </w:pPr>
      <w:r>
        <w:separator/>
      </w:r>
    </w:p>
  </w:footnote>
  <w:footnote w:type="continuationSeparator" w:id="0">
    <w:p w14:paraId="6FF18110" w14:textId="77777777" w:rsidR="00990075" w:rsidRDefault="00990075">
      <w:pPr>
        <w:spacing w:after="0" w:line="240" w:lineRule="auto"/>
      </w:pPr>
      <w:r>
        <w:continuationSeparator/>
      </w:r>
    </w:p>
  </w:footnote>
  <w:footnote w:id="1">
    <w:p w14:paraId="53D349B3" w14:textId="77777777" w:rsidR="00697062" w:rsidRDefault="00697062">
      <w:pPr>
        <w:pBdr>
          <w:top w:val="nil"/>
          <w:left w:val="nil"/>
          <w:bottom w:val="nil"/>
          <w:right w:val="nil"/>
          <w:between w:val="nil"/>
        </w:pBdr>
        <w:tabs>
          <w:tab w:val="left" w:pos="284"/>
          <w:tab w:val="left" w:pos="3825"/>
        </w:tabs>
        <w:spacing w:after="0" w:line="240" w:lineRule="auto"/>
        <w:ind w:left="284" w:hanging="284"/>
        <w:rPr>
          <w:rFonts w:cs="Calibri"/>
          <w:color w:val="000000"/>
          <w:sz w:val="16"/>
          <w:szCs w:val="16"/>
        </w:rPr>
      </w:pPr>
      <w:r>
        <w:rPr>
          <w:rStyle w:val="FootnoteReference"/>
          <w:vertAlign w:val="superscript"/>
        </w:rPr>
        <w:footnoteRef/>
      </w:r>
      <w:r>
        <w:rPr>
          <w:rFonts w:cs="Calibri"/>
          <w:color w:val="000000"/>
          <w:sz w:val="16"/>
          <w:szCs w:val="16"/>
        </w:rPr>
        <w:t xml:space="preserve">  Информације о процесу консултација у оквиру припреме Програма.</w:t>
      </w:r>
    </w:p>
  </w:footnote>
  <w:footnote w:id="2">
    <w:p w14:paraId="6BBF4845" w14:textId="77777777" w:rsidR="00697062" w:rsidRDefault="00697062" w:rsidP="00DA70C8">
      <w:pPr>
        <w:pBdr>
          <w:top w:val="nil"/>
          <w:left w:val="nil"/>
          <w:bottom w:val="nil"/>
          <w:right w:val="nil"/>
          <w:between w:val="nil"/>
        </w:pBdr>
        <w:tabs>
          <w:tab w:val="left" w:pos="284"/>
          <w:tab w:val="left" w:pos="3825"/>
        </w:tabs>
        <w:spacing w:before="120" w:line="240" w:lineRule="auto"/>
        <w:ind w:left="284" w:hanging="284"/>
        <w:rPr>
          <w:rFonts w:cs="Calibri"/>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cs="Calibri"/>
          <w:color w:val="000000"/>
          <w:sz w:val="16"/>
          <w:szCs w:val="16"/>
        </w:rPr>
        <w:t>У складу са чланом 6(10) Директиве o смањењу националних емисија одређених атмосферских загађујућих материја, од</w:t>
      </w:r>
      <w:r>
        <w:rPr>
          <w:rFonts w:cs="Calibri"/>
          <w:color w:val="000000"/>
          <w:sz w:val="16"/>
          <w:szCs w:val="16"/>
          <w:lang w:val="sr-Cyrl-RS"/>
        </w:rPr>
        <w:t xml:space="preserve"> Европске</w:t>
      </w:r>
      <w:r>
        <w:rPr>
          <w:rFonts w:cs="Calibri"/>
          <w:color w:val="000000"/>
          <w:sz w:val="16"/>
          <w:szCs w:val="16"/>
        </w:rPr>
        <w:t xml:space="preserve"> Комисије се захтева да утврди формат програма доношењем имплементационог акта. У складу с тим, 11. октобра 2018. године донесена је Спроведбена одлука Комисије (ЕУ) 2018/1522, којом се утврђује заједнички формат националних програма контроле загађивања ваздуха у складу са Директивом (EУ) 2016/2284.</w:t>
      </w:r>
    </w:p>
  </w:footnote>
  <w:footnote w:id="3">
    <w:p w14:paraId="24445CA7" w14:textId="77777777" w:rsidR="00697062" w:rsidRDefault="00697062" w:rsidP="00EE4B00">
      <w:pPr>
        <w:pBdr>
          <w:top w:val="nil"/>
          <w:left w:val="nil"/>
          <w:bottom w:val="nil"/>
          <w:right w:val="nil"/>
          <w:between w:val="nil"/>
        </w:pBdr>
        <w:tabs>
          <w:tab w:val="left" w:pos="284"/>
          <w:tab w:val="left" w:pos="3825"/>
        </w:tabs>
        <w:spacing w:before="120" w:line="240" w:lineRule="auto"/>
        <w:ind w:left="284" w:hanging="284"/>
        <w:rPr>
          <w:rFonts w:cs="Calibri"/>
          <w:color w:val="000000"/>
          <w:sz w:val="16"/>
          <w:szCs w:val="16"/>
        </w:rPr>
      </w:pPr>
      <w:r>
        <w:rPr>
          <w:rStyle w:val="FootnoteReference"/>
          <w:vertAlign w:val="superscript"/>
        </w:rPr>
        <w:footnoteRef/>
      </w:r>
      <w:r>
        <w:rPr>
          <w:rFonts w:cs="Calibri"/>
          <w:color w:val="000000"/>
          <w:sz w:val="16"/>
          <w:szCs w:val="16"/>
        </w:rPr>
        <w:t xml:space="preserve"> Република Србија има три зоне: Србија, Војводина и Косово и Метохија и осам агломерација: Београд, Нови Сад, Ниш, Бор, Ужице, Косјерић, Смедерево и Панчево.</w:t>
      </w:r>
    </w:p>
  </w:footnote>
  <w:footnote w:id="4">
    <w:p w14:paraId="6DA3478F"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Очекује се да ће емисије SO</w:t>
      </w:r>
      <w:r>
        <w:rPr>
          <w:rFonts w:cs="Calibri"/>
          <w:color w:val="000000"/>
          <w:sz w:val="16"/>
          <w:szCs w:val="16"/>
          <w:vertAlign w:val="subscript"/>
        </w:rPr>
        <w:t>2</w:t>
      </w:r>
      <w:r>
        <w:rPr>
          <w:rFonts w:cs="Calibri"/>
          <w:color w:val="000000"/>
          <w:sz w:val="16"/>
          <w:szCs w:val="16"/>
        </w:rPr>
        <w:t xml:space="preserve"> на националном нивоу до 20</w:t>
      </w:r>
      <w:r>
        <w:rPr>
          <w:sz w:val="16"/>
          <w:szCs w:val="16"/>
        </w:rPr>
        <w:t>27</w:t>
      </w:r>
      <w:r>
        <w:rPr>
          <w:rFonts w:cs="Calibri"/>
          <w:color w:val="000000"/>
          <w:sz w:val="16"/>
          <w:szCs w:val="16"/>
        </w:rPr>
        <w:t>. године бити смањене за 84%, NOx за 34% и прашкастих материја за 1% у поређењу са 2015. годином.</w:t>
      </w:r>
    </w:p>
  </w:footnote>
  <w:footnote w:id="5">
    <w:p w14:paraId="2BFD316F"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w:t>
      </w:r>
      <w:r>
        <w:rPr>
          <w:rFonts w:cs="Calibri"/>
          <w:i/>
          <w:color w:val="000000"/>
          <w:sz w:val="16"/>
          <w:szCs w:val="16"/>
        </w:rPr>
        <w:t xml:space="preserve">NERP </w:t>
      </w:r>
      <w:r>
        <w:rPr>
          <w:rFonts w:cs="Calibri"/>
          <w:color w:val="000000"/>
          <w:sz w:val="16"/>
          <w:szCs w:val="16"/>
        </w:rPr>
        <w:t>се односи на стара велика постројења за сагоревање са укупним номиналним термалним инпутом једнаким или већим од 50 MW.</w:t>
      </w:r>
    </w:p>
  </w:footnote>
  <w:footnote w:id="6">
    <w:p w14:paraId="2B5E4C29" w14:textId="77777777" w:rsidR="00697062" w:rsidRDefault="00697062" w:rsidP="00901CBD">
      <w:pPr>
        <w:pBdr>
          <w:top w:val="nil"/>
          <w:left w:val="nil"/>
          <w:bottom w:val="nil"/>
          <w:right w:val="nil"/>
          <w:between w:val="nil"/>
        </w:pBdr>
        <w:tabs>
          <w:tab w:val="left" w:pos="284"/>
          <w:tab w:val="left" w:pos="3825"/>
        </w:tabs>
        <w:spacing w:after="0" w:line="240" w:lineRule="auto"/>
        <w:ind w:left="284" w:hanging="284"/>
        <w:rPr>
          <w:rFonts w:cs="Calibri"/>
          <w:color w:val="000000"/>
          <w:sz w:val="16"/>
          <w:szCs w:val="16"/>
        </w:rPr>
      </w:pPr>
      <w:r>
        <w:rPr>
          <w:rStyle w:val="FootnoteReference"/>
          <w:vertAlign w:val="superscript"/>
        </w:rPr>
        <w:footnoteRef/>
      </w:r>
      <w:r>
        <w:rPr>
          <w:rFonts w:cs="Calibri"/>
          <w:color w:val="000000"/>
          <w:sz w:val="16"/>
          <w:szCs w:val="16"/>
        </w:rPr>
        <w:t xml:space="preserve"> Измена Анекса III и IV Директиве о </w:t>
      </w:r>
      <w:r>
        <w:rPr>
          <w:rFonts w:cs="Calibri"/>
          <w:i/>
          <w:color w:val="000000"/>
          <w:sz w:val="16"/>
          <w:szCs w:val="16"/>
        </w:rPr>
        <w:t>IPPC</w:t>
      </w:r>
      <w:r>
        <w:rPr>
          <w:rFonts w:cs="Calibri"/>
          <w:color w:val="000000"/>
          <w:sz w:val="16"/>
          <w:szCs w:val="16"/>
        </w:rPr>
        <w:t>, укључујући додатне захтеве који се односе на стандарде квалитета у животној средини и граничне вредности емисије.</w:t>
      </w:r>
    </w:p>
  </w:footnote>
  <w:footnote w:id="7">
    <w:p w14:paraId="5B9C9CC1"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Стационарни извори загађивања, у контексту ове уредбе, укључују индустријска постројења, технолошке процесе, одређене активности и уређаје који испуштају загађујуће материје у ваздух.</w:t>
      </w:r>
    </w:p>
  </w:footnote>
  <w:footnote w:id="8">
    <w:p w14:paraId="22368C7B"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cs="Calibri"/>
          <w:color w:val="000000"/>
          <w:sz w:val="16"/>
          <w:szCs w:val="16"/>
        </w:rPr>
        <w:t xml:space="preserve"> Одредбе ове уредбе не односе се на термичке процесе третмана отпада. Одредбе ове уредбе не односе се на постројења и активности у којима се користе испраљива органска једињења.</w:t>
      </w:r>
    </w:p>
  </w:footnote>
  <w:footnote w:id="9">
    <w:p w14:paraId="21B80189" w14:textId="77777777" w:rsidR="00697062" w:rsidRDefault="00697062">
      <w:pPr>
        <w:pBdr>
          <w:top w:val="nil"/>
          <w:left w:val="nil"/>
          <w:bottom w:val="nil"/>
          <w:right w:val="nil"/>
          <w:between w:val="nil"/>
        </w:pBdr>
        <w:tabs>
          <w:tab w:val="left" w:pos="284"/>
          <w:tab w:val="left" w:pos="3825"/>
        </w:tabs>
        <w:spacing w:before="120" w:after="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8"/>
          <w:szCs w:val="18"/>
        </w:rPr>
        <w:t xml:space="preserve"> </w:t>
      </w:r>
      <w:r>
        <w:rPr>
          <w:rFonts w:cs="Calibri"/>
          <w:color w:val="000000"/>
          <w:sz w:val="16"/>
          <w:szCs w:val="16"/>
        </w:rPr>
        <w:t>Теретна возила дефинисана су у складу са Правилником о подели моторних и прикључних возила и техничким условима за возила у саобраћају на путевима и разврстана на N1, N2 и N3</w:t>
      </w:r>
    </w:p>
  </w:footnote>
  <w:footnote w:id="10">
    <w:p w14:paraId="2B1F96C0" w14:textId="77777777" w:rsidR="00697062" w:rsidRDefault="00697062">
      <w:pPr>
        <w:tabs>
          <w:tab w:val="left" w:pos="284"/>
          <w:tab w:val="left" w:pos="3825"/>
        </w:tabs>
        <w:spacing w:after="0" w:line="240" w:lineRule="auto"/>
        <w:ind w:left="284"/>
        <w:rPr>
          <w:sz w:val="16"/>
          <w:szCs w:val="16"/>
        </w:rPr>
      </w:pPr>
      <w:r>
        <w:rPr>
          <w:rStyle w:val="FootnoteReference"/>
          <w:vertAlign w:val="superscript"/>
        </w:rPr>
        <w:footnoteRef/>
      </w:r>
      <w:r>
        <w:rPr>
          <w:sz w:val="16"/>
          <w:szCs w:val="16"/>
        </w:rPr>
        <w:t xml:space="preserve"> У Европској унији су емисије азотних оксида (NOx ), укупних угљоводоника (THC), неметанских угљоводоника (NMHC), угљен моноксида (CO) и суспендованих честица (PM) уређене за већину врста возила, укључујући аутомобиле, камионе, локомотиве, тракторе и сличну механизацију, багере, али не и на прекоокеанске бродове и авионе. На сваки тип возила примењују се различити стандарди. Усклађеност се утврђује на основу рада мотора у стандардном циклусу тестирања.</w:t>
      </w:r>
    </w:p>
  </w:footnote>
  <w:footnote w:id="11">
    <w:p w14:paraId="75E6FD24"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Регистрација возила према EURO 3 ступила је на снагу у јануару 2001. године. </w:t>
      </w:r>
    </w:p>
  </w:footnote>
  <w:footnote w:id="12">
    <w:p w14:paraId="398A5387"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Национални програм </w:t>
      </w:r>
      <w:r w:rsidR="00901CBD">
        <w:rPr>
          <w:rFonts w:cs="Calibri"/>
          <w:color w:val="000000"/>
          <w:sz w:val="16"/>
          <w:szCs w:val="16"/>
        </w:rPr>
        <w:t>за усвајање правних тековина ЕУ</w:t>
      </w:r>
      <w:r>
        <w:rPr>
          <w:rFonts w:cs="Calibri"/>
          <w:color w:val="000000"/>
          <w:sz w:val="16"/>
          <w:szCs w:val="16"/>
        </w:rPr>
        <w:t xml:space="preserve"> – трећа ревизија, фебруар 2018. године.</w:t>
      </w:r>
    </w:p>
  </w:footnote>
  <w:footnote w:id="13">
    <w:p w14:paraId="0AB328DB"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Нацрт Кодекса добре пољопривредне праксе је израђен у оквиру пројекта: „Припреме за преговоре</w:t>
      </w:r>
      <w:r>
        <w:rPr>
          <w:rFonts w:ascii="Arial" w:eastAsia="Arial" w:hAnsi="Arial" w:cs="Arial"/>
          <w:color w:val="000000"/>
          <w:sz w:val="18"/>
          <w:szCs w:val="18"/>
        </w:rPr>
        <w:t xml:space="preserve"> </w:t>
      </w:r>
      <w:r>
        <w:rPr>
          <w:rFonts w:cs="Calibri"/>
          <w:color w:val="000000"/>
          <w:sz w:val="16"/>
          <w:szCs w:val="16"/>
        </w:rPr>
        <w:t>Републике Србије у процесу приступања ЕУ, 2. фаза, Пројекат приступања у области животне средине (ENVAP 2) – Одређивање осетљивих подручја и угрожених зона у складу са Директивама ЕУ о нитратима и комуналним отпадним водама (ENVAP 2 Пројекат 2014-2016)“.</w:t>
      </w:r>
    </w:p>
  </w:footnote>
  <w:footnote w:id="14">
    <w:p w14:paraId="1632FFA0" w14:textId="77777777" w:rsidR="00697062" w:rsidRDefault="00697062">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cs="Calibri"/>
          <w:color w:val="000000"/>
          <w:sz w:val="16"/>
          <w:szCs w:val="16"/>
        </w:rPr>
        <w:t>Ограничења и забране се односе на одређене опасне супстанце, смеше и производе; дуготрајне органске загађујуће материје; укупни садржај испарљивих органских једињења у одређеним премазима (бојама и лаковима) који се користе у зградама, опреми и прикључцима, као и другим средствима и премазима за поправку друмских возила или делова у поступку поправке, конзервације или декорације изван производних погона.</w:t>
      </w:r>
    </w:p>
  </w:footnote>
  <w:footnote w:id="15">
    <w:p w14:paraId="3D855B17"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Укључује ненамерне емисије од чврстих горива (рударење и руковање угљем, трансформација) и ненамерне емисије од нафте и гаса (истраживање, производња, прерада, пренос, складиштење, дистрибуција и друго, на пример, сакупљање и спаљивање гаса на бакљи).</w:t>
      </w:r>
    </w:p>
  </w:footnote>
  <w:footnote w:id="16">
    <w:p w14:paraId="40046383" w14:textId="77777777" w:rsidR="00697062" w:rsidRDefault="00697062" w:rsidP="005F6B40">
      <w:pPr>
        <w:pBdr>
          <w:top w:val="nil"/>
          <w:left w:val="nil"/>
          <w:bottom w:val="nil"/>
          <w:right w:val="nil"/>
          <w:between w:val="nil"/>
        </w:pBdr>
        <w:tabs>
          <w:tab w:val="left" w:pos="284"/>
          <w:tab w:val="left" w:pos="3825"/>
        </w:tabs>
        <w:spacing w:before="120" w:line="240" w:lineRule="auto"/>
        <w:ind w:left="284" w:hanging="284"/>
        <w:rPr>
          <w:rFonts w:cs="Calibri"/>
          <w:color w:val="000000"/>
          <w:sz w:val="16"/>
          <w:szCs w:val="16"/>
        </w:rPr>
      </w:pPr>
      <w:r>
        <w:rPr>
          <w:rStyle w:val="FootnoteReference"/>
          <w:vertAlign w:val="superscript"/>
        </w:rPr>
        <w:footnoteRef/>
      </w:r>
      <w:r>
        <w:rPr>
          <w:rFonts w:cs="Calibri"/>
          <w:color w:val="000000"/>
          <w:sz w:val="16"/>
          <w:szCs w:val="16"/>
        </w:rPr>
        <w:t xml:space="preserve"> У случају да за неку загађујућу материју нису прописане границе толеранције, сматра се да је гранична вредност и толерантна вредност за ту материју.</w:t>
      </w:r>
    </w:p>
  </w:footnote>
  <w:footnote w:id="17">
    <w:p w14:paraId="036A707C"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Напомена: укључујући градове у којима се врши праћење квалитета ваздуха у зонама Србија и Војводина.</w:t>
      </w:r>
    </w:p>
  </w:footnote>
  <w:footnote w:id="18">
    <w:p w14:paraId="2569FAFF" w14:textId="77777777" w:rsidR="00697062" w:rsidRDefault="00697062">
      <w:pPr>
        <w:spacing w:after="0" w:line="240" w:lineRule="auto"/>
        <w:rPr>
          <w:sz w:val="16"/>
          <w:szCs w:val="16"/>
        </w:rPr>
      </w:pPr>
      <w:r>
        <w:rPr>
          <w:rStyle w:val="FootnoteReference"/>
          <w:vertAlign w:val="superscript"/>
        </w:rPr>
        <w:footnoteRef/>
      </w:r>
      <w:r>
        <w:rPr>
          <w:rFonts w:cs="Calibri"/>
          <w:sz w:val="16"/>
          <w:szCs w:val="16"/>
        </w:rPr>
        <w:t xml:space="preserve"> У принципу, станице у градским подручјима треба користити, али би се могле прикључити и приградске станице у ситуацијама када нема градских, у срединама за које се сматра да имају репрезентативне нивое PM</w:t>
      </w:r>
      <w:r>
        <w:rPr>
          <w:rFonts w:cs="Calibri"/>
          <w:sz w:val="16"/>
          <w:szCs w:val="16"/>
          <w:vertAlign w:val="subscript"/>
        </w:rPr>
        <w:t>2.5</w:t>
      </w:r>
      <w:r>
        <w:rPr>
          <w:rFonts w:cs="Calibri"/>
          <w:sz w:val="16"/>
          <w:szCs w:val="16"/>
        </w:rPr>
        <w:t xml:space="preserve"> у граду. Није могуће обезбедити тачну процену показатеља просечне изложености јер тренутно не постоји листа мерних тачака за PM</w:t>
      </w:r>
      <w:r>
        <w:rPr>
          <w:rFonts w:cs="Calibri"/>
          <w:sz w:val="16"/>
          <w:szCs w:val="16"/>
          <w:vertAlign w:val="subscript"/>
        </w:rPr>
        <w:t>2.5</w:t>
      </w:r>
      <w:r>
        <w:rPr>
          <w:rFonts w:cs="Calibri"/>
          <w:sz w:val="16"/>
          <w:szCs w:val="16"/>
        </w:rPr>
        <w:t xml:space="preserve"> за израчунавање показатеља просечне изложености. Поред тога, у поређењу са 2019. годином, за 2017. и 2018. годину има врло мало статистичких података о PM</w:t>
      </w:r>
      <w:r>
        <w:rPr>
          <w:rFonts w:cs="Calibri"/>
          <w:sz w:val="16"/>
          <w:szCs w:val="16"/>
          <w:vertAlign w:val="subscript"/>
        </w:rPr>
        <w:t>2.5</w:t>
      </w:r>
      <w:r>
        <w:rPr>
          <w:rFonts w:cs="Calibri"/>
          <w:sz w:val="16"/>
          <w:szCs w:val="16"/>
        </w:rPr>
        <w:t>. Дакле, може се обезбедити само процена на основу годишње статистике за фиксна мерења из годишњих извештаја Агенције за заштиту животне средине.</w:t>
      </w:r>
    </w:p>
  </w:footnote>
  <w:footnote w:id="19">
    <w:p w14:paraId="6DCEDA15" w14:textId="77777777" w:rsidR="00697062" w:rsidRDefault="00697062" w:rsidP="009D7CA9">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Процена утицаја на здравље и анализа трошкова и користи – приступ и резултати за Србију (извештај из Активности 3.14) може се наћи на следећој адреси   https://eas3.euzatebe.rs/en/news/public-debate-on-the-draft-programme-of-air-protection-of-the-republic-of-serbia-for-the-period-from-2022-to-2030-with-the-action-plan-was-held</w:t>
      </w:r>
    </w:p>
  </w:footnote>
  <w:footnote w:id="20">
    <w:p w14:paraId="3391427A" w14:textId="77777777" w:rsidR="00697062" w:rsidRDefault="00697062">
      <w:pPr>
        <w:pBdr>
          <w:top w:val="nil"/>
          <w:left w:val="nil"/>
          <w:bottom w:val="nil"/>
          <w:right w:val="nil"/>
          <w:between w:val="nil"/>
        </w:pBdr>
        <w:tabs>
          <w:tab w:val="left" w:pos="284"/>
          <w:tab w:val="left" w:pos="3825"/>
        </w:tabs>
        <w:spacing w:before="120" w:after="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В. Извештај 3.3.1 „Опис основног сценарија (WEM) и методологија у сценаријима за пројекцију емисија“, Поглавље 2.</w:t>
      </w:r>
    </w:p>
  </w:footnote>
  <w:footnote w:id="21">
    <w:p w14:paraId="66B01D0E"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Да би се осигурала доследност временских серија 2030. године, разматране су исте мерне станице као и у 2015. години.</w:t>
      </w:r>
      <w:r>
        <w:rPr>
          <w:rFonts w:ascii="Arial" w:eastAsia="Arial" w:hAnsi="Arial" w:cs="Arial"/>
          <w:color w:val="000000"/>
          <w:sz w:val="18"/>
          <w:szCs w:val="18"/>
        </w:rPr>
        <w:t xml:space="preserve"> </w:t>
      </w:r>
    </w:p>
  </w:footnote>
  <w:footnote w:id="22">
    <w:p w14:paraId="0D57A105"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w:t>
      </w:r>
      <w:hyperlink r:id="rId1">
        <w:r>
          <w:rPr>
            <w:rFonts w:ascii="Arial" w:eastAsia="Arial" w:hAnsi="Arial" w:cs="Arial"/>
            <w:color w:val="0000FF"/>
            <w:sz w:val="16"/>
            <w:szCs w:val="16"/>
            <w:u w:val="single"/>
          </w:rPr>
          <w:t>https://www.eea.europa.eu/publications/air-quality-in-europe-2020-report</w:t>
        </w:r>
      </w:hyperlink>
      <w:r w:rsidR="00D765C5" w:rsidRPr="00D765C5">
        <w:rPr>
          <w:rFonts w:ascii="Arial" w:eastAsia="Arial" w:hAnsi="Arial" w:cs="Arial"/>
          <w:color w:val="0000FF"/>
          <w:sz w:val="16"/>
          <w:szCs w:val="16"/>
          <w:lang w:val="sr-Cyrl-RS"/>
        </w:rPr>
        <w:t>.</w:t>
      </w:r>
      <w:r w:rsidRPr="00D765C5">
        <w:rPr>
          <w:rFonts w:ascii="Arial" w:eastAsia="Arial" w:hAnsi="Arial" w:cs="Arial"/>
          <w:color w:val="000000"/>
          <w:sz w:val="16"/>
          <w:szCs w:val="16"/>
        </w:rPr>
        <w:t xml:space="preserve"> </w:t>
      </w:r>
    </w:p>
  </w:footnote>
  <w:footnote w:id="23">
    <w:p w14:paraId="75C8E4C0"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Према сценарију WEM,</w:t>
      </w:r>
      <w:r>
        <w:rPr>
          <w:rFonts w:ascii="Arial" w:eastAsia="Arial" w:hAnsi="Arial" w:cs="Arial"/>
          <w:color w:val="000000"/>
          <w:sz w:val="18"/>
          <w:szCs w:val="18"/>
        </w:rPr>
        <w:t xml:space="preserve"> </w:t>
      </w:r>
      <w:r>
        <w:rPr>
          <w:rFonts w:cs="Calibri"/>
          <w:color w:val="000000"/>
          <w:sz w:val="16"/>
          <w:szCs w:val="16"/>
        </w:rPr>
        <w:t>Република Србија ће 2030. године имати 1038 случајева превремене смрти на милион становника услед излагања PM2.5, док је просек случајева превремене смрти на милион становника у ЕУ 2018. године износио 757.</w:t>
      </w:r>
    </w:p>
  </w:footnote>
  <w:footnote w:id="24">
    <w:p w14:paraId="36FC92D6" w14:textId="77777777" w:rsidR="00697062" w:rsidRDefault="00697062">
      <w:pPr>
        <w:pBdr>
          <w:top w:val="nil"/>
          <w:left w:val="nil"/>
          <w:bottom w:val="nil"/>
          <w:right w:val="nil"/>
          <w:between w:val="nil"/>
        </w:pBdr>
        <w:tabs>
          <w:tab w:val="left" w:pos="284"/>
          <w:tab w:val="left" w:pos="3825"/>
        </w:tabs>
        <w:spacing w:after="0" w:line="240" w:lineRule="auto"/>
        <w:ind w:left="284" w:hanging="284"/>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Анализа сценарија је процес у којем се сагледавају могућ</w:t>
      </w:r>
      <w:r>
        <w:rPr>
          <w:rFonts w:ascii="Arial" w:eastAsia="Arial" w:hAnsi="Arial" w:cs="Arial"/>
          <w:color w:val="000000"/>
          <w:sz w:val="16"/>
          <w:szCs w:val="16"/>
          <w:lang w:val="sr-Cyrl-RS"/>
        </w:rPr>
        <w:t>и</w:t>
      </w:r>
      <w:r>
        <w:rPr>
          <w:rFonts w:ascii="Arial" w:eastAsia="Arial" w:hAnsi="Arial" w:cs="Arial"/>
          <w:color w:val="000000"/>
          <w:sz w:val="16"/>
          <w:szCs w:val="16"/>
        </w:rPr>
        <w:t xml:space="preserve"> будућ</w:t>
      </w:r>
      <w:r>
        <w:rPr>
          <w:rFonts w:ascii="Arial" w:eastAsia="Arial" w:hAnsi="Arial" w:cs="Arial"/>
          <w:color w:val="000000"/>
          <w:sz w:val="16"/>
          <w:szCs w:val="16"/>
          <w:lang w:val="sr-Cyrl-RS"/>
        </w:rPr>
        <w:t>и</w:t>
      </w:r>
      <w:r>
        <w:rPr>
          <w:rFonts w:ascii="Arial" w:eastAsia="Arial" w:hAnsi="Arial" w:cs="Arial"/>
          <w:color w:val="000000"/>
          <w:sz w:val="16"/>
          <w:szCs w:val="16"/>
        </w:rPr>
        <w:t xml:space="preserve"> догађај</w:t>
      </w:r>
      <w:r>
        <w:rPr>
          <w:rFonts w:ascii="Arial" w:eastAsia="Arial" w:hAnsi="Arial" w:cs="Arial"/>
          <w:color w:val="000000"/>
          <w:sz w:val="16"/>
          <w:szCs w:val="16"/>
          <w:lang w:val="sr-Cyrl-RS"/>
        </w:rPr>
        <w:t>и</w:t>
      </w:r>
      <w:r>
        <w:rPr>
          <w:rFonts w:ascii="Arial" w:eastAsia="Arial" w:hAnsi="Arial" w:cs="Arial"/>
          <w:color w:val="000000"/>
          <w:sz w:val="16"/>
          <w:szCs w:val="16"/>
        </w:rPr>
        <w:t xml:space="preserve"> кроз разматрање могућих алтернативних исхода (некада се називају „алтернативним световима“). Дакле, анализа сценарија не настоји да прикаже једну тачну слику будућности. Она уместо тога приказује неколико могућих будућих развоја. Насупрот прогнозама, анализа сценарија није заснована на екстраполацији прошлих трендова и не очекује да запажања из прошлости важе и у будућности. </w:t>
      </w:r>
      <w:r>
        <w:rPr>
          <w:rFonts w:ascii="Arial" w:eastAsia="Arial" w:hAnsi="Arial" w:cs="Arial"/>
          <w:i/>
          <w:color w:val="000000"/>
          <w:sz w:val="16"/>
          <w:szCs w:val="16"/>
        </w:rPr>
        <w:t>Aaker, David A. (2001). Strategic Market Management. New York: John Wiley &amp; Sons. pp. 108 et seq. ISBN 978-0-471-41572-5. / Bea, F.X., Haas, J. (2005). Strategisches Management. Stuttgart: Lucius &amp; Lucius. pp. 279 and 287 et seq.</w:t>
      </w:r>
    </w:p>
  </w:footnote>
  <w:footnote w:id="25">
    <w:p w14:paraId="1299E39A"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За припрему Програма коришћени су модификовани програми </w:t>
      </w:r>
      <w:r>
        <w:rPr>
          <w:rFonts w:ascii="Arial" w:eastAsia="Arial" w:hAnsi="Arial" w:cs="Arial"/>
          <w:i/>
          <w:color w:val="000000"/>
          <w:sz w:val="16"/>
          <w:szCs w:val="16"/>
        </w:rPr>
        <w:t>GAINS, CHIMERE</w:t>
      </w:r>
      <w:r>
        <w:rPr>
          <w:rFonts w:ascii="Arial" w:eastAsia="Arial" w:hAnsi="Arial" w:cs="Arial"/>
          <w:color w:val="000000"/>
          <w:sz w:val="16"/>
          <w:szCs w:val="16"/>
        </w:rPr>
        <w:t xml:space="preserve"> и </w:t>
      </w:r>
      <w:r>
        <w:rPr>
          <w:rFonts w:ascii="Arial" w:eastAsia="Arial" w:hAnsi="Arial" w:cs="Arial"/>
          <w:i/>
          <w:color w:val="000000"/>
          <w:sz w:val="16"/>
          <w:szCs w:val="16"/>
        </w:rPr>
        <w:t>Alpha-RiskPoll (ARP)</w:t>
      </w:r>
      <w:r w:rsidR="00D765C5">
        <w:rPr>
          <w:rFonts w:ascii="Arial" w:eastAsia="Arial" w:hAnsi="Arial" w:cs="Arial"/>
          <w:i/>
          <w:color w:val="000000"/>
          <w:sz w:val="16"/>
          <w:szCs w:val="16"/>
          <w:lang w:val="sr-Cyrl-RS"/>
        </w:rPr>
        <w:t>.</w:t>
      </w:r>
      <w:r>
        <w:rPr>
          <w:rFonts w:ascii="Arial" w:eastAsia="Arial" w:hAnsi="Arial" w:cs="Arial"/>
          <w:color w:val="000000"/>
          <w:sz w:val="16"/>
          <w:szCs w:val="16"/>
        </w:rPr>
        <w:t xml:space="preserve"> </w:t>
      </w:r>
    </w:p>
  </w:footnote>
  <w:footnote w:id="26">
    <w:p w14:paraId="34BD45D7" w14:textId="77777777" w:rsidR="00697062" w:rsidRDefault="00697062">
      <w:pPr>
        <w:spacing w:after="0"/>
        <w:jc w:val="left"/>
        <w:rPr>
          <w:sz w:val="16"/>
          <w:szCs w:val="16"/>
        </w:rPr>
      </w:pPr>
      <w:r>
        <w:rPr>
          <w:rStyle w:val="FootnoteReference"/>
          <w:vertAlign w:val="superscript"/>
        </w:rPr>
        <w:footnoteRef/>
      </w:r>
      <w:r>
        <w:rPr>
          <w:sz w:val="16"/>
          <w:szCs w:val="16"/>
        </w:rPr>
        <w:t xml:space="preserve"> Детаљан извештај о сценаријима WAM A, WAM B и WAM C доступан на </w:t>
      </w:r>
      <w:hyperlink r:id="rId2">
        <w:r>
          <w:rPr>
            <w:color w:val="0000FF"/>
            <w:sz w:val="16"/>
            <w:szCs w:val="16"/>
            <w:u w:val="single"/>
          </w:rPr>
          <w:t>https://www.ekologija.gov.rs</w:t>
        </w:r>
      </w:hyperlink>
      <w:r w:rsidR="00D765C5">
        <w:rPr>
          <w:sz w:val="16"/>
          <w:szCs w:val="16"/>
          <w:lang w:val="sr-Cyrl-RS"/>
        </w:rPr>
        <w:t>.</w:t>
      </w:r>
      <w:r>
        <w:rPr>
          <w:sz w:val="16"/>
          <w:szCs w:val="16"/>
        </w:rPr>
        <w:t xml:space="preserve">   </w:t>
      </w:r>
    </w:p>
  </w:footnote>
  <w:footnote w:id="27">
    <w:p w14:paraId="5C2D1A1A" w14:textId="77777777" w:rsidR="00697062" w:rsidRPr="00C62E78"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20"/>
          <w:szCs w:val="20"/>
          <w:lang w:val="sr-Cyrl-RS"/>
        </w:rPr>
      </w:pPr>
      <w:r>
        <w:rPr>
          <w:rStyle w:val="FootnoteReference"/>
          <w:vertAlign w:val="superscript"/>
        </w:rPr>
        <w:footnoteRef/>
      </w:r>
      <w:r>
        <w:rPr>
          <w:rFonts w:ascii="Arial" w:eastAsia="Arial" w:hAnsi="Arial" w:cs="Arial"/>
          <w:color w:val="000000"/>
          <w:sz w:val="16"/>
          <w:szCs w:val="16"/>
        </w:rPr>
        <w:t xml:space="preserve"> </w:t>
      </w:r>
      <w:r w:rsidRPr="00C62E78">
        <w:rPr>
          <w:rFonts w:asciiTheme="minorHAnsi" w:eastAsia="Arial" w:hAnsiTheme="minorHAnsi" w:cs="Arial"/>
          <w:color w:val="000000"/>
          <w:sz w:val="16"/>
          <w:szCs w:val="16"/>
        </w:rPr>
        <w:t xml:space="preserve">Резултати модела </w:t>
      </w:r>
      <w:r w:rsidRPr="00C62E78">
        <w:rPr>
          <w:rFonts w:asciiTheme="minorHAnsi" w:eastAsia="Arial" w:hAnsiTheme="minorHAnsi" w:cs="Arial"/>
          <w:i/>
          <w:color w:val="000000"/>
          <w:sz w:val="16"/>
          <w:szCs w:val="16"/>
        </w:rPr>
        <w:t>CHIMERE</w:t>
      </w:r>
      <w:r w:rsidRPr="00C62E78">
        <w:rPr>
          <w:rFonts w:asciiTheme="minorHAnsi" w:eastAsia="Arial" w:hAnsiTheme="minorHAnsi" w:cs="Arial"/>
          <w:color w:val="000000"/>
          <w:sz w:val="16"/>
          <w:szCs w:val="16"/>
        </w:rPr>
        <w:t xml:space="preserve"> у смислу утицаја сценарија ублажавања WAM A, WAM B и WAM C на друге загађујуће материје приказани су у Прилогу</w:t>
      </w:r>
      <w:r w:rsidRPr="00C62E78">
        <w:rPr>
          <w:rFonts w:asciiTheme="minorHAnsi" w:eastAsia="Arial" w:hAnsiTheme="minorHAnsi" w:cs="Arial"/>
          <w:color w:val="000000"/>
          <w:sz w:val="16"/>
          <w:szCs w:val="16"/>
          <w:lang w:val="sr-Cyrl-RS"/>
        </w:rPr>
        <w:t xml:space="preserve"> 4</w:t>
      </w:r>
      <w:r w:rsidRPr="00C62E78">
        <w:rPr>
          <w:rFonts w:asciiTheme="minorHAnsi" w:eastAsia="Arial" w:hAnsiTheme="minorHAnsi" w:cs="Arial"/>
          <w:b/>
          <w:color w:val="000000"/>
          <w:sz w:val="16"/>
          <w:szCs w:val="16"/>
        </w:rPr>
        <w:t>,</w:t>
      </w:r>
      <w:r w:rsidRPr="00C62E78">
        <w:rPr>
          <w:rFonts w:asciiTheme="minorHAnsi" w:eastAsia="Times New Roman" w:hAnsiTheme="minorHAnsi"/>
          <w:sz w:val="24"/>
          <w:szCs w:val="24"/>
        </w:rPr>
        <w:t xml:space="preserve"> </w:t>
      </w:r>
      <w:r w:rsidRPr="00C62E78">
        <w:rPr>
          <w:rFonts w:asciiTheme="minorHAnsi" w:eastAsia="Times New Roman" w:hAnsiTheme="minorHAnsi"/>
          <w:sz w:val="16"/>
          <w:szCs w:val="16"/>
        </w:rPr>
        <w:t>који је одштампан уз овај програм и чини његов састав</w:t>
      </w:r>
      <w:r w:rsidRPr="00C62E78">
        <w:rPr>
          <w:rFonts w:asciiTheme="minorHAnsi" w:eastAsia="Times New Roman" w:hAnsiTheme="minorHAnsi"/>
          <w:sz w:val="16"/>
          <w:szCs w:val="16"/>
          <w:lang w:val="sr-Cyrl-RS"/>
        </w:rPr>
        <w:t>н</w:t>
      </w:r>
      <w:r w:rsidRPr="00C62E78">
        <w:rPr>
          <w:rFonts w:asciiTheme="minorHAnsi" w:eastAsia="Times New Roman" w:hAnsiTheme="minorHAnsi"/>
          <w:sz w:val="16"/>
          <w:szCs w:val="16"/>
        </w:rPr>
        <w:t>и део</w:t>
      </w:r>
      <w:r w:rsidR="00C62E78">
        <w:rPr>
          <w:rFonts w:asciiTheme="minorHAnsi" w:eastAsia="Times New Roman" w:hAnsiTheme="minorHAnsi"/>
          <w:sz w:val="16"/>
          <w:szCs w:val="16"/>
          <w:lang w:val="sr-Cyrl-RS"/>
        </w:rPr>
        <w:t>.</w:t>
      </w:r>
    </w:p>
  </w:footnote>
  <w:footnote w:id="28">
    <w:p w14:paraId="494F3ED9" w14:textId="77777777" w:rsidR="00697062" w:rsidRDefault="00697062" w:rsidP="00184B6F">
      <w:pPr>
        <w:pBdr>
          <w:top w:val="nil"/>
          <w:left w:val="nil"/>
          <w:bottom w:val="nil"/>
          <w:right w:val="nil"/>
          <w:between w:val="nil"/>
        </w:pBdr>
        <w:tabs>
          <w:tab w:val="left" w:pos="284"/>
          <w:tab w:val="left" w:pos="3825"/>
        </w:tabs>
        <w:spacing w:after="0" w:line="240" w:lineRule="auto"/>
        <w:ind w:left="284" w:hanging="284"/>
        <w:rPr>
          <w:rFonts w:cs="Calibri"/>
          <w:color w:val="000000"/>
          <w:sz w:val="16"/>
          <w:szCs w:val="16"/>
        </w:rPr>
      </w:pPr>
      <w:r>
        <w:rPr>
          <w:rStyle w:val="FootnoteReference"/>
          <w:vertAlign w:val="superscript"/>
        </w:rPr>
        <w:footnoteRef/>
      </w:r>
      <w:r>
        <w:rPr>
          <w:rFonts w:cs="Calibri"/>
          <w:color w:val="000000"/>
          <w:sz w:val="16"/>
          <w:szCs w:val="16"/>
        </w:rPr>
        <w:t xml:space="preserve"> </w:t>
      </w:r>
      <w:r>
        <w:rPr>
          <w:rFonts w:cs="Calibri"/>
          <w:i/>
          <w:color w:val="000000"/>
          <w:sz w:val="16"/>
          <w:szCs w:val="16"/>
        </w:rPr>
        <w:t>GAINS</w:t>
      </w:r>
      <w:r>
        <w:rPr>
          <w:rFonts w:cs="Calibri"/>
          <w:color w:val="000000"/>
          <w:sz w:val="16"/>
          <w:szCs w:val="16"/>
        </w:rPr>
        <w:t xml:space="preserve">: Модел синергије и интеракције између емисија гасова са ефектом стаклене баште и емисија загађујућих материја у ваздух, којег је развила </w:t>
      </w:r>
      <w:r>
        <w:rPr>
          <w:rFonts w:cs="Calibri"/>
          <w:i/>
          <w:color w:val="000000"/>
          <w:sz w:val="16"/>
          <w:szCs w:val="16"/>
        </w:rPr>
        <w:t>IIASA</w:t>
      </w:r>
      <w:r>
        <w:rPr>
          <w:rFonts w:cs="Calibri"/>
          <w:color w:val="000000"/>
          <w:sz w:val="16"/>
          <w:szCs w:val="16"/>
        </w:rPr>
        <w:t>, а којег користи Европска унија и Економска емисија УН за Европу кроз Директиву 2284/2016 о смањењу емисија одређених загађујућих материја и измењени и допуњени Гетеборшки протокол.</w:t>
      </w:r>
    </w:p>
  </w:footnote>
  <w:footnote w:id="29">
    <w:p w14:paraId="002AD7CA" w14:textId="77777777" w:rsidR="00697062" w:rsidRDefault="00697062">
      <w:pPr>
        <w:spacing w:after="0"/>
        <w:rPr>
          <w:rFonts w:cs="Calibri"/>
          <w:sz w:val="16"/>
          <w:szCs w:val="16"/>
        </w:rPr>
      </w:pPr>
      <w:r>
        <w:rPr>
          <w:rStyle w:val="FootnoteReference"/>
          <w:vertAlign w:val="superscript"/>
        </w:rPr>
        <w:footnoteRef/>
      </w:r>
      <w:r>
        <w:rPr>
          <w:rFonts w:cs="Calibri"/>
          <w:sz w:val="16"/>
          <w:szCs w:val="16"/>
        </w:rPr>
        <w:t xml:space="preserve">  Први примери истраживања и процене спремности за плаћање за смањење ризика од превремене смрти од загађења ваздуха, Поглавља 4.2.1 и 4.3.2, Харли и сарадници (2005). VSL који је коришћен у овом истраживању резултат је мета-анализе коју је извршио ОЕСР (2012). Препоручене вредности представљене су у Поглављу 6.1. Овај извор такође даје додатне информације о истраживањима спремности на плаћање. Харли и сарадници, 2005. година, </w:t>
      </w:r>
      <w:r>
        <w:rPr>
          <w:rFonts w:cs="Calibri"/>
          <w:i/>
          <w:sz w:val="16"/>
          <w:szCs w:val="16"/>
        </w:rPr>
        <w:t>Методологија за анализу трошкова и користи за Програм „Чистији ваздух за Европу“, Друго издање: Процена утицаја на здравље</w:t>
      </w:r>
      <w:r>
        <w:rPr>
          <w:rFonts w:cs="Calibri"/>
          <w:sz w:val="16"/>
          <w:szCs w:val="16"/>
        </w:rPr>
        <w:t>, уговор о спровођењу анализе трошкова и користи за питања загађења ваздуха, посебно у оквиру Програма „Чистији ваздух за Европу“ (</w:t>
      </w:r>
      <w:hyperlink r:id="rId3">
        <w:r>
          <w:rPr>
            <w:rFonts w:cs="Calibri"/>
            <w:color w:val="0000FF"/>
            <w:sz w:val="16"/>
            <w:szCs w:val="16"/>
            <w:u w:val="single"/>
          </w:rPr>
          <w:t>https://ec.europa.eu/environment/archives/cafe/pdf/cba_methodology_vol2.pdf</w:t>
        </w:r>
      </w:hyperlink>
      <w:r>
        <w:rPr>
          <w:rFonts w:cs="Calibri"/>
          <w:sz w:val="16"/>
          <w:szCs w:val="16"/>
        </w:rPr>
        <w:t xml:space="preserve">), приступ Програму 9. фебруара 2021. године, ОЕСР 2012, </w:t>
      </w:r>
      <w:r>
        <w:rPr>
          <w:rFonts w:cs="Calibri"/>
          <w:i/>
          <w:sz w:val="16"/>
          <w:szCs w:val="16"/>
        </w:rPr>
        <w:t>Процена ризика од морталитета у политикама животне средине, здравља и саобраћаја</w:t>
      </w:r>
      <w:r>
        <w:rPr>
          <w:rFonts w:cs="Calibri"/>
          <w:sz w:val="16"/>
          <w:szCs w:val="16"/>
        </w:rPr>
        <w:t>, објавила ОЕСР, Париз, Француска (</w:t>
      </w:r>
      <w:hyperlink r:id="rId4">
        <w:r>
          <w:rPr>
            <w:rFonts w:cs="Calibri"/>
            <w:color w:val="0000FF"/>
            <w:sz w:val="16"/>
            <w:szCs w:val="16"/>
            <w:u w:val="single"/>
          </w:rPr>
          <w:t>http://dx.doi.org/10.1787/9789264130807-en</w:t>
        </w:r>
      </w:hyperlink>
      <w:r>
        <w:rPr>
          <w:rFonts w:cs="Calibri"/>
          <w:sz w:val="16"/>
          <w:szCs w:val="16"/>
        </w:rPr>
        <w:t>).</w:t>
      </w:r>
    </w:p>
  </w:footnote>
  <w:footnote w:id="30">
    <w:p w14:paraId="06A50267" w14:textId="77777777" w:rsidR="00697062" w:rsidRDefault="00697062">
      <w:pPr>
        <w:spacing w:after="0" w:line="240" w:lineRule="auto"/>
        <w:rPr>
          <w:rFonts w:cs="Calibri"/>
          <w:sz w:val="16"/>
          <w:szCs w:val="16"/>
        </w:rPr>
      </w:pPr>
      <w:r>
        <w:rPr>
          <w:rStyle w:val="FootnoteReference"/>
          <w:vertAlign w:val="superscript"/>
        </w:rPr>
        <w:footnoteRef/>
      </w:r>
      <w:r>
        <w:rPr>
          <w:rFonts w:cs="Calibri"/>
          <w:sz w:val="16"/>
          <w:szCs w:val="16"/>
        </w:rPr>
        <w:t xml:space="preserve"> Станице за узорковање намењене за заштиту вегетације и природних екосистема морају бити удаљене више од 20 km од агломерација, односно више од 5 km од других изграђених подручја, индустријских постројења, аутопутева или главних путева са прометом већим од 50.000 возила дневно (Анекс III</w:t>
      </w:r>
      <w:r>
        <w:rPr>
          <w:rFonts w:cs="Calibri"/>
          <w:sz w:val="16"/>
          <w:szCs w:val="16"/>
          <w:lang w:val="sr-Cyrl-RS"/>
        </w:rPr>
        <w:t xml:space="preserve"> </w:t>
      </w:r>
      <w:r w:rsidRPr="00812703">
        <w:rPr>
          <w:rFonts w:cs="Calibri"/>
          <w:sz w:val="16"/>
          <w:szCs w:val="16"/>
        </w:rPr>
        <w:t xml:space="preserve"> </w:t>
      </w:r>
      <w:r>
        <w:rPr>
          <w:rFonts w:cs="Calibri"/>
          <w:sz w:val="16"/>
          <w:szCs w:val="16"/>
        </w:rPr>
        <w:t xml:space="preserve">Директиве </w:t>
      </w:r>
      <w:r>
        <w:rPr>
          <w:rFonts w:cs="Calibri"/>
          <w:sz w:val="16"/>
          <w:szCs w:val="16"/>
          <w:lang w:val="sr-Cyrl-RS"/>
        </w:rPr>
        <w:t>2008/50</w:t>
      </w:r>
      <w:r>
        <w:rPr>
          <w:rFonts w:cs="Calibri"/>
          <w:sz w:val="16"/>
          <w:szCs w:val="16"/>
        </w:rPr>
        <w:t>).</w:t>
      </w:r>
    </w:p>
  </w:footnote>
  <w:footnote w:id="31">
    <w:p w14:paraId="0359EEBB" w14:textId="77777777" w:rsidR="00697062" w:rsidRDefault="00697062">
      <w:pPr>
        <w:pBdr>
          <w:top w:val="nil"/>
          <w:left w:val="nil"/>
          <w:bottom w:val="nil"/>
          <w:right w:val="nil"/>
          <w:between w:val="nil"/>
        </w:pBdr>
        <w:tabs>
          <w:tab w:val="left" w:pos="284"/>
          <w:tab w:val="left" w:pos="3825"/>
        </w:tabs>
        <w:spacing w:after="0" w:line="240" w:lineRule="auto"/>
        <w:ind w:left="284" w:hanging="284"/>
        <w:rPr>
          <w:rFonts w:cs="Calibri"/>
          <w:color w:val="000000"/>
          <w:sz w:val="16"/>
          <w:szCs w:val="16"/>
        </w:rPr>
      </w:pPr>
      <w:r>
        <w:rPr>
          <w:rStyle w:val="FootnoteReference"/>
          <w:vertAlign w:val="superscript"/>
        </w:rPr>
        <w:footnoteRef/>
      </w:r>
      <w:r>
        <w:rPr>
          <w:rFonts w:cs="Calibri"/>
          <w:color w:val="000000"/>
          <w:sz w:val="16"/>
          <w:szCs w:val="16"/>
        </w:rPr>
        <w:t xml:space="preserve"> AOT40 указује на акумулирану изложеност озону, исказаној у μg.m</w:t>
      </w:r>
      <w:r>
        <w:rPr>
          <w:rFonts w:cs="Calibri"/>
          <w:color w:val="000000"/>
          <w:sz w:val="16"/>
          <w:szCs w:val="16"/>
          <w:vertAlign w:val="superscript"/>
        </w:rPr>
        <w:t>-3</w:t>
      </w:r>
      <w:r>
        <w:rPr>
          <w:rFonts w:cs="Calibri"/>
          <w:color w:val="000000"/>
          <w:sz w:val="16"/>
          <w:szCs w:val="16"/>
        </w:rPr>
        <w:t>.сати</w:t>
      </w:r>
      <w:r>
        <w:rPr>
          <w:rFonts w:cs="Calibri"/>
          <w:color w:val="000000"/>
          <w:sz w:val="16"/>
          <w:szCs w:val="16"/>
          <w:vertAlign w:val="superscript"/>
        </w:rPr>
        <w:t>-1</w:t>
      </w:r>
      <w:r>
        <w:rPr>
          <w:rFonts w:cs="Calibri"/>
          <w:color w:val="000000"/>
          <w:sz w:val="16"/>
          <w:szCs w:val="16"/>
        </w:rPr>
        <w:t>, на граничну вредност од 40 ppb. То је збир разлика између сатних концентрација &gt; 80 μg.m</w:t>
      </w:r>
      <w:r>
        <w:rPr>
          <w:rFonts w:cs="Calibri"/>
          <w:color w:val="000000"/>
          <w:sz w:val="16"/>
          <w:szCs w:val="16"/>
          <w:vertAlign w:val="superscript"/>
        </w:rPr>
        <w:t>-3</w:t>
      </w:r>
      <w:r>
        <w:rPr>
          <w:rFonts w:cs="Calibri"/>
          <w:color w:val="000000"/>
          <w:sz w:val="16"/>
          <w:szCs w:val="16"/>
        </w:rPr>
        <w:t xml:space="preserve"> (40 ppb) и 80 μg.m</w:t>
      </w:r>
      <w:r>
        <w:rPr>
          <w:rFonts w:cs="Calibri"/>
          <w:color w:val="000000"/>
          <w:sz w:val="16"/>
          <w:szCs w:val="16"/>
          <w:vertAlign w:val="superscript"/>
        </w:rPr>
        <w:t>-3</w:t>
      </w:r>
      <w:r>
        <w:rPr>
          <w:rFonts w:cs="Calibri"/>
          <w:color w:val="000000"/>
          <w:sz w:val="16"/>
          <w:szCs w:val="16"/>
        </w:rPr>
        <w:t xml:space="preserve"> акумулираних сатних вредности, измерених између 08:00 и 20:00 часова (централноевропско време).</w:t>
      </w:r>
    </w:p>
  </w:footnote>
  <w:footnote w:id="32">
    <w:p w14:paraId="2C283E75" w14:textId="77777777" w:rsidR="00697062" w:rsidRDefault="00697062" w:rsidP="00053AFA">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 xml:space="preserve">Спроведбена </w:t>
      </w:r>
      <w:r w:rsidRPr="00EA3D6D">
        <w:rPr>
          <w:rFonts w:ascii="Arial" w:eastAsia="Arial" w:hAnsi="Arial" w:cs="Arial"/>
          <w:sz w:val="16"/>
          <w:szCs w:val="16"/>
        </w:rPr>
        <w:t xml:space="preserve">одлука </w:t>
      </w:r>
      <w:r w:rsidRPr="00EA3D6D">
        <w:rPr>
          <w:rFonts w:ascii="Arial" w:eastAsia="Arial" w:hAnsi="Arial" w:cs="Arial"/>
          <w:sz w:val="16"/>
          <w:szCs w:val="16"/>
          <w:lang w:val="sr-Cyrl-RS"/>
        </w:rPr>
        <w:t xml:space="preserve">Европске </w:t>
      </w:r>
      <w:r w:rsidRPr="00EA3D6D">
        <w:rPr>
          <w:rFonts w:ascii="Arial" w:eastAsia="Arial" w:hAnsi="Arial" w:cs="Arial"/>
          <w:sz w:val="16"/>
          <w:szCs w:val="16"/>
        </w:rPr>
        <w:t>Комисије</w:t>
      </w:r>
      <w:r w:rsidRPr="00EA3D6D">
        <w:rPr>
          <w:rFonts w:ascii="Arial" w:eastAsia="Arial" w:hAnsi="Arial" w:cs="Arial"/>
          <w:sz w:val="16"/>
          <w:szCs w:val="16"/>
          <w:lang w:val="sr-Cyrl-RS"/>
        </w:rPr>
        <w:t xml:space="preserve"> </w:t>
      </w:r>
      <w:r>
        <w:rPr>
          <w:rFonts w:ascii="Arial" w:eastAsia="Arial" w:hAnsi="Arial" w:cs="Arial"/>
          <w:color w:val="000000"/>
          <w:sz w:val="16"/>
          <w:szCs w:val="16"/>
        </w:rPr>
        <w:t>2016/1032/ЕУ Поглавље 1.2 Закључци о најбољим доступним техникама за производњу бакра.</w:t>
      </w:r>
    </w:p>
  </w:footnote>
  <w:footnote w:id="33">
    <w:p w14:paraId="1EF0DCD9" w14:textId="77777777" w:rsidR="00697062" w:rsidRPr="00D433C8" w:rsidRDefault="00697062" w:rsidP="00053AFA">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8"/>
          <w:szCs w:val="18"/>
          <w:lang w:val="sr-Cyrl-RS"/>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Референтни документ о најбољим доступним техникама (</w:t>
      </w:r>
      <w:r>
        <w:rPr>
          <w:rFonts w:ascii="Arial" w:eastAsia="Arial" w:hAnsi="Arial" w:cs="Arial"/>
          <w:i/>
          <w:color w:val="000000"/>
          <w:sz w:val="16"/>
          <w:szCs w:val="16"/>
        </w:rPr>
        <w:t>BREF</w:t>
      </w:r>
      <w:r>
        <w:rPr>
          <w:rFonts w:ascii="Arial" w:eastAsia="Arial" w:hAnsi="Arial" w:cs="Arial"/>
          <w:color w:val="000000"/>
          <w:sz w:val="16"/>
          <w:szCs w:val="16"/>
        </w:rPr>
        <w:t>)</w:t>
      </w:r>
      <w:r w:rsidRPr="00595E21">
        <w:rPr>
          <w:rFonts w:ascii="Arial" w:eastAsia="Arial" w:hAnsi="Arial" w:cs="Arial"/>
          <w:color w:val="FF0000"/>
          <w:sz w:val="16"/>
          <w:szCs w:val="16"/>
        </w:rPr>
        <w:t xml:space="preserve"> </w:t>
      </w:r>
      <w:r>
        <w:rPr>
          <w:rFonts w:ascii="Arial" w:eastAsia="Arial" w:hAnsi="Arial" w:cs="Arial"/>
          <w:color w:val="000000"/>
          <w:sz w:val="16"/>
          <w:szCs w:val="16"/>
        </w:rPr>
        <w:t xml:space="preserve">за велике количине неорганских хемикалија, Резиме, </w:t>
      </w:r>
      <w:r w:rsidRPr="000E33E1">
        <w:rPr>
          <w:rFonts w:ascii="Arial" w:eastAsia="Arial" w:hAnsi="Arial" w:cs="Arial"/>
          <w:color w:val="000000"/>
          <w:sz w:val="16"/>
          <w:szCs w:val="16"/>
        </w:rPr>
        <w:t>Табела 5.</w:t>
      </w:r>
      <w:r>
        <w:rPr>
          <w:rFonts w:ascii="Arial" w:eastAsia="Arial" w:hAnsi="Arial" w:cs="Arial"/>
          <w:color w:val="000000"/>
          <w:sz w:val="16"/>
          <w:szCs w:val="16"/>
          <w:lang w:val="sr-Cyrl-RS"/>
        </w:rPr>
        <w:t xml:space="preserve"> </w:t>
      </w:r>
    </w:p>
  </w:footnote>
  <w:footnote w:id="34">
    <w:p w14:paraId="19553B80" w14:textId="77777777" w:rsidR="00697062" w:rsidRDefault="00697062" w:rsidP="00053AFA">
      <w:pPr>
        <w:pBdr>
          <w:top w:val="nil"/>
          <w:left w:val="nil"/>
          <w:bottom w:val="nil"/>
          <w:right w:val="nil"/>
          <w:between w:val="nil"/>
        </w:pBdr>
        <w:tabs>
          <w:tab w:val="left" w:pos="284"/>
          <w:tab w:val="left" w:pos="3825"/>
        </w:tabs>
        <w:spacing w:after="0" w:line="240" w:lineRule="auto"/>
        <w:ind w:left="284" w:hanging="284"/>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Из ове информације искључена је јавна управа (национални, покрајински и локални ниво), која је надлежна за имплементацију и/или мониторинг ових мера, а релевантни органи управе су као такви идентификовани у Акционом плану.</w:t>
      </w:r>
    </w:p>
  </w:footnote>
  <w:footnote w:id="35">
    <w:p w14:paraId="75D86457"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NO</w:t>
      </w:r>
      <w:r>
        <w:rPr>
          <w:rFonts w:ascii="Arial" w:eastAsia="Arial" w:hAnsi="Arial" w:cs="Arial"/>
          <w:color w:val="000000"/>
          <w:sz w:val="16"/>
          <w:szCs w:val="16"/>
          <w:vertAlign w:val="subscript"/>
        </w:rPr>
        <w:t>x</w:t>
      </w:r>
      <w:r>
        <w:rPr>
          <w:rFonts w:ascii="Arial" w:eastAsia="Arial" w:hAnsi="Arial" w:cs="Arial"/>
          <w:color w:val="000000"/>
          <w:sz w:val="16"/>
          <w:szCs w:val="16"/>
        </w:rPr>
        <w:t xml:space="preserve"> је, заједно са SO</w:t>
      </w:r>
      <w:r>
        <w:rPr>
          <w:rFonts w:ascii="Arial" w:eastAsia="Arial" w:hAnsi="Arial" w:cs="Arial"/>
          <w:color w:val="000000"/>
          <w:sz w:val="16"/>
          <w:szCs w:val="16"/>
          <w:vertAlign w:val="subscript"/>
        </w:rPr>
        <w:t>2</w:t>
      </w:r>
      <w:r>
        <w:rPr>
          <w:rFonts w:ascii="Arial" w:eastAsia="Arial" w:hAnsi="Arial" w:cs="Arial"/>
          <w:color w:val="000000"/>
          <w:sz w:val="16"/>
          <w:szCs w:val="16"/>
        </w:rPr>
        <w:t>, VOC и NH</w:t>
      </w:r>
      <w:r>
        <w:rPr>
          <w:rFonts w:ascii="Arial" w:eastAsia="Arial" w:hAnsi="Arial" w:cs="Arial"/>
          <w:color w:val="000000"/>
          <w:sz w:val="16"/>
          <w:szCs w:val="16"/>
          <w:vertAlign w:val="subscript"/>
        </w:rPr>
        <w:t>3</w:t>
      </w:r>
      <w:r>
        <w:rPr>
          <w:rFonts w:ascii="Arial" w:eastAsia="Arial" w:hAnsi="Arial" w:cs="Arial"/>
          <w:color w:val="000000"/>
          <w:sz w:val="16"/>
          <w:szCs w:val="16"/>
        </w:rPr>
        <w:t xml:space="preserve"> прекурсор за формирање PM</w:t>
      </w:r>
      <w:r>
        <w:rPr>
          <w:rFonts w:ascii="Arial" w:eastAsia="Arial" w:hAnsi="Arial" w:cs="Arial"/>
          <w:color w:val="000000"/>
          <w:sz w:val="16"/>
          <w:szCs w:val="16"/>
          <w:vertAlign w:val="subscript"/>
        </w:rPr>
        <w:t>2.5</w:t>
      </w:r>
      <w:r>
        <w:rPr>
          <w:rFonts w:ascii="Arial" w:eastAsia="Arial" w:hAnsi="Arial" w:cs="Arial"/>
          <w:color w:val="000000"/>
          <w:sz w:val="16"/>
          <w:szCs w:val="16"/>
        </w:rPr>
        <w:t xml:space="preserve"> </w:t>
      </w:r>
    </w:p>
    <w:bookmarkStart w:id="72" w:name="_heading=h.1ulbmlt" w:colFirst="0" w:colLast="0"/>
    <w:bookmarkEnd w:id="72"/>
  </w:footnote>
  <w:footnote w:id="36">
    <w:p w14:paraId="098E6711" w14:textId="77777777" w:rsidR="00697062" w:rsidRDefault="00697062" w:rsidP="00E43E66">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6"/>
          <w:szCs w:val="16"/>
        </w:rPr>
      </w:pPr>
      <w:bookmarkStart w:id="73" w:name="_heading=h.1ulbmlt" w:colFirst="0" w:colLast="0"/>
      <w:bookmarkEnd w:id="73"/>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Прецизну процену одступања од средњих вредности горњих и доњих нивоа емисије за најбоље доступне технике (</w:t>
      </w:r>
      <w:r>
        <w:rPr>
          <w:rFonts w:ascii="Arial" w:eastAsia="Arial" w:hAnsi="Arial" w:cs="Arial"/>
          <w:i/>
          <w:color w:val="000000"/>
          <w:sz w:val="16"/>
          <w:szCs w:val="16"/>
        </w:rPr>
        <w:t>BAT AELs</w:t>
      </w:r>
      <w:r>
        <w:rPr>
          <w:rFonts w:ascii="Arial" w:eastAsia="Arial" w:hAnsi="Arial" w:cs="Arial"/>
          <w:color w:val="000000"/>
          <w:sz w:val="16"/>
          <w:szCs w:val="16"/>
        </w:rPr>
        <w:t xml:space="preserve">) треба рачунати на нивоу сваког постројења, узимајући у обзир допринос постројења (примарне и секундарне емисије) квалитету ваздуха и прекорачења одређених загађујућих материја у ваздуху у зонама и агломерацијама. </w:t>
      </w:r>
    </w:p>
  </w:footnote>
  <w:footnote w:id="37">
    <w:p w14:paraId="3714A003" w14:textId="77777777" w:rsidR="00697062" w:rsidRDefault="00697062" w:rsidP="00E43E66">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6"/>
          <w:szCs w:val="16"/>
        </w:rPr>
        <w:t xml:space="preserve"> Спроведбена одлука Комисије 2016/1032/ЕУ, у Поглављу 1.2 Закључака о најбољим доступним техникама, прописује ограничење емисија тешких метала кроз граничне вредности емисија за најбоље доступне технике за прашкасте материје из производње бакра.</w:t>
      </w:r>
    </w:p>
  </w:footnote>
  <w:footnote w:id="38">
    <w:p w14:paraId="2D4B6CB5"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Пројекат је подржала Шведска агенција за развојну помоћ и сарадњу</w:t>
      </w:r>
      <w:r>
        <w:rPr>
          <w:rFonts w:cs="Calibri"/>
          <w:color w:val="000000"/>
          <w:sz w:val="16"/>
          <w:szCs w:val="16"/>
        </w:rPr>
        <w:t xml:space="preserve"> (https://www.iedserbia.org/)</w:t>
      </w:r>
    </w:p>
  </w:footnote>
  <w:footnote w:id="39">
    <w:p w14:paraId="41961885"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cs="Calibri"/>
          <w:color w:val="000000"/>
          <w:sz w:val="16"/>
          <w:szCs w:val="16"/>
        </w:rPr>
        <w:t xml:space="preserve"> </w:t>
      </w:r>
      <w:hyperlink r:id="rId5">
        <w:r>
          <w:rPr>
            <w:rFonts w:cs="Calibri"/>
            <w:color w:val="0000FF"/>
            <w:sz w:val="16"/>
            <w:szCs w:val="16"/>
            <w:u w:val="single"/>
          </w:rPr>
          <w:t>https://eippcb.jrc.ec.europa.eu/reference/</w:t>
        </w:r>
      </w:hyperlink>
    </w:p>
  </w:footnote>
  <w:footnote w:id="40">
    <w:p w14:paraId="36378C12"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Референтни документ о најбољим доступним техникама (</w:t>
      </w:r>
      <w:r>
        <w:rPr>
          <w:rFonts w:ascii="Arial" w:eastAsia="Arial" w:hAnsi="Arial" w:cs="Arial"/>
          <w:i/>
          <w:color w:val="000000"/>
          <w:sz w:val="16"/>
          <w:szCs w:val="16"/>
        </w:rPr>
        <w:t>BREF</w:t>
      </w:r>
      <w:r>
        <w:rPr>
          <w:rFonts w:ascii="Arial" w:eastAsia="Arial" w:hAnsi="Arial" w:cs="Arial"/>
          <w:color w:val="000000"/>
          <w:sz w:val="16"/>
          <w:szCs w:val="16"/>
        </w:rPr>
        <w:t>) за велике количине неорганских хемикалија, Резиме, Табела 5;  https://eippcb.jrc.ec.europa.eu/reference/large-volume-inorganic-chemicals-ammonia-acids-and-fertilisers</w:t>
      </w:r>
    </w:p>
    <w:p w14:paraId="0C055BA5"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Fonts w:ascii="Arial" w:eastAsia="Arial" w:hAnsi="Arial" w:cs="Arial"/>
          <w:color w:val="000000"/>
          <w:sz w:val="18"/>
          <w:szCs w:val="18"/>
        </w:rPr>
        <w:t xml:space="preserve"> </w:t>
      </w:r>
    </w:p>
  </w:footnote>
  <w:footnote w:id="41">
    <w:p w14:paraId="449978E5"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Директно суфинансирање мера јавним или приватним компанијама подлеже правилима о државној помоћи</w:t>
      </w:r>
    </w:p>
  </w:footnote>
  <w:footnote w:id="42">
    <w:p w14:paraId="4EBFCC9F" w14:textId="77777777" w:rsidR="00697062" w:rsidRDefault="00697062">
      <w:pPr>
        <w:spacing w:after="0" w:line="240" w:lineRule="auto"/>
        <w:rPr>
          <w:sz w:val="16"/>
          <w:szCs w:val="16"/>
        </w:rPr>
      </w:pPr>
      <w:r>
        <w:rPr>
          <w:rStyle w:val="FootnoteReference"/>
          <w:vertAlign w:val="superscript"/>
        </w:rPr>
        <w:footnoteRef/>
      </w:r>
      <w:r>
        <w:rPr>
          <w:rFonts w:cs="Calibri"/>
          <w:sz w:val="16"/>
          <w:szCs w:val="16"/>
        </w:rPr>
        <w:t xml:space="preserve"> Тренутно се принцип </w:t>
      </w:r>
      <w:r>
        <w:rPr>
          <w:rFonts w:cs="Calibri"/>
          <w:i/>
          <w:sz w:val="16"/>
          <w:szCs w:val="16"/>
        </w:rPr>
        <w:t xml:space="preserve">загађивач плаћа </w:t>
      </w:r>
      <w:r>
        <w:rPr>
          <w:rFonts w:cs="Calibri"/>
          <w:sz w:val="16"/>
          <w:szCs w:val="16"/>
        </w:rPr>
        <w:t>спроводи на основу Уредбе о врстама загађивања, критеријумима за обрачун накнаде за загађивање животне средине и обвезницима, висини и начину обрачунавања и плаћања накнаде, у складу с којом загађивачи плаћају за емисије SO</w:t>
      </w:r>
      <w:r>
        <w:rPr>
          <w:rFonts w:cs="Calibri"/>
          <w:sz w:val="16"/>
          <w:szCs w:val="16"/>
          <w:vertAlign w:val="subscript"/>
        </w:rPr>
        <w:t>2</w:t>
      </w:r>
      <w:r>
        <w:rPr>
          <w:rFonts w:cs="Calibri"/>
          <w:sz w:val="16"/>
          <w:szCs w:val="16"/>
        </w:rPr>
        <w:t>, NO</w:t>
      </w:r>
      <w:r>
        <w:rPr>
          <w:rFonts w:cs="Calibri"/>
          <w:sz w:val="16"/>
          <w:szCs w:val="16"/>
          <w:vertAlign w:val="subscript"/>
        </w:rPr>
        <w:t>2</w:t>
      </w:r>
      <w:r>
        <w:rPr>
          <w:rFonts w:cs="Calibri"/>
          <w:sz w:val="16"/>
          <w:szCs w:val="16"/>
        </w:rPr>
        <w:t xml:space="preserve"> и PM и за одлагање отпада. Према публикацији „Извештај о економским инструментима за заштиту животне средине у Републици Србији, преглед показатеља за 2019. годину“, Београд 2021, страна 11, кроз овај механизам је сакупљено 6,27 милијарде динара (око 53 милиона евра), а процењује се да око 30 милиона евра из овог износа потиче од загађења ваздуха.</w:t>
      </w:r>
    </w:p>
  </w:footnote>
  <w:footnote w:id="43">
    <w:p w14:paraId="2F19CB07"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Ова опција у принципу осигурава исти исход као и забрана увоза половних аутомобила, јер забрана увоза производа који су већ стављени на тржиште ЕУ није у складу са концептом ЕУ о слободном кретању роба.</w:t>
      </w:r>
    </w:p>
  </w:footnote>
  <w:footnote w:id="44">
    <w:p w14:paraId="0B8E882A"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За потребе ове процене, трошкови су расподељени према томе ко врши улагања, без обзира на њихов капацитет за пренос трошкова у ланцу вредности до потрошача, и без обзира на било какве јавне субвенције или подстицаје које добија. Разматрани инвеститори би могли бити јавна и приватна предузећа и фармери; потрошачи су домаћинства, а држава је државни буџет.</w:t>
      </w:r>
    </w:p>
    <w:bookmarkStart w:id="99" w:name="_heading=h.4ekz59m" w:colFirst="0" w:colLast="0"/>
    <w:bookmarkEnd w:id="99"/>
  </w:footnote>
  <w:footnote w:id="45">
    <w:p w14:paraId="760A64B5"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rPr>
      </w:pPr>
      <w:bookmarkStart w:id="101" w:name="_heading=h.4ekz59m" w:colFirst="0" w:colLast="0"/>
      <w:bookmarkEnd w:id="101"/>
      <w:r>
        <w:rPr>
          <w:rStyle w:val="FootnoteReference"/>
          <w:vertAlign w:val="superscript"/>
        </w:rPr>
        <w:footnoteRef/>
      </w:r>
      <w:r>
        <w:rPr>
          <w:rFonts w:ascii="Arial" w:eastAsia="Arial" w:hAnsi="Arial" w:cs="Arial"/>
          <w:color w:val="000000"/>
          <w:sz w:val="16"/>
          <w:szCs w:val="16"/>
        </w:rPr>
        <w:t xml:space="preserve"> Ова колона је применљива само ако се уведе принцип загађивач плаћа уз подршку релевантног оквира политике (накнаде/рециклажа накнада у животној средини), очекивани период наплате ових прихода је 7 година од момента увођења принципа “загађивач плаћа“.</w:t>
      </w:r>
    </w:p>
  </w:footnote>
  <w:footnote w:id="46">
    <w:p w14:paraId="07C66F77" w14:textId="77777777" w:rsidR="00697062" w:rsidRPr="0015061A" w:rsidRDefault="00697062" w:rsidP="0015061A">
      <w:pPr>
        <w:pBdr>
          <w:top w:val="nil"/>
          <w:left w:val="nil"/>
          <w:bottom w:val="nil"/>
          <w:right w:val="nil"/>
          <w:between w:val="nil"/>
        </w:pBdr>
        <w:tabs>
          <w:tab w:val="left" w:pos="284"/>
          <w:tab w:val="left" w:pos="3825"/>
        </w:tabs>
        <w:spacing w:after="0" w:line="240" w:lineRule="auto"/>
        <w:ind w:left="284" w:hanging="284"/>
        <w:rPr>
          <w:rFonts w:ascii="Arial" w:eastAsia="Arial" w:hAnsi="Arial" w:cs="Arial"/>
          <w:color w:val="000000"/>
          <w:sz w:val="16"/>
          <w:szCs w:val="16"/>
          <w:lang w:val="sr-Cyrl-RS"/>
        </w:rPr>
      </w:pPr>
      <w:r>
        <w:rPr>
          <w:rStyle w:val="FootnoteReference"/>
          <w:vertAlign w:val="superscript"/>
        </w:rPr>
        <w:footnoteRef/>
      </w:r>
      <w:r>
        <w:rPr>
          <w:rFonts w:ascii="Arial" w:eastAsia="Arial" w:hAnsi="Arial" w:cs="Arial"/>
          <w:color w:val="000000"/>
          <w:sz w:val="16"/>
          <w:szCs w:val="16"/>
        </w:rPr>
        <w:t xml:space="preserve"> ЕУ ИПА фондови су примарно намењени за институционално усаглашавање и инвестиције у инфраструктуру (напомена: станице за праћење квалитета ваздух</w:t>
      </w:r>
      <w:r w:rsidR="0015061A">
        <w:rPr>
          <w:rFonts w:ascii="Arial" w:eastAsia="Arial" w:hAnsi="Arial" w:cs="Arial"/>
          <w:color w:val="000000"/>
          <w:sz w:val="16"/>
          <w:szCs w:val="16"/>
        </w:rPr>
        <w:t xml:space="preserve">а се сматрају инфраструктуром). </w:t>
      </w:r>
      <w:r>
        <w:rPr>
          <w:rFonts w:ascii="Arial" w:eastAsia="Arial" w:hAnsi="Arial" w:cs="Arial"/>
          <w:color w:val="000000"/>
          <w:sz w:val="16"/>
          <w:szCs w:val="16"/>
        </w:rPr>
        <w:t xml:space="preserve">Инвестиције које би спроводили приватни инвеститори и/или индустрија подлежу правилима о државној помоћи, која су у принципу ограничена на правило </w:t>
      </w:r>
      <w:r>
        <w:rPr>
          <w:rFonts w:ascii="Arial" w:eastAsia="Arial" w:hAnsi="Arial" w:cs="Arial"/>
          <w:i/>
          <w:color w:val="000000"/>
          <w:sz w:val="16"/>
          <w:szCs w:val="16"/>
        </w:rPr>
        <w:t>de-minimis</w:t>
      </w:r>
      <w:r>
        <w:rPr>
          <w:rFonts w:ascii="Arial" w:eastAsia="Arial" w:hAnsi="Arial" w:cs="Arial"/>
          <w:color w:val="000000"/>
          <w:sz w:val="16"/>
          <w:szCs w:val="16"/>
        </w:rPr>
        <w:t xml:space="preserve"> (у принципу, 200.000 евра у 3 узастопне године)</w:t>
      </w:r>
      <w:r w:rsidR="0015061A">
        <w:rPr>
          <w:rFonts w:ascii="Arial" w:eastAsia="Arial" w:hAnsi="Arial" w:cs="Arial"/>
          <w:color w:val="000000"/>
          <w:sz w:val="16"/>
          <w:szCs w:val="16"/>
          <w:lang w:val="sr-Cyrl-RS"/>
        </w:rPr>
        <w:t>.</w:t>
      </w:r>
    </w:p>
  </w:footnote>
  <w:footnote w:id="47">
    <w:p w14:paraId="62AED782" w14:textId="77777777" w:rsidR="00697062" w:rsidRPr="0015061A"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lang w:val="sr-Cyrl-RS"/>
        </w:rPr>
      </w:pPr>
      <w:r>
        <w:rPr>
          <w:rStyle w:val="FootnoteReference"/>
          <w:vertAlign w:val="superscript"/>
        </w:rPr>
        <w:footnoteRef/>
      </w:r>
      <w:r>
        <w:rPr>
          <w:rFonts w:ascii="Arial" w:eastAsia="Arial" w:hAnsi="Arial" w:cs="Arial"/>
          <w:color w:val="000000"/>
          <w:sz w:val="16"/>
          <w:szCs w:val="16"/>
        </w:rPr>
        <w:t xml:space="preserve"> Објашњење: „А“ = административна активност у вези са транспозицијом прописа ЕУ</w:t>
      </w:r>
      <w:r w:rsidR="0015061A">
        <w:rPr>
          <w:rFonts w:ascii="Arial" w:eastAsia="Arial" w:hAnsi="Arial" w:cs="Arial"/>
          <w:color w:val="000000"/>
          <w:sz w:val="16"/>
          <w:szCs w:val="16"/>
          <w:lang w:val="sr-Cyrl-RS"/>
        </w:rPr>
        <w:t>.</w:t>
      </w:r>
    </w:p>
  </w:footnote>
  <w:footnote w:id="48">
    <w:p w14:paraId="688E87AA"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Измене су потребне за емисије из индустријских процеса за које недостају BAT AELs или нису решене на неки једноставнији начин.</w:t>
      </w:r>
    </w:p>
  </w:footnote>
  <w:footnote w:id="49">
    <w:p w14:paraId="3EF7851C"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cs="Calibri"/>
          <w:color w:val="000000"/>
          <w:sz w:val="16"/>
          <w:szCs w:val="16"/>
        </w:rPr>
        <w:t>Трошкови за додатне административне капацитете већ су укључени у Специфични план имплементације за Директиву о индустријским емисијама.</w:t>
      </w:r>
    </w:p>
  </w:footnote>
  <w:footnote w:id="50">
    <w:p w14:paraId="38BA62C8" w14:textId="77777777" w:rsidR="00697062" w:rsidRDefault="00697062">
      <w:pPr>
        <w:pBdr>
          <w:top w:val="nil"/>
          <w:left w:val="nil"/>
          <w:bottom w:val="nil"/>
          <w:right w:val="nil"/>
          <w:between w:val="nil"/>
        </w:pBdr>
        <w:tabs>
          <w:tab w:val="left" w:pos="284"/>
          <w:tab w:val="left" w:pos="3825"/>
        </w:tabs>
        <w:spacing w:before="120" w:line="240" w:lineRule="auto"/>
        <w:ind w:left="284" w:hanging="284"/>
        <w:rPr>
          <w:rFonts w:cs="Calibri"/>
          <w:color w:val="000000"/>
          <w:sz w:val="16"/>
          <w:szCs w:val="16"/>
        </w:rPr>
      </w:pPr>
      <w:r>
        <w:rPr>
          <w:rStyle w:val="FootnoteReference"/>
          <w:vertAlign w:val="superscript"/>
        </w:rPr>
        <w:footnoteRef/>
      </w:r>
      <w:r>
        <w:rPr>
          <w:rFonts w:cs="Calibri"/>
          <w:color w:val="000000"/>
          <w:sz w:val="16"/>
          <w:szCs w:val="16"/>
        </w:rPr>
        <w:t xml:space="preserve"> Укупни трошкови, према процени Пројекта ДИЕ Србија, нису репродуковани овде на нивоу Акционог плана за заштиту ваздуха, јер су ти трошкови покривени Специфичним планом за имплементацију Директиве о индустријским емисијама. Разматрани су трошкови смањења емисија из постројења која подлежу Директиви о индустријским емисијама, који су само додатни трошкови у поређењу са сценаријом WEM, где су трошкови усаглашавања са домаћом регулативом већ узети у обзир. Свакако треба напоменути да важећа Уредба о граничним вредностима емисија загађујућих материја у ваздух из с</w:t>
      </w:r>
      <w:r w:rsidR="0015061A">
        <w:rPr>
          <w:rFonts w:cs="Calibri"/>
          <w:color w:val="000000"/>
          <w:sz w:val="16"/>
          <w:szCs w:val="16"/>
        </w:rPr>
        <w:t xml:space="preserve">тационарних извора загађивања, </w:t>
      </w:r>
      <w:r>
        <w:rPr>
          <w:rFonts w:cs="Calibri"/>
          <w:color w:val="000000"/>
          <w:sz w:val="16"/>
          <w:szCs w:val="16"/>
        </w:rPr>
        <w:t xml:space="preserve">осим постројења за сагоревање прописује граничне вредности емисије не увек толико далеке од BAT AELs. Штавише, трошкови разматрани у оквиру Пројекта ДИЕ Србија представљају укупне трошкове потребне да би се постројење ускладило са свим граничним вредностима и захтевима за ваздух, отпад, енергетску ефикасност, буку и воду. </w:t>
      </w:r>
    </w:p>
  </w:footnote>
  <w:footnote w:id="51">
    <w:p w14:paraId="616C63CD" w14:textId="77777777" w:rsidR="00697062" w:rsidRDefault="00697062" w:rsidP="00F53C08">
      <w:pPr>
        <w:pBdr>
          <w:top w:val="nil"/>
          <w:left w:val="nil"/>
          <w:bottom w:val="nil"/>
          <w:right w:val="nil"/>
          <w:between w:val="nil"/>
        </w:pBdr>
        <w:tabs>
          <w:tab w:val="left" w:pos="284"/>
          <w:tab w:val="left" w:pos="3825"/>
        </w:tabs>
        <w:spacing w:before="120" w:line="240" w:lineRule="auto"/>
        <w:ind w:left="284" w:hanging="284"/>
        <w:rPr>
          <w:rFonts w:ascii="Arial Narrow" w:eastAsia="Arial Narrow" w:hAnsi="Arial Narrow" w:cs="Arial Narrow"/>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ascii="Arial Narrow" w:eastAsia="Arial Narrow" w:hAnsi="Arial Narrow" w:cs="Arial Narrow"/>
          <w:color w:val="000000"/>
          <w:sz w:val="16"/>
          <w:szCs w:val="16"/>
        </w:rPr>
        <w:t xml:space="preserve">У оквиру пројекта </w:t>
      </w:r>
      <w:r>
        <w:rPr>
          <w:rFonts w:ascii="Arial Narrow" w:eastAsia="Arial Narrow" w:hAnsi="Arial Narrow" w:cs="Arial Narrow"/>
          <w:i/>
          <w:color w:val="000000"/>
          <w:sz w:val="16"/>
          <w:szCs w:val="16"/>
        </w:rPr>
        <w:t>ENVAP</w:t>
      </w:r>
      <w:r>
        <w:rPr>
          <w:rFonts w:ascii="Arial Narrow" w:eastAsia="Arial Narrow" w:hAnsi="Arial Narrow" w:cs="Arial Narrow"/>
          <w:color w:val="000000"/>
          <w:sz w:val="16"/>
          <w:szCs w:val="16"/>
        </w:rPr>
        <w:t xml:space="preserve"> 3 (којег је финансирала Шведска агенција за међународну развојну сарадњу (СИДА), а имплементирала Шведска агенција за заштиту животне средине у периоду 2016-2021, којим је Србији и Министарству заштите животне средине пружена подршка у припремама за преговоре и усаглашавање захтева Поглавља 27 </w:t>
      </w:r>
      <w:r>
        <w:rPr>
          <w:rFonts w:ascii="Arial Narrow" w:eastAsia="Arial Narrow" w:hAnsi="Arial Narrow" w:cs="Arial Narrow"/>
          <w:i/>
          <w:color w:val="000000"/>
          <w:sz w:val="16"/>
          <w:szCs w:val="16"/>
        </w:rPr>
        <w:t>Животна средина</w:t>
      </w:r>
      <w:r>
        <w:rPr>
          <w:rFonts w:ascii="Arial Narrow" w:eastAsia="Arial Narrow" w:hAnsi="Arial Narrow" w:cs="Arial Narrow"/>
          <w:color w:val="000000"/>
          <w:sz w:val="16"/>
          <w:szCs w:val="16"/>
        </w:rPr>
        <w:t>, извршена је прелиминарна процена тренутног стања и укупног броја средњих постројења за сагоревање у Републици Србији. Ова процена мора бити консолидована, а база података успостављена.</w:t>
      </w:r>
    </w:p>
  </w:footnote>
  <w:footnote w:id="52">
    <w:p w14:paraId="163DA4D0" w14:textId="77777777" w:rsidR="00697062" w:rsidRPr="001F222E" w:rsidRDefault="00697062">
      <w:pPr>
        <w:pStyle w:val="FootnoteText"/>
        <w:rPr>
          <w:lang w:val="sr-Cyrl-RS"/>
        </w:rPr>
      </w:pPr>
      <w:r>
        <w:rPr>
          <w:rStyle w:val="FootnoteReference"/>
        </w:rPr>
        <w:footnoteRef/>
      </w:r>
      <w:r>
        <w:t xml:space="preserve"> </w:t>
      </w:r>
      <w:r>
        <w:rPr>
          <w:lang w:val="sr-Cyrl-RS"/>
        </w:rPr>
        <w:t># мера траје и после назначеног рока</w:t>
      </w:r>
    </w:p>
  </w:footnote>
  <w:footnote w:id="53">
    <w:p w14:paraId="55E88445"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Инвестициони трошкови већ укључени у Специфичне планове имплементације за Директиве о квалитету горива и о садржају сумпора у одређеним течним горивима.</w:t>
      </w:r>
    </w:p>
  </w:footnote>
  <w:footnote w:id="54">
    <w:p w14:paraId="54273A8F"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У оквиру Пројекта EAS3 израђена су два Специфична плана имплементације, као и листа закона, уредби и правилника које треба изменити и допунити</w:t>
      </w:r>
      <w:r>
        <w:rPr>
          <w:rFonts w:ascii="Arial Narrow" w:eastAsia="Arial Narrow" w:hAnsi="Arial Narrow" w:cs="Arial Narrow"/>
          <w:color w:val="000000"/>
          <w:sz w:val="16"/>
          <w:szCs w:val="16"/>
        </w:rPr>
        <w:t xml:space="preserve">. </w:t>
      </w:r>
    </w:p>
  </w:footnote>
  <w:footnote w:id="55">
    <w:p w14:paraId="7FFE6493" w14:textId="77777777" w:rsidR="00697062" w:rsidRDefault="00697062" w:rsidP="0024547B">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Инвестициони трошкови су приказани у Специфичном плану имплементације Директива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2009/126/ЕЗ сакупљања бензинске паре током допуњавања моторних возила горивом на бензинским станицама (Друга фаза). Како су трошкови укључени у Специфични план, они нису исказани у овом програму да би се избегло двоструко обрачунавање.</w:t>
      </w:r>
    </w:p>
  </w:footnote>
  <w:footnote w:id="56">
    <w:p w14:paraId="5D65596E" w14:textId="77777777" w:rsidR="00697062" w:rsidRDefault="00697062" w:rsidP="0024547B">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Транспозиција правних тековина ће захтевати измене Закона о заштити ваздуха; Правилника о техничким мерама и захтевима који се односе на дозвољене емисионе факторе за испарљива органска једињења која потичу из процеса складиштења и транспорта бензина; </w:t>
      </w:r>
      <w:r>
        <w:rPr>
          <w:rFonts w:ascii="Arial" w:eastAsia="Arial" w:hAnsi="Arial" w:cs="Arial"/>
          <w:color w:val="000000"/>
          <w:sz w:val="16"/>
          <w:szCs w:val="16"/>
          <w:lang w:val="sr-Cyrl-RS"/>
        </w:rPr>
        <w:t xml:space="preserve">Правилника </w:t>
      </w:r>
      <w:r>
        <w:rPr>
          <w:rFonts w:ascii="Arial" w:eastAsia="Arial" w:hAnsi="Arial" w:cs="Arial"/>
          <w:color w:val="000000"/>
          <w:sz w:val="16"/>
          <w:szCs w:val="16"/>
        </w:rPr>
        <w:t>о методологији за израду националног и локалног регистра извора загађивања, као и методологији за врсте, начине и рокове прикупљања података.</w:t>
      </w:r>
    </w:p>
  </w:footnote>
  <w:footnote w:id="57">
    <w:p w14:paraId="1424BEE2"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Укључено у Меру 1.</w:t>
      </w:r>
    </w:p>
  </w:footnote>
  <w:footnote w:id="58">
    <w:p w14:paraId="60BBA97C"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Измене су потребне за емисије из индустријских процеса за које недостају BAT AELs или нису решене на неки једноставнији начин.</w:t>
      </w:r>
    </w:p>
  </w:footnote>
  <w:footnote w:id="59">
    <w:p w14:paraId="1A61DB88" w14:textId="77777777" w:rsidR="00697062" w:rsidRDefault="00697062" w:rsidP="0024547B">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 xml:space="preserve">Тачну вредност за концентрацију прашкастих материја из Табеле 3 </w:t>
      </w:r>
      <w:r>
        <w:rPr>
          <w:rFonts w:ascii="Arial" w:eastAsia="Arial" w:hAnsi="Arial" w:cs="Arial"/>
          <w:color w:val="000000"/>
          <w:sz w:val="18"/>
          <w:szCs w:val="18"/>
        </w:rPr>
        <w:t>Спроведбене</w:t>
      </w:r>
      <w:r>
        <w:rPr>
          <w:rFonts w:ascii="Arial" w:eastAsia="Arial" w:hAnsi="Arial" w:cs="Arial"/>
          <w:color w:val="000000"/>
          <w:sz w:val="16"/>
          <w:szCs w:val="16"/>
        </w:rPr>
        <w:t xml:space="preserve"> одлуке Комисије 2016/1032/ЕУ треба утврдити на основу нивоа концентрације тешких метала из производње бакра. Очекује се да ће емисије прашкастих материја ићи према доњем опсегу</w:t>
      </w:r>
      <w:r>
        <w:rPr>
          <w:rFonts w:cs="Calibri"/>
          <w:color w:val="000000"/>
          <w:sz w:val="16"/>
          <w:szCs w:val="16"/>
        </w:rPr>
        <w:t xml:space="preserve"> </w:t>
      </w:r>
      <w:r>
        <w:rPr>
          <w:rFonts w:ascii="Arial" w:eastAsia="Arial" w:hAnsi="Arial" w:cs="Arial"/>
          <w:color w:val="000000"/>
          <w:sz w:val="16"/>
          <w:szCs w:val="16"/>
        </w:rPr>
        <w:t>BAT AELs када емисије тешких метала буду изнад следећих вредности:  1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олово, 1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бакар, 0,05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арсен, 0,05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кадмијум.</w:t>
      </w:r>
    </w:p>
  </w:footnote>
  <w:footnote w:id="60">
    <w:p w14:paraId="372FAFF2"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Већ је обезбеђено финансирање из средстава Амбасаде Краљевине Норвешке у Београду.</w:t>
      </w:r>
    </w:p>
  </w:footnote>
  <w:footnote w:id="61">
    <w:p w14:paraId="3B7DB1F4"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Одлука извршног органа Економске комисије УН за Европу</w:t>
      </w:r>
      <w:r>
        <w:rPr>
          <w:rFonts w:cs="Calibri"/>
          <w:color w:val="000000"/>
          <w:sz w:val="16"/>
          <w:szCs w:val="16"/>
        </w:rPr>
        <w:t xml:space="preserve"> бр. </w:t>
      </w:r>
      <w:r>
        <w:rPr>
          <w:rFonts w:cs="Calibri"/>
          <w:i/>
          <w:color w:val="000000"/>
          <w:sz w:val="16"/>
          <w:szCs w:val="16"/>
        </w:rPr>
        <w:t>2012/10/EC, ECE/EB.AIR/113/Add 1.</w:t>
      </w:r>
    </w:p>
  </w:footnote>
  <w:footnote w:id="62">
    <w:p w14:paraId="6020ABB7"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За потребе ове процене, трошкови су расподељени према томе ко врши улагања, без обзира на њихов капацитет за пренос трошкова у ланцу вредности до потрошача, и без обзира на било какве јавне субвенције или подстицаје које добија. Разматрани инвеститори би могли бити јавна и приватна предузећа и фармери; потрошачи су домаћинства, а држава је државни буџет.</w:t>
      </w:r>
    </w:p>
  </w:footnote>
  <w:footnote w:id="63">
    <w:p w14:paraId="60686FA8"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rPr>
      </w:pPr>
      <w:r>
        <w:rPr>
          <w:rStyle w:val="FootnoteReference"/>
          <w:vertAlign w:val="superscript"/>
        </w:rPr>
        <w:footnoteRef/>
      </w:r>
    </w:p>
    <w:p w14:paraId="21907A9E"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rPr>
      </w:pPr>
      <w:r>
        <w:rPr>
          <w:rFonts w:ascii="Arial" w:eastAsia="Arial" w:hAnsi="Arial" w:cs="Arial"/>
          <w:color w:val="000000"/>
          <w:sz w:val="16"/>
          <w:szCs w:val="16"/>
        </w:rPr>
        <w:t xml:space="preserve"> Ова колона је применљива само ако се уведе принцип загађивач плаћа уз подршку релевантног оквира политике (накнаде/рециклажа накнада у животној средини)</w:t>
      </w:r>
    </w:p>
  </w:footnote>
  <w:footnote w:id="64">
    <w:p w14:paraId="3EBCB92B" w14:textId="77777777" w:rsidR="00697062" w:rsidRPr="00AC1E09"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lang w:val="sr-Cyrl-RS"/>
        </w:rPr>
      </w:pPr>
      <w:r>
        <w:rPr>
          <w:rStyle w:val="FootnoteReference"/>
          <w:vertAlign w:val="superscript"/>
        </w:rPr>
        <w:footnoteRef/>
      </w:r>
      <w:r>
        <w:rPr>
          <w:rFonts w:ascii="Arial" w:eastAsia="Arial" w:hAnsi="Arial" w:cs="Arial"/>
          <w:color w:val="000000"/>
          <w:sz w:val="16"/>
          <w:szCs w:val="16"/>
        </w:rPr>
        <w:t xml:space="preserve"> Просечна годишња концентрација арсен у Бору је 2020. године износила између 8 ng/m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(мерна станица: Бор Кривељ) и 277 ng/m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(мерна станица: Бор Југопетрол)</w:t>
      </w:r>
      <w:r w:rsidR="00AC1E09">
        <w:rPr>
          <w:rFonts w:ascii="Arial" w:eastAsia="Arial" w:hAnsi="Arial" w:cs="Arial"/>
          <w:color w:val="000000"/>
          <w:sz w:val="16"/>
          <w:szCs w:val="16"/>
          <w:lang w:val="sr-Cyrl-RS"/>
        </w:rPr>
        <w:t>.</w:t>
      </w:r>
    </w:p>
  </w:footnote>
  <w:footnote w:id="65">
    <w:p w14:paraId="6918822E" w14:textId="77777777" w:rsidR="00697062" w:rsidRPr="00AC1E09"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lang w:val="sr-Cyrl-RS"/>
        </w:rPr>
      </w:pPr>
      <w:r>
        <w:rPr>
          <w:rStyle w:val="FootnoteReference"/>
          <w:vertAlign w:val="superscript"/>
        </w:rPr>
        <w:footnoteRef/>
      </w:r>
      <w:r>
        <w:rPr>
          <w:rFonts w:ascii="Arial" w:eastAsia="Arial" w:hAnsi="Arial" w:cs="Arial"/>
          <w:color w:val="000000"/>
          <w:sz w:val="16"/>
          <w:szCs w:val="16"/>
        </w:rPr>
        <w:t xml:space="preserve"> Просечна годишња концентрација кадмијума у Бору је 2020. године износила између 8 ng/m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(мерна станица: Бор Градски парк) и 37 ng/m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(мерна станица: Бор Југопетрол)</w:t>
      </w:r>
      <w:r w:rsidR="00AC1E09">
        <w:rPr>
          <w:rFonts w:ascii="Arial" w:eastAsia="Arial" w:hAnsi="Arial" w:cs="Arial"/>
          <w:color w:val="000000"/>
          <w:sz w:val="16"/>
          <w:szCs w:val="16"/>
          <w:lang w:val="sr-Cyrl-RS"/>
        </w:rPr>
        <w:t>.</w:t>
      </w:r>
    </w:p>
  </w:footnote>
  <w:footnote w:id="66">
    <w:p w14:paraId="6C471D90" w14:textId="77777777" w:rsidR="00697062" w:rsidRPr="00AC1E09" w:rsidRDefault="00697062">
      <w:pPr>
        <w:pBdr>
          <w:top w:val="nil"/>
          <w:left w:val="nil"/>
          <w:bottom w:val="nil"/>
          <w:right w:val="nil"/>
          <w:between w:val="nil"/>
        </w:pBdr>
        <w:tabs>
          <w:tab w:val="left" w:pos="284"/>
          <w:tab w:val="left" w:pos="3825"/>
        </w:tabs>
        <w:spacing w:after="0" w:line="240" w:lineRule="auto"/>
        <w:ind w:left="284" w:hanging="284"/>
        <w:jc w:val="left"/>
        <w:rPr>
          <w:rFonts w:ascii="Arial" w:eastAsia="Arial" w:hAnsi="Arial" w:cs="Arial"/>
          <w:color w:val="000000"/>
          <w:sz w:val="16"/>
          <w:szCs w:val="16"/>
          <w:lang w:val="sr-Cyrl-RS"/>
        </w:rPr>
      </w:pPr>
      <w:r>
        <w:rPr>
          <w:rStyle w:val="FootnoteReference"/>
          <w:vertAlign w:val="superscript"/>
        </w:rPr>
        <w:footnoteRef/>
      </w:r>
      <w:r>
        <w:rPr>
          <w:rFonts w:ascii="Arial" w:eastAsia="Arial" w:hAnsi="Arial" w:cs="Arial"/>
          <w:color w:val="000000"/>
          <w:sz w:val="16"/>
          <w:szCs w:val="16"/>
        </w:rPr>
        <w:t xml:space="preserve"> Објашњење: „А“ = нормативна активност у вези са транспозицијом прописа ЕУ</w:t>
      </w:r>
      <w:r w:rsidR="00AC1E09">
        <w:rPr>
          <w:rFonts w:ascii="Arial" w:eastAsia="Arial" w:hAnsi="Arial" w:cs="Arial"/>
          <w:color w:val="000000"/>
          <w:sz w:val="16"/>
          <w:szCs w:val="16"/>
          <w:lang w:val="sr-Cyrl-RS"/>
        </w:rPr>
        <w:t>.</w:t>
      </w:r>
    </w:p>
  </w:footnote>
  <w:footnote w:id="67">
    <w:p w14:paraId="7F460B01"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Измене су потребне за емисије из индустријских процеса за које недостају BAT AELs или нису решене на неки једноставнији начин.</w:t>
      </w:r>
    </w:p>
  </w:footnote>
  <w:footnote w:id="68">
    <w:p w14:paraId="3D212292" w14:textId="77777777" w:rsidR="00697062" w:rsidRDefault="00697062" w:rsidP="00AC1E09">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cs="Calibri"/>
          <w:color w:val="000000"/>
          <w:sz w:val="16"/>
          <w:szCs w:val="16"/>
        </w:rPr>
        <w:t xml:space="preserve">У оквиру пројекта </w:t>
      </w:r>
      <w:r>
        <w:rPr>
          <w:rFonts w:cs="Calibri"/>
          <w:i/>
          <w:color w:val="000000"/>
          <w:sz w:val="16"/>
          <w:szCs w:val="16"/>
        </w:rPr>
        <w:t>ENVAP</w:t>
      </w:r>
      <w:r>
        <w:rPr>
          <w:rFonts w:cs="Calibri"/>
          <w:color w:val="000000"/>
          <w:sz w:val="16"/>
          <w:szCs w:val="16"/>
        </w:rPr>
        <w:t xml:space="preserve"> 3 (којег је финансирала Шведска агенција за међународну развојну сарадњу (СИДА), а имплементирала Шведска агенција за заштиту животне средине у периоду 2016-2021, којим је Србији и Министарству заштите животне средине пружена подршка у припремама за преговоре и усаглашавање захтева Поглавља 27 Животна средина, извршена је прелиминарна процена тренутног стања и укупног броја средњих постројења за сагоревање у Републици Србији. Ова процена </w:t>
      </w:r>
      <w:r>
        <w:rPr>
          <w:rFonts w:cs="Calibri"/>
          <w:color w:val="000000"/>
          <w:sz w:val="16"/>
          <w:szCs w:val="16"/>
          <w:lang w:val="sr-Cyrl-RS"/>
        </w:rPr>
        <w:t>треба</w:t>
      </w:r>
      <w:r>
        <w:rPr>
          <w:rFonts w:cs="Calibri"/>
          <w:color w:val="000000"/>
          <w:sz w:val="16"/>
          <w:szCs w:val="16"/>
        </w:rPr>
        <w:t xml:space="preserve"> бити консолидована, а база података успостављена.</w:t>
      </w:r>
    </w:p>
  </w:footnote>
  <w:footnote w:id="69">
    <w:p w14:paraId="3B380299"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8"/>
          <w:szCs w:val="18"/>
          <w:lang w:val="sr-Cyrl-RS"/>
        </w:rPr>
        <w:t>** означава да ће бити</w:t>
      </w:r>
      <w:r>
        <w:rPr>
          <w:rFonts w:ascii="Arial" w:eastAsia="Arial" w:hAnsi="Arial" w:cs="Arial"/>
          <w:color w:val="000000"/>
          <w:sz w:val="18"/>
          <w:szCs w:val="18"/>
        </w:rPr>
        <w:t xml:space="preserve"> накнадно дефинисан приход у односу на почетак примене мере</w:t>
      </w:r>
    </w:p>
  </w:footnote>
  <w:footnote w:id="70">
    <w:p w14:paraId="6EC86CF7"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cs="Calibri"/>
          <w:color w:val="000000"/>
          <w:sz w:val="16"/>
          <w:szCs w:val="16"/>
        </w:rPr>
        <w:t>У оквиру Пројекта EAS3 израђена су два Специфична плана имплементације, као и листа закона, уредби и правилника које треба изменити и допунити.</w:t>
      </w:r>
      <w:r>
        <w:rPr>
          <w:rFonts w:ascii="Arial Narrow" w:eastAsia="Arial Narrow" w:hAnsi="Arial Narrow" w:cs="Arial Narrow"/>
          <w:color w:val="000000"/>
          <w:sz w:val="16"/>
          <w:szCs w:val="16"/>
        </w:rPr>
        <w:t xml:space="preserve"> </w:t>
      </w:r>
    </w:p>
  </w:footnote>
  <w:footnote w:id="71">
    <w:p w14:paraId="1A092137"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8"/>
          <w:szCs w:val="18"/>
        </w:rPr>
        <w:t xml:space="preserve"> </w:t>
      </w:r>
      <w:r>
        <w:rPr>
          <w:rFonts w:cs="Calibri"/>
          <w:color w:val="000000"/>
          <w:sz w:val="16"/>
          <w:szCs w:val="16"/>
        </w:rPr>
        <w:t>Инвестиције у погон „Дубока прерада“, реконструкција FFC и изградња ETBE у Рафинерији нафте Панчево</w:t>
      </w:r>
      <w:r>
        <w:rPr>
          <w:rFonts w:ascii="Arial" w:eastAsia="Arial" w:hAnsi="Arial" w:cs="Arial"/>
          <w:color w:val="000000"/>
          <w:sz w:val="16"/>
          <w:szCs w:val="16"/>
        </w:rPr>
        <w:t xml:space="preserve">. </w:t>
      </w:r>
    </w:p>
  </w:footnote>
  <w:footnote w:id="72">
    <w:p w14:paraId="6B4BFA98" w14:textId="77777777" w:rsidR="00697062" w:rsidRDefault="00697062" w:rsidP="00D40434">
      <w:pPr>
        <w:pBdr>
          <w:top w:val="nil"/>
          <w:left w:val="nil"/>
          <w:bottom w:val="nil"/>
          <w:right w:val="nil"/>
          <w:between w:val="nil"/>
        </w:pBdr>
        <w:tabs>
          <w:tab w:val="left" w:pos="284"/>
          <w:tab w:val="left" w:pos="3825"/>
        </w:tabs>
        <w:spacing w:before="120" w:line="240" w:lineRule="auto"/>
        <w:ind w:left="284" w:hanging="284"/>
        <w:rPr>
          <w:rFonts w:cs="Calibri"/>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cs="Calibri"/>
          <w:color w:val="000000"/>
          <w:sz w:val="16"/>
          <w:szCs w:val="16"/>
        </w:rPr>
        <w:t>Специфични план имплементације Директиве 2016/802/ЕУ Европског парламента и Савета од 11. маја 2016. године о смањењу садржаја сумпора у одређеним течним горивима и Специфични план за Директиву 98/70/EЗ Европског парламента и Савета од 13. октобра 1998. године о квалитету бензина и дизел горива и измењену Директиву 93/12/EEЗ. Инвес</w:t>
      </w:r>
      <w:r w:rsidR="00D40434">
        <w:rPr>
          <w:rFonts w:cs="Calibri"/>
          <w:color w:val="000000"/>
          <w:sz w:val="16"/>
          <w:szCs w:val="16"/>
        </w:rPr>
        <w:t xml:space="preserve">тиције у погон „Дубока прерада“ </w:t>
      </w:r>
      <w:r>
        <w:rPr>
          <w:rFonts w:cs="Calibri"/>
          <w:color w:val="000000"/>
          <w:sz w:val="16"/>
          <w:szCs w:val="16"/>
        </w:rPr>
        <w:t>(333 милиона евра), реконструкција FFC и изградња ETBE у Рафинерији нафте Панчево (86 милиона евра). Укупно додатних још 419 милиона евра.</w:t>
      </w:r>
    </w:p>
  </w:footnote>
  <w:footnote w:id="73">
    <w:p w14:paraId="5CD97B39" w14:textId="77777777" w:rsidR="00697062" w:rsidRDefault="00697062" w:rsidP="00D40434">
      <w:pPr>
        <w:pBdr>
          <w:top w:val="nil"/>
          <w:left w:val="nil"/>
          <w:bottom w:val="nil"/>
          <w:right w:val="nil"/>
          <w:between w:val="nil"/>
        </w:pBdr>
        <w:tabs>
          <w:tab w:val="left" w:pos="284"/>
          <w:tab w:val="left" w:pos="3825"/>
        </w:tabs>
        <w:spacing w:before="120" w:line="240" w:lineRule="auto"/>
        <w:ind w:left="284" w:hanging="284"/>
        <w:rPr>
          <w:rFonts w:cs="Calibri"/>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cs="Calibri"/>
          <w:color w:val="000000"/>
          <w:sz w:val="16"/>
          <w:szCs w:val="16"/>
        </w:rPr>
        <w:t xml:space="preserve">Транспозиција правних тековина ће захтевати измене Закона о заштити ваздуха; Правилника о техничким мерама и захтевима који се односе на дозвољене емисионе факторе за испарљива органска једињења која потичу из процеса складиштења и транспорта бензина; </w:t>
      </w:r>
      <w:r>
        <w:rPr>
          <w:rFonts w:cs="Calibri"/>
          <w:color w:val="000000"/>
          <w:sz w:val="16"/>
          <w:szCs w:val="16"/>
          <w:lang w:val="sr-Cyrl-RS"/>
        </w:rPr>
        <w:t xml:space="preserve">Правилника </w:t>
      </w:r>
      <w:r>
        <w:rPr>
          <w:rFonts w:cs="Calibri"/>
          <w:color w:val="000000"/>
          <w:sz w:val="16"/>
          <w:szCs w:val="16"/>
        </w:rPr>
        <w:t>о методологији за израду националног и локалног регистра извора загађивања, као и методологији за врсте, начине и рокове прикупљања података.</w:t>
      </w:r>
    </w:p>
  </w:footnote>
  <w:footnote w:id="74">
    <w:p w14:paraId="1E592A07" w14:textId="77777777" w:rsidR="00697062" w:rsidRPr="00D40434"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lang w:val="sr-Cyrl-RS"/>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Имплементирана гранична вредност мора обезбедити да просечни нивои годишње концентрације арсена икадмијума у Бору буду испод дозвољених</w:t>
      </w:r>
      <w:r w:rsidR="00D40434">
        <w:rPr>
          <w:rFonts w:ascii="Arial" w:eastAsia="Arial" w:hAnsi="Arial" w:cs="Arial"/>
          <w:color w:val="000000"/>
          <w:sz w:val="16"/>
          <w:szCs w:val="16"/>
          <w:lang w:val="sr-Cyrl-RS"/>
        </w:rPr>
        <w:t>.</w:t>
      </w:r>
    </w:p>
  </w:footnote>
  <w:footnote w:id="75">
    <w:p w14:paraId="5DAE0CBB"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Измене су потребне за емисије из индустријских процеса за које недостају BAT AELs или нису решене на неки једноставнији начин.</w:t>
      </w:r>
    </w:p>
  </w:footnote>
  <w:footnote w:id="76">
    <w:p w14:paraId="792B58FE"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Измене су потребне за емисије из индустријских процеса за које недостају BAT AELs или нису решене на неки једноставнији начин.</w:t>
      </w:r>
    </w:p>
  </w:footnote>
  <w:footnote w:id="77">
    <w:p w14:paraId="0F01FA2B" w14:textId="77777777" w:rsidR="00697062" w:rsidRDefault="00697062" w:rsidP="00D40434">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Тачну вредност за концентрацију прашкастих материја из Табеле 3 Спроведбене одлуке Комисије 2016/1032/ЕУ треба утврдити на основу нивоа концентрације тешких метала из производње бакра. Очекује се да ће емисије прашкастих материја ићи према доњем опсегу</w:t>
      </w:r>
      <w:r>
        <w:rPr>
          <w:rFonts w:cs="Calibri"/>
          <w:color w:val="000000"/>
          <w:sz w:val="16"/>
          <w:szCs w:val="16"/>
        </w:rPr>
        <w:t xml:space="preserve"> </w:t>
      </w:r>
      <w:r>
        <w:rPr>
          <w:rFonts w:ascii="Arial" w:eastAsia="Arial" w:hAnsi="Arial" w:cs="Arial"/>
          <w:color w:val="000000"/>
          <w:sz w:val="16"/>
          <w:szCs w:val="16"/>
        </w:rPr>
        <w:t>BAT AELs када емисије тешких метала буду изнад следећих вредности:  1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олово, 1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бакар, 0,05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арсен, 0,05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кадмијум.</w:t>
      </w:r>
    </w:p>
  </w:footnote>
  <w:footnote w:id="78">
    <w:p w14:paraId="59E6FAB1"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Одлука извршног органа Економске комисије УН за Европу</w:t>
      </w:r>
      <w:r>
        <w:rPr>
          <w:rFonts w:cs="Calibri"/>
          <w:color w:val="000000"/>
          <w:sz w:val="16"/>
          <w:szCs w:val="16"/>
        </w:rPr>
        <w:t xml:space="preserve"> бр. </w:t>
      </w:r>
      <w:r>
        <w:rPr>
          <w:rFonts w:cs="Calibri"/>
          <w:i/>
          <w:color w:val="000000"/>
          <w:sz w:val="16"/>
          <w:szCs w:val="16"/>
        </w:rPr>
        <w:t>2012/10/EC, ECE/EB.AIR/113/Add 1</w:t>
      </w:r>
      <w:r>
        <w:rPr>
          <w:rFonts w:cs="Calibri"/>
          <w:color w:val="000000"/>
          <w:sz w:val="16"/>
          <w:szCs w:val="16"/>
        </w:rPr>
        <w:t>.</w:t>
      </w:r>
    </w:p>
  </w:footnote>
  <w:footnote w:id="79">
    <w:p w14:paraId="0D2C458D"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cs="Calibri"/>
          <w:color w:val="000000"/>
          <w:sz w:val="16"/>
          <w:szCs w:val="16"/>
        </w:rPr>
      </w:pPr>
      <w:r>
        <w:rPr>
          <w:rStyle w:val="FootnoteReference"/>
          <w:vertAlign w:val="superscript"/>
        </w:rPr>
        <w:footnoteRef/>
      </w:r>
      <w:r>
        <w:rPr>
          <w:rFonts w:cs="Calibri"/>
          <w:color w:val="000000"/>
          <w:sz w:val="16"/>
          <w:szCs w:val="16"/>
        </w:rPr>
        <w:t xml:space="preserve"> Финансијска средства се процењују на нивоу мере, није их неопходно процењивати на нивоу активности. </w:t>
      </w:r>
    </w:p>
  </w:footnote>
  <w:footnote w:id="80">
    <w:p w14:paraId="7674DF40" w14:textId="77777777" w:rsidR="00697062" w:rsidRPr="005B4420" w:rsidRDefault="00697062" w:rsidP="0084294D">
      <w:pPr>
        <w:pBdr>
          <w:top w:val="nil"/>
          <w:left w:val="nil"/>
          <w:bottom w:val="nil"/>
          <w:right w:val="nil"/>
          <w:between w:val="nil"/>
        </w:pBdr>
        <w:tabs>
          <w:tab w:val="left" w:pos="284"/>
          <w:tab w:val="left" w:pos="3825"/>
        </w:tabs>
        <w:spacing w:after="0" w:line="240" w:lineRule="auto"/>
        <w:ind w:left="284" w:hanging="284"/>
        <w:jc w:val="left"/>
        <w:rPr>
          <w:rFonts w:cs="Calibri"/>
          <w:color w:val="000000"/>
          <w:sz w:val="16"/>
          <w:szCs w:val="16"/>
          <w:lang w:val="sr-Cyrl-RS"/>
        </w:rPr>
      </w:pPr>
      <w:r>
        <w:rPr>
          <w:rStyle w:val="FootnoteReference"/>
          <w:vertAlign w:val="superscript"/>
        </w:rPr>
        <w:footnoteRef/>
      </w:r>
      <w:r>
        <w:rPr>
          <w:rFonts w:cs="Calibri"/>
          <w:color w:val="000000"/>
          <w:sz w:val="16"/>
          <w:szCs w:val="16"/>
          <w:vertAlign w:val="superscript"/>
        </w:rPr>
        <w:t xml:space="preserve"> </w:t>
      </w:r>
      <w:r>
        <w:rPr>
          <w:rFonts w:cs="Calibri"/>
          <w:color w:val="000000"/>
          <w:sz w:val="16"/>
          <w:szCs w:val="16"/>
        </w:rPr>
        <w:t>Додатни нормативни трошкови већ укључени у Специфични план имплементације Дире</w:t>
      </w:r>
      <w:r w:rsidR="005B4420">
        <w:rPr>
          <w:rFonts w:cs="Calibri"/>
          <w:color w:val="000000"/>
          <w:sz w:val="16"/>
          <w:szCs w:val="16"/>
        </w:rPr>
        <w:t>ктиве о индустријским емисијама.</w:t>
      </w:r>
    </w:p>
  </w:footnote>
  <w:footnote w:id="81">
    <w:p w14:paraId="7CA5A0D1" w14:textId="77777777" w:rsidR="00697062" w:rsidRPr="005B4420" w:rsidRDefault="00697062">
      <w:pPr>
        <w:pBdr>
          <w:top w:val="nil"/>
          <w:left w:val="nil"/>
          <w:bottom w:val="nil"/>
          <w:right w:val="nil"/>
          <w:between w:val="nil"/>
        </w:pBdr>
        <w:tabs>
          <w:tab w:val="left" w:pos="284"/>
          <w:tab w:val="left" w:pos="3825"/>
        </w:tabs>
        <w:spacing w:after="0" w:line="240" w:lineRule="auto"/>
        <w:ind w:left="284" w:hanging="284"/>
        <w:jc w:val="left"/>
        <w:rPr>
          <w:rFonts w:cs="Calibri"/>
          <w:color w:val="000000"/>
          <w:sz w:val="16"/>
          <w:szCs w:val="16"/>
          <w:lang w:val="sr-Cyrl-RS"/>
        </w:rPr>
      </w:pPr>
      <w:r>
        <w:rPr>
          <w:rStyle w:val="FootnoteReference"/>
          <w:vertAlign w:val="superscript"/>
        </w:rPr>
        <w:footnoteRef/>
      </w:r>
      <w:r>
        <w:rPr>
          <w:rFonts w:cs="Calibri"/>
          <w:color w:val="000000"/>
          <w:sz w:val="16"/>
          <w:szCs w:val="16"/>
        </w:rPr>
        <w:t xml:space="preserve"> Шифра програма и програмске активности или пројекта у оквиру којих се обезбеђују средства</w:t>
      </w:r>
      <w:r w:rsidR="005B4420">
        <w:rPr>
          <w:rFonts w:cs="Calibri"/>
          <w:color w:val="000000"/>
          <w:sz w:val="16"/>
          <w:szCs w:val="16"/>
          <w:lang w:val="sr-Cyrl-RS"/>
        </w:rPr>
        <w:t>.</w:t>
      </w:r>
    </w:p>
    <w:bookmarkStart w:id="124" w:name="_heading=h.18vjpp8" w:colFirst="0" w:colLast="0"/>
    <w:bookmarkEnd w:id="124"/>
  </w:footnote>
  <w:footnote w:id="82">
    <w:p w14:paraId="79177AD1" w14:textId="77777777" w:rsidR="00697062" w:rsidRDefault="00697062">
      <w:pPr>
        <w:pBdr>
          <w:top w:val="nil"/>
          <w:left w:val="nil"/>
          <w:bottom w:val="nil"/>
          <w:right w:val="nil"/>
          <w:between w:val="nil"/>
        </w:pBdr>
        <w:tabs>
          <w:tab w:val="left" w:pos="284"/>
          <w:tab w:val="left" w:pos="3825"/>
        </w:tabs>
        <w:spacing w:after="0" w:line="240" w:lineRule="auto"/>
        <w:ind w:left="284" w:hanging="284"/>
        <w:jc w:val="left"/>
        <w:rPr>
          <w:rFonts w:cs="Calibri"/>
          <w:color w:val="000000"/>
          <w:sz w:val="16"/>
          <w:szCs w:val="16"/>
        </w:rPr>
      </w:pPr>
      <w:bookmarkStart w:id="125" w:name="_heading=h.18vjpp8" w:colFirst="0" w:colLast="0"/>
      <w:bookmarkEnd w:id="125"/>
      <w:r>
        <w:rPr>
          <w:rStyle w:val="FootnoteReference"/>
          <w:vertAlign w:val="superscript"/>
        </w:rPr>
        <w:footnoteRef/>
      </w:r>
      <w:r>
        <w:rPr>
          <w:rFonts w:cs="Calibri"/>
          <w:color w:val="000000"/>
          <w:sz w:val="16"/>
          <w:szCs w:val="16"/>
          <w:vertAlign w:val="superscript"/>
        </w:rPr>
        <w:t xml:space="preserve"> </w:t>
      </w:r>
      <w:r>
        <w:rPr>
          <w:rFonts w:cs="Calibri"/>
          <w:color w:val="000000"/>
          <w:sz w:val="16"/>
          <w:szCs w:val="16"/>
          <w:vertAlign w:val="superscript"/>
          <w:lang w:val="sr-Cyrl-RS"/>
        </w:rPr>
        <w:t xml:space="preserve"> </w:t>
      </w:r>
      <w:r>
        <w:rPr>
          <w:rFonts w:cs="Calibri"/>
          <w:color w:val="000000"/>
          <w:sz w:val="16"/>
          <w:szCs w:val="16"/>
          <w:lang w:val="sr-Cyrl-RS"/>
        </w:rPr>
        <w:t>*</w:t>
      </w:r>
      <w:r>
        <w:rPr>
          <w:rFonts w:cs="Calibri"/>
          <w:color w:val="000000"/>
          <w:sz w:val="16"/>
          <w:szCs w:val="16"/>
        </w:rPr>
        <w:t xml:space="preserve">Звездица указује на средства која још увек нису у потпуности обезбеђена. </w:t>
      </w:r>
    </w:p>
  </w:footnote>
  <w:footnote w:id="83">
    <w:p w14:paraId="14CF9EBC" w14:textId="77777777" w:rsidR="00697062" w:rsidRDefault="00697062" w:rsidP="005B4420">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w:t>
      </w:r>
      <w:r>
        <w:rPr>
          <w:rFonts w:cs="Calibri"/>
          <w:color w:val="000000"/>
          <w:sz w:val="16"/>
          <w:szCs w:val="16"/>
        </w:rPr>
        <w:t xml:space="preserve">У оквиру пројекта </w:t>
      </w:r>
      <w:r>
        <w:rPr>
          <w:rFonts w:cs="Calibri"/>
          <w:i/>
          <w:color w:val="000000"/>
          <w:sz w:val="16"/>
          <w:szCs w:val="16"/>
        </w:rPr>
        <w:t>ENVAP</w:t>
      </w:r>
      <w:r>
        <w:rPr>
          <w:rFonts w:cs="Calibri"/>
          <w:color w:val="000000"/>
          <w:sz w:val="16"/>
          <w:szCs w:val="16"/>
        </w:rPr>
        <w:t xml:space="preserve"> 2 (којег је финансирала Шведска агенција за међународну развојну сарадњу (СИДА), а имплементирала Шведска агенција за заштиту животне средине у периоду 2016-2021) којим је Србији и Министарству заштите животне средине пружена подршка у припремама за преговоре и усаглашавање захтева Поглавља 27 Животна средина, у 2016.години извршена је прелиминарна процена тренутног стања средњих постројења за сагоревање у Републици Србији. </w:t>
      </w:r>
    </w:p>
  </w:footnote>
  <w:footnote w:id="84">
    <w:p w14:paraId="7C09610B"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Успостављање је у надлежности </w:t>
      </w:r>
      <w:r w:rsidRPr="00DD476F">
        <w:rPr>
          <w:rFonts w:ascii="Arial" w:eastAsia="Times New Roman" w:hAnsi="Arial" w:cs="Arial"/>
          <w:sz w:val="18"/>
          <w:szCs w:val="18"/>
        </w:rPr>
        <w:t>Агенциј</w:t>
      </w:r>
      <w:r w:rsidRPr="00DD476F">
        <w:rPr>
          <w:rFonts w:ascii="Arial" w:eastAsia="Times New Roman" w:hAnsi="Arial" w:cs="Arial"/>
          <w:sz w:val="18"/>
          <w:szCs w:val="18"/>
          <w:lang w:val="sr-Cyrl-RS"/>
        </w:rPr>
        <w:t>е</w:t>
      </w:r>
      <w:r w:rsidRPr="00DD476F">
        <w:rPr>
          <w:rFonts w:ascii="Arial" w:eastAsia="Times New Roman" w:hAnsi="Arial" w:cs="Arial"/>
          <w:sz w:val="18"/>
          <w:szCs w:val="18"/>
        </w:rPr>
        <w:t xml:space="preserve"> за безбедност саобраћаја</w:t>
      </w:r>
      <w:r w:rsidR="00DC4692">
        <w:rPr>
          <w:rFonts w:ascii="Arial" w:eastAsia="Times New Roman" w:hAnsi="Arial" w:cs="Arial"/>
          <w:sz w:val="18"/>
          <w:szCs w:val="18"/>
          <w:lang w:val="sr-Cyrl-RS"/>
        </w:rPr>
        <w:t>.</w:t>
      </w:r>
      <w:r>
        <w:rPr>
          <w:rFonts w:ascii="Times New Roman" w:eastAsia="Times New Roman" w:hAnsi="Times New Roman"/>
          <w:sz w:val="24"/>
          <w:szCs w:val="24"/>
        </w:rPr>
        <w:t xml:space="preserve">  </w:t>
      </w:r>
    </w:p>
  </w:footnote>
  <w:footnote w:id="85">
    <w:p w14:paraId="0EDCDF88" w14:textId="77777777" w:rsidR="00697062" w:rsidRPr="00DC469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lang w:val="sr-Cyrl-RS"/>
        </w:rPr>
      </w:pPr>
      <w:r>
        <w:rPr>
          <w:rStyle w:val="FootnoteReference"/>
          <w:vertAlign w:val="superscript"/>
        </w:rPr>
        <w:footnoteRef/>
      </w:r>
      <w:r>
        <w:rPr>
          <w:rFonts w:ascii="Arial" w:eastAsia="Arial" w:hAnsi="Arial" w:cs="Arial"/>
          <w:color w:val="000000"/>
          <w:sz w:val="18"/>
          <w:szCs w:val="18"/>
        </w:rPr>
        <w:t xml:space="preserve"> Спровођење је у надлежности МГСИ</w:t>
      </w:r>
      <w:r w:rsidR="00DC4692">
        <w:rPr>
          <w:rFonts w:ascii="Arial" w:eastAsia="Arial" w:hAnsi="Arial" w:cs="Arial"/>
          <w:color w:val="000000"/>
          <w:sz w:val="18"/>
          <w:szCs w:val="18"/>
          <w:lang w:val="sr-Cyrl-RS"/>
        </w:rPr>
        <w:t>.</w:t>
      </w:r>
    </w:p>
  </w:footnote>
  <w:footnote w:id="86">
    <w:p w14:paraId="4A7813B0"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Законси оквир треба да буде измењен до краја 2024. године са почетком примене најкасније од 1.</w:t>
      </w:r>
      <w:r>
        <w:rPr>
          <w:rFonts w:ascii="Arial" w:eastAsia="Arial" w:hAnsi="Arial" w:cs="Arial"/>
          <w:color w:val="000000"/>
          <w:sz w:val="18"/>
          <w:szCs w:val="18"/>
          <w:lang w:val="sr-Cyrl-RS"/>
        </w:rPr>
        <w:t xml:space="preserve"> јануара </w:t>
      </w:r>
      <w:r>
        <w:rPr>
          <w:rFonts w:ascii="Arial" w:eastAsia="Arial" w:hAnsi="Arial" w:cs="Arial"/>
          <w:color w:val="000000"/>
          <w:sz w:val="18"/>
          <w:szCs w:val="18"/>
        </w:rPr>
        <w:t>2028. године.</w:t>
      </w:r>
    </w:p>
  </w:footnote>
  <w:footnote w:id="87">
    <w:p w14:paraId="7B981203"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ascii="Arial Narrow" w:eastAsia="Arial Narrow" w:hAnsi="Arial Narrow" w:cs="Arial Narrow"/>
          <w:color w:val="000000"/>
          <w:sz w:val="16"/>
          <w:szCs w:val="16"/>
        </w:rPr>
        <w:t xml:space="preserve">У оквиру Пројекта EAS3 израђена су два Специфична плана имплементације, као и листа закона, уредби и правилника које треба изменити и допунити. </w:t>
      </w:r>
    </w:p>
  </w:footnote>
  <w:footnote w:id="88">
    <w:p w14:paraId="13F7FD72"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cs="Calibri"/>
          <w:color w:val="000000"/>
          <w:sz w:val="16"/>
          <w:szCs w:val="16"/>
        </w:rPr>
        <w:t xml:space="preserve"> </w:t>
      </w:r>
      <w:r>
        <w:rPr>
          <w:rFonts w:ascii="Arial Narrow" w:eastAsia="Arial Narrow" w:hAnsi="Arial Narrow" w:cs="Arial Narrow"/>
          <w:color w:val="000000"/>
          <w:sz w:val="16"/>
          <w:szCs w:val="16"/>
        </w:rPr>
        <w:t>Специфични план имплементације Директиве 2016/802/ЕУ Европског парламента и Савета од 11. маја 2016. године о смањењу садржаја сумпора у одређеним течним горивима и Специфични план за Директиву 98/70/EЗ Европског парламента и Савета од 13. октобра 1998. године о квалитету бензина и дизел горива и измењену Директиву 93/12/EEЗ.</w:t>
      </w:r>
    </w:p>
    <w:p w14:paraId="2BC2B7BC" w14:textId="77777777" w:rsidR="00697062" w:rsidRDefault="00697062">
      <w:pPr>
        <w:pBdr>
          <w:top w:val="nil"/>
          <w:left w:val="nil"/>
          <w:bottom w:val="nil"/>
          <w:right w:val="nil"/>
          <w:between w:val="nil"/>
        </w:pBdr>
        <w:tabs>
          <w:tab w:val="left" w:pos="284"/>
          <w:tab w:val="left" w:pos="3825"/>
        </w:tabs>
        <w:spacing w:after="0" w:line="240" w:lineRule="auto"/>
        <w:ind w:left="284" w:hanging="284"/>
        <w:rPr>
          <w:rFonts w:ascii="Arial" w:eastAsia="Arial" w:hAnsi="Arial" w:cs="Arial"/>
          <w:color w:val="000000"/>
          <w:sz w:val="16"/>
          <w:szCs w:val="16"/>
        </w:rPr>
      </w:pPr>
    </w:p>
  </w:footnote>
  <w:footnote w:id="89">
    <w:p w14:paraId="680F7F69"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Narrow" w:eastAsia="Arial Narrow" w:hAnsi="Arial Narrow" w:cs="Arial Narrow"/>
          <w:color w:val="000000"/>
          <w:sz w:val="16"/>
          <w:szCs w:val="16"/>
        </w:rPr>
      </w:pPr>
      <w:r>
        <w:rPr>
          <w:rStyle w:val="FootnoteReference"/>
          <w:vertAlign w:val="superscript"/>
        </w:rPr>
        <w:footnoteRef/>
      </w:r>
      <w:r>
        <w:rPr>
          <w:rFonts w:ascii="Arial Narrow" w:eastAsia="Arial Narrow" w:hAnsi="Arial Narrow" w:cs="Arial Narrow"/>
          <w:color w:val="000000"/>
          <w:sz w:val="16"/>
          <w:szCs w:val="16"/>
        </w:rPr>
        <w:t xml:space="preserve"> Специфични план имплементације VOC петрол Директива израђен је у оквиру пројекта ЕАС3. </w:t>
      </w:r>
    </w:p>
  </w:footnote>
  <w:footnote w:id="90">
    <w:p w14:paraId="3597D05D"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Narrow" w:eastAsia="Arial Narrow" w:hAnsi="Arial Narrow" w:cs="Arial Narrow"/>
          <w:color w:val="000000"/>
          <w:sz w:val="16"/>
          <w:szCs w:val="16"/>
        </w:rPr>
      </w:pPr>
      <w:r>
        <w:rPr>
          <w:rStyle w:val="FootnoteReference"/>
          <w:vertAlign w:val="superscript"/>
        </w:rPr>
        <w:footnoteRef/>
      </w:r>
      <w:r>
        <w:rPr>
          <w:rFonts w:ascii="Arial Narrow" w:eastAsia="Arial Narrow" w:hAnsi="Arial Narrow" w:cs="Arial Narrow"/>
          <w:color w:val="000000"/>
          <w:sz w:val="16"/>
          <w:szCs w:val="16"/>
        </w:rPr>
        <w:t xml:space="preserve"> Специфични план имплементације VOC петрол Директива израђен је у оквиру пројекта ЕАС3. </w:t>
      </w:r>
    </w:p>
  </w:footnote>
  <w:footnote w:id="91">
    <w:p w14:paraId="1C2144DF" w14:textId="77777777" w:rsidR="00697062" w:rsidRDefault="00697062">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ascii="Arial Narrow" w:eastAsia="Arial Narrow" w:hAnsi="Arial Narrow" w:cs="Arial Narrow"/>
          <w:color w:val="000000"/>
          <w:sz w:val="16"/>
          <w:szCs w:val="16"/>
        </w:rPr>
        <w:t>Специфични план за имплементацију Директиве 94/63/ЕЗ о контроли емисија испарљивих органских једињења као резултат складиштења бензина и његове дистрибуције са терминала до бензинских станица (Прва фаза) и Директиве 2009/126/ЕЗ сакупљања бензинске паре током допуњавања моторних возила горивом на бензинским станицама (Друга фаза)</w:t>
      </w:r>
      <w:r>
        <w:rPr>
          <w:rFonts w:ascii="Arial Narrow" w:eastAsia="Arial Narrow" w:hAnsi="Arial Narrow" w:cs="Arial Narrow"/>
          <w:color w:val="000000"/>
          <w:sz w:val="16"/>
          <w:szCs w:val="16"/>
          <w:lang w:val="sr-Cyrl-RS"/>
        </w:rPr>
        <w:t>-</w:t>
      </w:r>
      <w:r w:rsidRPr="00A1408D">
        <w:rPr>
          <w:rFonts w:ascii="Arial" w:eastAsia="Arial" w:hAnsi="Arial" w:cs="Arial"/>
          <w:color w:val="000000"/>
          <w:sz w:val="18"/>
          <w:szCs w:val="18"/>
        </w:rPr>
        <w:t xml:space="preserve"> </w:t>
      </w:r>
      <w:r>
        <w:rPr>
          <w:rFonts w:ascii="Arial" w:eastAsia="Arial" w:hAnsi="Arial" w:cs="Arial"/>
          <w:color w:val="000000"/>
          <w:sz w:val="18"/>
          <w:szCs w:val="18"/>
        </w:rPr>
        <w:t>ДСИП за VOC</w:t>
      </w:r>
      <w:r>
        <w:rPr>
          <w:rFonts w:ascii="Arial Narrow" w:eastAsia="Arial Narrow" w:hAnsi="Arial Narrow" w:cs="Arial Narrow"/>
          <w:color w:val="000000"/>
          <w:sz w:val="16"/>
          <w:szCs w:val="16"/>
        </w:rPr>
        <w:t>.</w:t>
      </w:r>
    </w:p>
  </w:footnote>
  <w:footnote w:id="92">
    <w:p w14:paraId="435BE49F"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Трошкови инвеститора су већ укључени у ДСИП за VOC.</w:t>
      </w:r>
    </w:p>
  </w:footnote>
  <w:footnote w:id="93">
    <w:p w14:paraId="375E77C9"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Измене су потребне за емисије из индустријских процеса за које недостају BAT AELs или нису решене на неки једноставнији начин.</w:t>
      </w:r>
    </w:p>
  </w:footnote>
  <w:footnote w:id="94">
    <w:p w14:paraId="3E26338F" w14:textId="77777777" w:rsidR="00697062" w:rsidRDefault="00697062" w:rsidP="0084294D">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Трошкови укључени у Меру 1.1.1.</w:t>
      </w:r>
    </w:p>
  </w:footnote>
  <w:footnote w:id="95">
    <w:p w14:paraId="5A94D11C" w14:textId="77777777" w:rsidR="00697062" w:rsidRDefault="00697062">
      <w:pPr>
        <w:pBdr>
          <w:top w:val="nil"/>
          <w:left w:val="nil"/>
          <w:bottom w:val="nil"/>
          <w:right w:val="nil"/>
          <w:between w:val="nil"/>
        </w:pBdr>
        <w:tabs>
          <w:tab w:val="left" w:pos="284"/>
          <w:tab w:val="left" w:pos="3825"/>
        </w:tabs>
        <w:spacing w:before="120" w:line="240" w:lineRule="auto"/>
        <w:ind w:left="284" w:hanging="284"/>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w:t>
      </w:r>
      <w:r>
        <w:rPr>
          <w:rFonts w:ascii="Arial" w:eastAsia="Arial" w:hAnsi="Arial" w:cs="Arial"/>
          <w:color w:val="000000"/>
          <w:sz w:val="16"/>
          <w:szCs w:val="16"/>
        </w:rPr>
        <w:t>Тачну вредност за концентрацију прашкастих материја из Табеле 3 Спроведбене одлуке Комисије 2016/1032/ЕУ треба утврдити на основу нивоа концентрације тешких метала из производње бакра. Очекује се да ће емисије прашкастих материја ићи према доњем опсегу</w:t>
      </w:r>
      <w:r>
        <w:rPr>
          <w:rFonts w:cs="Calibri"/>
          <w:color w:val="000000"/>
          <w:sz w:val="16"/>
          <w:szCs w:val="16"/>
        </w:rPr>
        <w:t xml:space="preserve"> </w:t>
      </w:r>
      <w:r>
        <w:rPr>
          <w:rFonts w:ascii="Arial" w:eastAsia="Arial" w:hAnsi="Arial" w:cs="Arial"/>
          <w:color w:val="000000"/>
          <w:sz w:val="16"/>
          <w:szCs w:val="16"/>
        </w:rPr>
        <w:t>BAT AELs када емисије тешких метала буду изнад следећих вредности:  1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олово, 1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бакар, 0,05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арсен, 0,05 mg/Nm</w:t>
      </w:r>
      <w:r>
        <w:rPr>
          <w:rFonts w:ascii="Arial" w:eastAsia="Arial" w:hAnsi="Arial" w:cs="Arial"/>
          <w:color w:val="000000"/>
          <w:sz w:val="16"/>
          <w:szCs w:val="16"/>
          <w:vertAlign w:val="superscript"/>
        </w:rPr>
        <w:t>3</w:t>
      </w:r>
      <w:r>
        <w:rPr>
          <w:rFonts w:ascii="Arial" w:eastAsia="Arial" w:hAnsi="Arial" w:cs="Arial"/>
          <w:color w:val="000000"/>
          <w:sz w:val="16"/>
          <w:szCs w:val="16"/>
        </w:rPr>
        <w:t xml:space="preserve"> за кадмијум.</w:t>
      </w:r>
    </w:p>
  </w:footnote>
  <w:footnote w:id="96">
    <w:p w14:paraId="1A27090C" w14:textId="77777777" w:rsidR="00697062" w:rsidRDefault="00697062" w:rsidP="0084294D">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w:t>
      </w:r>
      <w:r>
        <w:rPr>
          <w:rFonts w:cs="Calibri"/>
          <w:color w:val="000000"/>
          <w:sz w:val="16"/>
          <w:szCs w:val="16"/>
        </w:rPr>
        <w:t>Пројекат је у току, а средства су обезбеђена из постојећег буџета АЗЖС.</w:t>
      </w:r>
    </w:p>
  </w:footnote>
  <w:footnote w:id="97">
    <w:p w14:paraId="6692DE15"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w:t>
      </w:r>
      <w:r>
        <w:rPr>
          <w:rFonts w:cs="Calibri"/>
          <w:color w:val="000000"/>
          <w:sz w:val="16"/>
          <w:szCs w:val="16"/>
        </w:rPr>
        <w:t>Пројекат је у току, а средства су обезбеђена из постојећег буџета АЗЖС.</w:t>
      </w:r>
    </w:p>
  </w:footnote>
  <w:footnote w:id="98">
    <w:p w14:paraId="2B5ECBD5" w14:textId="77777777" w:rsidR="00697062" w:rsidRDefault="00697062">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Трошкови укључени у меру 1.3.1.7.</w:t>
      </w:r>
    </w:p>
  </w:footnote>
  <w:footnote w:id="99">
    <w:p w14:paraId="6EBE7C0C" w14:textId="77777777" w:rsidR="00697062" w:rsidRPr="00101DF4" w:rsidRDefault="00697062">
      <w:pPr>
        <w:pStyle w:val="FootnoteText"/>
        <w:rPr>
          <w:lang w:val="sr-Cyrl-RS"/>
        </w:rPr>
      </w:pPr>
      <w:r>
        <w:rPr>
          <w:rStyle w:val="FootnoteReference"/>
        </w:rPr>
        <w:footnoteRef/>
      </w:r>
      <w:r>
        <w:t xml:space="preserve"> </w:t>
      </w:r>
      <w:r w:rsidRPr="00101DF4">
        <w:rPr>
          <w:rFonts w:ascii="Times New Roman" w:hAnsi="Times New Roman"/>
          <w:szCs w:val="18"/>
          <w:lang w:val="sr-Cyrl-RS"/>
        </w:rPr>
        <w:t xml:space="preserve">Укључено у </w:t>
      </w:r>
      <w:r w:rsidRPr="00101DF4">
        <w:rPr>
          <w:rFonts w:ascii="Times New Roman" w:hAnsi="Times New Roman"/>
          <w:szCs w:val="18"/>
        </w:rPr>
        <w:t>Мер</w:t>
      </w:r>
      <w:r w:rsidRPr="00101DF4">
        <w:rPr>
          <w:rFonts w:ascii="Times New Roman" w:hAnsi="Times New Roman"/>
          <w:szCs w:val="18"/>
          <w:lang w:val="sr-Cyrl-RS"/>
        </w:rPr>
        <w:t>у</w:t>
      </w:r>
      <w:r w:rsidRPr="00101DF4">
        <w:rPr>
          <w:rFonts w:ascii="Times New Roman" w:hAnsi="Times New Roman"/>
          <w:szCs w:val="18"/>
        </w:rPr>
        <w:t xml:space="preserve"> 1.3.1.</w:t>
      </w:r>
    </w:p>
  </w:footnote>
  <w:footnote w:id="100">
    <w:p w14:paraId="1CA9D81D" w14:textId="77777777" w:rsidR="00697062" w:rsidRDefault="00697062" w:rsidP="00AB066E">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sidRPr="00AB066E">
        <w:rPr>
          <w:rStyle w:val="FootnoteReference"/>
          <w:sz w:val="20"/>
          <w:szCs w:val="20"/>
          <w:vertAlign w:val="superscript"/>
        </w:rPr>
        <w:footnoteRef/>
      </w:r>
      <w:r w:rsidRPr="00AB066E">
        <w:rPr>
          <w:rFonts w:ascii="Arial" w:eastAsia="Arial" w:hAnsi="Arial" w:cs="Arial"/>
          <w:color w:val="000000"/>
          <w:sz w:val="20"/>
          <w:szCs w:val="20"/>
        </w:rPr>
        <w:t xml:space="preserve"> </w:t>
      </w:r>
      <w:r>
        <w:rPr>
          <w:rFonts w:ascii="Arial" w:eastAsia="Arial" w:hAnsi="Arial" w:cs="Arial"/>
          <w:color w:val="000000"/>
          <w:sz w:val="18"/>
          <w:szCs w:val="18"/>
        </w:rPr>
        <w:t>Трошкови укључени у активност 1.3.1.4.</w:t>
      </w:r>
    </w:p>
  </w:footnote>
  <w:footnote w:id="101">
    <w:p w14:paraId="3AD49ED6" w14:textId="77777777" w:rsidR="00697062" w:rsidRDefault="00697062" w:rsidP="00AB066E">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Трошкови укључени у активност 1.3.1.4.</w:t>
      </w:r>
    </w:p>
  </w:footnote>
  <w:footnote w:id="102">
    <w:p w14:paraId="09DE4A77" w14:textId="77777777" w:rsidR="00697062" w:rsidRDefault="00697062" w:rsidP="00AB066E">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8"/>
          <w:szCs w:val="18"/>
        </w:rPr>
      </w:pPr>
      <w:r>
        <w:rPr>
          <w:rStyle w:val="FootnoteReference"/>
          <w:vertAlign w:val="superscript"/>
        </w:rPr>
        <w:footnoteRef/>
      </w:r>
      <w:r>
        <w:rPr>
          <w:rFonts w:ascii="Arial" w:eastAsia="Arial" w:hAnsi="Arial" w:cs="Arial"/>
          <w:color w:val="000000"/>
          <w:sz w:val="18"/>
          <w:szCs w:val="18"/>
        </w:rPr>
        <w:t xml:space="preserve"> Трошкови укључени у активност 1.3.1.4.</w:t>
      </w:r>
    </w:p>
  </w:footnote>
  <w:footnote w:id="103">
    <w:p w14:paraId="2FDB7F17" w14:textId="77777777" w:rsidR="00697062" w:rsidRDefault="00697062" w:rsidP="00AB066E">
      <w:pPr>
        <w:pBdr>
          <w:top w:val="nil"/>
          <w:left w:val="nil"/>
          <w:bottom w:val="nil"/>
          <w:right w:val="nil"/>
          <w:between w:val="nil"/>
        </w:pBdr>
        <w:tabs>
          <w:tab w:val="left" w:pos="284"/>
          <w:tab w:val="left" w:pos="3825"/>
        </w:tabs>
        <w:spacing w:before="120" w:line="240" w:lineRule="auto"/>
        <w:ind w:left="284" w:hanging="284"/>
        <w:jc w:val="left"/>
        <w:rPr>
          <w:rFonts w:ascii="Arial" w:eastAsia="Arial" w:hAnsi="Arial" w:cs="Arial"/>
          <w:color w:val="000000"/>
          <w:sz w:val="16"/>
          <w:szCs w:val="16"/>
        </w:rPr>
      </w:pPr>
      <w:r>
        <w:rPr>
          <w:rStyle w:val="FootnoteReference"/>
          <w:vertAlign w:val="superscript"/>
        </w:rPr>
        <w:footnoteRef/>
      </w:r>
      <w:r>
        <w:rPr>
          <w:rFonts w:ascii="Arial" w:eastAsia="Arial" w:hAnsi="Arial" w:cs="Arial"/>
          <w:color w:val="000000"/>
          <w:sz w:val="16"/>
          <w:szCs w:val="16"/>
        </w:rPr>
        <w:t xml:space="preserve"> Средња оцена овде служи само као референца, иако се средња оцена показатеља множи средњом оценом одговарајућег критеријума.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B001F" w14:textId="77777777" w:rsidR="00697062" w:rsidRDefault="00697062">
    <w:pPr>
      <w:pBdr>
        <w:top w:val="nil"/>
        <w:left w:val="nil"/>
        <w:bottom w:val="nil"/>
        <w:right w:val="nil"/>
        <w:between w:val="nil"/>
      </w:pBdr>
      <w:tabs>
        <w:tab w:val="center" w:pos="4680"/>
        <w:tab w:val="right" w:pos="9360"/>
        <w:tab w:val="right" w:pos="9356"/>
      </w:tabs>
      <w:spacing w:after="0"/>
      <w:rPr>
        <w:rFonts w:cs="Calibri"/>
        <w:color w:val="000000"/>
        <w:sz w:val="20"/>
        <w:szCs w:val="20"/>
      </w:rPr>
    </w:pPr>
  </w:p>
  <w:p w14:paraId="3DC087A5" w14:textId="77777777" w:rsidR="00697062" w:rsidRDefault="00697062">
    <w:pPr>
      <w:pBdr>
        <w:top w:val="nil"/>
        <w:left w:val="nil"/>
        <w:bottom w:val="nil"/>
        <w:right w:val="nil"/>
        <w:between w:val="nil"/>
      </w:pBdr>
      <w:tabs>
        <w:tab w:val="center" w:pos="4680"/>
        <w:tab w:val="right" w:pos="9360"/>
      </w:tabs>
      <w:spacing w:after="0"/>
      <w:rPr>
        <w:rFonts w:cs="Calibri"/>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E8369" w14:textId="77777777" w:rsidR="00697062" w:rsidRDefault="00697062">
    <w:pPr>
      <w:pBdr>
        <w:top w:val="nil"/>
        <w:left w:val="nil"/>
        <w:bottom w:val="nil"/>
        <w:right w:val="nil"/>
        <w:between w:val="nil"/>
      </w:pBdr>
      <w:tabs>
        <w:tab w:val="center" w:pos="4680"/>
        <w:tab w:val="right" w:pos="9360"/>
        <w:tab w:val="right" w:pos="9356"/>
      </w:tabs>
      <w:spacing w:after="0"/>
      <w:rPr>
        <w:rFonts w:cs="Calibri"/>
        <w:color w:val="000000"/>
        <w:sz w:val="20"/>
        <w:szCs w:val="20"/>
      </w:rPr>
    </w:pPr>
  </w:p>
  <w:p w14:paraId="2AA42365" w14:textId="77777777" w:rsidR="00697062" w:rsidRDefault="00697062">
    <w:pPr>
      <w:pBdr>
        <w:top w:val="nil"/>
        <w:left w:val="nil"/>
        <w:bottom w:val="nil"/>
        <w:right w:val="nil"/>
        <w:between w:val="nil"/>
      </w:pBdr>
      <w:tabs>
        <w:tab w:val="center" w:pos="4680"/>
        <w:tab w:val="right" w:pos="9360"/>
      </w:tabs>
      <w:spacing w:after="0"/>
      <w:rPr>
        <w:rFonts w:cs="Calibri"/>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FA02B" w14:textId="77777777" w:rsidR="00697062" w:rsidRDefault="00697062">
    <w:pPr>
      <w:pBdr>
        <w:top w:val="nil"/>
        <w:left w:val="nil"/>
        <w:bottom w:val="nil"/>
        <w:right w:val="nil"/>
        <w:between w:val="nil"/>
      </w:pBdr>
      <w:tabs>
        <w:tab w:val="center" w:pos="4680"/>
        <w:tab w:val="right" w:pos="9360"/>
        <w:tab w:val="right" w:pos="9356"/>
      </w:tabs>
      <w:spacing w:after="0"/>
      <w:rPr>
        <w:rFonts w:cs="Calibri"/>
        <w:color w:val="000000"/>
        <w:sz w:val="20"/>
        <w:szCs w:val="20"/>
      </w:rPr>
    </w:pPr>
  </w:p>
  <w:p w14:paraId="6240695C" w14:textId="77777777" w:rsidR="00697062" w:rsidRDefault="00697062">
    <w:pPr>
      <w:pBdr>
        <w:top w:val="nil"/>
        <w:left w:val="nil"/>
        <w:bottom w:val="nil"/>
        <w:right w:val="nil"/>
        <w:between w:val="nil"/>
      </w:pBdr>
      <w:tabs>
        <w:tab w:val="center" w:pos="4680"/>
        <w:tab w:val="right" w:pos="9360"/>
      </w:tabs>
      <w:spacing w:after="0"/>
      <w:rPr>
        <w:rFonts w:cs="Calibri"/>
        <w:color w:val="000000"/>
        <w:sz w:val="20"/>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EC7DE" w14:textId="77777777" w:rsidR="00697062" w:rsidRDefault="00697062">
    <w:pPr>
      <w:pBdr>
        <w:top w:val="nil"/>
        <w:left w:val="nil"/>
        <w:bottom w:val="nil"/>
        <w:right w:val="nil"/>
        <w:between w:val="nil"/>
      </w:pBdr>
      <w:tabs>
        <w:tab w:val="center" w:pos="4680"/>
        <w:tab w:val="right" w:pos="9360"/>
        <w:tab w:val="center" w:pos="2835"/>
        <w:tab w:val="right" w:pos="3119"/>
      </w:tabs>
      <w:spacing w:after="0"/>
      <w:rPr>
        <w:rFonts w:cs="Calibri"/>
        <w:color w:val="000000"/>
        <w:sz w:val="20"/>
        <w:szCs w:val="20"/>
      </w:rPr>
    </w:pPr>
  </w:p>
  <w:p w14:paraId="01766273" w14:textId="77777777" w:rsidR="00697062" w:rsidRDefault="00697062">
    <w:pPr>
      <w:pBdr>
        <w:top w:val="nil"/>
        <w:left w:val="nil"/>
        <w:bottom w:val="nil"/>
        <w:right w:val="nil"/>
        <w:between w:val="nil"/>
      </w:pBdr>
      <w:tabs>
        <w:tab w:val="center" w:pos="4680"/>
        <w:tab w:val="right" w:pos="9360"/>
      </w:tabs>
      <w:spacing w:after="0"/>
      <w:rPr>
        <w:rFonts w:cs="Calibri"/>
        <w:color w:val="000000"/>
        <w:sz w:val="20"/>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221F1" w14:textId="77777777" w:rsidR="00697062" w:rsidRDefault="00697062">
    <w:pPr>
      <w:pBdr>
        <w:top w:val="nil"/>
        <w:left w:val="nil"/>
        <w:bottom w:val="nil"/>
        <w:right w:val="nil"/>
        <w:between w:val="nil"/>
      </w:pBdr>
      <w:tabs>
        <w:tab w:val="center" w:pos="4680"/>
        <w:tab w:val="right" w:pos="9360"/>
        <w:tab w:val="center" w:pos="2835"/>
        <w:tab w:val="right" w:pos="3119"/>
      </w:tabs>
      <w:spacing w:after="0"/>
      <w:rPr>
        <w:rFonts w:cs="Calibri"/>
        <w:color w:val="000000"/>
        <w:sz w:val="20"/>
        <w:szCs w:val="20"/>
      </w:rPr>
    </w:pPr>
  </w:p>
  <w:p w14:paraId="370D05B3" w14:textId="77777777" w:rsidR="00697062" w:rsidRDefault="00697062">
    <w:pPr>
      <w:pBdr>
        <w:top w:val="nil"/>
        <w:left w:val="nil"/>
        <w:bottom w:val="nil"/>
        <w:right w:val="nil"/>
        <w:between w:val="nil"/>
      </w:pBdr>
      <w:tabs>
        <w:tab w:val="center" w:pos="4680"/>
        <w:tab w:val="right" w:pos="9360"/>
      </w:tabs>
      <w:spacing w:after="0"/>
      <w:rPr>
        <w:rFonts w:cs="Calibri"/>
        <w:color w:val="000000"/>
        <w:sz w:val="20"/>
        <w:szCs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693A8" w14:textId="77777777" w:rsidR="00697062" w:rsidRDefault="00697062">
    <w:pPr>
      <w:pBdr>
        <w:top w:val="nil"/>
        <w:left w:val="nil"/>
        <w:bottom w:val="nil"/>
        <w:right w:val="nil"/>
        <w:between w:val="nil"/>
      </w:pBdr>
      <w:tabs>
        <w:tab w:val="center" w:pos="4680"/>
        <w:tab w:val="right" w:pos="9360"/>
        <w:tab w:val="center" w:pos="2835"/>
        <w:tab w:val="right" w:pos="3119"/>
      </w:tabs>
      <w:spacing w:after="0"/>
      <w:rPr>
        <w:rFonts w:cs="Calibri"/>
        <w:color w:val="000000"/>
        <w:sz w:val="20"/>
        <w:szCs w:val="20"/>
      </w:rPr>
    </w:pPr>
  </w:p>
  <w:p w14:paraId="496B5944" w14:textId="77777777" w:rsidR="00697062" w:rsidRDefault="00697062">
    <w:pPr>
      <w:pBdr>
        <w:top w:val="nil"/>
        <w:left w:val="nil"/>
        <w:bottom w:val="nil"/>
        <w:right w:val="nil"/>
        <w:between w:val="nil"/>
      </w:pBdr>
      <w:tabs>
        <w:tab w:val="center" w:pos="4680"/>
        <w:tab w:val="right" w:pos="9360"/>
      </w:tabs>
      <w:spacing w:after="0"/>
      <w:rPr>
        <w:rFonts w:cs="Calibri"/>
        <w:color w:val="000000"/>
        <w:sz w:val="20"/>
        <w:szCs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38912F" w14:textId="77777777" w:rsidR="00697062" w:rsidRDefault="00697062">
    <w:pPr>
      <w:pBdr>
        <w:top w:val="nil"/>
        <w:left w:val="nil"/>
        <w:bottom w:val="nil"/>
        <w:right w:val="nil"/>
        <w:between w:val="nil"/>
      </w:pBdr>
      <w:tabs>
        <w:tab w:val="center" w:pos="4680"/>
        <w:tab w:val="right" w:pos="9360"/>
        <w:tab w:val="right" w:pos="9356"/>
      </w:tabs>
      <w:spacing w:after="0"/>
      <w:rPr>
        <w:rFonts w:cs="Calibri"/>
        <w:color w:val="000000"/>
        <w:sz w:val="20"/>
        <w:szCs w:val="20"/>
      </w:rPr>
    </w:pPr>
  </w:p>
  <w:p w14:paraId="3226888C" w14:textId="77777777" w:rsidR="00697062" w:rsidRDefault="00697062">
    <w:pPr>
      <w:pBdr>
        <w:top w:val="nil"/>
        <w:left w:val="nil"/>
        <w:bottom w:val="nil"/>
        <w:right w:val="nil"/>
        <w:between w:val="nil"/>
      </w:pBdr>
      <w:tabs>
        <w:tab w:val="center" w:pos="4680"/>
        <w:tab w:val="right" w:pos="9360"/>
      </w:tabs>
      <w:spacing w:after="0"/>
      <w:rPr>
        <w:rFonts w:cs="Calibri"/>
        <w:color w:val="000000"/>
        <w:sz w:val="20"/>
        <w:szCs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63755" w14:textId="77777777" w:rsidR="00697062" w:rsidRDefault="00697062">
    <w:pPr>
      <w:pBdr>
        <w:top w:val="nil"/>
        <w:left w:val="nil"/>
        <w:bottom w:val="nil"/>
        <w:right w:val="nil"/>
        <w:between w:val="nil"/>
      </w:pBdr>
      <w:tabs>
        <w:tab w:val="center" w:pos="4680"/>
        <w:tab w:val="right" w:pos="9360"/>
        <w:tab w:val="right" w:pos="9356"/>
      </w:tabs>
      <w:spacing w:after="0"/>
      <w:rPr>
        <w:rFonts w:cs="Calibri"/>
        <w:color w:val="000000"/>
        <w:sz w:val="20"/>
        <w:szCs w:val="20"/>
      </w:rPr>
    </w:pPr>
  </w:p>
  <w:p w14:paraId="159594DE" w14:textId="77777777" w:rsidR="00697062" w:rsidRDefault="00697062">
    <w:pPr>
      <w:pBdr>
        <w:top w:val="nil"/>
        <w:left w:val="nil"/>
        <w:bottom w:val="nil"/>
        <w:right w:val="nil"/>
        <w:between w:val="nil"/>
      </w:pBdr>
      <w:tabs>
        <w:tab w:val="center" w:pos="4680"/>
        <w:tab w:val="right" w:pos="9360"/>
      </w:tabs>
      <w:spacing w:after="0"/>
      <w:rPr>
        <w:rFonts w:cs="Calibri"/>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64D44"/>
    <w:multiLevelType w:val="multilevel"/>
    <w:tmpl w:val="F89E699C"/>
    <w:lvl w:ilvl="0">
      <w:start w:val="1"/>
      <w:numFmt w:val="bullet"/>
      <w:lvlText w:val="⮚"/>
      <w:lvlJc w:val="left"/>
      <w:pPr>
        <w:ind w:left="360" w:hanging="360"/>
      </w:pPr>
      <w:rPr>
        <w:rFonts w:ascii="Noto Sans Symbols" w:eastAsia="Noto Sans Symbols" w:hAnsi="Noto Sans Symbols" w:cs="Noto Sans Symbols"/>
      </w:rPr>
    </w:lvl>
    <w:lvl w:ilvl="1">
      <w:start w:val="1"/>
      <w:numFmt w:val="bullet"/>
      <w:pStyle w:val="Heading2"/>
      <w:lvlText w:val="o"/>
      <w:lvlJc w:val="left"/>
      <w:pPr>
        <w:ind w:left="1080" w:hanging="360"/>
      </w:pPr>
      <w:rPr>
        <w:rFonts w:ascii="Courier New" w:eastAsia="Courier New" w:hAnsi="Courier New" w:cs="Courier New"/>
      </w:rPr>
    </w:lvl>
    <w:lvl w:ilvl="2">
      <w:start w:val="1"/>
      <w:numFmt w:val="bullet"/>
      <w:pStyle w:val="Heading3"/>
      <w:lvlText w:val="▪"/>
      <w:lvlJc w:val="left"/>
      <w:pPr>
        <w:ind w:left="1800" w:hanging="360"/>
      </w:pPr>
      <w:rPr>
        <w:rFonts w:ascii="Noto Sans Symbols" w:eastAsia="Noto Sans Symbols" w:hAnsi="Noto Sans Symbols" w:cs="Noto Sans Symbols"/>
      </w:rPr>
    </w:lvl>
    <w:lvl w:ilvl="3">
      <w:start w:val="1"/>
      <w:numFmt w:val="bullet"/>
      <w:pStyle w:val="Heading4"/>
      <w:lvlText w:val="●"/>
      <w:lvlJc w:val="left"/>
      <w:pPr>
        <w:ind w:left="2520" w:hanging="360"/>
      </w:pPr>
      <w:rPr>
        <w:rFonts w:ascii="Noto Sans Symbols" w:eastAsia="Noto Sans Symbols" w:hAnsi="Noto Sans Symbols" w:cs="Noto Sans Symbols"/>
      </w:rPr>
    </w:lvl>
    <w:lvl w:ilvl="4">
      <w:start w:val="1"/>
      <w:numFmt w:val="bullet"/>
      <w:pStyle w:val="Heading5"/>
      <w:lvlText w:val="o"/>
      <w:lvlJc w:val="left"/>
      <w:pPr>
        <w:ind w:left="3240" w:hanging="360"/>
      </w:pPr>
      <w:rPr>
        <w:rFonts w:ascii="Courier New" w:eastAsia="Courier New" w:hAnsi="Courier New" w:cs="Courier New"/>
      </w:rPr>
    </w:lvl>
    <w:lvl w:ilvl="5">
      <w:start w:val="1"/>
      <w:numFmt w:val="bullet"/>
      <w:pStyle w:val="Heading6"/>
      <w:lvlText w:val="▪"/>
      <w:lvlJc w:val="left"/>
      <w:pPr>
        <w:ind w:left="3960" w:hanging="360"/>
      </w:pPr>
      <w:rPr>
        <w:rFonts w:ascii="Noto Sans Symbols" w:eastAsia="Noto Sans Symbols" w:hAnsi="Noto Sans Symbols" w:cs="Noto Sans Symbols"/>
      </w:rPr>
    </w:lvl>
    <w:lvl w:ilvl="6">
      <w:start w:val="1"/>
      <w:numFmt w:val="bullet"/>
      <w:pStyle w:val="Heading7"/>
      <w:lvlText w:val="●"/>
      <w:lvlJc w:val="left"/>
      <w:pPr>
        <w:ind w:left="4680" w:hanging="360"/>
      </w:pPr>
      <w:rPr>
        <w:rFonts w:ascii="Noto Sans Symbols" w:eastAsia="Noto Sans Symbols" w:hAnsi="Noto Sans Symbols" w:cs="Noto Sans Symbols"/>
      </w:rPr>
    </w:lvl>
    <w:lvl w:ilvl="7">
      <w:start w:val="1"/>
      <w:numFmt w:val="bullet"/>
      <w:pStyle w:val="Heading8"/>
      <w:lvlText w:val="o"/>
      <w:lvlJc w:val="left"/>
      <w:pPr>
        <w:ind w:left="5400" w:hanging="360"/>
      </w:pPr>
      <w:rPr>
        <w:rFonts w:ascii="Courier New" w:eastAsia="Courier New" w:hAnsi="Courier New" w:cs="Courier New"/>
      </w:rPr>
    </w:lvl>
    <w:lvl w:ilvl="8">
      <w:start w:val="1"/>
      <w:numFmt w:val="bullet"/>
      <w:pStyle w:val="Heading9"/>
      <w:lvlText w:val="▪"/>
      <w:lvlJc w:val="left"/>
      <w:pPr>
        <w:ind w:left="6120" w:hanging="360"/>
      </w:pPr>
      <w:rPr>
        <w:rFonts w:ascii="Noto Sans Symbols" w:eastAsia="Noto Sans Symbols" w:hAnsi="Noto Sans Symbols" w:cs="Noto Sans Symbols"/>
      </w:rPr>
    </w:lvl>
  </w:abstractNum>
  <w:abstractNum w:abstractNumId="1" w15:restartNumberingAfterBreak="0">
    <w:nsid w:val="048F14A7"/>
    <w:multiLevelType w:val="multilevel"/>
    <w:tmpl w:val="FE92E80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9F417B5"/>
    <w:multiLevelType w:val="multilevel"/>
    <w:tmpl w:val="5DD4E9D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0A0627AB"/>
    <w:multiLevelType w:val="multilevel"/>
    <w:tmpl w:val="18B640D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ACC6303"/>
    <w:multiLevelType w:val="multilevel"/>
    <w:tmpl w:val="8344418C"/>
    <w:lvl w:ilvl="0">
      <w:start w:val="1"/>
      <w:numFmt w:val="decimal"/>
      <w:lvlText w:val="%1)"/>
      <w:lvlJc w:val="lef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0AE647A7"/>
    <w:multiLevelType w:val="multilevel"/>
    <w:tmpl w:val="7F263D8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BED30E8"/>
    <w:multiLevelType w:val="multilevel"/>
    <w:tmpl w:val="F9CCD36E"/>
    <w:lvl w:ilvl="0">
      <w:start w:val="7"/>
      <w:numFmt w:val="decimal"/>
      <w:pStyle w:val="1Appendix"/>
      <w:lvlText w:val="%1"/>
      <w:lvlJc w:val="left"/>
      <w:pPr>
        <w:ind w:left="432" w:hanging="432"/>
      </w:pPr>
    </w:lvl>
    <w:lvl w:ilvl="1">
      <w:start w:val="2"/>
      <w:numFmt w:val="decimal"/>
      <w:lvlText w:val="%1.%2"/>
      <w:lvlJc w:val="left"/>
      <w:pPr>
        <w:ind w:left="576" w:hanging="576"/>
      </w:pPr>
      <w:rPr>
        <w:i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0DB468E8"/>
    <w:multiLevelType w:val="multilevel"/>
    <w:tmpl w:val="A58EC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B8F6F49"/>
    <w:multiLevelType w:val="multilevel"/>
    <w:tmpl w:val="0FAA5A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1BE14A8F"/>
    <w:multiLevelType w:val="multilevel"/>
    <w:tmpl w:val="0F488EF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F9D7CAA"/>
    <w:multiLevelType w:val="multilevel"/>
    <w:tmpl w:val="3FFABA3A"/>
    <w:lvl w:ilvl="0">
      <w:start w:val="1"/>
      <w:numFmt w:val="decimal"/>
      <w:lvlText w:val="%1)"/>
      <w:lvlJc w:val="left"/>
      <w:pPr>
        <w:ind w:left="720" w:hanging="360"/>
      </w:pPr>
      <w:rPr>
        <w:sz w:val="24"/>
        <w:szCs w:val="24"/>
      </w:rPr>
    </w:lvl>
    <w:lvl w:ilvl="1">
      <w:start w:val="2"/>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1FBF0BF6"/>
    <w:multiLevelType w:val="multilevel"/>
    <w:tmpl w:val="18D069AC"/>
    <w:lvl w:ilvl="0">
      <w:start w:val="1"/>
      <w:numFmt w:val="decimal"/>
      <w:lvlText w:val="%1)"/>
      <w:lvlJc w:val="left"/>
      <w:pPr>
        <w:ind w:left="4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B7843D7"/>
    <w:multiLevelType w:val="hybridMultilevel"/>
    <w:tmpl w:val="A6BE3B22"/>
    <w:lvl w:ilvl="0" w:tplc="04090011">
      <w:start w:val="1"/>
      <w:numFmt w:val="decimal"/>
      <w:lvlText w:val="%1)"/>
      <w:lvlJc w:val="left"/>
      <w:pPr>
        <w:ind w:left="720" w:hanging="360"/>
      </w:pPr>
    </w:lvl>
    <w:lvl w:ilvl="1" w:tplc="0AA00DD6">
      <w:numFmt w:val="bullet"/>
      <w:lvlText w:val="•"/>
      <w:lvlJc w:val="left"/>
      <w:pPr>
        <w:ind w:left="1800" w:hanging="72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490839"/>
    <w:multiLevelType w:val="multilevel"/>
    <w:tmpl w:val="7088A386"/>
    <w:lvl w:ilvl="0">
      <w:start w:val="1"/>
      <w:numFmt w:val="decimal"/>
      <w:lvlText w:val="%1)"/>
      <w:lvlJc w:val="left"/>
      <w:pPr>
        <w:ind w:left="720" w:hanging="360"/>
      </w:pPr>
      <w:rPr>
        <w:b w:val="0"/>
        <w:i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2034AE8"/>
    <w:multiLevelType w:val="multilevel"/>
    <w:tmpl w:val="BCF8EEE8"/>
    <w:lvl w:ilvl="0">
      <w:start w:val="1"/>
      <w:numFmt w:val="bullet"/>
      <w:pStyle w:val="Header"/>
      <w:lvlText w:val="●"/>
      <w:lvlJc w:val="left"/>
      <w:pPr>
        <w:ind w:left="720" w:hanging="360"/>
      </w:pPr>
      <w:rPr>
        <w:rFonts w:ascii="Noto Sans Symbols" w:eastAsia="Noto Sans Symbols" w:hAnsi="Noto Sans Symbols" w:cs="Noto Sans Symbols"/>
        <w:sz w:val="20"/>
        <w:szCs w:val="20"/>
      </w:rPr>
    </w:lvl>
    <w:lvl w:ilvl="1">
      <w:start w:val="2"/>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362F5CC9"/>
    <w:multiLevelType w:val="multilevel"/>
    <w:tmpl w:val="B652122E"/>
    <w:lvl w:ilvl="0">
      <w:numFmt w:val="bullet"/>
      <w:pStyle w:val="Heading1"/>
      <w:lvlText w:val="-"/>
      <w:lvlJc w:val="left"/>
      <w:pPr>
        <w:ind w:left="420" w:hanging="360"/>
      </w:pPr>
      <w:rPr>
        <w:rFonts w:ascii="Arial" w:eastAsia="Arial" w:hAnsi="Arial" w:cs="Arial"/>
      </w:rPr>
    </w:lvl>
    <w:lvl w:ilvl="1">
      <w:start w:val="1"/>
      <w:numFmt w:val="bullet"/>
      <w:lvlText w:val="o"/>
      <w:lvlJc w:val="left"/>
      <w:pPr>
        <w:ind w:left="1140" w:hanging="360"/>
      </w:pPr>
      <w:rPr>
        <w:rFonts w:ascii="Courier New" w:eastAsia="Courier New" w:hAnsi="Courier New" w:cs="Courier New"/>
      </w:rPr>
    </w:lvl>
    <w:lvl w:ilvl="2">
      <w:start w:val="1"/>
      <w:numFmt w:val="bullet"/>
      <w:lvlText w:val="▪"/>
      <w:lvlJc w:val="left"/>
      <w:pPr>
        <w:ind w:left="1860" w:hanging="360"/>
      </w:pPr>
      <w:rPr>
        <w:rFonts w:ascii="Noto Sans Symbols" w:eastAsia="Noto Sans Symbols" w:hAnsi="Noto Sans Symbols" w:cs="Noto Sans Symbols"/>
      </w:rPr>
    </w:lvl>
    <w:lvl w:ilvl="3">
      <w:start w:val="1"/>
      <w:numFmt w:val="bullet"/>
      <w:lvlText w:val="●"/>
      <w:lvlJc w:val="left"/>
      <w:pPr>
        <w:ind w:left="2580" w:hanging="360"/>
      </w:pPr>
      <w:rPr>
        <w:rFonts w:ascii="Noto Sans Symbols" w:eastAsia="Noto Sans Symbols" w:hAnsi="Noto Sans Symbols" w:cs="Noto Sans Symbols"/>
      </w:rPr>
    </w:lvl>
    <w:lvl w:ilvl="4">
      <w:start w:val="1"/>
      <w:numFmt w:val="bullet"/>
      <w:lvlText w:val="o"/>
      <w:lvlJc w:val="left"/>
      <w:pPr>
        <w:ind w:left="3300" w:hanging="360"/>
      </w:pPr>
      <w:rPr>
        <w:rFonts w:ascii="Courier New" w:eastAsia="Courier New" w:hAnsi="Courier New" w:cs="Courier New"/>
      </w:rPr>
    </w:lvl>
    <w:lvl w:ilvl="5">
      <w:start w:val="1"/>
      <w:numFmt w:val="bullet"/>
      <w:lvlText w:val="▪"/>
      <w:lvlJc w:val="left"/>
      <w:pPr>
        <w:ind w:left="4020" w:hanging="360"/>
      </w:pPr>
      <w:rPr>
        <w:rFonts w:ascii="Noto Sans Symbols" w:eastAsia="Noto Sans Symbols" w:hAnsi="Noto Sans Symbols" w:cs="Noto Sans Symbols"/>
      </w:rPr>
    </w:lvl>
    <w:lvl w:ilvl="6">
      <w:start w:val="1"/>
      <w:numFmt w:val="bullet"/>
      <w:lvlText w:val="●"/>
      <w:lvlJc w:val="left"/>
      <w:pPr>
        <w:ind w:left="4740" w:hanging="360"/>
      </w:pPr>
      <w:rPr>
        <w:rFonts w:ascii="Noto Sans Symbols" w:eastAsia="Noto Sans Symbols" w:hAnsi="Noto Sans Symbols" w:cs="Noto Sans Symbols"/>
      </w:rPr>
    </w:lvl>
    <w:lvl w:ilvl="7">
      <w:start w:val="1"/>
      <w:numFmt w:val="bullet"/>
      <w:lvlText w:val="o"/>
      <w:lvlJc w:val="left"/>
      <w:pPr>
        <w:ind w:left="5460" w:hanging="360"/>
      </w:pPr>
      <w:rPr>
        <w:rFonts w:ascii="Courier New" w:eastAsia="Courier New" w:hAnsi="Courier New" w:cs="Courier New"/>
      </w:rPr>
    </w:lvl>
    <w:lvl w:ilvl="8">
      <w:start w:val="1"/>
      <w:numFmt w:val="bullet"/>
      <w:lvlText w:val="▪"/>
      <w:lvlJc w:val="left"/>
      <w:pPr>
        <w:ind w:left="6180" w:hanging="360"/>
      </w:pPr>
      <w:rPr>
        <w:rFonts w:ascii="Noto Sans Symbols" w:eastAsia="Noto Sans Symbols" w:hAnsi="Noto Sans Symbols" w:cs="Noto Sans Symbols"/>
      </w:rPr>
    </w:lvl>
  </w:abstractNum>
  <w:abstractNum w:abstractNumId="16" w15:restartNumberingAfterBreak="0">
    <w:nsid w:val="3A813283"/>
    <w:multiLevelType w:val="hybridMultilevel"/>
    <w:tmpl w:val="D53AAA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0D2C8F"/>
    <w:multiLevelType w:val="hybridMultilevel"/>
    <w:tmpl w:val="72EAEABE"/>
    <w:lvl w:ilvl="0" w:tplc="2828E67A">
      <w:start w:val="1"/>
      <w:numFmt w:val="decimal"/>
      <w:lvlText w:val="%1."/>
      <w:lvlJc w:val="left"/>
      <w:pPr>
        <w:ind w:left="810" w:hanging="360"/>
      </w:pPr>
      <w:rPr>
        <w:rFonts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 w15:restartNumberingAfterBreak="0">
    <w:nsid w:val="41546D08"/>
    <w:multiLevelType w:val="multilevel"/>
    <w:tmpl w:val="4FB8D4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2271F03"/>
    <w:multiLevelType w:val="multilevel"/>
    <w:tmpl w:val="C2747246"/>
    <w:lvl w:ilvl="0">
      <w:start w:val="1"/>
      <w:numFmt w:val="decimal"/>
      <w:lvlText w:val="%1)"/>
      <w:lvlJc w:val="left"/>
      <w:pPr>
        <w:ind w:left="644" w:hanging="359"/>
      </w:p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20" w15:restartNumberingAfterBreak="0">
    <w:nsid w:val="424B6C3C"/>
    <w:multiLevelType w:val="multilevel"/>
    <w:tmpl w:val="1E7A81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52673D2"/>
    <w:multiLevelType w:val="multilevel"/>
    <w:tmpl w:val="1A4AFCC4"/>
    <w:lvl w:ilvl="0">
      <w:start w:val="1"/>
      <w:numFmt w:val="decimal"/>
      <w:lvlText w:val="%1)"/>
      <w:lvlJc w:val="left"/>
      <w:pPr>
        <w:ind w:left="420" w:hanging="360"/>
      </w:pPr>
    </w:lvl>
    <w:lvl w:ilvl="1">
      <w:start w:val="1"/>
      <w:numFmt w:val="bullet"/>
      <w:lvlText w:val="o"/>
      <w:lvlJc w:val="left"/>
      <w:pPr>
        <w:ind w:left="1140" w:hanging="360"/>
      </w:pPr>
      <w:rPr>
        <w:rFonts w:ascii="Courier New" w:eastAsia="Courier New" w:hAnsi="Courier New" w:cs="Courier New"/>
      </w:rPr>
    </w:lvl>
    <w:lvl w:ilvl="2">
      <w:start w:val="1"/>
      <w:numFmt w:val="bullet"/>
      <w:lvlText w:val="▪"/>
      <w:lvlJc w:val="left"/>
      <w:pPr>
        <w:ind w:left="1860" w:hanging="360"/>
      </w:pPr>
      <w:rPr>
        <w:rFonts w:ascii="Noto Sans Symbols" w:eastAsia="Noto Sans Symbols" w:hAnsi="Noto Sans Symbols" w:cs="Noto Sans Symbols"/>
      </w:rPr>
    </w:lvl>
    <w:lvl w:ilvl="3">
      <w:start w:val="1"/>
      <w:numFmt w:val="bullet"/>
      <w:lvlText w:val="●"/>
      <w:lvlJc w:val="left"/>
      <w:pPr>
        <w:ind w:left="2580" w:hanging="360"/>
      </w:pPr>
      <w:rPr>
        <w:rFonts w:ascii="Noto Sans Symbols" w:eastAsia="Noto Sans Symbols" w:hAnsi="Noto Sans Symbols" w:cs="Noto Sans Symbols"/>
      </w:rPr>
    </w:lvl>
    <w:lvl w:ilvl="4">
      <w:start w:val="1"/>
      <w:numFmt w:val="bullet"/>
      <w:lvlText w:val="o"/>
      <w:lvlJc w:val="left"/>
      <w:pPr>
        <w:ind w:left="3300" w:hanging="360"/>
      </w:pPr>
      <w:rPr>
        <w:rFonts w:ascii="Courier New" w:eastAsia="Courier New" w:hAnsi="Courier New" w:cs="Courier New"/>
      </w:rPr>
    </w:lvl>
    <w:lvl w:ilvl="5">
      <w:start w:val="1"/>
      <w:numFmt w:val="bullet"/>
      <w:lvlText w:val="▪"/>
      <w:lvlJc w:val="left"/>
      <w:pPr>
        <w:ind w:left="4020" w:hanging="360"/>
      </w:pPr>
      <w:rPr>
        <w:rFonts w:ascii="Noto Sans Symbols" w:eastAsia="Noto Sans Symbols" w:hAnsi="Noto Sans Symbols" w:cs="Noto Sans Symbols"/>
      </w:rPr>
    </w:lvl>
    <w:lvl w:ilvl="6">
      <w:start w:val="1"/>
      <w:numFmt w:val="bullet"/>
      <w:lvlText w:val="●"/>
      <w:lvlJc w:val="left"/>
      <w:pPr>
        <w:ind w:left="4740" w:hanging="360"/>
      </w:pPr>
      <w:rPr>
        <w:rFonts w:ascii="Noto Sans Symbols" w:eastAsia="Noto Sans Symbols" w:hAnsi="Noto Sans Symbols" w:cs="Noto Sans Symbols"/>
      </w:rPr>
    </w:lvl>
    <w:lvl w:ilvl="7">
      <w:start w:val="1"/>
      <w:numFmt w:val="bullet"/>
      <w:lvlText w:val="o"/>
      <w:lvlJc w:val="left"/>
      <w:pPr>
        <w:ind w:left="5460" w:hanging="360"/>
      </w:pPr>
      <w:rPr>
        <w:rFonts w:ascii="Courier New" w:eastAsia="Courier New" w:hAnsi="Courier New" w:cs="Courier New"/>
      </w:rPr>
    </w:lvl>
    <w:lvl w:ilvl="8">
      <w:start w:val="1"/>
      <w:numFmt w:val="bullet"/>
      <w:lvlText w:val="▪"/>
      <w:lvlJc w:val="left"/>
      <w:pPr>
        <w:ind w:left="6180" w:hanging="360"/>
      </w:pPr>
      <w:rPr>
        <w:rFonts w:ascii="Noto Sans Symbols" w:eastAsia="Noto Sans Symbols" w:hAnsi="Noto Sans Symbols" w:cs="Noto Sans Symbols"/>
      </w:rPr>
    </w:lvl>
  </w:abstractNum>
  <w:abstractNum w:abstractNumId="22" w15:restartNumberingAfterBreak="0">
    <w:nsid w:val="45B6077D"/>
    <w:multiLevelType w:val="multilevel"/>
    <w:tmpl w:val="F5D217C0"/>
    <w:lvl w:ilvl="0">
      <w:start w:val="1"/>
      <w:numFmt w:val="bullet"/>
      <w:lvlText w:val="o"/>
      <w:lvlJc w:val="left"/>
      <w:pPr>
        <w:ind w:left="1134" w:hanging="360"/>
      </w:pPr>
      <w:rPr>
        <w:rFonts w:ascii="Courier New" w:eastAsia="Courier New" w:hAnsi="Courier New" w:cs="Courier New"/>
      </w:rPr>
    </w:lvl>
    <w:lvl w:ilvl="1">
      <w:start w:val="1"/>
      <w:numFmt w:val="bullet"/>
      <w:lvlText w:val="o"/>
      <w:lvlJc w:val="left"/>
      <w:pPr>
        <w:ind w:left="1854" w:hanging="360"/>
      </w:pPr>
      <w:rPr>
        <w:rFonts w:ascii="Courier New" w:eastAsia="Courier New" w:hAnsi="Courier New" w:cs="Courier New"/>
      </w:rPr>
    </w:lvl>
    <w:lvl w:ilvl="2">
      <w:start w:val="1"/>
      <w:numFmt w:val="bullet"/>
      <w:lvlText w:val="▪"/>
      <w:lvlJc w:val="left"/>
      <w:pPr>
        <w:ind w:left="2574" w:hanging="360"/>
      </w:pPr>
      <w:rPr>
        <w:rFonts w:ascii="Noto Sans Symbols" w:eastAsia="Noto Sans Symbols" w:hAnsi="Noto Sans Symbols" w:cs="Noto Sans Symbols"/>
      </w:rPr>
    </w:lvl>
    <w:lvl w:ilvl="3">
      <w:start w:val="1"/>
      <w:numFmt w:val="bullet"/>
      <w:lvlText w:val="●"/>
      <w:lvlJc w:val="left"/>
      <w:pPr>
        <w:ind w:left="3294" w:hanging="360"/>
      </w:pPr>
      <w:rPr>
        <w:rFonts w:ascii="Noto Sans Symbols" w:eastAsia="Noto Sans Symbols" w:hAnsi="Noto Sans Symbols" w:cs="Noto Sans Symbols"/>
      </w:rPr>
    </w:lvl>
    <w:lvl w:ilvl="4">
      <w:start w:val="1"/>
      <w:numFmt w:val="bullet"/>
      <w:lvlText w:val="o"/>
      <w:lvlJc w:val="left"/>
      <w:pPr>
        <w:ind w:left="4014" w:hanging="360"/>
      </w:pPr>
      <w:rPr>
        <w:rFonts w:ascii="Courier New" w:eastAsia="Courier New" w:hAnsi="Courier New" w:cs="Courier New"/>
      </w:rPr>
    </w:lvl>
    <w:lvl w:ilvl="5">
      <w:start w:val="1"/>
      <w:numFmt w:val="bullet"/>
      <w:lvlText w:val="▪"/>
      <w:lvlJc w:val="left"/>
      <w:pPr>
        <w:ind w:left="4734" w:hanging="360"/>
      </w:pPr>
      <w:rPr>
        <w:rFonts w:ascii="Noto Sans Symbols" w:eastAsia="Noto Sans Symbols" w:hAnsi="Noto Sans Symbols" w:cs="Noto Sans Symbols"/>
      </w:rPr>
    </w:lvl>
    <w:lvl w:ilvl="6">
      <w:start w:val="1"/>
      <w:numFmt w:val="bullet"/>
      <w:lvlText w:val="●"/>
      <w:lvlJc w:val="left"/>
      <w:pPr>
        <w:ind w:left="5454" w:hanging="360"/>
      </w:pPr>
      <w:rPr>
        <w:rFonts w:ascii="Noto Sans Symbols" w:eastAsia="Noto Sans Symbols" w:hAnsi="Noto Sans Symbols" w:cs="Noto Sans Symbols"/>
      </w:rPr>
    </w:lvl>
    <w:lvl w:ilvl="7">
      <w:start w:val="1"/>
      <w:numFmt w:val="bullet"/>
      <w:lvlText w:val="o"/>
      <w:lvlJc w:val="left"/>
      <w:pPr>
        <w:ind w:left="6174" w:hanging="360"/>
      </w:pPr>
      <w:rPr>
        <w:rFonts w:ascii="Courier New" w:eastAsia="Courier New" w:hAnsi="Courier New" w:cs="Courier New"/>
      </w:rPr>
    </w:lvl>
    <w:lvl w:ilvl="8">
      <w:start w:val="1"/>
      <w:numFmt w:val="bullet"/>
      <w:lvlText w:val="▪"/>
      <w:lvlJc w:val="left"/>
      <w:pPr>
        <w:ind w:left="6894" w:hanging="360"/>
      </w:pPr>
      <w:rPr>
        <w:rFonts w:ascii="Noto Sans Symbols" w:eastAsia="Noto Sans Symbols" w:hAnsi="Noto Sans Symbols" w:cs="Noto Sans Symbols"/>
      </w:rPr>
    </w:lvl>
  </w:abstractNum>
  <w:abstractNum w:abstractNumId="23" w15:restartNumberingAfterBreak="0">
    <w:nsid w:val="4CB04899"/>
    <w:multiLevelType w:val="hybridMultilevel"/>
    <w:tmpl w:val="9F225AC2"/>
    <w:lvl w:ilvl="0" w:tplc="04090011">
      <w:start w:val="1"/>
      <w:numFmt w:val="decimal"/>
      <w:lvlText w:val="%1)"/>
      <w:lvlJc w:val="left"/>
      <w:pPr>
        <w:ind w:left="720" w:hanging="360"/>
      </w:p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BC22FA"/>
    <w:multiLevelType w:val="multilevel"/>
    <w:tmpl w:val="22709A64"/>
    <w:lvl w:ilvl="0">
      <w:start w:val="1"/>
      <w:numFmt w:val="bullet"/>
      <w:pStyle w:val="DSIP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501738BA"/>
    <w:multiLevelType w:val="multilevel"/>
    <w:tmpl w:val="E0E08078"/>
    <w:lvl w:ilvl="0">
      <w:start w:val="2"/>
      <w:numFmt w:val="decimal"/>
      <w:lvlText w:val="%1"/>
      <w:lvlJc w:val="left"/>
      <w:pPr>
        <w:ind w:left="360" w:hanging="360"/>
      </w:pPr>
      <w:rPr>
        <w:rFonts w:hint="default"/>
      </w:rPr>
    </w:lvl>
    <w:lvl w:ilvl="1">
      <w:start w:val="1"/>
      <w:numFmt w:val="decimal"/>
      <w:lvlText w:val="%1.%2"/>
      <w:lvlJc w:val="left"/>
      <w:pPr>
        <w:ind w:left="1530" w:hanging="360"/>
      </w:pPr>
      <w:rPr>
        <w:rFonts w:hint="default"/>
      </w:rPr>
    </w:lvl>
    <w:lvl w:ilvl="2">
      <w:start w:val="1"/>
      <w:numFmt w:val="decimal"/>
      <w:lvlText w:val="%1.%2.%3"/>
      <w:lvlJc w:val="left"/>
      <w:pPr>
        <w:ind w:left="3060" w:hanging="720"/>
      </w:pPr>
      <w:rPr>
        <w:rFonts w:hint="default"/>
      </w:rPr>
    </w:lvl>
    <w:lvl w:ilvl="3">
      <w:start w:val="1"/>
      <w:numFmt w:val="decimal"/>
      <w:lvlText w:val="%1.%2.%3.%4"/>
      <w:lvlJc w:val="left"/>
      <w:pPr>
        <w:ind w:left="4230" w:hanging="720"/>
      </w:pPr>
      <w:rPr>
        <w:rFonts w:hint="default"/>
      </w:rPr>
    </w:lvl>
    <w:lvl w:ilvl="4">
      <w:start w:val="1"/>
      <w:numFmt w:val="decimal"/>
      <w:lvlText w:val="%1.%2.%3.%4.%5"/>
      <w:lvlJc w:val="left"/>
      <w:pPr>
        <w:ind w:left="5760" w:hanging="1080"/>
      </w:pPr>
      <w:rPr>
        <w:rFonts w:hint="default"/>
      </w:rPr>
    </w:lvl>
    <w:lvl w:ilvl="5">
      <w:start w:val="1"/>
      <w:numFmt w:val="decimal"/>
      <w:lvlText w:val="%1.%2.%3.%4.%5.%6"/>
      <w:lvlJc w:val="left"/>
      <w:pPr>
        <w:ind w:left="6930" w:hanging="1080"/>
      </w:pPr>
      <w:rPr>
        <w:rFonts w:hint="default"/>
      </w:rPr>
    </w:lvl>
    <w:lvl w:ilvl="6">
      <w:start w:val="1"/>
      <w:numFmt w:val="decimal"/>
      <w:lvlText w:val="%1.%2.%3.%4.%5.%6.%7"/>
      <w:lvlJc w:val="left"/>
      <w:pPr>
        <w:ind w:left="8460" w:hanging="1440"/>
      </w:pPr>
      <w:rPr>
        <w:rFonts w:hint="default"/>
      </w:rPr>
    </w:lvl>
    <w:lvl w:ilvl="7">
      <w:start w:val="1"/>
      <w:numFmt w:val="decimal"/>
      <w:lvlText w:val="%1.%2.%3.%4.%5.%6.%7.%8"/>
      <w:lvlJc w:val="left"/>
      <w:pPr>
        <w:ind w:left="9630" w:hanging="1440"/>
      </w:pPr>
      <w:rPr>
        <w:rFonts w:hint="default"/>
      </w:rPr>
    </w:lvl>
    <w:lvl w:ilvl="8">
      <w:start w:val="1"/>
      <w:numFmt w:val="decimal"/>
      <w:lvlText w:val="%1.%2.%3.%4.%5.%6.%7.%8.%9"/>
      <w:lvlJc w:val="left"/>
      <w:pPr>
        <w:ind w:left="11160" w:hanging="1800"/>
      </w:pPr>
      <w:rPr>
        <w:rFonts w:hint="default"/>
      </w:rPr>
    </w:lvl>
  </w:abstractNum>
  <w:abstractNum w:abstractNumId="26" w15:restartNumberingAfterBreak="0">
    <w:nsid w:val="51020C96"/>
    <w:multiLevelType w:val="multilevel"/>
    <w:tmpl w:val="08C02E4C"/>
    <w:lvl w:ilvl="0">
      <w:start w:val="1"/>
      <w:numFmt w:val="decimal"/>
      <w:pStyle w:val="ListBullet2"/>
      <w:lvlText w:val="%1"/>
      <w:lvlJc w:val="left"/>
      <w:pPr>
        <w:ind w:left="810" w:hanging="360"/>
      </w:pPr>
    </w:lvl>
    <w:lvl w:ilvl="1">
      <w:start w:val="1"/>
      <w:numFmt w:val="decimal"/>
      <w:lvlText w:val="%1.%2"/>
      <w:lvlJc w:val="left"/>
      <w:pPr>
        <w:ind w:left="936" w:hanging="360"/>
      </w:pPr>
    </w:lvl>
    <w:lvl w:ilvl="2">
      <w:start w:val="1"/>
      <w:numFmt w:val="decimal"/>
      <w:lvlText w:val="%1.%2.%3"/>
      <w:lvlJc w:val="left"/>
      <w:pPr>
        <w:ind w:left="1422" w:hanging="720"/>
      </w:pPr>
    </w:lvl>
    <w:lvl w:ilvl="3">
      <w:start w:val="1"/>
      <w:numFmt w:val="decimal"/>
      <w:lvlText w:val="%1.%2.%3.%4"/>
      <w:lvlJc w:val="left"/>
      <w:pPr>
        <w:ind w:left="1548" w:hanging="719"/>
      </w:pPr>
    </w:lvl>
    <w:lvl w:ilvl="4">
      <w:start w:val="1"/>
      <w:numFmt w:val="decimal"/>
      <w:lvlText w:val="%1.%2.%3.%4.%5"/>
      <w:lvlJc w:val="left"/>
      <w:pPr>
        <w:ind w:left="2034" w:hanging="1080"/>
      </w:pPr>
    </w:lvl>
    <w:lvl w:ilvl="5">
      <w:start w:val="1"/>
      <w:numFmt w:val="decimal"/>
      <w:lvlText w:val="%1.%2.%3.%4.%5.%6"/>
      <w:lvlJc w:val="left"/>
      <w:pPr>
        <w:ind w:left="2160" w:hanging="1080"/>
      </w:pPr>
    </w:lvl>
    <w:lvl w:ilvl="6">
      <w:start w:val="1"/>
      <w:numFmt w:val="decimal"/>
      <w:lvlText w:val="%1.%2.%3.%4.%5.%6.%7"/>
      <w:lvlJc w:val="left"/>
      <w:pPr>
        <w:ind w:left="2646" w:hanging="1439"/>
      </w:pPr>
    </w:lvl>
    <w:lvl w:ilvl="7">
      <w:start w:val="1"/>
      <w:numFmt w:val="decimal"/>
      <w:lvlText w:val="%1.%2.%3.%4.%5.%6.%7.%8"/>
      <w:lvlJc w:val="left"/>
      <w:pPr>
        <w:ind w:left="2772" w:hanging="1440"/>
      </w:pPr>
    </w:lvl>
    <w:lvl w:ilvl="8">
      <w:start w:val="1"/>
      <w:numFmt w:val="decimal"/>
      <w:lvlText w:val="%1.%2.%3.%4.%5.%6.%7.%8.%9"/>
      <w:lvlJc w:val="left"/>
      <w:pPr>
        <w:ind w:left="3258" w:hanging="1800"/>
      </w:pPr>
    </w:lvl>
  </w:abstractNum>
  <w:abstractNum w:abstractNumId="27" w15:restartNumberingAfterBreak="0">
    <w:nsid w:val="52E2653F"/>
    <w:multiLevelType w:val="multilevel"/>
    <w:tmpl w:val="BB9267C8"/>
    <w:lvl w:ilvl="0">
      <w:start w:val="5"/>
      <w:numFmt w:val="decimal"/>
      <w:pStyle w:val="Einzug1"/>
      <w:lvlText w:val="%1."/>
      <w:lvlJc w:val="left"/>
      <w:pPr>
        <w:ind w:left="450" w:hanging="450"/>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8" w15:restartNumberingAfterBreak="0">
    <w:nsid w:val="56FD719D"/>
    <w:multiLevelType w:val="multilevel"/>
    <w:tmpl w:val="E7FAE0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59956317"/>
    <w:multiLevelType w:val="hybridMultilevel"/>
    <w:tmpl w:val="6B98398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3D7E2A"/>
    <w:multiLevelType w:val="multilevel"/>
    <w:tmpl w:val="B93A9AEE"/>
    <w:lvl w:ilvl="0">
      <w:start w:val="1"/>
      <w:numFmt w:val="bullet"/>
      <w:lvlText w:val="o"/>
      <w:lvlJc w:val="left"/>
      <w:pPr>
        <w:ind w:left="1491" w:hanging="360"/>
      </w:pPr>
      <w:rPr>
        <w:rFonts w:ascii="Courier New" w:eastAsia="Courier New" w:hAnsi="Courier New" w:cs="Courier New"/>
      </w:rPr>
    </w:lvl>
    <w:lvl w:ilvl="1">
      <w:start w:val="1"/>
      <w:numFmt w:val="bullet"/>
      <w:lvlText w:val="o"/>
      <w:lvlJc w:val="left"/>
      <w:pPr>
        <w:ind w:left="2211" w:hanging="360"/>
      </w:pPr>
      <w:rPr>
        <w:rFonts w:ascii="Courier New" w:eastAsia="Courier New" w:hAnsi="Courier New" w:cs="Courier New"/>
      </w:rPr>
    </w:lvl>
    <w:lvl w:ilvl="2">
      <w:start w:val="1"/>
      <w:numFmt w:val="bullet"/>
      <w:lvlText w:val="▪"/>
      <w:lvlJc w:val="left"/>
      <w:pPr>
        <w:ind w:left="2931" w:hanging="360"/>
      </w:pPr>
      <w:rPr>
        <w:rFonts w:ascii="Noto Sans Symbols" w:eastAsia="Noto Sans Symbols" w:hAnsi="Noto Sans Symbols" w:cs="Noto Sans Symbols"/>
      </w:rPr>
    </w:lvl>
    <w:lvl w:ilvl="3">
      <w:start w:val="1"/>
      <w:numFmt w:val="bullet"/>
      <w:lvlText w:val="●"/>
      <w:lvlJc w:val="left"/>
      <w:pPr>
        <w:ind w:left="3651" w:hanging="360"/>
      </w:pPr>
      <w:rPr>
        <w:rFonts w:ascii="Noto Sans Symbols" w:eastAsia="Noto Sans Symbols" w:hAnsi="Noto Sans Symbols" w:cs="Noto Sans Symbols"/>
      </w:rPr>
    </w:lvl>
    <w:lvl w:ilvl="4">
      <w:start w:val="1"/>
      <w:numFmt w:val="bullet"/>
      <w:lvlText w:val="o"/>
      <w:lvlJc w:val="left"/>
      <w:pPr>
        <w:ind w:left="4371" w:hanging="360"/>
      </w:pPr>
      <w:rPr>
        <w:rFonts w:ascii="Courier New" w:eastAsia="Courier New" w:hAnsi="Courier New" w:cs="Courier New"/>
      </w:rPr>
    </w:lvl>
    <w:lvl w:ilvl="5">
      <w:start w:val="1"/>
      <w:numFmt w:val="bullet"/>
      <w:lvlText w:val="▪"/>
      <w:lvlJc w:val="left"/>
      <w:pPr>
        <w:ind w:left="5091" w:hanging="360"/>
      </w:pPr>
      <w:rPr>
        <w:rFonts w:ascii="Noto Sans Symbols" w:eastAsia="Noto Sans Symbols" w:hAnsi="Noto Sans Symbols" w:cs="Noto Sans Symbols"/>
      </w:rPr>
    </w:lvl>
    <w:lvl w:ilvl="6">
      <w:start w:val="1"/>
      <w:numFmt w:val="bullet"/>
      <w:lvlText w:val="●"/>
      <w:lvlJc w:val="left"/>
      <w:pPr>
        <w:ind w:left="5811" w:hanging="360"/>
      </w:pPr>
      <w:rPr>
        <w:rFonts w:ascii="Noto Sans Symbols" w:eastAsia="Noto Sans Symbols" w:hAnsi="Noto Sans Symbols" w:cs="Noto Sans Symbols"/>
      </w:rPr>
    </w:lvl>
    <w:lvl w:ilvl="7">
      <w:start w:val="1"/>
      <w:numFmt w:val="bullet"/>
      <w:lvlText w:val="o"/>
      <w:lvlJc w:val="left"/>
      <w:pPr>
        <w:ind w:left="6531" w:hanging="360"/>
      </w:pPr>
      <w:rPr>
        <w:rFonts w:ascii="Courier New" w:eastAsia="Courier New" w:hAnsi="Courier New" w:cs="Courier New"/>
      </w:rPr>
    </w:lvl>
    <w:lvl w:ilvl="8">
      <w:start w:val="1"/>
      <w:numFmt w:val="bullet"/>
      <w:lvlText w:val="▪"/>
      <w:lvlJc w:val="left"/>
      <w:pPr>
        <w:ind w:left="7251" w:hanging="360"/>
      </w:pPr>
      <w:rPr>
        <w:rFonts w:ascii="Noto Sans Symbols" w:eastAsia="Noto Sans Symbols" w:hAnsi="Noto Sans Symbols" w:cs="Noto Sans Symbols"/>
      </w:rPr>
    </w:lvl>
  </w:abstractNum>
  <w:abstractNum w:abstractNumId="31" w15:restartNumberingAfterBreak="0">
    <w:nsid w:val="5B9E0E20"/>
    <w:multiLevelType w:val="multilevel"/>
    <w:tmpl w:val="2B1AF318"/>
    <w:lvl w:ilvl="0">
      <w:start w:val="1"/>
      <w:numFmt w:val="decimal"/>
      <w:lvlText w:val="%1"/>
      <w:lvlJc w:val="left"/>
      <w:pPr>
        <w:ind w:left="432" w:hanging="432"/>
      </w:pPr>
    </w:lvl>
    <w:lvl w:ilvl="1">
      <w:start w:val="1"/>
      <w:numFmt w:val="decimal"/>
      <w:lvlText w:val="%1.%2"/>
      <w:lvlJc w:val="left"/>
      <w:pPr>
        <w:ind w:left="576" w:hanging="576"/>
      </w:pPr>
      <w:rPr>
        <w:i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5F7A248F"/>
    <w:multiLevelType w:val="multilevel"/>
    <w:tmpl w:val="85CA0A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C432120"/>
    <w:multiLevelType w:val="multilevel"/>
    <w:tmpl w:val="F654A4B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3E86007"/>
    <w:multiLevelType w:val="multilevel"/>
    <w:tmpl w:val="5E8237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CC8617F"/>
    <w:multiLevelType w:val="multilevel"/>
    <w:tmpl w:val="3C24BCC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DA86317"/>
    <w:multiLevelType w:val="multilevel"/>
    <w:tmpl w:val="711837EA"/>
    <w:lvl w:ilvl="0">
      <w:start w:val="1"/>
      <w:numFmt w:val="upperRoman"/>
      <w:lvlText w:val="%1."/>
      <w:lvlJc w:val="righ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7" w15:restartNumberingAfterBreak="0">
    <w:nsid w:val="7E073244"/>
    <w:multiLevelType w:val="multilevel"/>
    <w:tmpl w:val="29DC235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7EF0179E"/>
    <w:multiLevelType w:val="multilevel"/>
    <w:tmpl w:val="8FE01D3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025712415">
    <w:abstractNumId w:val="14"/>
  </w:num>
  <w:num w:numId="2" w16cid:durableId="1090003274">
    <w:abstractNumId w:val="0"/>
  </w:num>
  <w:num w:numId="3" w16cid:durableId="1846938281">
    <w:abstractNumId w:val="6"/>
  </w:num>
  <w:num w:numId="4" w16cid:durableId="550580509">
    <w:abstractNumId w:val="31"/>
  </w:num>
  <w:num w:numId="5" w16cid:durableId="1231773343">
    <w:abstractNumId w:val="26"/>
  </w:num>
  <w:num w:numId="6" w16cid:durableId="2045978153">
    <w:abstractNumId w:val="24"/>
  </w:num>
  <w:num w:numId="7" w16cid:durableId="427771164">
    <w:abstractNumId w:val="1"/>
  </w:num>
  <w:num w:numId="8" w16cid:durableId="361789347">
    <w:abstractNumId w:val="7"/>
  </w:num>
  <w:num w:numId="9" w16cid:durableId="51125579">
    <w:abstractNumId w:val="18"/>
  </w:num>
  <w:num w:numId="10" w16cid:durableId="1642610955">
    <w:abstractNumId w:val="27"/>
  </w:num>
  <w:num w:numId="11" w16cid:durableId="209921439">
    <w:abstractNumId w:val="36"/>
  </w:num>
  <w:num w:numId="12" w16cid:durableId="731658169">
    <w:abstractNumId w:val="22"/>
  </w:num>
  <w:num w:numId="13" w16cid:durableId="1980186815">
    <w:abstractNumId w:val="20"/>
  </w:num>
  <w:num w:numId="14" w16cid:durableId="1589465177">
    <w:abstractNumId w:val="5"/>
  </w:num>
  <w:num w:numId="15" w16cid:durableId="298266351">
    <w:abstractNumId w:val="15"/>
  </w:num>
  <w:num w:numId="16" w16cid:durableId="309096655">
    <w:abstractNumId w:val="28"/>
  </w:num>
  <w:num w:numId="17" w16cid:durableId="1049375383">
    <w:abstractNumId w:val="30"/>
  </w:num>
  <w:num w:numId="18" w16cid:durableId="887448858">
    <w:abstractNumId w:val="3"/>
  </w:num>
  <w:num w:numId="19" w16cid:durableId="343897452">
    <w:abstractNumId w:val="4"/>
  </w:num>
  <w:num w:numId="20" w16cid:durableId="99683875">
    <w:abstractNumId w:val="8"/>
  </w:num>
  <w:num w:numId="21" w16cid:durableId="1483347301">
    <w:abstractNumId w:val="21"/>
  </w:num>
  <w:num w:numId="22" w16cid:durableId="1740131853">
    <w:abstractNumId w:val="12"/>
  </w:num>
  <w:num w:numId="23" w16cid:durableId="1597206900">
    <w:abstractNumId w:val="17"/>
  </w:num>
  <w:num w:numId="24" w16cid:durableId="1758478451">
    <w:abstractNumId w:val="25"/>
  </w:num>
  <w:num w:numId="25" w16cid:durableId="108670822">
    <w:abstractNumId w:val="10"/>
  </w:num>
  <w:num w:numId="26" w16cid:durableId="1765222161">
    <w:abstractNumId w:val="2"/>
  </w:num>
  <w:num w:numId="27" w16cid:durableId="1610699515">
    <w:abstractNumId w:val="9"/>
  </w:num>
  <w:num w:numId="28" w16cid:durableId="1890795725">
    <w:abstractNumId w:val="33"/>
  </w:num>
  <w:num w:numId="29" w16cid:durableId="367998040">
    <w:abstractNumId w:val="37"/>
  </w:num>
  <w:num w:numId="30" w16cid:durableId="1345130700">
    <w:abstractNumId w:val="34"/>
  </w:num>
  <w:num w:numId="31" w16cid:durableId="288587214">
    <w:abstractNumId w:val="16"/>
  </w:num>
  <w:num w:numId="32" w16cid:durableId="1154225543">
    <w:abstractNumId w:val="32"/>
  </w:num>
  <w:num w:numId="33" w16cid:durableId="969359622">
    <w:abstractNumId w:val="35"/>
  </w:num>
  <w:num w:numId="34" w16cid:durableId="1158839225">
    <w:abstractNumId w:val="13"/>
  </w:num>
  <w:num w:numId="35" w16cid:durableId="602960860">
    <w:abstractNumId w:val="38"/>
  </w:num>
  <w:num w:numId="36" w16cid:durableId="2106995045">
    <w:abstractNumId w:val="11"/>
  </w:num>
  <w:num w:numId="37" w16cid:durableId="1164861435">
    <w:abstractNumId w:val="19"/>
  </w:num>
  <w:num w:numId="38" w16cid:durableId="1661812335">
    <w:abstractNumId w:val="29"/>
  </w:num>
  <w:num w:numId="39" w16cid:durableId="1109353245">
    <w:abstractNumId w:val="23"/>
  </w:num>
  <w:num w:numId="40" w16cid:durableId="2036611465">
    <w:abstractNumId w:val="6"/>
    <w:lvlOverride w:ilvl="0">
      <w:startOverride w:val="4"/>
    </w:lvlOverride>
    <w:lvlOverride w:ilvl="1">
      <w:startOverride w:val="1"/>
    </w:lvlOverride>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51B"/>
    <w:rsid w:val="00000172"/>
    <w:rsid w:val="000009C6"/>
    <w:rsid w:val="00001071"/>
    <w:rsid w:val="0000476D"/>
    <w:rsid w:val="0000479F"/>
    <w:rsid w:val="00004D66"/>
    <w:rsid w:val="00007CD2"/>
    <w:rsid w:val="00010F04"/>
    <w:rsid w:val="00011E57"/>
    <w:rsid w:val="00013251"/>
    <w:rsid w:val="00020AA1"/>
    <w:rsid w:val="000273E1"/>
    <w:rsid w:val="000314C7"/>
    <w:rsid w:val="00032D0F"/>
    <w:rsid w:val="00040AD0"/>
    <w:rsid w:val="0005309D"/>
    <w:rsid w:val="00053AFA"/>
    <w:rsid w:val="00053E10"/>
    <w:rsid w:val="000579A9"/>
    <w:rsid w:val="000603FE"/>
    <w:rsid w:val="0006123E"/>
    <w:rsid w:val="00064122"/>
    <w:rsid w:val="00065FE0"/>
    <w:rsid w:val="00070FA3"/>
    <w:rsid w:val="00071C41"/>
    <w:rsid w:val="0007260A"/>
    <w:rsid w:val="000728C7"/>
    <w:rsid w:val="00073BFF"/>
    <w:rsid w:val="000832CC"/>
    <w:rsid w:val="00083C37"/>
    <w:rsid w:val="00087A9E"/>
    <w:rsid w:val="00093FBF"/>
    <w:rsid w:val="000965FC"/>
    <w:rsid w:val="000A49DD"/>
    <w:rsid w:val="000A7701"/>
    <w:rsid w:val="000B351B"/>
    <w:rsid w:val="000C6729"/>
    <w:rsid w:val="000D230A"/>
    <w:rsid w:val="000D2A85"/>
    <w:rsid w:val="000E142F"/>
    <w:rsid w:val="000E298A"/>
    <w:rsid w:val="000E33E1"/>
    <w:rsid w:val="000E43FD"/>
    <w:rsid w:val="000E5BC5"/>
    <w:rsid w:val="000E7AFE"/>
    <w:rsid w:val="000F3720"/>
    <w:rsid w:val="000F4220"/>
    <w:rsid w:val="000F54D4"/>
    <w:rsid w:val="000F7C3C"/>
    <w:rsid w:val="00100B8E"/>
    <w:rsid w:val="00101DF4"/>
    <w:rsid w:val="00104A82"/>
    <w:rsid w:val="001053DE"/>
    <w:rsid w:val="00106A35"/>
    <w:rsid w:val="00106EB5"/>
    <w:rsid w:val="00117062"/>
    <w:rsid w:val="00120A9C"/>
    <w:rsid w:val="00130822"/>
    <w:rsid w:val="00132491"/>
    <w:rsid w:val="00133D5C"/>
    <w:rsid w:val="00141427"/>
    <w:rsid w:val="001420D8"/>
    <w:rsid w:val="001448D6"/>
    <w:rsid w:val="001462DB"/>
    <w:rsid w:val="001473B5"/>
    <w:rsid w:val="0015061A"/>
    <w:rsid w:val="0015442F"/>
    <w:rsid w:val="00157E35"/>
    <w:rsid w:val="00166EA6"/>
    <w:rsid w:val="00167FD2"/>
    <w:rsid w:val="00172D44"/>
    <w:rsid w:val="00174F09"/>
    <w:rsid w:val="00177885"/>
    <w:rsid w:val="00181916"/>
    <w:rsid w:val="00184565"/>
    <w:rsid w:val="00184B6F"/>
    <w:rsid w:val="001864FA"/>
    <w:rsid w:val="00186A4C"/>
    <w:rsid w:val="00191F1C"/>
    <w:rsid w:val="00192F43"/>
    <w:rsid w:val="0019476A"/>
    <w:rsid w:val="001A0597"/>
    <w:rsid w:val="001A226A"/>
    <w:rsid w:val="001A57B4"/>
    <w:rsid w:val="001A68DB"/>
    <w:rsid w:val="001B2F62"/>
    <w:rsid w:val="001C4A50"/>
    <w:rsid w:val="001C4EE9"/>
    <w:rsid w:val="001C567F"/>
    <w:rsid w:val="001C6C5E"/>
    <w:rsid w:val="001D29AA"/>
    <w:rsid w:val="001D4F79"/>
    <w:rsid w:val="001D5E92"/>
    <w:rsid w:val="001D6077"/>
    <w:rsid w:val="001D63E6"/>
    <w:rsid w:val="001D64CB"/>
    <w:rsid w:val="001D7260"/>
    <w:rsid w:val="001D7A4A"/>
    <w:rsid w:val="001D7EA2"/>
    <w:rsid w:val="001E34D8"/>
    <w:rsid w:val="001E7115"/>
    <w:rsid w:val="001E7169"/>
    <w:rsid w:val="001F222E"/>
    <w:rsid w:val="001F6549"/>
    <w:rsid w:val="001F6EEA"/>
    <w:rsid w:val="0020465B"/>
    <w:rsid w:val="00210375"/>
    <w:rsid w:val="002116AB"/>
    <w:rsid w:val="00211891"/>
    <w:rsid w:val="002144C5"/>
    <w:rsid w:val="00214E6E"/>
    <w:rsid w:val="00215C82"/>
    <w:rsid w:val="00220035"/>
    <w:rsid w:val="00220C4C"/>
    <w:rsid w:val="00223640"/>
    <w:rsid w:val="002246CA"/>
    <w:rsid w:val="00232F38"/>
    <w:rsid w:val="002410AD"/>
    <w:rsid w:val="0024237B"/>
    <w:rsid w:val="00242421"/>
    <w:rsid w:val="0024488E"/>
    <w:rsid w:val="0024547B"/>
    <w:rsid w:val="00245677"/>
    <w:rsid w:val="002459DB"/>
    <w:rsid w:val="00250351"/>
    <w:rsid w:val="00255947"/>
    <w:rsid w:val="00256C34"/>
    <w:rsid w:val="002576CB"/>
    <w:rsid w:val="00260ABC"/>
    <w:rsid w:val="00261DD3"/>
    <w:rsid w:val="0026270C"/>
    <w:rsid w:val="00270F88"/>
    <w:rsid w:val="00272597"/>
    <w:rsid w:val="00285C01"/>
    <w:rsid w:val="00286DE7"/>
    <w:rsid w:val="002A16A3"/>
    <w:rsid w:val="002A1E41"/>
    <w:rsid w:val="002A47D5"/>
    <w:rsid w:val="002B1C76"/>
    <w:rsid w:val="002B364D"/>
    <w:rsid w:val="002D23D0"/>
    <w:rsid w:val="002D379A"/>
    <w:rsid w:val="002E5A07"/>
    <w:rsid w:val="002F21FE"/>
    <w:rsid w:val="002F24F2"/>
    <w:rsid w:val="002F655A"/>
    <w:rsid w:val="00300F38"/>
    <w:rsid w:val="003019A4"/>
    <w:rsid w:val="00303232"/>
    <w:rsid w:val="00306467"/>
    <w:rsid w:val="00307033"/>
    <w:rsid w:val="003125BD"/>
    <w:rsid w:val="00313B6B"/>
    <w:rsid w:val="0032085C"/>
    <w:rsid w:val="00324874"/>
    <w:rsid w:val="00324AF0"/>
    <w:rsid w:val="00332539"/>
    <w:rsid w:val="00337D6B"/>
    <w:rsid w:val="00345592"/>
    <w:rsid w:val="003468A9"/>
    <w:rsid w:val="00346A28"/>
    <w:rsid w:val="00350012"/>
    <w:rsid w:val="00353390"/>
    <w:rsid w:val="003548DE"/>
    <w:rsid w:val="003569B2"/>
    <w:rsid w:val="00357D58"/>
    <w:rsid w:val="00362563"/>
    <w:rsid w:val="00364615"/>
    <w:rsid w:val="00364726"/>
    <w:rsid w:val="00370C0F"/>
    <w:rsid w:val="003745CD"/>
    <w:rsid w:val="00382EC6"/>
    <w:rsid w:val="00383B19"/>
    <w:rsid w:val="00387DCC"/>
    <w:rsid w:val="00394024"/>
    <w:rsid w:val="003958AB"/>
    <w:rsid w:val="003975AD"/>
    <w:rsid w:val="003979B2"/>
    <w:rsid w:val="003A3D31"/>
    <w:rsid w:val="003A769B"/>
    <w:rsid w:val="003B4CA6"/>
    <w:rsid w:val="003B73D7"/>
    <w:rsid w:val="003B758B"/>
    <w:rsid w:val="003D48C1"/>
    <w:rsid w:val="003D68A9"/>
    <w:rsid w:val="003D6930"/>
    <w:rsid w:val="003D77B8"/>
    <w:rsid w:val="003D781E"/>
    <w:rsid w:val="003D7F7D"/>
    <w:rsid w:val="003E231F"/>
    <w:rsid w:val="003E57FE"/>
    <w:rsid w:val="003E5A04"/>
    <w:rsid w:val="003E63F7"/>
    <w:rsid w:val="003E79A2"/>
    <w:rsid w:val="003F1D60"/>
    <w:rsid w:val="003F2AE7"/>
    <w:rsid w:val="003F3EA5"/>
    <w:rsid w:val="003F5461"/>
    <w:rsid w:val="003F66D7"/>
    <w:rsid w:val="003F7A0D"/>
    <w:rsid w:val="0040371E"/>
    <w:rsid w:val="00403CAD"/>
    <w:rsid w:val="0040439A"/>
    <w:rsid w:val="00406104"/>
    <w:rsid w:val="00406D09"/>
    <w:rsid w:val="004177C2"/>
    <w:rsid w:val="004213B4"/>
    <w:rsid w:val="00432CB6"/>
    <w:rsid w:val="00433C29"/>
    <w:rsid w:val="00440564"/>
    <w:rsid w:val="00441619"/>
    <w:rsid w:val="00441627"/>
    <w:rsid w:val="004455E8"/>
    <w:rsid w:val="00450150"/>
    <w:rsid w:val="00451D14"/>
    <w:rsid w:val="0046236E"/>
    <w:rsid w:val="00464F83"/>
    <w:rsid w:val="004656E7"/>
    <w:rsid w:val="0046702F"/>
    <w:rsid w:val="0047199A"/>
    <w:rsid w:val="00471F18"/>
    <w:rsid w:val="00480129"/>
    <w:rsid w:val="004804C2"/>
    <w:rsid w:val="0048216F"/>
    <w:rsid w:val="00482DA6"/>
    <w:rsid w:val="0048413C"/>
    <w:rsid w:val="00484D0F"/>
    <w:rsid w:val="004852FF"/>
    <w:rsid w:val="00485A15"/>
    <w:rsid w:val="00493202"/>
    <w:rsid w:val="00494A4C"/>
    <w:rsid w:val="00494A99"/>
    <w:rsid w:val="00494CC5"/>
    <w:rsid w:val="00495FE0"/>
    <w:rsid w:val="00497B18"/>
    <w:rsid w:val="004A0229"/>
    <w:rsid w:val="004A4158"/>
    <w:rsid w:val="004A4395"/>
    <w:rsid w:val="004A4FF5"/>
    <w:rsid w:val="004A737F"/>
    <w:rsid w:val="004B4373"/>
    <w:rsid w:val="004C073A"/>
    <w:rsid w:val="004C111C"/>
    <w:rsid w:val="004C4696"/>
    <w:rsid w:val="004E1653"/>
    <w:rsid w:val="004E1686"/>
    <w:rsid w:val="004E2E3F"/>
    <w:rsid w:val="004E30F2"/>
    <w:rsid w:val="004E4A30"/>
    <w:rsid w:val="004E7B65"/>
    <w:rsid w:val="005042FA"/>
    <w:rsid w:val="0051118C"/>
    <w:rsid w:val="00517334"/>
    <w:rsid w:val="00527FC5"/>
    <w:rsid w:val="00530410"/>
    <w:rsid w:val="00530B2A"/>
    <w:rsid w:val="0053112A"/>
    <w:rsid w:val="00531242"/>
    <w:rsid w:val="005346DD"/>
    <w:rsid w:val="00540E67"/>
    <w:rsid w:val="005424A6"/>
    <w:rsid w:val="005427E7"/>
    <w:rsid w:val="0055629A"/>
    <w:rsid w:val="0055661E"/>
    <w:rsid w:val="00564172"/>
    <w:rsid w:val="0056514A"/>
    <w:rsid w:val="00565159"/>
    <w:rsid w:val="00570886"/>
    <w:rsid w:val="00576773"/>
    <w:rsid w:val="00576EE9"/>
    <w:rsid w:val="00581259"/>
    <w:rsid w:val="00581E27"/>
    <w:rsid w:val="00582C3E"/>
    <w:rsid w:val="005922A7"/>
    <w:rsid w:val="00592B4A"/>
    <w:rsid w:val="00595E21"/>
    <w:rsid w:val="00597C4B"/>
    <w:rsid w:val="005A4015"/>
    <w:rsid w:val="005A4236"/>
    <w:rsid w:val="005A4745"/>
    <w:rsid w:val="005B4420"/>
    <w:rsid w:val="005B5E35"/>
    <w:rsid w:val="005C408F"/>
    <w:rsid w:val="005C75B8"/>
    <w:rsid w:val="005D01F4"/>
    <w:rsid w:val="005D162C"/>
    <w:rsid w:val="005D2A76"/>
    <w:rsid w:val="005E124C"/>
    <w:rsid w:val="005E207A"/>
    <w:rsid w:val="005E7B50"/>
    <w:rsid w:val="005F1462"/>
    <w:rsid w:val="005F2D33"/>
    <w:rsid w:val="005F51B7"/>
    <w:rsid w:val="005F6B40"/>
    <w:rsid w:val="00601E7A"/>
    <w:rsid w:val="00604A64"/>
    <w:rsid w:val="0061377F"/>
    <w:rsid w:val="00615BF4"/>
    <w:rsid w:val="00620565"/>
    <w:rsid w:val="00620CB1"/>
    <w:rsid w:val="00624623"/>
    <w:rsid w:val="0062600B"/>
    <w:rsid w:val="00627549"/>
    <w:rsid w:val="00632379"/>
    <w:rsid w:val="00634CE0"/>
    <w:rsid w:val="0064139B"/>
    <w:rsid w:val="006421B0"/>
    <w:rsid w:val="00642747"/>
    <w:rsid w:val="00642A8F"/>
    <w:rsid w:val="00642EB3"/>
    <w:rsid w:val="00643C36"/>
    <w:rsid w:val="00644023"/>
    <w:rsid w:val="0064792C"/>
    <w:rsid w:val="0065312F"/>
    <w:rsid w:val="0066043B"/>
    <w:rsid w:val="00662378"/>
    <w:rsid w:val="006663CD"/>
    <w:rsid w:val="006675A2"/>
    <w:rsid w:val="006729A8"/>
    <w:rsid w:val="006733E6"/>
    <w:rsid w:val="00675011"/>
    <w:rsid w:val="006901DF"/>
    <w:rsid w:val="00691C5C"/>
    <w:rsid w:val="0069462A"/>
    <w:rsid w:val="00697062"/>
    <w:rsid w:val="006A1D7F"/>
    <w:rsid w:val="006A4FB0"/>
    <w:rsid w:val="006A6FC9"/>
    <w:rsid w:val="006B0436"/>
    <w:rsid w:val="006B2958"/>
    <w:rsid w:val="006B2D9E"/>
    <w:rsid w:val="006B4421"/>
    <w:rsid w:val="006B6F53"/>
    <w:rsid w:val="006B7A05"/>
    <w:rsid w:val="006C3859"/>
    <w:rsid w:val="006C5DEC"/>
    <w:rsid w:val="006D2714"/>
    <w:rsid w:val="006E3D93"/>
    <w:rsid w:val="006E6E6C"/>
    <w:rsid w:val="006E7A05"/>
    <w:rsid w:val="006F08FE"/>
    <w:rsid w:val="006F0BE4"/>
    <w:rsid w:val="00706A93"/>
    <w:rsid w:val="00706AF5"/>
    <w:rsid w:val="00707459"/>
    <w:rsid w:val="00710F6B"/>
    <w:rsid w:val="007127E7"/>
    <w:rsid w:val="00715A4A"/>
    <w:rsid w:val="00716900"/>
    <w:rsid w:val="0071716B"/>
    <w:rsid w:val="00717BF6"/>
    <w:rsid w:val="00725739"/>
    <w:rsid w:val="007257F7"/>
    <w:rsid w:val="00731ACF"/>
    <w:rsid w:val="0073511A"/>
    <w:rsid w:val="0073560A"/>
    <w:rsid w:val="007445E4"/>
    <w:rsid w:val="00744E08"/>
    <w:rsid w:val="00744F55"/>
    <w:rsid w:val="007519C0"/>
    <w:rsid w:val="00753390"/>
    <w:rsid w:val="00753F3D"/>
    <w:rsid w:val="00764A36"/>
    <w:rsid w:val="00767A2A"/>
    <w:rsid w:val="0077108E"/>
    <w:rsid w:val="00784A53"/>
    <w:rsid w:val="007856A4"/>
    <w:rsid w:val="00786979"/>
    <w:rsid w:val="007908A3"/>
    <w:rsid w:val="00791761"/>
    <w:rsid w:val="00792460"/>
    <w:rsid w:val="0079409A"/>
    <w:rsid w:val="007A1359"/>
    <w:rsid w:val="007A57DE"/>
    <w:rsid w:val="007A6612"/>
    <w:rsid w:val="007B0718"/>
    <w:rsid w:val="007B094D"/>
    <w:rsid w:val="007B3892"/>
    <w:rsid w:val="007B5055"/>
    <w:rsid w:val="007B5334"/>
    <w:rsid w:val="007B620F"/>
    <w:rsid w:val="007C14C4"/>
    <w:rsid w:val="007C4D6A"/>
    <w:rsid w:val="007C5C0F"/>
    <w:rsid w:val="007C5F09"/>
    <w:rsid w:val="007C78E5"/>
    <w:rsid w:val="007D0C0C"/>
    <w:rsid w:val="007D14E0"/>
    <w:rsid w:val="007D71B6"/>
    <w:rsid w:val="007E399F"/>
    <w:rsid w:val="007E41E4"/>
    <w:rsid w:val="007E47E2"/>
    <w:rsid w:val="007F0211"/>
    <w:rsid w:val="007F326B"/>
    <w:rsid w:val="007F356A"/>
    <w:rsid w:val="007F58B7"/>
    <w:rsid w:val="007F62FC"/>
    <w:rsid w:val="0080110D"/>
    <w:rsid w:val="008016A6"/>
    <w:rsid w:val="00802209"/>
    <w:rsid w:val="00804ACD"/>
    <w:rsid w:val="0080597B"/>
    <w:rsid w:val="0080714C"/>
    <w:rsid w:val="00807152"/>
    <w:rsid w:val="00812703"/>
    <w:rsid w:val="008165D0"/>
    <w:rsid w:val="00827740"/>
    <w:rsid w:val="008328B8"/>
    <w:rsid w:val="00833B31"/>
    <w:rsid w:val="0083437D"/>
    <w:rsid w:val="0084294D"/>
    <w:rsid w:val="00846F6F"/>
    <w:rsid w:val="00847036"/>
    <w:rsid w:val="00860C82"/>
    <w:rsid w:val="00863F83"/>
    <w:rsid w:val="0086648B"/>
    <w:rsid w:val="00867815"/>
    <w:rsid w:val="00870F19"/>
    <w:rsid w:val="00872996"/>
    <w:rsid w:val="00872AA9"/>
    <w:rsid w:val="00882A71"/>
    <w:rsid w:val="008845FC"/>
    <w:rsid w:val="0088792D"/>
    <w:rsid w:val="00891573"/>
    <w:rsid w:val="008919A6"/>
    <w:rsid w:val="008962B5"/>
    <w:rsid w:val="008A0EBB"/>
    <w:rsid w:val="008B0247"/>
    <w:rsid w:val="008B0A0C"/>
    <w:rsid w:val="008B1084"/>
    <w:rsid w:val="008B40F5"/>
    <w:rsid w:val="008C0489"/>
    <w:rsid w:val="008C353B"/>
    <w:rsid w:val="008C3AB7"/>
    <w:rsid w:val="008D1687"/>
    <w:rsid w:val="008D3A1C"/>
    <w:rsid w:val="008D4B3E"/>
    <w:rsid w:val="008D5DE1"/>
    <w:rsid w:val="008D6506"/>
    <w:rsid w:val="008E061A"/>
    <w:rsid w:val="008E175C"/>
    <w:rsid w:val="008E3221"/>
    <w:rsid w:val="008E4237"/>
    <w:rsid w:val="008F3651"/>
    <w:rsid w:val="008F5982"/>
    <w:rsid w:val="008F7A25"/>
    <w:rsid w:val="00901CBD"/>
    <w:rsid w:val="009047C0"/>
    <w:rsid w:val="009056AA"/>
    <w:rsid w:val="00907507"/>
    <w:rsid w:val="0091453E"/>
    <w:rsid w:val="00914C6C"/>
    <w:rsid w:val="00915830"/>
    <w:rsid w:val="00917F4E"/>
    <w:rsid w:val="00927304"/>
    <w:rsid w:val="00931AC2"/>
    <w:rsid w:val="009334EB"/>
    <w:rsid w:val="00933C19"/>
    <w:rsid w:val="009366CC"/>
    <w:rsid w:val="00940740"/>
    <w:rsid w:val="00942927"/>
    <w:rsid w:val="00943352"/>
    <w:rsid w:val="009446FB"/>
    <w:rsid w:val="0095258E"/>
    <w:rsid w:val="0095269B"/>
    <w:rsid w:val="009542D7"/>
    <w:rsid w:val="00954B5A"/>
    <w:rsid w:val="0096534D"/>
    <w:rsid w:val="00965A5F"/>
    <w:rsid w:val="00975CBA"/>
    <w:rsid w:val="0098014D"/>
    <w:rsid w:val="00980D92"/>
    <w:rsid w:val="00984C71"/>
    <w:rsid w:val="00984F22"/>
    <w:rsid w:val="009865FE"/>
    <w:rsid w:val="0098738B"/>
    <w:rsid w:val="00987A60"/>
    <w:rsid w:val="00990075"/>
    <w:rsid w:val="0099032C"/>
    <w:rsid w:val="00992202"/>
    <w:rsid w:val="00994875"/>
    <w:rsid w:val="009A020B"/>
    <w:rsid w:val="009B069A"/>
    <w:rsid w:val="009B1644"/>
    <w:rsid w:val="009B336C"/>
    <w:rsid w:val="009B605C"/>
    <w:rsid w:val="009C108D"/>
    <w:rsid w:val="009C1C6A"/>
    <w:rsid w:val="009C41F4"/>
    <w:rsid w:val="009C48BB"/>
    <w:rsid w:val="009C4B9B"/>
    <w:rsid w:val="009C7DF8"/>
    <w:rsid w:val="009D7CA9"/>
    <w:rsid w:val="009E0B0B"/>
    <w:rsid w:val="009E3219"/>
    <w:rsid w:val="009E5E9A"/>
    <w:rsid w:val="009E674D"/>
    <w:rsid w:val="009F39F7"/>
    <w:rsid w:val="009F4979"/>
    <w:rsid w:val="009F652E"/>
    <w:rsid w:val="00A00C76"/>
    <w:rsid w:val="00A011C1"/>
    <w:rsid w:val="00A0251B"/>
    <w:rsid w:val="00A052DE"/>
    <w:rsid w:val="00A0597E"/>
    <w:rsid w:val="00A06C99"/>
    <w:rsid w:val="00A07366"/>
    <w:rsid w:val="00A104A4"/>
    <w:rsid w:val="00A10898"/>
    <w:rsid w:val="00A1408D"/>
    <w:rsid w:val="00A2062E"/>
    <w:rsid w:val="00A21949"/>
    <w:rsid w:val="00A23107"/>
    <w:rsid w:val="00A24A96"/>
    <w:rsid w:val="00A24EC3"/>
    <w:rsid w:val="00A265F5"/>
    <w:rsid w:val="00A2694A"/>
    <w:rsid w:val="00A2784B"/>
    <w:rsid w:val="00A31DFA"/>
    <w:rsid w:val="00A34872"/>
    <w:rsid w:val="00A46FB0"/>
    <w:rsid w:val="00A52CE1"/>
    <w:rsid w:val="00A54F88"/>
    <w:rsid w:val="00A627E1"/>
    <w:rsid w:val="00A7482F"/>
    <w:rsid w:val="00A75C4F"/>
    <w:rsid w:val="00A80DC6"/>
    <w:rsid w:val="00A8304D"/>
    <w:rsid w:val="00A87EC0"/>
    <w:rsid w:val="00AA3672"/>
    <w:rsid w:val="00AA3727"/>
    <w:rsid w:val="00AA755C"/>
    <w:rsid w:val="00AB066E"/>
    <w:rsid w:val="00AB12F2"/>
    <w:rsid w:val="00AB141A"/>
    <w:rsid w:val="00AB2435"/>
    <w:rsid w:val="00AB3AEE"/>
    <w:rsid w:val="00AC1A27"/>
    <w:rsid w:val="00AC1E09"/>
    <w:rsid w:val="00AC21E1"/>
    <w:rsid w:val="00AC27E8"/>
    <w:rsid w:val="00AC2872"/>
    <w:rsid w:val="00AC472C"/>
    <w:rsid w:val="00AD24E5"/>
    <w:rsid w:val="00AE62A9"/>
    <w:rsid w:val="00AE702E"/>
    <w:rsid w:val="00AF0F97"/>
    <w:rsid w:val="00AF3F61"/>
    <w:rsid w:val="00B034BC"/>
    <w:rsid w:val="00B036BA"/>
    <w:rsid w:val="00B0546B"/>
    <w:rsid w:val="00B079C6"/>
    <w:rsid w:val="00B12E06"/>
    <w:rsid w:val="00B139A6"/>
    <w:rsid w:val="00B14AB9"/>
    <w:rsid w:val="00B14BBF"/>
    <w:rsid w:val="00B24086"/>
    <w:rsid w:val="00B24DDA"/>
    <w:rsid w:val="00B2785A"/>
    <w:rsid w:val="00B51CFC"/>
    <w:rsid w:val="00B53E2C"/>
    <w:rsid w:val="00B54B2D"/>
    <w:rsid w:val="00B57D1E"/>
    <w:rsid w:val="00B61F54"/>
    <w:rsid w:val="00B625A3"/>
    <w:rsid w:val="00B67EB3"/>
    <w:rsid w:val="00B7310F"/>
    <w:rsid w:val="00B74884"/>
    <w:rsid w:val="00B82A0C"/>
    <w:rsid w:val="00B86B20"/>
    <w:rsid w:val="00B86E82"/>
    <w:rsid w:val="00B900D2"/>
    <w:rsid w:val="00B9092B"/>
    <w:rsid w:val="00B93EC6"/>
    <w:rsid w:val="00B93F8F"/>
    <w:rsid w:val="00BA19C5"/>
    <w:rsid w:val="00BA1AE5"/>
    <w:rsid w:val="00BA283A"/>
    <w:rsid w:val="00BB09F4"/>
    <w:rsid w:val="00BB1F24"/>
    <w:rsid w:val="00BC15F0"/>
    <w:rsid w:val="00BC1873"/>
    <w:rsid w:val="00BC4EB0"/>
    <w:rsid w:val="00BC5C09"/>
    <w:rsid w:val="00BD216D"/>
    <w:rsid w:val="00BD3226"/>
    <w:rsid w:val="00BD3A46"/>
    <w:rsid w:val="00BD5971"/>
    <w:rsid w:val="00BE04CF"/>
    <w:rsid w:val="00BE3E65"/>
    <w:rsid w:val="00BE515B"/>
    <w:rsid w:val="00BF0566"/>
    <w:rsid w:val="00BF06BE"/>
    <w:rsid w:val="00BF06C2"/>
    <w:rsid w:val="00BF0A84"/>
    <w:rsid w:val="00BF151C"/>
    <w:rsid w:val="00BF51D9"/>
    <w:rsid w:val="00BF5299"/>
    <w:rsid w:val="00BF76C3"/>
    <w:rsid w:val="00C01697"/>
    <w:rsid w:val="00C036DB"/>
    <w:rsid w:val="00C1332D"/>
    <w:rsid w:val="00C16112"/>
    <w:rsid w:val="00C173FC"/>
    <w:rsid w:val="00C20C0A"/>
    <w:rsid w:val="00C31730"/>
    <w:rsid w:val="00C31969"/>
    <w:rsid w:val="00C36406"/>
    <w:rsid w:val="00C50A53"/>
    <w:rsid w:val="00C50D4C"/>
    <w:rsid w:val="00C54F95"/>
    <w:rsid w:val="00C57CCF"/>
    <w:rsid w:val="00C60056"/>
    <w:rsid w:val="00C6170D"/>
    <w:rsid w:val="00C62E78"/>
    <w:rsid w:val="00C7290D"/>
    <w:rsid w:val="00C72A81"/>
    <w:rsid w:val="00C72B80"/>
    <w:rsid w:val="00C75A02"/>
    <w:rsid w:val="00C86B5E"/>
    <w:rsid w:val="00C91DAD"/>
    <w:rsid w:val="00C945F1"/>
    <w:rsid w:val="00CA114A"/>
    <w:rsid w:val="00CA209C"/>
    <w:rsid w:val="00CB07EA"/>
    <w:rsid w:val="00CB2986"/>
    <w:rsid w:val="00CB2B6A"/>
    <w:rsid w:val="00CC10CC"/>
    <w:rsid w:val="00CC1FAE"/>
    <w:rsid w:val="00CC35F0"/>
    <w:rsid w:val="00CD00F2"/>
    <w:rsid w:val="00CD0D1C"/>
    <w:rsid w:val="00CD0F6E"/>
    <w:rsid w:val="00CD6D20"/>
    <w:rsid w:val="00CD7C9B"/>
    <w:rsid w:val="00CE304E"/>
    <w:rsid w:val="00CE3DD2"/>
    <w:rsid w:val="00CE48D6"/>
    <w:rsid w:val="00CE734E"/>
    <w:rsid w:val="00D005B9"/>
    <w:rsid w:val="00D03902"/>
    <w:rsid w:val="00D04174"/>
    <w:rsid w:val="00D05D83"/>
    <w:rsid w:val="00D06C66"/>
    <w:rsid w:val="00D11512"/>
    <w:rsid w:val="00D139F0"/>
    <w:rsid w:val="00D16F8F"/>
    <w:rsid w:val="00D2022E"/>
    <w:rsid w:val="00D20E99"/>
    <w:rsid w:val="00D22F02"/>
    <w:rsid w:val="00D23E85"/>
    <w:rsid w:val="00D25B1A"/>
    <w:rsid w:val="00D26BD8"/>
    <w:rsid w:val="00D32C1D"/>
    <w:rsid w:val="00D32D1A"/>
    <w:rsid w:val="00D356A4"/>
    <w:rsid w:val="00D40434"/>
    <w:rsid w:val="00D42952"/>
    <w:rsid w:val="00D433C8"/>
    <w:rsid w:val="00D5214F"/>
    <w:rsid w:val="00D60D85"/>
    <w:rsid w:val="00D6395C"/>
    <w:rsid w:val="00D63C10"/>
    <w:rsid w:val="00D75378"/>
    <w:rsid w:val="00D7552D"/>
    <w:rsid w:val="00D765C5"/>
    <w:rsid w:val="00D910F6"/>
    <w:rsid w:val="00D91BE2"/>
    <w:rsid w:val="00D91DB2"/>
    <w:rsid w:val="00D92EE4"/>
    <w:rsid w:val="00D968A0"/>
    <w:rsid w:val="00D97760"/>
    <w:rsid w:val="00D97BF9"/>
    <w:rsid w:val="00DA00CF"/>
    <w:rsid w:val="00DA0544"/>
    <w:rsid w:val="00DA531A"/>
    <w:rsid w:val="00DA6004"/>
    <w:rsid w:val="00DA6E02"/>
    <w:rsid w:val="00DA70C8"/>
    <w:rsid w:val="00DB0D61"/>
    <w:rsid w:val="00DB4371"/>
    <w:rsid w:val="00DC4007"/>
    <w:rsid w:val="00DC4692"/>
    <w:rsid w:val="00DC75BD"/>
    <w:rsid w:val="00DD476F"/>
    <w:rsid w:val="00DD55DC"/>
    <w:rsid w:val="00DD5B9B"/>
    <w:rsid w:val="00DD6F48"/>
    <w:rsid w:val="00DF39E4"/>
    <w:rsid w:val="00DF4871"/>
    <w:rsid w:val="00DF4BC8"/>
    <w:rsid w:val="00DF5F2E"/>
    <w:rsid w:val="00DF5FAB"/>
    <w:rsid w:val="00DF70B1"/>
    <w:rsid w:val="00E00F0F"/>
    <w:rsid w:val="00E03FD1"/>
    <w:rsid w:val="00E07D03"/>
    <w:rsid w:val="00E100D8"/>
    <w:rsid w:val="00E11889"/>
    <w:rsid w:val="00E33CCD"/>
    <w:rsid w:val="00E37941"/>
    <w:rsid w:val="00E41AFB"/>
    <w:rsid w:val="00E43E66"/>
    <w:rsid w:val="00E50A24"/>
    <w:rsid w:val="00E51B0B"/>
    <w:rsid w:val="00E5410E"/>
    <w:rsid w:val="00E568F4"/>
    <w:rsid w:val="00E65206"/>
    <w:rsid w:val="00E66FFA"/>
    <w:rsid w:val="00E70062"/>
    <w:rsid w:val="00E715F7"/>
    <w:rsid w:val="00E73201"/>
    <w:rsid w:val="00E73E98"/>
    <w:rsid w:val="00E80441"/>
    <w:rsid w:val="00E81D2A"/>
    <w:rsid w:val="00E822A3"/>
    <w:rsid w:val="00E84647"/>
    <w:rsid w:val="00E8486B"/>
    <w:rsid w:val="00EA0D7F"/>
    <w:rsid w:val="00EA1746"/>
    <w:rsid w:val="00EA3D6D"/>
    <w:rsid w:val="00EB030F"/>
    <w:rsid w:val="00EB123F"/>
    <w:rsid w:val="00EB190C"/>
    <w:rsid w:val="00EB37A4"/>
    <w:rsid w:val="00EB3A91"/>
    <w:rsid w:val="00EC0A69"/>
    <w:rsid w:val="00EC501E"/>
    <w:rsid w:val="00ED409D"/>
    <w:rsid w:val="00ED40D0"/>
    <w:rsid w:val="00ED4512"/>
    <w:rsid w:val="00ED5720"/>
    <w:rsid w:val="00ED64D3"/>
    <w:rsid w:val="00EE3AC6"/>
    <w:rsid w:val="00EE4B00"/>
    <w:rsid w:val="00EE5693"/>
    <w:rsid w:val="00EE7C18"/>
    <w:rsid w:val="00EF58ED"/>
    <w:rsid w:val="00F00C40"/>
    <w:rsid w:val="00F0613B"/>
    <w:rsid w:val="00F06BCD"/>
    <w:rsid w:val="00F12734"/>
    <w:rsid w:val="00F14619"/>
    <w:rsid w:val="00F20E21"/>
    <w:rsid w:val="00F214C5"/>
    <w:rsid w:val="00F24AE6"/>
    <w:rsid w:val="00F24CEB"/>
    <w:rsid w:val="00F25F5B"/>
    <w:rsid w:val="00F263C0"/>
    <w:rsid w:val="00F26597"/>
    <w:rsid w:val="00F26F5B"/>
    <w:rsid w:val="00F3471B"/>
    <w:rsid w:val="00F36C10"/>
    <w:rsid w:val="00F37ABF"/>
    <w:rsid w:val="00F40C81"/>
    <w:rsid w:val="00F41A2C"/>
    <w:rsid w:val="00F50E6B"/>
    <w:rsid w:val="00F51133"/>
    <w:rsid w:val="00F52CEC"/>
    <w:rsid w:val="00F53C08"/>
    <w:rsid w:val="00F63EF8"/>
    <w:rsid w:val="00F6793E"/>
    <w:rsid w:val="00F71222"/>
    <w:rsid w:val="00F72A8C"/>
    <w:rsid w:val="00F764F0"/>
    <w:rsid w:val="00F774ED"/>
    <w:rsid w:val="00F77C77"/>
    <w:rsid w:val="00F87870"/>
    <w:rsid w:val="00F90ED5"/>
    <w:rsid w:val="00F93EE9"/>
    <w:rsid w:val="00F95338"/>
    <w:rsid w:val="00FA1D7B"/>
    <w:rsid w:val="00FA265C"/>
    <w:rsid w:val="00FA3214"/>
    <w:rsid w:val="00FB3CF2"/>
    <w:rsid w:val="00FC510C"/>
    <w:rsid w:val="00FD19B2"/>
    <w:rsid w:val="00FE4860"/>
    <w:rsid w:val="00FE4A39"/>
    <w:rsid w:val="00FE69B1"/>
    <w:rsid w:val="00FF18F4"/>
    <w:rsid w:val="00FF2F72"/>
    <w:rsid w:val="00FF43DC"/>
    <w:rsid w:val="00FF5E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51550B"/>
  <w15:docId w15:val="{D1D7601F-B2AB-4A12-A4B8-CA9D18661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sr-Cyrl-RS" w:eastAsia="en-US" w:bidi="ar-SA"/>
      </w:rPr>
    </w:rPrDefault>
    <w:pPrDefault>
      <w:pPr>
        <w:spacing w:after="12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3009"/>
    <w:rPr>
      <w:rFonts w:cs="Times New Roman"/>
      <w:lang w:val="en-GB"/>
    </w:rPr>
  </w:style>
  <w:style w:type="paragraph" w:styleId="Heading1">
    <w:name w:val="heading 1"/>
    <w:basedOn w:val="Normal"/>
    <w:next w:val="Normal"/>
    <w:link w:val="Heading1Char"/>
    <w:autoRedefine/>
    <w:uiPriority w:val="9"/>
    <w:qFormat/>
    <w:rsid w:val="00FF187B"/>
    <w:pPr>
      <w:keepNext/>
      <w:keepLines/>
      <w:numPr>
        <w:numId w:val="15"/>
      </w:numPr>
      <w:spacing w:before="360" w:after="240" w:line="240" w:lineRule="auto"/>
      <w:outlineLvl w:val="0"/>
    </w:pPr>
    <w:rPr>
      <w:rFonts w:ascii="Calibri Bold" w:hAnsi="Calibri Bold"/>
      <w:b/>
      <w:bCs/>
      <w:caps/>
      <w:color w:val="002060"/>
      <w:sz w:val="28"/>
      <w:szCs w:val="28"/>
      <w:lang w:val="en-US" w:eastAsia="x-none"/>
    </w:rPr>
  </w:style>
  <w:style w:type="paragraph" w:styleId="Heading2">
    <w:name w:val="heading 2"/>
    <w:basedOn w:val="Normal"/>
    <w:next w:val="Normal"/>
    <w:link w:val="Heading2Char"/>
    <w:autoRedefine/>
    <w:uiPriority w:val="9"/>
    <w:qFormat/>
    <w:rsid w:val="00932D82"/>
    <w:pPr>
      <w:numPr>
        <w:ilvl w:val="1"/>
        <w:numId w:val="2"/>
      </w:numPr>
      <w:spacing w:line="240" w:lineRule="auto"/>
      <w:outlineLvl w:val="1"/>
    </w:pPr>
    <w:rPr>
      <w:b/>
      <w:bCs/>
      <w:color w:val="002060"/>
      <w:sz w:val="24"/>
      <w:szCs w:val="24"/>
      <w:lang w:eastAsia="x-none"/>
    </w:rPr>
  </w:style>
  <w:style w:type="paragraph" w:styleId="Heading3">
    <w:name w:val="heading 3"/>
    <w:basedOn w:val="Heading2"/>
    <w:next w:val="Normal"/>
    <w:link w:val="Heading3Char"/>
    <w:autoRedefine/>
    <w:uiPriority w:val="9"/>
    <w:unhideWhenUsed/>
    <w:qFormat/>
    <w:rsid w:val="00D677C1"/>
    <w:pPr>
      <w:keepNext/>
      <w:numPr>
        <w:ilvl w:val="2"/>
      </w:numPr>
      <w:spacing w:after="180" w:line="259" w:lineRule="auto"/>
      <w:outlineLvl w:val="2"/>
    </w:pPr>
    <w:rPr>
      <w:sz w:val="22"/>
    </w:rPr>
  </w:style>
  <w:style w:type="paragraph" w:styleId="Heading4">
    <w:name w:val="heading 4"/>
    <w:basedOn w:val="Heading3"/>
    <w:next w:val="Normal"/>
    <w:link w:val="Heading4Char"/>
    <w:autoRedefine/>
    <w:uiPriority w:val="9"/>
    <w:qFormat/>
    <w:rsid w:val="00843B64"/>
    <w:pPr>
      <w:numPr>
        <w:ilvl w:val="3"/>
      </w:numPr>
      <w:spacing w:before="120"/>
      <w:outlineLvl w:val="3"/>
    </w:pPr>
    <w:rPr>
      <w:rFonts w:eastAsia="Times New Roman"/>
      <w:i/>
      <w:iCs/>
      <w:color w:val="222A35"/>
      <w:lang w:eastAsia="da-DK"/>
    </w:rPr>
  </w:style>
  <w:style w:type="paragraph" w:styleId="Heading5">
    <w:name w:val="heading 5"/>
    <w:basedOn w:val="Heading4"/>
    <w:next w:val="Normal"/>
    <w:link w:val="Heading5Char"/>
    <w:uiPriority w:val="9"/>
    <w:qFormat/>
    <w:rsid w:val="0095580E"/>
    <w:pPr>
      <w:numPr>
        <w:ilvl w:val="4"/>
      </w:numPr>
      <w:outlineLvl w:val="4"/>
    </w:pPr>
  </w:style>
  <w:style w:type="paragraph" w:styleId="Heading6">
    <w:name w:val="heading 6"/>
    <w:basedOn w:val="Normal"/>
    <w:next w:val="Normal"/>
    <w:link w:val="Heading6Char"/>
    <w:uiPriority w:val="9"/>
    <w:qFormat/>
    <w:rsid w:val="0095580E"/>
    <w:pPr>
      <w:numPr>
        <w:ilvl w:val="5"/>
        <w:numId w:val="2"/>
      </w:numPr>
      <w:spacing w:before="240" w:after="60"/>
      <w:outlineLvl w:val="5"/>
    </w:pPr>
    <w:rPr>
      <w:rFonts w:eastAsia="Times New Roman"/>
      <w:b/>
      <w:bCs/>
      <w:sz w:val="20"/>
      <w:szCs w:val="20"/>
      <w:lang w:eastAsia="x-none"/>
    </w:rPr>
  </w:style>
  <w:style w:type="paragraph" w:styleId="Heading7">
    <w:name w:val="heading 7"/>
    <w:basedOn w:val="Normal"/>
    <w:next w:val="Normal"/>
    <w:link w:val="Heading7Char"/>
    <w:uiPriority w:val="9"/>
    <w:qFormat/>
    <w:rsid w:val="0095580E"/>
    <w:pPr>
      <w:numPr>
        <w:ilvl w:val="6"/>
        <w:numId w:val="2"/>
      </w:numPr>
      <w:spacing w:before="240" w:after="60"/>
      <w:outlineLvl w:val="6"/>
    </w:pPr>
    <w:rPr>
      <w:rFonts w:eastAsia="Times New Roman"/>
      <w:sz w:val="24"/>
      <w:szCs w:val="24"/>
      <w:lang w:eastAsia="x-none"/>
    </w:rPr>
  </w:style>
  <w:style w:type="paragraph" w:styleId="Heading8">
    <w:name w:val="heading 8"/>
    <w:basedOn w:val="Normal"/>
    <w:next w:val="Normal"/>
    <w:link w:val="Heading8Char"/>
    <w:uiPriority w:val="9"/>
    <w:semiHidden/>
    <w:unhideWhenUsed/>
    <w:qFormat/>
    <w:rsid w:val="0095580E"/>
    <w:pPr>
      <w:keepNext/>
      <w:keepLines/>
      <w:numPr>
        <w:ilvl w:val="7"/>
        <w:numId w:val="2"/>
      </w:numPr>
      <w:spacing w:before="200" w:after="0"/>
      <w:outlineLvl w:val="7"/>
    </w:pPr>
    <w:rPr>
      <w:rFonts w:ascii="Calibri Light" w:eastAsia="Times New Roman" w:hAnsi="Calibri Light"/>
      <w:color w:val="404040"/>
      <w:sz w:val="20"/>
      <w:szCs w:val="20"/>
      <w:lang w:eastAsia="x-none"/>
    </w:rPr>
  </w:style>
  <w:style w:type="paragraph" w:styleId="Heading9">
    <w:name w:val="heading 9"/>
    <w:basedOn w:val="Normal"/>
    <w:next w:val="Normal"/>
    <w:link w:val="Heading9Char"/>
    <w:uiPriority w:val="9"/>
    <w:semiHidden/>
    <w:unhideWhenUsed/>
    <w:qFormat/>
    <w:rsid w:val="0095580E"/>
    <w:pPr>
      <w:keepNext/>
      <w:keepLines/>
      <w:numPr>
        <w:ilvl w:val="8"/>
        <w:numId w:val="2"/>
      </w:numPr>
      <w:spacing w:before="200" w:after="0"/>
      <w:outlineLvl w:val="8"/>
    </w:pPr>
    <w:rPr>
      <w:rFonts w:ascii="Calibri Light" w:eastAsia="Times New Roman" w:hAnsi="Calibri Light"/>
      <w:i/>
      <w:iCs/>
      <w:color w:val="404040"/>
      <w:sz w:val="20"/>
      <w:szCs w:val="20"/>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890E3D"/>
    <w:pPr>
      <w:spacing w:after="0" w:line="240" w:lineRule="auto"/>
      <w:jc w:val="center"/>
    </w:pPr>
    <w:rPr>
      <w:rFonts w:ascii="Times New Roman" w:eastAsia="Times New Roman" w:hAnsi="Times New Roman"/>
      <w:b/>
      <w:color w:val="002060"/>
      <w:spacing w:val="-10"/>
      <w:kern w:val="28"/>
      <w:sz w:val="48"/>
      <w:szCs w:val="48"/>
      <w:lang w:val="en-US" w:eastAsia="x-none"/>
    </w:rPr>
  </w:style>
  <w:style w:type="character" w:customStyle="1" w:styleId="Heading1Char">
    <w:name w:val="Heading 1 Char"/>
    <w:basedOn w:val="DefaultParagraphFont"/>
    <w:link w:val="Heading1"/>
    <w:uiPriority w:val="9"/>
    <w:rsid w:val="00FF187B"/>
    <w:rPr>
      <w:rFonts w:ascii="Calibri Bold" w:hAnsi="Calibri Bold" w:cs="Times New Roman"/>
      <w:b/>
      <w:bCs/>
      <w:caps/>
      <w:color w:val="002060"/>
      <w:sz w:val="28"/>
      <w:szCs w:val="28"/>
      <w:lang w:val="en-US" w:eastAsia="x-none"/>
    </w:rPr>
  </w:style>
  <w:style w:type="character" w:customStyle="1" w:styleId="Heading2Char">
    <w:name w:val="Heading 2 Char"/>
    <w:basedOn w:val="DefaultParagraphFont"/>
    <w:link w:val="Heading2"/>
    <w:uiPriority w:val="9"/>
    <w:rsid w:val="00932D82"/>
    <w:rPr>
      <w:rFonts w:cs="Times New Roman"/>
      <w:b/>
      <w:bCs/>
      <w:color w:val="002060"/>
      <w:sz w:val="24"/>
      <w:szCs w:val="24"/>
      <w:lang w:val="en-GB" w:eastAsia="x-none"/>
    </w:rPr>
  </w:style>
  <w:style w:type="character" w:customStyle="1" w:styleId="Heading3Char">
    <w:name w:val="Heading 3 Char"/>
    <w:basedOn w:val="DefaultParagraphFont"/>
    <w:link w:val="Heading3"/>
    <w:uiPriority w:val="9"/>
    <w:rsid w:val="00D677C1"/>
    <w:rPr>
      <w:rFonts w:cs="Times New Roman"/>
      <w:b/>
      <w:bCs/>
      <w:color w:val="002060"/>
      <w:szCs w:val="24"/>
      <w:lang w:val="en-GB" w:eastAsia="x-none"/>
    </w:rPr>
  </w:style>
  <w:style w:type="character" w:customStyle="1" w:styleId="Heading4Char">
    <w:name w:val="Heading 4 Char"/>
    <w:basedOn w:val="DefaultParagraphFont"/>
    <w:link w:val="Heading4"/>
    <w:uiPriority w:val="9"/>
    <w:rsid w:val="00843B64"/>
    <w:rPr>
      <w:rFonts w:eastAsia="Times New Roman" w:cs="Times New Roman"/>
      <w:b/>
      <w:bCs/>
      <w:i/>
      <w:iCs/>
      <w:color w:val="222A35"/>
      <w:szCs w:val="24"/>
      <w:lang w:val="en-GB" w:eastAsia="da-DK"/>
    </w:rPr>
  </w:style>
  <w:style w:type="character" w:customStyle="1" w:styleId="Heading5Char">
    <w:name w:val="Heading 5 Char"/>
    <w:basedOn w:val="DefaultParagraphFont"/>
    <w:link w:val="Heading5"/>
    <w:uiPriority w:val="9"/>
    <w:rsid w:val="0095580E"/>
    <w:rPr>
      <w:rFonts w:eastAsia="Times New Roman" w:cs="Times New Roman"/>
      <w:b/>
      <w:bCs/>
      <w:i/>
      <w:iCs/>
      <w:color w:val="222A35"/>
      <w:szCs w:val="24"/>
      <w:lang w:val="en-GB" w:eastAsia="da-DK"/>
    </w:rPr>
  </w:style>
  <w:style w:type="character" w:customStyle="1" w:styleId="Heading6Char">
    <w:name w:val="Heading 6 Char"/>
    <w:basedOn w:val="DefaultParagraphFont"/>
    <w:link w:val="Heading6"/>
    <w:uiPriority w:val="9"/>
    <w:rsid w:val="0095580E"/>
    <w:rPr>
      <w:rFonts w:eastAsia="Times New Roman" w:cs="Times New Roman"/>
      <w:b/>
      <w:bCs/>
      <w:sz w:val="20"/>
      <w:szCs w:val="20"/>
      <w:lang w:val="en-GB" w:eastAsia="x-none"/>
    </w:rPr>
  </w:style>
  <w:style w:type="character" w:customStyle="1" w:styleId="Heading7Char">
    <w:name w:val="Heading 7 Char"/>
    <w:basedOn w:val="DefaultParagraphFont"/>
    <w:link w:val="Heading7"/>
    <w:uiPriority w:val="9"/>
    <w:rsid w:val="0095580E"/>
    <w:rPr>
      <w:rFonts w:eastAsia="Times New Roman" w:cs="Times New Roman"/>
      <w:sz w:val="24"/>
      <w:szCs w:val="24"/>
      <w:lang w:val="en-GB" w:eastAsia="x-none"/>
    </w:rPr>
  </w:style>
  <w:style w:type="character" w:customStyle="1" w:styleId="Heading8Char">
    <w:name w:val="Heading 8 Char"/>
    <w:basedOn w:val="DefaultParagraphFont"/>
    <w:link w:val="Heading8"/>
    <w:uiPriority w:val="9"/>
    <w:semiHidden/>
    <w:rsid w:val="0095580E"/>
    <w:rPr>
      <w:rFonts w:ascii="Calibri Light" w:eastAsia="Times New Roman" w:hAnsi="Calibri Light" w:cs="Times New Roman"/>
      <w:color w:val="404040"/>
      <w:sz w:val="20"/>
      <w:szCs w:val="20"/>
      <w:lang w:val="en-GB" w:eastAsia="x-none"/>
    </w:rPr>
  </w:style>
  <w:style w:type="character" w:customStyle="1" w:styleId="Heading9Char">
    <w:name w:val="Heading 9 Char"/>
    <w:basedOn w:val="DefaultParagraphFont"/>
    <w:link w:val="Heading9"/>
    <w:uiPriority w:val="9"/>
    <w:semiHidden/>
    <w:rsid w:val="0095580E"/>
    <w:rPr>
      <w:rFonts w:ascii="Calibri Light" w:eastAsia="Times New Roman" w:hAnsi="Calibri Light" w:cs="Times New Roman"/>
      <w:i/>
      <w:iCs/>
      <w:color w:val="404040"/>
      <w:sz w:val="20"/>
      <w:szCs w:val="20"/>
      <w:lang w:val="en-GB" w:eastAsia="x-none"/>
    </w:rPr>
  </w:style>
  <w:style w:type="paragraph" w:styleId="Header">
    <w:name w:val="header"/>
    <w:aliases w:val="(17) EPR Header,EY Header"/>
    <w:basedOn w:val="Normal"/>
    <w:link w:val="HeaderChar"/>
    <w:uiPriority w:val="99"/>
    <w:unhideWhenUsed/>
    <w:rsid w:val="0095580E"/>
    <w:pPr>
      <w:numPr>
        <w:numId w:val="1"/>
      </w:numPr>
      <w:tabs>
        <w:tab w:val="center" w:pos="4680"/>
        <w:tab w:val="right" w:pos="9360"/>
      </w:tabs>
      <w:spacing w:after="0"/>
      <w:ind w:left="0" w:firstLine="0"/>
    </w:pPr>
    <w:rPr>
      <w:sz w:val="20"/>
      <w:szCs w:val="20"/>
      <w:lang w:eastAsia="x-none"/>
    </w:rPr>
  </w:style>
  <w:style w:type="character" w:customStyle="1" w:styleId="HeaderChar">
    <w:name w:val="Header Char"/>
    <w:aliases w:val="(17) EPR Header Char,EY Header Char"/>
    <w:basedOn w:val="DefaultParagraphFont"/>
    <w:link w:val="Header"/>
    <w:uiPriority w:val="99"/>
    <w:rsid w:val="0095580E"/>
    <w:rPr>
      <w:rFonts w:cs="Times New Roman"/>
      <w:sz w:val="20"/>
      <w:szCs w:val="20"/>
      <w:lang w:val="en-GB" w:eastAsia="x-none"/>
    </w:rPr>
  </w:style>
  <w:style w:type="paragraph" w:styleId="Footer">
    <w:name w:val="footer"/>
    <w:aliases w:val=" Carattere Carattere,RelPiè,Carattere Carattere"/>
    <w:basedOn w:val="Normal"/>
    <w:link w:val="FooterChar"/>
    <w:uiPriority w:val="99"/>
    <w:unhideWhenUsed/>
    <w:rsid w:val="0095580E"/>
    <w:pPr>
      <w:tabs>
        <w:tab w:val="center" w:pos="4680"/>
        <w:tab w:val="right" w:pos="9360"/>
      </w:tabs>
      <w:spacing w:after="0"/>
    </w:pPr>
    <w:rPr>
      <w:sz w:val="20"/>
      <w:szCs w:val="20"/>
      <w:lang w:eastAsia="x-none"/>
    </w:rPr>
  </w:style>
  <w:style w:type="character" w:customStyle="1" w:styleId="FooterChar">
    <w:name w:val="Footer Char"/>
    <w:aliases w:val=" Carattere Carattere Char,RelPiè Char,Carattere Carattere Char"/>
    <w:basedOn w:val="DefaultParagraphFont"/>
    <w:link w:val="Footer"/>
    <w:uiPriority w:val="99"/>
    <w:rsid w:val="0095580E"/>
    <w:rPr>
      <w:rFonts w:ascii="Calibri" w:eastAsia="Calibri" w:hAnsi="Calibri" w:cs="Times New Roman"/>
      <w:sz w:val="20"/>
      <w:szCs w:val="20"/>
      <w:lang w:val="en-GB" w:eastAsia="x-none"/>
    </w:rPr>
  </w:style>
  <w:style w:type="paragraph" w:styleId="TOC1">
    <w:name w:val="toc 1"/>
    <w:basedOn w:val="Normal"/>
    <w:next w:val="Normal"/>
    <w:autoRedefine/>
    <w:uiPriority w:val="39"/>
    <w:unhideWhenUsed/>
    <w:qFormat/>
    <w:rsid w:val="0095580E"/>
    <w:pPr>
      <w:tabs>
        <w:tab w:val="right" w:leader="dot" w:pos="9356"/>
      </w:tabs>
      <w:spacing w:after="0"/>
      <w:ind w:left="284" w:right="284" w:hanging="284"/>
    </w:pPr>
    <w:rPr>
      <w:rFonts w:ascii="Calibri Bold" w:hAnsi="Calibri Bold"/>
      <w:b/>
      <w:bCs/>
    </w:rPr>
  </w:style>
  <w:style w:type="paragraph" w:styleId="TOC2">
    <w:name w:val="toc 2"/>
    <w:basedOn w:val="Normal"/>
    <w:next w:val="Normal"/>
    <w:autoRedefine/>
    <w:uiPriority w:val="39"/>
    <w:unhideWhenUsed/>
    <w:qFormat/>
    <w:rsid w:val="0095580E"/>
    <w:pPr>
      <w:tabs>
        <w:tab w:val="right" w:leader="dot" w:pos="9356"/>
      </w:tabs>
      <w:spacing w:after="0"/>
      <w:ind w:left="709" w:right="284" w:hanging="425"/>
    </w:pPr>
  </w:style>
  <w:style w:type="paragraph" w:styleId="NoSpacing">
    <w:name w:val="No Spacing"/>
    <w:link w:val="NoSpacingChar"/>
    <w:uiPriority w:val="1"/>
    <w:qFormat/>
    <w:rsid w:val="0095580E"/>
    <w:pPr>
      <w:spacing w:after="0" w:line="240" w:lineRule="auto"/>
    </w:pPr>
    <w:rPr>
      <w:rFonts w:cs="Times New Roman"/>
      <w:lang w:val="en-US"/>
    </w:rPr>
  </w:style>
  <w:style w:type="character" w:customStyle="1" w:styleId="NoSpacingChar">
    <w:name w:val="No Spacing Char"/>
    <w:link w:val="NoSpacing"/>
    <w:uiPriority w:val="1"/>
    <w:rsid w:val="0095580E"/>
    <w:rPr>
      <w:rFonts w:ascii="Calibri" w:eastAsia="Calibri" w:hAnsi="Calibri" w:cs="Times New Roman"/>
      <w:lang w:val="en-US"/>
    </w:rPr>
  </w:style>
  <w:style w:type="paragraph" w:styleId="Caption">
    <w:name w:val="caption"/>
    <w:aliases w:val="Char,Map Char,Map Char Char,Map Char Char Char Char Char,Map Char Char Char,Map,Caption Char Char Car Car,Caption Char Char Car Car Car,Map Char Char Char Car Car,Caption Char Char,Caption Char Char Char Char,Caption-tables,tabfaption Char"/>
    <w:basedOn w:val="Normal"/>
    <w:next w:val="Normal"/>
    <w:link w:val="CaptionChar"/>
    <w:uiPriority w:val="35"/>
    <w:qFormat/>
    <w:rsid w:val="0095580E"/>
    <w:pPr>
      <w:spacing w:before="120" w:after="60"/>
    </w:pPr>
    <w:rPr>
      <w:rFonts w:eastAsia="Times New Roman"/>
      <w:b/>
      <w:bCs/>
      <w:sz w:val="20"/>
      <w:szCs w:val="20"/>
      <w:lang w:eastAsia="x-none"/>
    </w:rPr>
  </w:style>
  <w:style w:type="character" w:customStyle="1" w:styleId="CaptionChar">
    <w:name w:val="Caption Char"/>
    <w:aliases w:val="Char Char,Map Char Char1,Map Char Char Char1,Map Char Char Char Char Char Char,Map Char Char Char Char,Map Char1,Caption Char Char Car Car Char,Caption Char Char Car Car Car Char,Map Char Char Char Car Car Char,Caption Char Char Char"/>
    <w:link w:val="Caption"/>
    <w:uiPriority w:val="35"/>
    <w:locked/>
    <w:rsid w:val="0095580E"/>
    <w:rPr>
      <w:rFonts w:ascii="Calibri" w:eastAsia="Times New Roman" w:hAnsi="Calibri" w:cs="Times New Roman"/>
      <w:b/>
      <w:bCs/>
      <w:sz w:val="20"/>
      <w:szCs w:val="20"/>
      <w:lang w:val="en-GB" w:eastAsia="x-none"/>
    </w:rPr>
  </w:style>
  <w:style w:type="character" w:styleId="PageNumber">
    <w:name w:val="page number"/>
    <w:rsid w:val="0095580E"/>
    <w:rPr>
      <w:rFonts w:cs="Times New Roman"/>
    </w:rPr>
  </w:style>
  <w:style w:type="paragraph" w:styleId="BodyText2">
    <w:name w:val="Body Text 2"/>
    <w:basedOn w:val="Normal"/>
    <w:link w:val="BodyText2Char"/>
    <w:semiHidden/>
    <w:rsid w:val="0095580E"/>
    <w:pPr>
      <w:spacing w:after="0"/>
      <w:jc w:val="center"/>
    </w:pPr>
    <w:rPr>
      <w:rFonts w:ascii="Arial Black" w:eastAsia="Times New Roman" w:hAnsi="Arial Black"/>
      <w:sz w:val="32"/>
      <w:szCs w:val="24"/>
      <w:lang w:eastAsia="hr-HR"/>
    </w:rPr>
  </w:style>
  <w:style w:type="character" w:customStyle="1" w:styleId="BodyText2Char">
    <w:name w:val="Body Text 2 Char"/>
    <w:basedOn w:val="DefaultParagraphFont"/>
    <w:link w:val="BodyText2"/>
    <w:semiHidden/>
    <w:rsid w:val="0095580E"/>
    <w:rPr>
      <w:rFonts w:ascii="Arial Black" w:eastAsia="Times New Roman" w:hAnsi="Arial Black" w:cs="Times New Roman"/>
      <w:sz w:val="32"/>
      <w:szCs w:val="24"/>
      <w:lang w:val="en-GB" w:eastAsia="hr-HR"/>
    </w:rPr>
  </w:style>
  <w:style w:type="paragraph" w:styleId="TableofFigures">
    <w:name w:val="table of figures"/>
    <w:basedOn w:val="Normal"/>
    <w:next w:val="Normal"/>
    <w:uiPriority w:val="99"/>
    <w:unhideWhenUsed/>
    <w:rsid w:val="0095580E"/>
    <w:pPr>
      <w:spacing w:after="0"/>
    </w:pPr>
  </w:style>
  <w:style w:type="character" w:customStyle="1" w:styleId="TitleChar">
    <w:name w:val="Title Char"/>
    <w:basedOn w:val="DefaultParagraphFont"/>
    <w:link w:val="Title"/>
    <w:uiPriority w:val="10"/>
    <w:rsid w:val="00890E3D"/>
    <w:rPr>
      <w:rFonts w:ascii="Times New Roman" w:eastAsia="Times New Roman" w:hAnsi="Times New Roman" w:cs="Times New Roman"/>
      <w:b/>
      <w:color w:val="002060"/>
      <w:spacing w:val="-10"/>
      <w:kern w:val="28"/>
      <w:sz w:val="48"/>
      <w:szCs w:val="48"/>
      <w:lang w:val="en-US" w:eastAsia="x-none"/>
    </w:rPr>
  </w:style>
  <w:style w:type="paragraph" w:customStyle="1" w:styleId="1Appendix">
    <w:name w:val="1 Appendix"/>
    <w:basedOn w:val="Heading1"/>
    <w:link w:val="1AppendixChar"/>
    <w:qFormat/>
    <w:rsid w:val="0095580E"/>
    <w:pPr>
      <w:numPr>
        <w:numId w:val="3"/>
      </w:numPr>
    </w:pPr>
    <w:rPr>
      <w:color w:val="1F3864"/>
      <w:sz w:val="32"/>
      <w:szCs w:val="32"/>
    </w:rPr>
  </w:style>
  <w:style w:type="character" w:customStyle="1" w:styleId="1AppendixChar">
    <w:name w:val="1 Appendix Char"/>
    <w:link w:val="1Appendix"/>
    <w:rsid w:val="0095580E"/>
    <w:rPr>
      <w:rFonts w:ascii="Calibri Bold" w:hAnsi="Calibri Bold" w:cs="Times New Roman"/>
      <w:b/>
      <w:bCs/>
      <w:caps/>
      <w:color w:val="1F3864"/>
      <w:sz w:val="32"/>
      <w:szCs w:val="32"/>
      <w:lang w:val="en-US" w:eastAsia="x-none"/>
    </w:rPr>
  </w:style>
  <w:style w:type="character" w:styleId="CommentReference">
    <w:name w:val="annotation reference"/>
    <w:basedOn w:val="DefaultParagraphFont"/>
    <w:uiPriority w:val="99"/>
    <w:unhideWhenUsed/>
    <w:rsid w:val="0014383D"/>
    <w:rPr>
      <w:sz w:val="16"/>
      <w:szCs w:val="16"/>
    </w:rPr>
  </w:style>
  <w:style w:type="paragraph" w:styleId="CommentText">
    <w:name w:val="annotation text"/>
    <w:basedOn w:val="Normal"/>
    <w:link w:val="CommentTextChar"/>
    <w:uiPriority w:val="99"/>
    <w:unhideWhenUsed/>
    <w:rsid w:val="0014383D"/>
    <w:pPr>
      <w:spacing w:line="240" w:lineRule="auto"/>
    </w:pPr>
    <w:rPr>
      <w:sz w:val="20"/>
      <w:szCs w:val="20"/>
    </w:rPr>
  </w:style>
  <w:style w:type="character" w:customStyle="1" w:styleId="CommentTextChar">
    <w:name w:val="Comment Text Char"/>
    <w:basedOn w:val="DefaultParagraphFont"/>
    <w:link w:val="CommentText"/>
    <w:uiPriority w:val="99"/>
    <w:rsid w:val="0014383D"/>
    <w:rPr>
      <w:rFonts w:ascii="Calibri" w:eastAsia="Calibri" w:hAnsi="Calibri"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4383D"/>
    <w:rPr>
      <w:b/>
      <w:bCs/>
    </w:rPr>
  </w:style>
  <w:style w:type="character" w:customStyle="1" w:styleId="CommentSubjectChar">
    <w:name w:val="Comment Subject Char"/>
    <w:basedOn w:val="CommentTextChar"/>
    <w:link w:val="CommentSubject"/>
    <w:uiPriority w:val="99"/>
    <w:semiHidden/>
    <w:rsid w:val="0014383D"/>
    <w:rPr>
      <w:rFonts w:ascii="Calibri" w:eastAsia="Calibri" w:hAnsi="Calibri" w:cs="Times New Roman"/>
      <w:b/>
      <w:bCs/>
      <w:sz w:val="20"/>
      <w:szCs w:val="20"/>
      <w:lang w:val="en-GB"/>
    </w:rPr>
  </w:style>
  <w:style w:type="paragraph" w:styleId="BalloonText">
    <w:name w:val="Balloon Text"/>
    <w:basedOn w:val="Normal"/>
    <w:link w:val="BalloonTextChar"/>
    <w:uiPriority w:val="99"/>
    <w:semiHidden/>
    <w:unhideWhenUsed/>
    <w:rsid w:val="0014383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383D"/>
    <w:rPr>
      <w:rFonts w:ascii="Segoe UI" w:eastAsia="Calibri" w:hAnsi="Segoe UI" w:cs="Segoe UI"/>
      <w:sz w:val="18"/>
      <w:szCs w:val="18"/>
      <w:lang w:val="en-GB"/>
    </w:rPr>
  </w:style>
  <w:style w:type="character" w:styleId="FootnoteReference">
    <w:name w:val="footnote reference"/>
    <w:aliases w:val="Fußnotenzeichen DISS,BVI fnr,fr,SUPERS,-E Fußnotenzeichen,Footnote symbol,Times 10 Point,Exposant 3 Point,number,Footnote reference number,note TESI,EN Footnote Reference,Footnote Reference/,Footnote Reference Number,ftref,Re"/>
    <w:basedOn w:val="DefaultParagraphFont"/>
    <w:link w:val="16Point"/>
    <w:uiPriority w:val="99"/>
    <w:qFormat/>
    <w:rsid w:val="00F4766A"/>
    <w:rPr>
      <w:rFonts w:ascii="Arial" w:hAnsi="Arial"/>
      <w:position w:val="6"/>
      <w:sz w:val="16"/>
    </w:rPr>
  </w:style>
  <w:style w:type="paragraph" w:customStyle="1" w:styleId="16Point">
    <w:name w:val="16 Point"/>
    <w:aliases w:val="Superscript 6 Point,Odwołanie przypisu,Ref,de nota al pie,footnote ref,2001+ Fußnotenzeichen,BVI fnr Знак Знак,BVI fnr Car Car Знак Знак,BVI fnr Car Знак Знак,R"/>
    <w:basedOn w:val="Normal"/>
    <w:link w:val="FootnoteReference"/>
    <w:uiPriority w:val="99"/>
    <w:rsid w:val="00F4766A"/>
    <w:pPr>
      <w:spacing w:before="120" w:after="160" w:line="240" w:lineRule="exact"/>
      <w:jc w:val="left"/>
    </w:pPr>
    <w:rPr>
      <w:rFonts w:ascii="Arial" w:eastAsiaTheme="minorHAnsi" w:hAnsi="Arial" w:cstheme="minorBidi"/>
      <w:position w:val="6"/>
      <w:sz w:val="16"/>
      <w:lang w:val="fr-FR"/>
    </w:rPr>
  </w:style>
  <w:style w:type="paragraph" w:styleId="FootnoteText">
    <w:name w:val="footnote text"/>
    <w:aliases w:val="ADB,Fußnotentextf,Footnote Text Char Char Char,Footnote Text Char Char,Fußnote,single space,footnote text,ft,FOOTNOTES,fn,FT,SD Footnote Text,Footnote Text AG,Footnote,Fotnotstext1,Footnote Text Char1 Char,9 pt,PRI Footnote Text,Geneva 9,f"/>
    <w:basedOn w:val="Normal"/>
    <w:link w:val="FootnoteTextChar1"/>
    <w:uiPriority w:val="99"/>
    <w:qFormat/>
    <w:rsid w:val="00F4766A"/>
    <w:pPr>
      <w:tabs>
        <w:tab w:val="left" w:pos="284"/>
        <w:tab w:val="left" w:pos="3825"/>
      </w:tabs>
      <w:overflowPunct w:val="0"/>
      <w:autoSpaceDE w:val="0"/>
      <w:autoSpaceDN w:val="0"/>
      <w:adjustRightInd w:val="0"/>
      <w:spacing w:before="120" w:line="240" w:lineRule="auto"/>
      <w:ind w:left="284" w:hanging="284"/>
      <w:jc w:val="left"/>
      <w:textAlignment w:val="baseline"/>
    </w:pPr>
    <w:rPr>
      <w:rFonts w:ascii="Arial" w:eastAsia="Times New Roman" w:hAnsi="Arial"/>
      <w:sz w:val="18"/>
      <w:szCs w:val="20"/>
      <w:lang w:val="en-US" w:eastAsia="de-DE"/>
    </w:rPr>
  </w:style>
  <w:style w:type="character" w:customStyle="1" w:styleId="FootnoteTextChar1">
    <w:name w:val="Footnote Text Char1"/>
    <w:aliases w:val="ADB Char,Fußnotentextf Char,Footnote Text Char Char Char Char,Footnote Text Char Char Char1,Fußnote Char,single space Char,footnote text Char,ft Char,FOOTNOTES Char,fn Char,FT Char,SD Footnote Text Char,Footnote Text AG Char,f Char"/>
    <w:basedOn w:val="DefaultParagraphFont"/>
    <w:link w:val="FootnoteText"/>
    <w:uiPriority w:val="99"/>
    <w:rsid w:val="00F4766A"/>
    <w:rPr>
      <w:rFonts w:ascii="Arial" w:eastAsia="Times New Roman" w:hAnsi="Arial" w:cs="Times New Roman"/>
      <w:sz w:val="18"/>
      <w:szCs w:val="20"/>
      <w:lang w:val="en-US" w:eastAsia="de-DE"/>
    </w:rPr>
  </w:style>
  <w:style w:type="character" w:customStyle="1" w:styleId="FootnoteTextChar">
    <w:name w:val="Footnote Text Char"/>
    <w:aliases w:val="FOOTNOTES Char1,fn Char1,Testo nota a piè di pagina Carattere Char1,Geneva 9 Char1,Font: Geneva 9 Char1,Boston 10 Char1,f Char1,Footnote Text Char Char Char Char1,Footnote Text Char Char Char2,Fußnotentextf Char1,Footnote Text Char2"/>
    <w:basedOn w:val="DefaultParagraphFont"/>
    <w:uiPriority w:val="99"/>
    <w:rsid w:val="00F4766A"/>
    <w:rPr>
      <w:rFonts w:ascii="Calibri" w:eastAsia="Calibri" w:hAnsi="Calibri" w:cs="Times New Roman"/>
      <w:sz w:val="20"/>
      <w:szCs w:val="20"/>
      <w:lang w:val="en-GB"/>
    </w:rPr>
  </w:style>
  <w:style w:type="paragraph" w:styleId="ListParagraph">
    <w:name w:val="List Paragraph"/>
    <w:aliases w:val="члан,List (Mannvit),Left Bullet L1,Table/Figure Heading,Paragraph,Bullet EY,Normal bullet 2,Bullet list,List Paragraph Red,Resume Title,Citation List,List L1,List Paragraph1,List_Paragraph,Multilevel para_II,ADB Normal,Bullet Points"/>
    <w:basedOn w:val="Normal"/>
    <w:link w:val="ListParagraphChar"/>
    <w:uiPriority w:val="34"/>
    <w:qFormat/>
    <w:rsid w:val="00F4766A"/>
    <w:pPr>
      <w:tabs>
        <w:tab w:val="left" w:pos="3825"/>
      </w:tabs>
      <w:overflowPunct w:val="0"/>
      <w:autoSpaceDE w:val="0"/>
      <w:autoSpaceDN w:val="0"/>
      <w:adjustRightInd w:val="0"/>
      <w:spacing w:before="120" w:line="240" w:lineRule="auto"/>
      <w:textAlignment w:val="baseline"/>
    </w:pPr>
    <w:rPr>
      <w:rFonts w:ascii="Arial" w:eastAsia="Times New Roman" w:hAnsi="Arial" w:cs="Arial"/>
      <w:sz w:val="20"/>
      <w:szCs w:val="20"/>
      <w:lang w:eastAsia="de-DE"/>
    </w:rPr>
  </w:style>
  <w:style w:type="character" w:customStyle="1" w:styleId="ListParagraphChar">
    <w:name w:val="List Paragraph Char"/>
    <w:aliases w:val="члан Char,List (Mannvit) Char,Left Bullet L1 Char,Table/Figure Heading Char,Paragraph Char,Bullet EY Char,Normal bullet 2 Char,Bullet list Char,List Paragraph Red Char,Resume Title Char,Citation List Char,List L1 Char,ADB Normal Char"/>
    <w:basedOn w:val="DefaultParagraphFont"/>
    <w:link w:val="ListParagraph"/>
    <w:uiPriority w:val="34"/>
    <w:qFormat/>
    <w:locked/>
    <w:rsid w:val="00F4766A"/>
    <w:rPr>
      <w:rFonts w:ascii="Arial" w:eastAsia="Times New Roman" w:hAnsi="Arial" w:cs="Arial"/>
      <w:sz w:val="20"/>
      <w:szCs w:val="20"/>
      <w:lang w:val="en-GB" w:eastAsia="de-DE"/>
    </w:rPr>
  </w:style>
  <w:style w:type="paragraph" w:styleId="Revision">
    <w:name w:val="Revision"/>
    <w:hidden/>
    <w:uiPriority w:val="99"/>
    <w:semiHidden/>
    <w:rsid w:val="003773FD"/>
    <w:pPr>
      <w:spacing w:after="0" w:line="240" w:lineRule="auto"/>
    </w:pPr>
    <w:rPr>
      <w:rFonts w:cs="Times New Roman"/>
      <w:lang w:val="en-GB"/>
    </w:rPr>
  </w:style>
  <w:style w:type="table" w:styleId="TableGrid">
    <w:name w:val="Table Grid"/>
    <w:basedOn w:val="TableNormal"/>
    <w:uiPriority w:val="39"/>
    <w:rsid w:val="00FC16D2"/>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D13A1"/>
    <w:pPr>
      <w:spacing w:before="100" w:beforeAutospacing="1" w:after="100" w:afterAutospacing="1" w:line="240" w:lineRule="auto"/>
      <w:jc w:val="left"/>
    </w:pPr>
    <w:rPr>
      <w:rFonts w:ascii="Times New Roman" w:eastAsia="Times New Roman" w:hAnsi="Times New Roman"/>
      <w:sz w:val="24"/>
      <w:szCs w:val="24"/>
    </w:rPr>
  </w:style>
  <w:style w:type="character" w:styleId="Hyperlink">
    <w:name w:val="Hyperlink"/>
    <w:basedOn w:val="DefaultParagraphFont"/>
    <w:uiPriority w:val="99"/>
    <w:unhideWhenUsed/>
    <w:rsid w:val="006D13A1"/>
    <w:rPr>
      <w:color w:val="0000FF"/>
      <w:u w:val="single"/>
    </w:rPr>
  </w:style>
  <w:style w:type="character" w:styleId="Strong">
    <w:name w:val="Strong"/>
    <w:basedOn w:val="DefaultParagraphFont"/>
    <w:uiPriority w:val="22"/>
    <w:qFormat/>
    <w:rsid w:val="006D13A1"/>
    <w:rPr>
      <w:b/>
      <w:bCs/>
    </w:rPr>
  </w:style>
  <w:style w:type="character" w:customStyle="1" w:styleId="jlqj4b">
    <w:name w:val="jlqj4b"/>
    <w:basedOn w:val="DefaultParagraphFont"/>
    <w:rsid w:val="003A717C"/>
  </w:style>
  <w:style w:type="paragraph" w:customStyle="1" w:styleId="Normal2">
    <w:name w:val="Normal2"/>
    <w:basedOn w:val="Normal"/>
    <w:rsid w:val="007E794E"/>
    <w:pPr>
      <w:spacing w:before="100" w:beforeAutospacing="1" w:after="100" w:afterAutospacing="1" w:line="240" w:lineRule="auto"/>
      <w:jc w:val="left"/>
    </w:pPr>
    <w:rPr>
      <w:rFonts w:ascii="Times New Roman" w:eastAsia="Times New Roman" w:hAnsi="Times New Roman"/>
      <w:sz w:val="24"/>
      <w:szCs w:val="24"/>
    </w:rPr>
  </w:style>
  <w:style w:type="paragraph" w:styleId="Subtitle">
    <w:name w:val="Subtitle"/>
    <w:basedOn w:val="Normal"/>
    <w:next w:val="Normal"/>
    <w:link w:val="SubtitleChar"/>
    <w:pPr>
      <w:spacing w:before="120" w:after="0" w:line="276" w:lineRule="auto"/>
      <w:ind w:left="2160" w:hanging="360"/>
    </w:pPr>
    <w:rPr>
      <w:rFonts w:cs="Calibri"/>
      <w:color w:val="000000"/>
    </w:rPr>
  </w:style>
  <w:style w:type="character" w:customStyle="1" w:styleId="SubtitleChar">
    <w:name w:val="Subtitle Char"/>
    <w:basedOn w:val="DefaultParagraphFont"/>
    <w:link w:val="Subtitle"/>
    <w:uiPriority w:val="11"/>
    <w:rsid w:val="001C492B"/>
    <w:rPr>
      <w:rFonts w:eastAsia="Times New Roman" w:cstheme="minorHAnsi"/>
      <w:bCs/>
      <w:color w:val="000000" w:themeColor="text1"/>
      <w:lang w:val="en-US" w:eastAsia="cs-CZ"/>
    </w:rPr>
  </w:style>
  <w:style w:type="paragraph" w:styleId="BodyText">
    <w:name w:val="Body Text"/>
    <w:basedOn w:val="Normal"/>
    <w:link w:val="BodyTextChar"/>
    <w:uiPriority w:val="99"/>
    <w:unhideWhenUsed/>
    <w:rsid w:val="00A34CC0"/>
  </w:style>
  <w:style w:type="character" w:customStyle="1" w:styleId="BodyTextChar">
    <w:name w:val="Body Text Char"/>
    <w:basedOn w:val="DefaultParagraphFont"/>
    <w:link w:val="BodyText"/>
    <w:uiPriority w:val="99"/>
    <w:rsid w:val="00A34CC0"/>
    <w:rPr>
      <w:rFonts w:ascii="Calibri" w:eastAsia="Calibri" w:hAnsi="Calibri" w:cs="Times New Roman"/>
      <w:lang w:val="en-GB"/>
    </w:rPr>
  </w:style>
  <w:style w:type="character" w:customStyle="1" w:styleId="viiyi">
    <w:name w:val="viiyi"/>
    <w:basedOn w:val="DefaultParagraphFont"/>
    <w:rsid w:val="0063398F"/>
  </w:style>
  <w:style w:type="paragraph" w:styleId="ListBullet2">
    <w:name w:val="List Bullet 2"/>
    <w:basedOn w:val="Normal"/>
    <w:autoRedefine/>
    <w:uiPriority w:val="99"/>
    <w:rsid w:val="00FD5B38"/>
    <w:pPr>
      <w:numPr>
        <w:numId w:val="5"/>
      </w:numPr>
      <w:spacing w:before="120" w:after="0" w:line="276" w:lineRule="auto"/>
      <w:contextualSpacing/>
    </w:pPr>
    <w:rPr>
      <w:rFonts w:ascii="Garamond" w:hAnsi="Garamond" w:cs="Arial"/>
      <w:sz w:val="24"/>
      <w:szCs w:val="24"/>
      <w:lang w:eastAsia="ar-SA"/>
    </w:rPr>
  </w:style>
  <w:style w:type="paragraph" w:customStyle="1" w:styleId="footnotedescription">
    <w:name w:val="footnote description"/>
    <w:next w:val="Normal"/>
    <w:link w:val="footnotedescriptionChar"/>
    <w:hidden/>
    <w:rsid w:val="00054519"/>
    <w:pPr>
      <w:spacing w:after="0" w:line="216" w:lineRule="auto"/>
      <w:ind w:right="338"/>
    </w:pPr>
    <w:rPr>
      <w:color w:val="000000"/>
      <w:lang w:val="en-GB" w:eastAsia="en-GB"/>
    </w:rPr>
  </w:style>
  <w:style w:type="character" w:customStyle="1" w:styleId="footnotedescriptionChar">
    <w:name w:val="footnote description Char"/>
    <w:link w:val="footnotedescription"/>
    <w:rsid w:val="00054519"/>
    <w:rPr>
      <w:rFonts w:ascii="Calibri" w:eastAsia="Calibri" w:hAnsi="Calibri" w:cs="Calibri"/>
      <w:color w:val="000000"/>
      <w:lang w:val="en-GB" w:eastAsia="en-GB"/>
    </w:rPr>
  </w:style>
  <w:style w:type="paragraph" w:customStyle="1" w:styleId="DSIPbullets">
    <w:name w:val="DSIP bullets"/>
    <w:basedOn w:val="Normal"/>
    <w:next w:val="Normal"/>
    <w:qFormat/>
    <w:rsid w:val="00054519"/>
    <w:pPr>
      <w:numPr>
        <w:numId w:val="6"/>
      </w:numPr>
      <w:spacing w:before="120" w:after="0" w:line="240" w:lineRule="auto"/>
      <w:contextualSpacing/>
    </w:pPr>
    <w:rPr>
      <w:rFonts w:ascii="Times New Roman" w:eastAsia="Cambria" w:hAnsi="Times New Roman"/>
      <w:sz w:val="24"/>
      <w:szCs w:val="24"/>
      <w:lang w:val="en-US"/>
    </w:rPr>
  </w:style>
  <w:style w:type="paragraph" w:customStyle="1" w:styleId="Default">
    <w:name w:val="Default"/>
    <w:rsid w:val="00DB0383"/>
    <w:pPr>
      <w:autoSpaceDE w:val="0"/>
      <w:autoSpaceDN w:val="0"/>
      <w:adjustRightInd w:val="0"/>
      <w:spacing w:before="120" w:line="276" w:lineRule="auto"/>
    </w:pPr>
    <w:rPr>
      <w:rFonts w:ascii="Arial" w:hAnsi="Arial" w:cs="Arial"/>
      <w:color w:val="000000"/>
      <w:sz w:val="24"/>
      <w:szCs w:val="24"/>
      <w:lang w:val="en-US"/>
    </w:rPr>
  </w:style>
  <w:style w:type="character" w:customStyle="1" w:styleId="chemf">
    <w:name w:val="chemf"/>
    <w:basedOn w:val="DefaultParagraphFont"/>
    <w:rsid w:val="00E70D36"/>
  </w:style>
  <w:style w:type="paragraph" w:styleId="EndnoteText">
    <w:name w:val="endnote text"/>
    <w:basedOn w:val="Normal"/>
    <w:link w:val="EndnoteTextChar"/>
    <w:uiPriority w:val="99"/>
    <w:semiHidden/>
    <w:unhideWhenUsed/>
    <w:rsid w:val="00E40D3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40D33"/>
    <w:rPr>
      <w:rFonts w:ascii="Calibri" w:eastAsia="Calibri" w:hAnsi="Calibri" w:cs="Times New Roman"/>
      <w:sz w:val="20"/>
      <w:szCs w:val="20"/>
      <w:lang w:val="en-GB"/>
    </w:rPr>
  </w:style>
  <w:style w:type="character" w:styleId="EndnoteReference">
    <w:name w:val="endnote reference"/>
    <w:basedOn w:val="DefaultParagraphFont"/>
    <w:uiPriority w:val="99"/>
    <w:semiHidden/>
    <w:unhideWhenUsed/>
    <w:rsid w:val="00E40D33"/>
    <w:rPr>
      <w:vertAlign w:val="superscript"/>
    </w:rPr>
  </w:style>
  <w:style w:type="paragraph" w:customStyle="1" w:styleId="Style4">
    <w:name w:val="Style4"/>
    <w:basedOn w:val="Normal"/>
    <w:uiPriority w:val="99"/>
    <w:rsid w:val="0089090A"/>
    <w:pPr>
      <w:widowControl w:val="0"/>
      <w:autoSpaceDE w:val="0"/>
      <w:autoSpaceDN w:val="0"/>
      <w:adjustRightInd w:val="0"/>
      <w:spacing w:after="0" w:line="240" w:lineRule="auto"/>
    </w:pPr>
    <w:rPr>
      <w:rFonts w:ascii="Verdana" w:eastAsiaTheme="minorEastAsia" w:hAnsi="Verdana" w:cstheme="minorBidi"/>
      <w:sz w:val="24"/>
      <w:szCs w:val="24"/>
      <w:lang w:eastAsia="en-GB" w:bidi="en-GB"/>
    </w:rPr>
  </w:style>
  <w:style w:type="paragraph" w:customStyle="1" w:styleId="Style8">
    <w:name w:val="Style8"/>
    <w:basedOn w:val="Normal"/>
    <w:uiPriority w:val="99"/>
    <w:rsid w:val="0089090A"/>
    <w:pPr>
      <w:widowControl w:val="0"/>
      <w:autoSpaceDE w:val="0"/>
      <w:autoSpaceDN w:val="0"/>
      <w:adjustRightInd w:val="0"/>
      <w:spacing w:after="0" w:line="240" w:lineRule="auto"/>
      <w:jc w:val="left"/>
    </w:pPr>
    <w:rPr>
      <w:rFonts w:ascii="Verdana" w:eastAsiaTheme="minorEastAsia" w:hAnsi="Verdana" w:cstheme="minorBidi"/>
      <w:sz w:val="24"/>
      <w:szCs w:val="24"/>
      <w:lang w:eastAsia="en-GB" w:bidi="en-GB"/>
    </w:rPr>
  </w:style>
  <w:style w:type="character" w:customStyle="1" w:styleId="FontStyle57">
    <w:name w:val="Font Style57"/>
    <w:basedOn w:val="DefaultParagraphFont"/>
    <w:uiPriority w:val="99"/>
    <w:rsid w:val="0089090A"/>
    <w:rPr>
      <w:rFonts w:ascii="Verdana" w:hAnsi="Verdana" w:cs="Verdana"/>
      <w:sz w:val="14"/>
      <w:szCs w:val="14"/>
    </w:rPr>
  </w:style>
  <w:style w:type="character" w:customStyle="1" w:styleId="CaptionChar1">
    <w:name w:val="Caption Char1"/>
    <w:aliases w:val="Caption-tables Char1,tabfaption Char Char,Caption1 Char Char,Caption1 Char1,Caption Char Char... + 11 pt Char,Not... Char,Caption-tables Char Char"/>
    <w:uiPriority w:val="35"/>
    <w:rsid w:val="00FB3148"/>
    <w:rPr>
      <w:rFonts w:ascii="Arial" w:hAnsi="Arial"/>
      <w:b/>
      <w:bCs/>
      <w:sz w:val="22"/>
      <w:lang w:val="en-US"/>
    </w:rPr>
  </w:style>
  <w:style w:type="character" w:styleId="HTMLCite">
    <w:name w:val="HTML Cite"/>
    <w:basedOn w:val="DefaultParagraphFont"/>
    <w:uiPriority w:val="99"/>
    <w:semiHidden/>
    <w:unhideWhenUsed/>
    <w:rsid w:val="006904F3"/>
    <w:rPr>
      <w:i/>
      <w:iCs/>
    </w:rPr>
  </w:style>
  <w:style w:type="paragraph" w:customStyle="1" w:styleId="m5072645241137357831gmail-msolistparagraph">
    <w:name w:val="m_5072645241137357831gmail-msolistparagraph"/>
    <w:basedOn w:val="Normal"/>
    <w:rsid w:val="006D6486"/>
    <w:pPr>
      <w:spacing w:before="100" w:beforeAutospacing="1" w:after="100" w:afterAutospacing="1" w:line="240" w:lineRule="auto"/>
      <w:jc w:val="left"/>
    </w:pPr>
    <w:rPr>
      <w:rFonts w:ascii="Times New Roman" w:eastAsia="Times New Roman" w:hAnsi="Times New Roman"/>
      <w:sz w:val="24"/>
      <w:szCs w:val="24"/>
    </w:rPr>
  </w:style>
  <w:style w:type="character" w:styleId="Emphasis">
    <w:name w:val="Emphasis"/>
    <w:basedOn w:val="DefaultParagraphFont"/>
    <w:uiPriority w:val="20"/>
    <w:qFormat/>
    <w:rsid w:val="003D7B7F"/>
    <w:rPr>
      <w:i/>
      <w:iCs/>
    </w:rPr>
  </w:style>
  <w:style w:type="paragraph" w:customStyle="1" w:styleId="Einzug1">
    <w:name w:val="Einzug 1"/>
    <w:basedOn w:val="Heading2"/>
    <w:qFormat/>
    <w:rsid w:val="00281A1B"/>
    <w:pPr>
      <w:keepNext/>
      <w:keepLines/>
      <w:numPr>
        <w:ilvl w:val="0"/>
        <w:numId w:val="10"/>
      </w:numPr>
      <w:tabs>
        <w:tab w:val="left" w:pos="1134"/>
      </w:tabs>
      <w:overflowPunct w:val="0"/>
      <w:autoSpaceDE w:val="0"/>
      <w:autoSpaceDN w:val="0"/>
      <w:adjustRightInd w:val="0"/>
      <w:spacing w:before="360" w:after="240"/>
      <w:jc w:val="left"/>
      <w:textAlignment w:val="baseline"/>
    </w:pPr>
    <w:rPr>
      <w:rFonts w:ascii="Arial" w:eastAsia="Times New Roman" w:hAnsi="Arial" w:cs="Arial"/>
      <w:bCs w:val="0"/>
      <w:color w:val="auto"/>
      <w:spacing w:val="36"/>
      <w:sz w:val="28"/>
      <w:szCs w:val="22"/>
      <w:lang w:eastAsia="de-DE"/>
    </w:rPr>
  </w:style>
  <w:style w:type="table" w:styleId="GridTable4-Accent5">
    <w:name w:val="Grid Table 4 Accent 5"/>
    <w:basedOn w:val="TableNormal"/>
    <w:uiPriority w:val="49"/>
    <w:rsid w:val="000E4E7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super">
    <w:name w:val="super"/>
    <w:basedOn w:val="DefaultParagraphFont"/>
    <w:rsid w:val="00E84864"/>
  </w:style>
  <w:style w:type="paragraph" w:styleId="TOC3">
    <w:name w:val="toc 3"/>
    <w:basedOn w:val="Normal"/>
    <w:next w:val="Normal"/>
    <w:autoRedefine/>
    <w:uiPriority w:val="39"/>
    <w:unhideWhenUsed/>
    <w:rsid w:val="00F62680"/>
    <w:pPr>
      <w:spacing w:after="100"/>
      <w:ind w:left="440"/>
    </w:pPr>
  </w:style>
  <w:style w:type="paragraph" w:styleId="HTMLPreformatted">
    <w:name w:val="HTML Preformatted"/>
    <w:basedOn w:val="Normal"/>
    <w:link w:val="HTMLPreformattedChar"/>
    <w:uiPriority w:val="99"/>
    <w:rsid w:val="004C0670"/>
    <w:pPr>
      <w:tabs>
        <w:tab w:val="left" w:pos="916"/>
        <w:tab w:val="left" w:pos="1832"/>
        <w:tab w:val="left" w:pos="2748"/>
        <w:tab w:val="left" w:pos="3664"/>
        <w:tab w:val="left" w:pos="3825"/>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40" w:lineRule="auto"/>
      <w:jc w:val="left"/>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rsid w:val="004C0670"/>
    <w:rPr>
      <w:rFonts w:ascii="Courier New" w:eastAsia="Times New Roman" w:hAnsi="Courier New" w:cs="Courier New"/>
      <w:sz w:val="20"/>
      <w:szCs w:val="20"/>
      <w:lang w:val="en-US"/>
    </w:rPr>
  </w:style>
  <w:style w:type="character" w:customStyle="1" w:styleId="UnresolvedMention1">
    <w:name w:val="Unresolved Mention1"/>
    <w:basedOn w:val="DefaultParagraphFont"/>
    <w:uiPriority w:val="99"/>
    <w:semiHidden/>
    <w:unhideWhenUsed/>
    <w:rsid w:val="00C528B0"/>
    <w:rPr>
      <w:color w:val="605E5C"/>
      <w:shd w:val="clear" w:color="auto" w:fill="E1DFDD"/>
    </w:rPr>
  </w:style>
  <w:style w:type="paragraph" w:customStyle="1" w:styleId="basic-paragraph">
    <w:name w:val="basic-paragraph"/>
    <w:basedOn w:val="Normal"/>
    <w:qFormat/>
    <w:rsid w:val="00A1178A"/>
    <w:pPr>
      <w:spacing w:before="100" w:beforeAutospacing="1" w:after="100" w:afterAutospacing="1" w:line="240" w:lineRule="auto"/>
      <w:jc w:val="left"/>
    </w:pPr>
    <w:rPr>
      <w:rFonts w:ascii="Times New Roman" w:eastAsia="Times New Roman" w:hAnsi="Times New Roman"/>
      <w:sz w:val="24"/>
      <w:szCs w:val="24"/>
      <w:lang w:val="en-US"/>
    </w:rPr>
  </w:style>
  <w:style w:type="paragraph" w:customStyle="1" w:styleId="potpis">
    <w:name w:val="potpis"/>
    <w:basedOn w:val="Normal"/>
    <w:rsid w:val="00A1178A"/>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old">
    <w:name w:val="bold"/>
    <w:basedOn w:val="DefaultParagraphFont"/>
    <w:rsid w:val="00A1178A"/>
  </w:style>
  <w:style w:type="character" w:customStyle="1" w:styleId="field">
    <w:name w:val="field"/>
    <w:basedOn w:val="DefaultParagraphFont"/>
    <w:rsid w:val="00B9735E"/>
  </w:style>
  <w:style w:type="paragraph" w:customStyle="1" w:styleId="auto-style8">
    <w:name w:val="auto-style8"/>
    <w:basedOn w:val="Normal"/>
    <w:rsid w:val="00055554"/>
    <w:pPr>
      <w:spacing w:before="100" w:beforeAutospacing="1" w:after="100" w:afterAutospacing="1" w:line="240" w:lineRule="auto"/>
      <w:jc w:val="left"/>
    </w:pPr>
    <w:rPr>
      <w:rFonts w:ascii="Times New Roman" w:eastAsia="Times New Roman" w:hAnsi="Times New Roman"/>
      <w:sz w:val="24"/>
      <w:szCs w:val="24"/>
      <w:lang w:val="en-US"/>
    </w:rPr>
  </w:style>
  <w:style w:type="paragraph" w:customStyle="1" w:styleId="odluka-zakon">
    <w:name w:val="odluka-zakon"/>
    <w:basedOn w:val="Normal"/>
    <w:rsid w:val="007A1521"/>
    <w:pPr>
      <w:spacing w:before="100" w:beforeAutospacing="1" w:after="100" w:afterAutospacing="1" w:line="240" w:lineRule="auto"/>
      <w:jc w:val="left"/>
    </w:pPr>
    <w:rPr>
      <w:rFonts w:ascii="Times New Roman" w:eastAsia="Times New Roman" w:hAnsi="Times New Roman"/>
      <w:sz w:val="24"/>
      <w:szCs w:val="24"/>
      <w:lang w:val="en-US"/>
    </w:rPr>
  </w:style>
  <w:style w:type="paragraph" w:customStyle="1" w:styleId="naslov">
    <w:name w:val="naslov"/>
    <w:basedOn w:val="Normal"/>
    <w:rsid w:val="007A1521"/>
    <w:pPr>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markedcontent">
    <w:name w:val="markedcontent"/>
    <w:basedOn w:val="DefaultParagraphFont"/>
    <w:rsid w:val="00AD7D73"/>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70" w:type="dxa"/>
        <w:right w:w="70" w:type="dxa"/>
      </w:tblCellMar>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70" w:type="dxa"/>
        <w:right w:w="70" w:type="dxa"/>
      </w:tblCellMar>
    </w:tblPr>
  </w:style>
  <w:style w:type="table" w:customStyle="1" w:styleId="aa">
    <w:basedOn w:val="TableNormal"/>
    <w:pPr>
      <w:spacing w:after="0" w:line="240" w:lineRule="auto"/>
    </w:pPr>
    <w:tblPr>
      <w:tblStyleRowBandSize w:val="1"/>
      <w:tblStyleColBandSize w:val="1"/>
    </w:tbl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b">
    <w:basedOn w:val="TableNormal"/>
    <w:tblPr>
      <w:tblStyleRowBandSize w:val="1"/>
      <w:tblStyleColBandSize w:val="1"/>
      <w:tblCellMar>
        <w:left w:w="70" w:type="dxa"/>
        <w:right w:w="7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pPr>
      <w:spacing w:after="0" w:line="240" w:lineRule="auto"/>
    </w:pPr>
    <w:tblPr>
      <w:tblStyleRowBandSize w:val="1"/>
      <w:tblStyleColBandSize w:val="1"/>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pPr>
      <w:spacing w:after="0" w:line="240" w:lineRule="auto"/>
    </w:pPr>
    <w:tblPr>
      <w:tblStyleRowBandSize w:val="1"/>
      <w:tblStyleColBandSize w:val="1"/>
    </w:tblPr>
  </w:style>
  <w:style w:type="table" w:customStyle="1" w:styleId="afb">
    <w:basedOn w:val="TableNormal"/>
    <w:pPr>
      <w:spacing w:after="0" w:line="240" w:lineRule="auto"/>
    </w:pPr>
    <w:tblPr>
      <w:tblStyleRowBandSize w:val="1"/>
      <w:tblStyleColBandSize w:val="1"/>
    </w:tblPr>
  </w:style>
  <w:style w:type="table" w:customStyle="1" w:styleId="afc">
    <w:basedOn w:val="TableNormal"/>
    <w:pPr>
      <w:spacing w:after="0" w:line="240" w:lineRule="auto"/>
    </w:pPr>
    <w:tblPr>
      <w:tblStyleRowBandSize w:val="1"/>
      <w:tblStyleColBandSize w:val="1"/>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table" w:customStyle="1" w:styleId="aff">
    <w:basedOn w:val="TableNormal"/>
    <w:pPr>
      <w:spacing w:after="0" w:line="240" w:lineRule="auto"/>
    </w:pPr>
    <w:tblPr>
      <w:tblStyleRowBandSize w:val="1"/>
      <w:tblStyleColBandSize w:val="1"/>
    </w:tblPr>
  </w:style>
  <w:style w:type="table" w:customStyle="1" w:styleId="aff0">
    <w:basedOn w:val="TableNormal"/>
    <w:pPr>
      <w:spacing w:after="0" w:line="240" w:lineRule="auto"/>
    </w:pPr>
    <w:tblPr>
      <w:tblStyleRowBandSize w:val="1"/>
      <w:tblStyleColBandSize w:val="1"/>
    </w:tblPr>
  </w:style>
  <w:style w:type="table" w:customStyle="1" w:styleId="aff1">
    <w:basedOn w:val="TableNormal"/>
    <w:pPr>
      <w:spacing w:after="0" w:line="240" w:lineRule="auto"/>
    </w:pPr>
    <w:tblPr>
      <w:tblStyleRowBandSize w:val="1"/>
      <w:tblStyleColBandSize w:val="1"/>
    </w:tblPr>
  </w:style>
  <w:style w:type="table" w:customStyle="1" w:styleId="aff2">
    <w:basedOn w:val="TableNormal"/>
    <w:pPr>
      <w:spacing w:after="0" w:line="240" w:lineRule="auto"/>
    </w:pPr>
    <w:tblPr>
      <w:tblStyleRowBandSize w:val="1"/>
      <w:tblStyleColBandSize w:val="1"/>
    </w:tblPr>
  </w:style>
  <w:style w:type="table" w:customStyle="1" w:styleId="aff3">
    <w:basedOn w:val="TableNormal"/>
    <w:pPr>
      <w:spacing w:after="0" w:line="240" w:lineRule="auto"/>
    </w:pPr>
    <w:tblPr>
      <w:tblStyleRowBandSize w:val="1"/>
      <w:tblStyleColBandSize w:val="1"/>
    </w:tblPr>
  </w:style>
  <w:style w:type="table" w:customStyle="1" w:styleId="aff4">
    <w:basedOn w:val="TableNormal"/>
    <w:pPr>
      <w:spacing w:after="0" w:line="240" w:lineRule="auto"/>
    </w:pPr>
    <w:tblPr>
      <w:tblStyleRowBandSize w:val="1"/>
      <w:tblStyleColBandSize w:val="1"/>
    </w:tblPr>
  </w:style>
  <w:style w:type="table" w:customStyle="1" w:styleId="aff5">
    <w:basedOn w:val="TableNormal"/>
    <w:pPr>
      <w:spacing w:after="0" w:line="240" w:lineRule="auto"/>
    </w:pPr>
    <w:tblPr>
      <w:tblStyleRowBandSize w:val="1"/>
      <w:tblStyleColBandSize w:val="1"/>
    </w:tblPr>
  </w:style>
  <w:style w:type="table" w:customStyle="1" w:styleId="aff6">
    <w:basedOn w:val="TableNormal"/>
    <w:pPr>
      <w:spacing w:after="0" w:line="240" w:lineRule="auto"/>
    </w:pPr>
    <w:tblPr>
      <w:tblStyleRowBandSize w:val="1"/>
      <w:tblStyleColBandSize w:val="1"/>
    </w:tblPr>
  </w:style>
  <w:style w:type="table" w:customStyle="1" w:styleId="aff7">
    <w:basedOn w:val="TableNormal"/>
    <w:pPr>
      <w:spacing w:after="0" w:line="240" w:lineRule="auto"/>
    </w:pPr>
    <w:tblPr>
      <w:tblStyleRowBandSize w:val="1"/>
      <w:tblStyleColBandSize w:val="1"/>
    </w:tblPr>
  </w:style>
  <w:style w:type="table" w:customStyle="1" w:styleId="aff8">
    <w:basedOn w:val="TableNormal"/>
    <w:pPr>
      <w:spacing w:after="0" w:line="240" w:lineRule="auto"/>
    </w:pPr>
    <w:tblPr>
      <w:tblStyleRowBandSize w:val="1"/>
      <w:tblStyleColBandSize w:val="1"/>
    </w:tblPr>
  </w:style>
  <w:style w:type="table" w:customStyle="1" w:styleId="aff9">
    <w:basedOn w:val="TableNormal"/>
    <w:pPr>
      <w:spacing w:after="0" w:line="240" w:lineRule="auto"/>
    </w:pPr>
    <w:tblPr>
      <w:tblStyleRowBandSize w:val="1"/>
      <w:tblStyleColBandSize w:val="1"/>
    </w:tblPr>
  </w:style>
  <w:style w:type="table" w:customStyle="1" w:styleId="affa">
    <w:basedOn w:val="TableNormal"/>
    <w:pPr>
      <w:spacing w:after="0" w:line="240" w:lineRule="auto"/>
    </w:pPr>
    <w:tblPr>
      <w:tblStyleRowBandSize w:val="1"/>
      <w:tblStyleColBandSize w:val="1"/>
    </w:tblPr>
  </w:style>
  <w:style w:type="table" w:customStyle="1" w:styleId="affb">
    <w:basedOn w:val="TableNormal"/>
    <w:pPr>
      <w:spacing w:after="0" w:line="240" w:lineRule="auto"/>
    </w:pPr>
    <w:tblPr>
      <w:tblStyleRowBandSize w:val="1"/>
      <w:tblStyleColBandSize w:val="1"/>
    </w:tblPr>
  </w:style>
  <w:style w:type="table" w:customStyle="1" w:styleId="affc">
    <w:basedOn w:val="TableNormal"/>
    <w:pPr>
      <w:spacing w:after="0" w:line="240" w:lineRule="auto"/>
    </w:pPr>
    <w:tblPr>
      <w:tblStyleRowBandSize w:val="1"/>
      <w:tblStyleColBandSize w:val="1"/>
    </w:tblPr>
  </w:style>
  <w:style w:type="table" w:customStyle="1" w:styleId="affd">
    <w:basedOn w:val="TableNormal"/>
    <w:pPr>
      <w:spacing w:after="0" w:line="240" w:lineRule="auto"/>
    </w:pPr>
    <w:tblPr>
      <w:tblStyleRowBandSize w:val="1"/>
      <w:tblStyleColBandSize w:val="1"/>
    </w:tblPr>
  </w:style>
  <w:style w:type="table" w:customStyle="1" w:styleId="affe">
    <w:basedOn w:val="TableNormal"/>
    <w:pPr>
      <w:spacing w:after="0" w:line="240" w:lineRule="auto"/>
    </w:pPr>
    <w:tblPr>
      <w:tblStyleRowBandSize w:val="1"/>
      <w:tblStyleColBandSize w:val="1"/>
    </w:tblPr>
  </w:style>
  <w:style w:type="table" w:customStyle="1" w:styleId="afff">
    <w:basedOn w:val="TableNormal"/>
    <w:pPr>
      <w:spacing w:after="0" w:line="240" w:lineRule="auto"/>
    </w:pPr>
    <w:tblPr>
      <w:tblStyleRowBandSize w:val="1"/>
      <w:tblStyleColBandSize w:val="1"/>
    </w:tblPr>
  </w:style>
  <w:style w:type="table" w:customStyle="1" w:styleId="afff0">
    <w:basedOn w:val="TableNormal"/>
    <w:pPr>
      <w:spacing w:after="0" w:line="240" w:lineRule="auto"/>
    </w:pPr>
    <w:tblPr>
      <w:tblStyleRowBandSize w:val="1"/>
      <w:tblStyleColBandSize w:val="1"/>
    </w:tblPr>
  </w:style>
  <w:style w:type="table" w:customStyle="1" w:styleId="afff1">
    <w:basedOn w:val="TableNormal"/>
    <w:pPr>
      <w:spacing w:after="0" w:line="240" w:lineRule="auto"/>
    </w:pPr>
    <w:tblPr>
      <w:tblStyleRowBandSize w:val="1"/>
      <w:tblStyleColBandSize w:val="1"/>
    </w:tblPr>
  </w:style>
  <w:style w:type="table" w:customStyle="1" w:styleId="afff2">
    <w:basedOn w:val="TableNormal"/>
    <w:pPr>
      <w:spacing w:after="0" w:line="240" w:lineRule="auto"/>
    </w:pPr>
    <w:tblPr>
      <w:tblStyleRowBandSize w:val="1"/>
      <w:tblStyleColBandSize w:val="1"/>
    </w:tblPr>
  </w:style>
  <w:style w:type="table" w:customStyle="1" w:styleId="afff3">
    <w:basedOn w:val="TableNormal"/>
    <w:pPr>
      <w:spacing w:after="0" w:line="240" w:lineRule="auto"/>
    </w:pPr>
    <w:tblPr>
      <w:tblStyleRowBandSize w:val="1"/>
      <w:tblStyleColBandSize w:val="1"/>
    </w:tblPr>
  </w:style>
  <w:style w:type="table" w:customStyle="1" w:styleId="afff4">
    <w:basedOn w:val="TableNormal"/>
    <w:pPr>
      <w:spacing w:after="0" w:line="240" w:lineRule="auto"/>
    </w:pPr>
    <w:tblPr>
      <w:tblStyleRowBandSize w:val="1"/>
      <w:tblStyleColBandSize w:val="1"/>
    </w:tblPr>
  </w:style>
  <w:style w:type="table" w:customStyle="1" w:styleId="afff5">
    <w:basedOn w:val="TableNormal"/>
    <w:pPr>
      <w:spacing w:after="0" w:line="240" w:lineRule="auto"/>
    </w:pPr>
    <w:tblPr>
      <w:tblStyleRowBandSize w:val="1"/>
      <w:tblStyleColBandSize w:val="1"/>
    </w:tblPr>
  </w:style>
  <w:style w:type="table" w:customStyle="1" w:styleId="afff6">
    <w:basedOn w:val="TableNormal"/>
    <w:pPr>
      <w:spacing w:after="0" w:line="240" w:lineRule="auto"/>
    </w:pPr>
    <w:tblPr>
      <w:tblStyleRowBandSize w:val="1"/>
      <w:tblStyleColBandSize w:val="1"/>
    </w:tblPr>
  </w:style>
  <w:style w:type="table" w:customStyle="1" w:styleId="afff7">
    <w:basedOn w:val="TableNormal"/>
    <w:pPr>
      <w:spacing w:after="0" w:line="240" w:lineRule="auto"/>
    </w:pPr>
    <w:tblPr>
      <w:tblStyleRowBandSize w:val="1"/>
      <w:tblStyleColBandSize w:val="1"/>
    </w:tblPr>
  </w:style>
  <w:style w:type="table" w:customStyle="1" w:styleId="afff8">
    <w:basedOn w:val="TableNormal"/>
    <w:pPr>
      <w:spacing w:after="0" w:line="240" w:lineRule="auto"/>
    </w:pPr>
    <w:tblPr>
      <w:tblStyleRowBandSize w:val="1"/>
      <w:tblStyleColBandSize w:val="1"/>
    </w:tblPr>
  </w:style>
  <w:style w:type="table" w:customStyle="1" w:styleId="afff9">
    <w:basedOn w:val="TableNormal"/>
    <w:pPr>
      <w:spacing w:after="0" w:line="240" w:lineRule="auto"/>
    </w:pPr>
    <w:tblPr>
      <w:tblStyleRowBandSize w:val="1"/>
      <w:tblStyleColBandSize w:val="1"/>
    </w:tblPr>
  </w:style>
  <w:style w:type="table" w:customStyle="1" w:styleId="afffa">
    <w:basedOn w:val="TableNormal"/>
    <w:pPr>
      <w:spacing w:after="0" w:line="240" w:lineRule="auto"/>
    </w:pPr>
    <w:tblPr>
      <w:tblStyleRowBandSize w:val="1"/>
      <w:tblStyleColBandSize w:val="1"/>
    </w:tblPr>
  </w:style>
  <w:style w:type="table" w:customStyle="1" w:styleId="afffb">
    <w:basedOn w:val="TableNormal"/>
    <w:pPr>
      <w:spacing w:after="0" w:line="240" w:lineRule="auto"/>
    </w:pPr>
    <w:tblPr>
      <w:tblStyleRowBandSize w:val="1"/>
      <w:tblStyleColBandSize w:val="1"/>
    </w:tblPr>
  </w:style>
  <w:style w:type="table" w:customStyle="1" w:styleId="afffc">
    <w:basedOn w:val="TableNormal"/>
    <w:pPr>
      <w:spacing w:after="0" w:line="240" w:lineRule="auto"/>
    </w:pPr>
    <w:tblPr>
      <w:tblStyleRowBandSize w:val="1"/>
      <w:tblStyleColBandSize w:val="1"/>
    </w:tblPr>
  </w:style>
  <w:style w:type="table" w:customStyle="1" w:styleId="afffd">
    <w:basedOn w:val="TableNormal"/>
    <w:pPr>
      <w:spacing w:after="0" w:line="240" w:lineRule="auto"/>
    </w:pPr>
    <w:tblPr>
      <w:tblStyleRowBandSize w:val="1"/>
      <w:tblStyleColBandSize w:val="1"/>
    </w:tblPr>
  </w:style>
  <w:style w:type="table" w:customStyle="1" w:styleId="afffe">
    <w:basedOn w:val="TableNormal"/>
    <w:pPr>
      <w:spacing w:after="0" w:line="240" w:lineRule="auto"/>
    </w:pPr>
    <w:tblPr>
      <w:tblStyleRowBandSize w:val="1"/>
      <w:tblStyleColBandSize w:val="1"/>
    </w:tblPr>
  </w:style>
  <w:style w:type="table" w:customStyle="1" w:styleId="affff">
    <w:basedOn w:val="TableNormal"/>
    <w:pPr>
      <w:spacing w:after="0" w:line="240" w:lineRule="auto"/>
    </w:pPr>
    <w:tblPr>
      <w:tblStyleRowBandSize w:val="1"/>
      <w:tblStyleColBandSize w:val="1"/>
    </w:tblPr>
  </w:style>
  <w:style w:type="table" w:customStyle="1" w:styleId="affff0">
    <w:basedOn w:val="TableNormal"/>
    <w:pPr>
      <w:spacing w:after="0" w:line="240" w:lineRule="auto"/>
    </w:pPr>
    <w:tblPr>
      <w:tblStyleRowBandSize w:val="1"/>
      <w:tblStyleColBandSize w:val="1"/>
    </w:tblPr>
  </w:style>
  <w:style w:type="table" w:customStyle="1" w:styleId="affff1">
    <w:basedOn w:val="TableNormal"/>
    <w:pPr>
      <w:spacing w:after="0" w:line="240" w:lineRule="auto"/>
    </w:pPr>
    <w:tblPr>
      <w:tblStyleRowBandSize w:val="1"/>
      <w:tblStyleColBandSize w:val="1"/>
    </w:tblPr>
  </w:style>
  <w:style w:type="table" w:customStyle="1" w:styleId="affff2">
    <w:basedOn w:val="TableNormal"/>
    <w:pPr>
      <w:spacing w:after="0" w:line="240" w:lineRule="auto"/>
    </w:pPr>
    <w:tblPr>
      <w:tblStyleRowBandSize w:val="1"/>
      <w:tblStyleColBandSize w:val="1"/>
    </w:tblPr>
  </w:style>
  <w:style w:type="table" w:customStyle="1" w:styleId="affff3">
    <w:basedOn w:val="TableNormal"/>
    <w:pPr>
      <w:spacing w:after="0" w:line="240" w:lineRule="auto"/>
    </w:pPr>
    <w:tblPr>
      <w:tblStyleRowBandSize w:val="1"/>
      <w:tblStyleColBandSize w:val="1"/>
    </w:tblPr>
  </w:style>
  <w:style w:type="table" w:customStyle="1" w:styleId="affff4">
    <w:basedOn w:val="TableNormal"/>
    <w:pPr>
      <w:spacing w:after="0" w:line="240" w:lineRule="auto"/>
    </w:pPr>
    <w:tblPr>
      <w:tblStyleRowBandSize w:val="1"/>
      <w:tblStyleColBandSize w:val="1"/>
    </w:tblPr>
  </w:style>
  <w:style w:type="table" w:customStyle="1" w:styleId="affff5">
    <w:basedOn w:val="TableNormal"/>
    <w:pPr>
      <w:spacing w:after="0" w:line="240" w:lineRule="auto"/>
    </w:pPr>
    <w:tblPr>
      <w:tblStyleRowBandSize w:val="1"/>
      <w:tblStyleColBandSize w:val="1"/>
    </w:tblPr>
  </w:style>
  <w:style w:type="table" w:customStyle="1" w:styleId="affff6">
    <w:basedOn w:val="TableNormal"/>
    <w:pPr>
      <w:spacing w:after="0" w:line="240" w:lineRule="auto"/>
    </w:pPr>
    <w:tblPr>
      <w:tblStyleRowBandSize w:val="1"/>
      <w:tblStyleColBandSize w:val="1"/>
    </w:tblPr>
  </w:style>
  <w:style w:type="table" w:customStyle="1" w:styleId="affff7">
    <w:basedOn w:val="TableNormal"/>
    <w:pPr>
      <w:spacing w:after="0" w:line="240" w:lineRule="auto"/>
    </w:pPr>
    <w:tblPr>
      <w:tblStyleRowBandSize w:val="1"/>
      <w:tblStyleColBandSize w:val="1"/>
    </w:tblPr>
  </w:style>
  <w:style w:type="table" w:customStyle="1" w:styleId="affff8">
    <w:basedOn w:val="TableNormal"/>
    <w:pPr>
      <w:spacing w:after="0" w:line="240" w:lineRule="auto"/>
    </w:pPr>
    <w:tblPr>
      <w:tblStyleRowBandSize w:val="1"/>
      <w:tblStyleColBandSize w:val="1"/>
    </w:tblPr>
  </w:style>
  <w:style w:type="table" w:customStyle="1" w:styleId="affff9">
    <w:basedOn w:val="TableNormal"/>
    <w:pPr>
      <w:spacing w:after="0" w:line="240" w:lineRule="auto"/>
    </w:pPr>
    <w:tblPr>
      <w:tblStyleRowBandSize w:val="1"/>
      <w:tblStyleColBandSize w:val="1"/>
    </w:tblPr>
  </w:style>
  <w:style w:type="table" w:customStyle="1" w:styleId="affffa">
    <w:basedOn w:val="TableNormal"/>
    <w:pPr>
      <w:spacing w:after="0" w:line="240" w:lineRule="auto"/>
    </w:pPr>
    <w:tblPr>
      <w:tblStyleRowBandSize w:val="1"/>
      <w:tblStyleColBandSize w:val="1"/>
    </w:tblPr>
  </w:style>
  <w:style w:type="table" w:customStyle="1" w:styleId="affffb">
    <w:basedOn w:val="TableNormal"/>
    <w:pPr>
      <w:spacing w:after="0" w:line="240" w:lineRule="auto"/>
    </w:pPr>
    <w:tblPr>
      <w:tblStyleRowBandSize w:val="1"/>
      <w:tblStyleColBandSize w:val="1"/>
    </w:tblPr>
  </w:style>
  <w:style w:type="table" w:customStyle="1" w:styleId="affffc">
    <w:basedOn w:val="TableNormal"/>
    <w:pPr>
      <w:spacing w:after="0" w:line="240" w:lineRule="auto"/>
    </w:pPr>
    <w:tblPr>
      <w:tblStyleRowBandSize w:val="1"/>
      <w:tblStyleColBandSize w:val="1"/>
    </w:tblPr>
  </w:style>
  <w:style w:type="table" w:customStyle="1" w:styleId="affffd">
    <w:basedOn w:val="TableNormal"/>
    <w:pPr>
      <w:spacing w:after="0" w:line="240" w:lineRule="auto"/>
    </w:pPr>
    <w:tblPr>
      <w:tblStyleRowBandSize w:val="1"/>
      <w:tblStyleColBandSize w:val="1"/>
    </w:tblPr>
  </w:style>
  <w:style w:type="table" w:customStyle="1" w:styleId="affffe">
    <w:basedOn w:val="TableNormal"/>
    <w:pPr>
      <w:spacing w:after="0" w:line="240" w:lineRule="auto"/>
    </w:pPr>
    <w:tblPr>
      <w:tblStyleRowBandSize w:val="1"/>
      <w:tblStyleColBandSize w:val="1"/>
    </w:tblPr>
  </w:style>
  <w:style w:type="table" w:customStyle="1" w:styleId="afffff">
    <w:basedOn w:val="TableNormal"/>
    <w:pPr>
      <w:spacing w:after="0" w:line="240" w:lineRule="auto"/>
    </w:pPr>
    <w:tblPr>
      <w:tblStyleRowBandSize w:val="1"/>
      <w:tblStyleColBandSize w:val="1"/>
    </w:tblPr>
  </w:style>
  <w:style w:type="table" w:customStyle="1" w:styleId="afffff0">
    <w:basedOn w:val="TableNormal"/>
    <w:tblPr>
      <w:tblStyleRowBandSize w:val="1"/>
      <w:tblStyleColBandSize w:val="1"/>
      <w:tblCellMar>
        <w:left w:w="70" w:type="dxa"/>
        <w:right w:w="70"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tblPr>
      <w:tblStyleRowBandSize w:val="1"/>
      <w:tblStyleColBandSize w:val="1"/>
      <w:tblCellMar>
        <w:left w:w="115" w:type="dxa"/>
        <w:right w:w="115" w:type="dxa"/>
      </w:tblCellMar>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3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oter" Target="footer8.xml"/><Relationship Id="rId21" Type="http://schemas.openxmlformats.org/officeDocument/2006/relationships/image" Target="media/image13.png"/><Relationship Id="rId42" Type="http://schemas.openxmlformats.org/officeDocument/2006/relationships/header" Target="header1.xml"/><Relationship Id="rId47" Type="http://schemas.openxmlformats.org/officeDocument/2006/relationships/image" Target="media/image34.png"/><Relationship Id="rId63" Type="http://schemas.openxmlformats.org/officeDocument/2006/relationships/hyperlink" Target="about:blank" TargetMode="External"/><Relationship Id="rId68" Type="http://schemas.openxmlformats.org/officeDocument/2006/relationships/header" Target="header7.xml"/><Relationship Id="rId84" Type="http://schemas.openxmlformats.org/officeDocument/2006/relationships/chart" Target="charts/chart16.xml"/><Relationship Id="rId89" Type="http://schemas.openxmlformats.org/officeDocument/2006/relationships/chart" Target="charts/chart21.xml"/><Relationship Id="rId112" Type="http://schemas.openxmlformats.org/officeDocument/2006/relationships/image" Target="media/image56.png"/><Relationship Id="rId16" Type="http://schemas.openxmlformats.org/officeDocument/2006/relationships/image" Target="media/image8.png"/><Relationship Id="rId107" Type="http://schemas.openxmlformats.org/officeDocument/2006/relationships/image" Target="media/image51.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about:blank" TargetMode="External"/><Relationship Id="rId58" Type="http://schemas.openxmlformats.org/officeDocument/2006/relationships/footer" Target="footer4.xml"/><Relationship Id="rId74" Type="http://schemas.openxmlformats.org/officeDocument/2006/relationships/chart" Target="charts/chart6.xml"/><Relationship Id="rId79" Type="http://schemas.openxmlformats.org/officeDocument/2006/relationships/chart" Target="charts/chart11.xml"/><Relationship Id="rId102" Type="http://schemas.openxmlformats.org/officeDocument/2006/relationships/image" Target="media/image46.png"/><Relationship Id="rId5" Type="http://schemas.openxmlformats.org/officeDocument/2006/relationships/settings" Target="settings.xml"/><Relationship Id="rId90" Type="http://schemas.openxmlformats.org/officeDocument/2006/relationships/chart" Target="charts/chart22.xml"/><Relationship Id="rId95" Type="http://schemas.openxmlformats.org/officeDocument/2006/relationships/image" Target="media/image39.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footer" Target="footer1.xml"/><Relationship Id="rId48" Type="http://schemas.openxmlformats.org/officeDocument/2006/relationships/image" Target="media/image35.png"/><Relationship Id="rId64" Type="http://schemas.openxmlformats.org/officeDocument/2006/relationships/hyperlink" Target="about:blank" TargetMode="External"/><Relationship Id="rId69" Type="http://schemas.openxmlformats.org/officeDocument/2006/relationships/footer" Target="footer7.xml"/><Relationship Id="rId113" Type="http://schemas.openxmlformats.org/officeDocument/2006/relationships/image" Target="media/image57.png"/><Relationship Id="rId118" Type="http://schemas.openxmlformats.org/officeDocument/2006/relationships/fontTable" Target="fontTable.xml"/><Relationship Id="rId80" Type="http://schemas.openxmlformats.org/officeDocument/2006/relationships/chart" Target="charts/chart12.xml"/><Relationship Id="rId85" Type="http://schemas.openxmlformats.org/officeDocument/2006/relationships/chart" Target="charts/chart17.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header" Target="header5.xml"/><Relationship Id="rId103" Type="http://schemas.openxmlformats.org/officeDocument/2006/relationships/image" Target="media/image47.png"/><Relationship Id="rId108" Type="http://schemas.openxmlformats.org/officeDocument/2006/relationships/image" Target="media/image52.png"/><Relationship Id="rId54" Type="http://schemas.openxmlformats.org/officeDocument/2006/relationships/header" Target="header3.xml"/><Relationship Id="rId70" Type="http://schemas.openxmlformats.org/officeDocument/2006/relationships/chart" Target="charts/chart2.xml"/><Relationship Id="rId75" Type="http://schemas.openxmlformats.org/officeDocument/2006/relationships/chart" Target="charts/chart7.xml"/><Relationship Id="rId91" Type="http://schemas.openxmlformats.org/officeDocument/2006/relationships/chart" Target="charts/chart23.xml"/><Relationship Id="rId96"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hyperlink" Target="about:blank" TargetMode="External"/><Relationship Id="rId114" Type="http://schemas.openxmlformats.org/officeDocument/2006/relationships/image" Target="media/image58.png"/><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header" Target="header2.xml"/><Relationship Id="rId52" Type="http://schemas.openxmlformats.org/officeDocument/2006/relationships/hyperlink" Target="about:blank" TargetMode="External"/><Relationship Id="rId60" Type="http://schemas.openxmlformats.org/officeDocument/2006/relationships/footer" Target="footer5.xml"/><Relationship Id="rId65" Type="http://schemas.openxmlformats.org/officeDocument/2006/relationships/hyperlink" Target="about:blank" TargetMode="External"/><Relationship Id="rId73" Type="http://schemas.openxmlformats.org/officeDocument/2006/relationships/chart" Target="charts/chart5.xml"/><Relationship Id="rId78" Type="http://schemas.openxmlformats.org/officeDocument/2006/relationships/chart" Target="charts/chart10.xml"/><Relationship Id="rId81" Type="http://schemas.openxmlformats.org/officeDocument/2006/relationships/chart" Target="charts/chart13.xml"/><Relationship Id="rId86" Type="http://schemas.openxmlformats.org/officeDocument/2006/relationships/chart" Target="charts/chart18.xml"/><Relationship Id="rId94" Type="http://schemas.openxmlformats.org/officeDocument/2006/relationships/image" Target="media/image38.png"/><Relationship Id="rId99" Type="http://schemas.openxmlformats.org/officeDocument/2006/relationships/image" Target="media/image43.png"/><Relationship Id="rId101" Type="http://schemas.openxmlformats.org/officeDocument/2006/relationships/image" Target="media/image4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chart" Target="charts/chart1.xml"/><Relationship Id="rId109" Type="http://schemas.openxmlformats.org/officeDocument/2006/relationships/image" Target="media/image53.png"/><Relationship Id="rId34" Type="http://schemas.openxmlformats.org/officeDocument/2006/relationships/image" Target="media/image26.png"/><Relationship Id="rId50" Type="http://schemas.openxmlformats.org/officeDocument/2006/relationships/hyperlink" Target="about:blank" TargetMode="External"/><Relationship Id="rId55" Type="http://schemas.openxmlformats.org/officeDocument/2006/relationships/footer" Target="footer3.xml"/><Relationship Id="rId76" Type="http://schemas.openxmlformats.org/officeDocument/2006/relationships/chart" Target="charts/chart8.xml"/><Relationship Id="rId97" Type="http://schemas.openxmlformats.org/officeDocument/2006/relationships/image" Target="media/image41.png"/><Relationship Id="rId104"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chart" Target="charts/chart3.xml"/><Relationship Id="rId92" Type="http://schemas.openxmlformats.org/officeDocument/2006/relationships/chart" Target="charts/chart24.xml"/><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1.png"/><Relationship Id="rId45" Type="http://schemas.openxmlformats.org/officeDocument/2006/relationships/footer" Target="footer2.xml"/><Relationship Id="rId66" Type="http://schemas.openxmlformats.org/officeDocument/2006/relationships/header" Target="header6.xml"/><Relationship Id="rId87" Type="http://schemas.openxmlformats.org/officeDocument/2006/relationships/chart" Target="charts/chart19.xml"/><Relationship Id="rId110" Type="http://schemas.openxmlformats.org/officeDocument/2006/relationships/image" Target="media/image54.png"/><Relationship Id="rId115" Type="http://schemas.openxmlformats.org/officeDocument/2006/relationships/image" Target="media/image59.png"/><Relationship Id="rId61" Type="http://schemas.openxmlformats.org/officeDocument/2006/relationships/hyperlink" Target="about:blank" TargetMode="External"/><Relationship Id="rId82" Type="http://schemas.openxmlformats.org/officeDocument/2006/relationships/chart" Target="charts/chart14.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36.png"/><Relationship Id="rId77" Type="http://schemas.openxmlformats.org/officeDocument/2006/relationships/chart" Target="charts/chart9.xml"/><Relationship Id="rId100" Type="http://schemas.openxmlformats.org/officeDocument/2006/relationships/image" Target="media/image44.png"/><Relationship Id="rId105" Type="http://schemas.openxmlformats.org/officeDocument/2006/relationships/image" Target="media/image49.png"/><Relationship Id="rId8" Type="http://schemas.openxmlformats.org/officeDocument/2006/relationships/endnotes" Target="endnotes.xml"/><Relationship Id="rId51" Type="http://schemas.openxmlformats.org/officeDocument/2006/relationships/hyperlink" Target="about:blank" TargetMode="External"/><Relationship Id="rId72" Type="http://schemas.openxmlformats.org/officeDocument/2006/relationships/chart" Target="charts/chart4.xml"/><Relationship Id="rId93" Type="http://schemas.openxmlformats.org/officeDocument/2006/relationships/image" Target="media/image37.png"/><Relationship Id="rId98" Type="http://schemas.openxmlformats.org/officeDocument/2006/relationships/image" Target="media/image42.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3.png"/><Relationship Id="rId67" Type="http://schemas.openxmlformats.org/officeDocument/2006/relationships/footer" Target="footer6.xml"/><Relationship Id="rId116" Type="http://schemas.openxmlformats.org/officeDocument/2006/relationships/header" Target="header8.xml"/><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hyperlink" Target="about:blank" TargetMode="External"/><Relationship Id="rId83" Type="http://schemas.openxmlformats.org/officeDocument/2006/relationships/chart" Target="charts/chart15.xml"/><Relationship Id="rId88" Type="http://schemas.openxmlformats.org/officeDocument/2006/relationships/chart" Target="charts/chart20.xml"/><Relationship Id="rId111" Type="http://schemas.openxmlformats.org/officeDocument/2006/relationships/image" Target="media/image55.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header" Target="header4.xml"/><Relationship Id="rId106" Type="http://schemas.openxmlformats.org/officeDocument/2006/relationships/image" Target="media/image50.png"/></Relationships>
</file>

<file path=word/_rels/footnotes.xml.rels><?xml version="1.0" encoding="UTF-8" standalone="yes"?>
<Relationships xmlns="http://schemas.openxmlformats.org/package/2006/relationships"><Relationship Id="rId3" Type="http://schemas.openxmlformats.org/officeDocument/2006/relationships/hyperlink" Target="https://ec.europa.eu/environment/archives/cafe/pdf/cba_methodology_vol2.pdf" TargetMode="External"/><Relationship Id="rId2" Type="http://schemas.openxmlformats.org/officeDocument/2006/relationships/hyperlink" Target="https://www.ekologija.gov.rs" TargetMode="External"/><Relationship Id="rId1" Type="http://schemas.openxmlformats.org/officeDocument/2006/relationships/hyperlink" Target="https://www.eea.europa.eu/publications/air-quality-in-europe-2020-report" TargetMode="External"/><Relationship Id="rId5" Type="http://schemas.openxmlformats.org/officeDocument/2006/relationships/hyperlink" Target="https://eippcb.jrc.ec.europa.eu/reference/" TargetMode="External"/><Relationship Id="rId4" Type="http://schemas.openxmlformats.org/officeDocument/2006/relationships/hyperlink" Target="http://dx.doi.org/10.1787/9789264130807-en"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Gon&#231;alo%20Cavalheiro\Dropbox\1_Ca&#243;ticos\00_Clientes_Ca&#243;ticos\GC\8_Expertise_Serbia_MCA\Stakeholder%20Led%20MCA\Results%20Questionaire%20-%20Excel\Results%20Questionnaire%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смањењем емисија </a:t>
            </a:r>
            <a:r>
              <a:rPr lang="pt-PT" sz="1000"/>
              <a:t>PM10 </a:t>
            </a:r>
            <a:r>
              <a:rPr lang="az-Cyrl-AZ" sz="1000"/>
              <a:t>постигнутим у оквиру сценарија </a:t>
            </a:r>
            <a:r>
              <a:rPr lang="pt-PT" sz="1000"/>
              <a:t>WAM A, B, C? </a:t>
            </a:r>
            <a:endParaRPr lang="sr-Cyrl-RS" sz="1000"/>
          </a:p>
          <a:p>
            <a:pPr>
              <a:defRPr/>
            </a:pPr>
            <a:r>
              <a:rPr lang="sr-Cyrl-RS" sz="1000"/>
              <a:t>(просек</a:t>
            </a:r>
            <a:r>
              <a:rPr lang="sr-Cyrl-RS" sz="1000" baseline="0"/>
              <a:t> оцена)</a:t>
            </a:r>
            <a:endParaRPr lang="sl-SI"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Weighed'!$C$30:$E$30</c:f>
              <c:strCache>
                <c:ptCount val="3"/>
                <c:pt idx="0">
                  <c:v>WAM A</c:v>
                </c:pt>
                <c:pt idx="1">
                  <c:v>WAM B</c:v>
                </c:pt>
                <c:pt idx="2">
                  <c:v>WAM C</c:v>
                </c:pt>
              </c:strCache>
            </c:strRef>
          </c:cat>
          <c:val>
            <c:numRef>
              <c:f>'Edited Answers to U and Weighed'!$C$32:$E$32</c:f>
              <c:numCache>
                <c:formatCode>0.00</c:formatCode>
                <c:ptCount val="3"/>
                <c:pt idx="0">
                  <c:v>20.52514792899408</c:v>
                </c:pt>
                <c:pt idx="1">
                  <c:v>24.465976331360945</c:v>
                </c:pt>
                <c:pt idx="2">
                  <c:v>32.183431952662723</c:v>
                </c:pt>
              </c:numCache>
            </c:numRef>
          </c:val>
          <c:extLst>
            <c:ext xmlns:c16="http://schemas.microsoft.com/office/drawing/2014/chart" uri="{C3380CC4-5D6E-409C-BE32-E72D297353CC}">
              <c16:uniqueId val="{00000000-0391-4073-A92E-22B299DEAB99}"/>
            </c:ext>
          </c:extLst>
        </c:ser>
        <c:dLbls>
          <c:dLblPos val="outEnd"/>
          <c:showLegendKey val="0"/>
          <c:showVal val="1"/>
          <c:showCatName val="0"/>
          <c:showSerName val="0"/>
          <c:showPercent val="0"/>
          <c:showBubbleSize val="0"/>
        </c:dLbls>
        <c:gapWidth val="219"/>
        <c:overlap val="-27"/>
        <c:axId val="445300392"/>
        <c:axId val="445300784"/>
      </c:barChart>
      <c:catAx>
        <c:axId val="445300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5300784"/>
        <c:crosses val="autoZero"/>
        <c:auto val="1"/>
        <c:lblAlgn val="ctr"/>
        <c:lblOffset val="100"/>
        <c:noMultiLvlLbl val="0"/>
      </c:catAx>
      <c:valAx>
        <c:axId val="4453007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53003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броја превремених смртних случајева у вези са загађењем ваздуха у оквиру </a:t>
            </a:r>
            <a:r>
              <a:rPr lang="pt-PT" sz="1000"/>
              <a:t>WAM A, B, C? - </a:t>
            </a:r>
            <a:r>
              <a:rPr lang="sr-Cyrl-RS" sz="1000"/>
              <a:t>просек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Weighed'!$L$30:$N$30</c:f>
              <c:strCache>
                <c:ptCount val="3"/>
                <c:pt idx="0">
                  <c:v>WAM A</c:v>
                </c:pt>
                <c:pt idx="1">
                  <c:v>WAM B</c:v>
                </c:pt>
                <c:pt idx="2">
                  <c:v>WAM C</c:v>
                </c:pt>
              </c:strCache>
            </c:strRef>
          </c:cat>
          <c:val>
            <c:numRef>
              <c:f>'Edited Answers to U and Weighed'!$L$32:$N$32</c:f>
              <c:numCache>
                <c:formatCode>0.00</c:formatCode>
                <c:ptCount val="3"/>
                <c:pt idx="0">
                  <c:v>17.440000000000001</c:v>
                </c:pt>
                <c:pt idx="1">
                  <c:v>21.296923076923079</c:v>
                </c:pt>
                <c:pt idx="2">
                  <c:v>25.824615384615388</c:v>
                </c:pt>
              </c:numCache>
            </c:numRef>
          </c:val>
          <c:extLst>
            <c:ext xmlns:c16="http://schemas.microsoft.com/office/drawing/2014/chart" uri="{C3380CC4-5D6E-409C-BE32-E72D297353CC}">
              <c16:uniqueId val="{00000000-8EA4-4799-9BA0-6B4DE0F9AE1D}"/>
            </c:ext>
          </c:extLst>
        </c:ser>
        <c:dLbls>
          <c:dLblPos val="outEnd"/>
          <c:showLegendKey val="0"/>
          <c:showVal val="1"/>
          <c:showCatName val="0"/>
          <c:showSerName val="0"/>
          <c:showPercent val="0"/>
          <c:showBubbleSize val="0"/>
        </c:dLbls>
        <c:gapWidth val="219"/>
        <c:overlap val="-27"/>
        <c:axId val="383831104"/>
        <c:axId val="383831496"/>
      </c:barChart>
      <c:catAx>
        <c:axId val="383831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3831496"/>
        <c:crosses val="autoZero"/>
        <c:auto val="1"/>
        <c:lblAlgn val="ctr"/>
        <c:lblOffset val="100"/>
        <c:noMultiLvlLbl val="0"/>
      </c:catAx>
      <c:valAx>
        <c:axId val="3838314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38311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броја превремених смртних случајева у вези са загађењем ваздуха у оквиру </a:t>
            </a:r>
            <a:r>
              <a:rPr lang="pt-PT" sz="1000"/>
              <a:t>WAM A, B, C? - </a:t>
            </a:r>
            <a:r>
              <a:rPr lang="sr-Cyrl-RS" sz="1000"/>
              <a:t>средња</a:t>
            </a:r>
            <a:r>
              <a:rPr lang="sr-Cyrl-RS" sz="1000" baseline="0"/>
              <a:t> оцена</a:t>
            </a:r>
            <a:endParaRPr lang="pt-PT" sz="1000"/>
          </a:p>
        </c:rich>
      </c:tx>
      <c:layout>
        <c:manualLayout>
          <c:xMode val="edge"/>
          <c:yMode val="edge"/>
          <c:x val="0.10638188976377955"/>
          <c:y val="2.780996523754345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Weighed'!$L$30:$N$30</c:f>
              <c:strCache>
                <c:ptCount val="3"/>
                <c:pt idx="0">
                  <c:v>WAM A</c:v>
                </c:pt>
                <c:pt idx="1">
                  <c:v>WAM B</c:v>
                </c:pt>
                <c:pt idx="2">
                  <c:v>WAM C</c:v>
                </c:pt>
              </c:strCache>
            </c:strRef>
          </c:cat>
          <c:val>
            <c:numRef>
              <c:f>'Edited Answers to U and Weighed'!$L$33:$N$33</c:f>
              <c:numCache>
                <c:formatCode>General</c:formatCode>
                <c:ptCount val="3"/>
                <c:pt idx="0">
                  <c:v>22.5</c:v>
                </c:pt>
                <c:pt idx="1">
                  <c:v>25</c:v>
                </c:pt>
                <c:pt idx="2">
                  <c:v>27.5</c:v>
                </c:pt>
              </c:numCache>
            </c:numRef>
          </c:val>
          <c:extLst>
            <c:ext xmlns:c16="http://schemas.microsoft.com/office/drawing/2014/chart" uri="{C3380CC4-5D6E-409C-BE32-E72D297353CC}">
              <c16:uniqueId val="{00000000-A4FD-43CD-8E0F-A6235248744A}"/>
            </c:ext>
          </c:extLst>
        </c:ser>
        <c:dLbls>
          <c:dLblPos val="outEnd"/>
          <c:showLegendKey val="0"/>
          <c:showVal val="1"/>
          <c:showCatName val="0"/>
          <c:showSerName val="0"/>
          <c:showPercent val="0"/>
          <c:showBubbleSize val="0"/>
        </c:dLbls>
        <c:gapWidth val="219"/>
        <c:overlap val="-27"/>
        <c:axId val="381260792"/>
        <c:axId val="381261184"/>
      </c:barChart>
      <c:catAx>
        <c:axId val="381260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1261184"/>
        <c:crosses val="autoZero"/>
        <c:auto val="1"/>
        <c:lblAlgn val="ctr"/>
        <c:lblOffset val="100"/>
        <c:noMultiLvlLbl val="0"/>
      </c:catAx>
      <c:valAx>
        <c:axId val="381261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1260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000" b="0" i="0" u="none" strike="noStrike" baseline="0">
                <a:effectLst/>
              </a:rPr>
              <a:t>Колико сте задовољни додатним трошковима процењеним за </a:t>
            </a:r>
            <a:r>
              <a:rPr lang="sr-Cyrl-RS" sz="1000" b="0" i="0" u="none" strike="noStrike" baseline="0">
                <a:effectLst/>
              </a:rPr>
              <a:t>спровођење</a:t>
            </a:r>
            <a:r>
              <a:rPr lang="en-GB" sz="1000" b="0" i="0" u="none" strike="noStrike" baseline="0">
                <a:effectLst/>
              </a:rPr>
              <a:t> WАМ </a:t>
            </a:r>
            <a:r>
              <a:rPr lang="pt-PT" sz="1000"/>
              <a:t>A, B, C? - </a:t>
            </a:r>
            <a:r>
              <a:rPr lang="sr-Cyrl-RS" sz="1000"/>
              <a:t>просек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Weighed'!$O$30:$Q$30</c:f>
              <c:strCache>
                <c:ptCount val="3"/>
                <c:pt idx="0">
                  <c:v>WAM A</c:v>
                </c:pt>
                <c:pt idx="1">
                  <c:v>WAM B</c:v>
                </c:pt>
                <c:pt idx="2">
                  <c:v>WAM C</c:v>
                </c:pt>
              </c:strCache>
            </c:strRef>
          </c:cat>
          <c:val>
            <c:numRef>
              <c:f>'Edited Answers to U and Weighed'!$O$32:$Q$32</c:f>
              <c:numCache>
                <c:formatCode>0.00</c:formatCode>
                <c:ptCount val="3"/>
                <c:pt idx="0">
                  <c:v>23.143491124260354</c:v>
                </c:pt>
                <c:pt idx="1">
                  <c:v>24.541420118343193</c:v>
                </c:pt>
                <c:pt idx="2">
                  <c:v>28.57988165680473</c:v>
                </c:pt>
              </c:numCache>
            </c:numRef>
          </c:val>
          <c:extLst>
            <c:ext xmlns:c16="http://schemas.microsoft.com/office/drawing/2014/chart" uri="{C3380CC4-5D6E-409C-BE32-E72D297353CC}">
              <c16:uniqueId val="{00000000-F824-4511-A4AB-038B4A1F92AA}"/>
            </c:ext>
          </c:extLst>
        </c:ser>
        <c:dLbls>
          <c:dLblPos val="outEnd"/>
          <c:showLegendKey val="0"/>
          <c:showVal val="1"/>
          <c:showCatName val="0"/>
          <c:showSerName val="0"/>
          <c:showPercent val="0"/>
          <c:showBubbleSize val="0"/>
        </c:dLbls>
        <c:gapWidth val="219"/>
        <c:overlap val="-27"/>
        <c:axId val="381262752"/>
        <c:axId val="381263144"/>
      </c:barChart>
      <c:catAx>
        <c:axId val="381262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1263144"/>
        <c:crosses val="autoZero"/>
        <c:auto val="1"/>
        <c:lblAlgn val="ctr"/>
        <c:lblOffset val="100"/>
        <c:noMultiLvlLbl val="0"/>
      </c:catAx>
      <c:valAx>
        <c:axId val="3812631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12627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000" b="0" i="0" u="none" strike="noStrike" baseline="0">
                <a:effectLst/>
              </a:rPr>
              <a:t>Колико сте задовољни додатним трошковима процењеним за </a:t>
            </a:r>
            <a:r>
              <a:rPr lang="sr-Cyrl-RS" sz="1000" b="0" i="0" u="none" strike="noStrike" baseline="0">
                <a:effectLst/>
              </a:rPr>
              <a:t>спровођење</a:t>
            </a:r>
            <a:r>
              <a:rPr lang="en-GB" sz="1000" b="0" i="0" u="none" strike="noStrike" baseline="0">
                <a:effectLst/>
              </a:rPr>
              <a:t> WАМ </a:t>
            </a:r>
            <a:r>
              <a:rPr lang="pt-PT" sz="1000"/>
              <a:t>A, B, C? - </a:t>
            </a:r>
            <a:r>
              <a:rPr lang="sr-Cyrl-RS" sz="1000"/>
              <a:t>средња оцена</a:t>
            </a:r>
            <a:endParaRPr lang="pt-PT" sz="1000"/>
          </a:p>
        </c:rich>
      </c:tx>
      <c:layout>
        <c:manualLayout>
          <c:xMode val="edge"/>
          <c:yMode val="edge"/>
          <c:x val="0.10638188976377955"/>
          <c:y val="2.780996523754345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Weighed'!$O$30:$Q$30</c:f>
              <c:strCache>
                <c:ptCount val="3"/>
                <c:pt idx="0">
                  <c:v>WAM A</c:v>
                </c:pt>
                <c:pt idx="1">
                  <c:v>WAM B</c:v>
                </c:pt>
                <c:pt idx="2">
                  <c:v>WAM C</c:v>
                </c:pt>
              </c:strCache>
            </c:strRef>
          </c:cat>
          <c:val>
            <c:numRef>
              <c:f>'Edited Answers to U and Weighed'!$O$33:$Q$33</c:f>
              <c:numCache>
                <c:formatCode>General</c:formatCode>
                <c:ptCount val="3"/>
                <c:pt idx="0">
                  <c:v>24</c:v>
                </c:pt>
                <c:pt idx="1">
                  <c:v>28</c:v>
                </c:pt>
                <c:pt idx="2">
                  <c:v>30</c:v>
                </c:pt>
              </c:numCache>
            </c:numRef>
          </c:val>
          <c:extLst>
            <c:ext xmlns:c16="http://schemas.microsoft.com/office/drawing/2014/chart" uri="{C3380CC4-5D6E-409C-BE32-E72D297353CC}">
              <c16:uniqueId val="{00000000-1FA7-4834-B5D8-D57E026685B1}"/>
            </c:ext>
          </c:extLst>
        </c:ser>
        <c:dLbls>
          <c:dLblPos val="outEnd"/>
          <c:showLegendKey val="0"/>
          <c:showVal val="1"/>
          <c:showCatName val="0"/>
          <c:showSerName val="0"/>
          <c:showPercent val="0"/>
          <c:showBubbleSize val="0"/>
        </c:dLbls>
        <c:gapWidth val="219"/>
        <c:overlap val="-27"/>
        <c:axId val="322004560"/>
        <c:axId val="322004952"/>
      </c:barChart>
      <c:catAx>
        <c:axId val="322004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2004952"/>
        <c:crosses val="autoZero"/>
        <c:auto val="1"/>
        <c:lblAlgn val="ctr"/>
        <c:lblOffset val="100"/>
        <c:noMultiLvlLbl val="0"/>
      </c:catAx>
      <c:valAx>
        <c:axId val="3220049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2004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нето користи (односа трошка и користи) у оквиру </a:t>
            </a:r>
            <a:r>
              <a:rPr lang="pt-PT" sz="1000"/>
              <a:t>WAM A, B, C? - </a:t>
            </a:r>
            <a:r>
              <a:rPr lang="sr-Cyrl-RS" sz="1000"/>
              <a:t>просек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Weighed'!$R$30:$T$30</c:f>
              <c:strCache>
                <c:ptCount val="3"/>
                <c:pt idx="0">
                  <c:v>WAM A</c:v>
                </c:pt>
                <c:pt idx="1">
                  <c:v>WAM B</c:v>
                </c:pt>
                <c:pt idx="2">
                  <c:v>WAM C</c:v>
                </c:pt>
              </c:strCache>
            </c:strRef>
          </c:cat>
          <c:val>
            <c:numRef>
              <c:f>'Edited Answers to U and Weighed'!$R$32:$T$32</c:f>
              <c:numCache>
                <c:formatCode>0.00</c:formatCode>
                <c:ptCount val="3"/>
                <c:pt idx="0">
                  <c:v>22.449733727810653</c:v>
                </c:pt>
                <c:pt idx="1">
                  <c:v>25.033875739644973</c:v>
                </c:pt>
                <c:pt idx="2">
                  <c:v>29.233106508875743</c:v>
                </c:pt>
              </c:numCache>
            </c:numRef>
          </c:val>
          <c:extLst>
            <c:ext xmlns:c16="http://schemas.microsoft.com/office/drawing/2014/chart" uri="{C3380CC4-5D6E-409C-BE32-E72D297353CC}">
              <c16:uniqueId val="{00000000-0621-4E55-81FE-BE4CAB6FF3AC}"/>
            </c:ext>
          </c:extLst>
        </c:ser>
        <c:dLbls>
          <c:dLblPos val="outEnd"/>
          <c:showLegendKey val="0"/>
          <c:showVal val="1"/>
          <c:showCatName val="0"/>
          <c:showSerName val="0"/>
          <c:showPercent val="0"/>
          <c:showBubbleSize val="0"/>
        </c:dLbls>
        <c:gapWidth val="219"/>
        <c:overlap val="-27"/>
        <c:axId val="322006520"/>
        <c:axId val="322006912"/>
      </c:barChart>
      <c:catAx>
        <c:axId val="322006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2006912"/>
        <c:crosses val="autoZero"/>
        <c:auto val="1"/>
        <c:lblAlgn val="ctr"/>
        <c:lblOffset val="100"/>
        <c:noMultiLvlLbl val="0"/>
      </c:catAx>
      <c:valAx>
        <c:axId val="32200691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20065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нето користи (односа трошка и користи) у оквиру </a:t>
            </a:r>
            <a:r>
              <a:rPr lang="pt-PT" sz="1000"/>
              <a:t>WAM A, B, C? - </a:t>
            </a:r>
            <a:r>
              <a:rPr lang="sr-Cyrl-RS" sz="1000"/>
              <a:t>средња оцена</a:t>
            </a:r>
            <a:endParaRPr lang="pt-PT" sz="1000"/>
          </a:p>
        </c:rich>
      </c:tx>
      <c:layout>
        <c:manualLayout>
          <c:xMode val="edge"/>
          <c:yMode val="edge"/>
          <c:x val="0.10638188976377955"/>
          <c:y val="2.780996523754345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Weighed'!$R$30:$T$30</c:f>
              <c:strCache>
                <c:ptCount val="3"/>
                <c:pt idx="0">
                  <c:v>WAM A</c:v>
                </c:pt>
                <c:pt idx="1">
                  <c:v>WAM B</c:v>
                </c:pt>
                <c:pt idx="2">
                  <c:v>WAM C</c:v>
                </c:pt>
              </c:strCache>
            </c:strRef>
          </c:cat>
          <c:val>
            <c:numRef>
              <c:f>'Edited Answers to U and Weighed'!$R$33:$T$33</c:f>
              <c:numCache>
                <c:formatCode>General</c:formatCode>
                <c:ptCount val="3"/>
                <c:pt idx="0">
                  <c:v>27</c:v>
                </c:pt>
                <c:pt idx="1">
                  <c:v>29.25</c:v>
                </c:pt>
                <c:pt idx="2">
                  <c:v>33.75</c:v>
                </c:pt>
              </c:numCache>
            </c:numRef>
          </c:val>
          <c:extLst>
            <c:ext xmlns:c16="http://schemas.microsoft.com/office/drawing/2014/chart" uri="{C3380CC4-5D6E-409C-BE32-E72D297353CC}">
              <c16:uniqueId val="{00000000-452E-4BA5-87F8-73B0DD6D1C47}"/>
            </c:ext>
          </c:extLst>
        </c:ser>
        <c:dLbls>
          <c:dLblPos val="outEnd"/>
          <c:showLegendKey val="0"/>
          <c:showVal val="1"/>
          <c:showCatName val="0"/>
          <c:showSerName val="0"/>
          <c:showPercent val="0"/>
          <c:showBubbleSize val="0"/>
        </c:dLbls>
        <c:gapWidth val="219"/>
        <c:overlap val="-27"/>
        <c:axId val="322008480"/>
        <c:axId val="322008872"/>
      </c:barChart>
      <c:catAx>
        <c:axId val="322008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2008872"/>
        <c:crosses val="autoZero"/>
        <c:auto val="1"/>
        <c:lblAlgn val="ctr"/>
        <c:lblOffset val="100"/>
        <c:noMultiLvlLbl val="0"/>
      </c:catAx>
      <c:valAx>
        <c:axId val="322008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20084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борби против климатских промена? </a:t>
            </a:r>
            <a:endParaRPr lang="pt-PT" sz="1000"/>
          </a:p>
        </c:rich>
      </c:tx>
      <c:layout>
        <c:manualLayout>
          <c:xMode val="edge"/>
          <c:yMode val="edge"/>
          <c:x val="0.12383998080745222"/>
          <c:y val="2.13808433255572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BA4-47A9-9089-C8DFB934B74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BA4-47A9-9089-C8DFB934B74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BA4-47A9-9089-C8DFB934B74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BA4-47A9-9089-C8DFB934B74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BA4-47A9-9089-C8DFB934B74F}"/>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6BA4-47A9-9089-C8DFB934B74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Weighed'!$X$31:$X$36</c:f>
              <c:numCache>
                <c:formatCode>0%</c:formatCode>
                <c:ptCount val="6"/>
                <c:pt idx="0">
                  <c:v>3.8461538461538464E-2</c:v>
                </c:pt>
                <c:pt idx="1">
                  <c:v>7.6923076923076927E-2</c:v>
                </c:pt>
                <c:pt idx="2">
                  <c:v>0.61538461538461542</c:v>
                </c:pt>
                <c:pt idx="3">
                  <c:v>0.15384615384615385</c:v>
                </c:pt>
                <c:pt idx="4">
                  <c:v>0.11538461538461539</c:v>
                </c:pt>
                <c:pt idx="5">
                  <c:v>0</c:v>
                </c:pt>
              </c:numCache>
            </c:numRef>
          </c:val>
          <c:extLst>
            <c:ext xmlns:c16="http://schemas.microsoft.com/office/drawing/2014/chart" uri="{C3380CC4-5D6E-409C-BE32-E72D297353CC}">
              <c16:uniqueId val="{0000000C-6BA4-47A9-9089-C8DFB934B74F}"/>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заштити биодиверзитета?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5AA-4285-9CBF-DDCC397E009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5AA-4285-9CBF-DDCC397E009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5AA-4285-9CBF-DDCC397E009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5AA-4285-9CBF-DDCC397E009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5AA-4285-9CBF-DDCC397E009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5AA-4285-9CBF-DDCC397E009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Weighed'!$Z$31:$Z$36</c:f>
              <c:numCache>
                <c:formatCode>0%</c:formatCode>
                <c:ptCount val="6"/>
                <c:pt idx="0">
                  <c:v>0.12</c:v>
                </c:pt>
                <c:pt idx="1">
                  <c:v>0</c:v>
                </c:pt>
                <c:pt idx="2">
                  <c:v>0.44</c:v>
                </c:pt>
                <c:pt idx="3">
                  <c:v>0.12</c:v>
                </c:pt>
                <c:pt idx="4">
                  <c:v>0.32</c:v>
                </c:pt>
                <c:pt idx="5">
                  <c:v>0</c:v>
                </c:pt>
              </c:numCache>
            </c:numRef>
          </c:val>
          <c:extLst>
            <c:ext xmlns:c16="http://schemas.microsoft.com/office/drawing/2014/chart" uri="{C3380CC4-5D6E-409C-BE32-E72D297353CC}">
              <c16:uniqueId val="{0000000C-55AA-4285-9CBF-DDCC397E009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искорењивању сиромаштва?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179-4F84-AE4F-407CB04A9E5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179-4F84-AE4F-407CB04A9E5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179-4F84-AE4F-407CB04A9E5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179-4F84-AE4F-407CB04A9E5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179-4F84-AE4F-407CB04A9E5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179-4F84-AE4F-407CB04A9E5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Weighed'!$AB$31:$AB$36</c:f>
              <c:numCache>
                <c:formatCode>0%</c:formatCode>
                <c:ptCount val="6"/>
                <c:pt idx="0">
                  <c:v>0.11538461538461539</c:v>
                </c:pt>
                <c:pt idx="1">
                  <c:v>3.8461538461538464E-2</c:v>
                </c:pt>
                <c:pt idx="2">
                  <c:v>0.19230769230769232</c:v>
                </c:pt>
                <c:pt idx="3">
                  <c:v>0.15384615384615385</c:v>
                </c:pt>
                <c:pt idx="4">
                  <c:v>0.23076923076923078</c:v>
                </c:pt>
                <c:pt idx="5">
                  <c:v>0.26923076923076922</c:v>
                </c:pt>
              </c:numCache>
            </c:numRef>
          </c:val>
          <c:extLst>
            <c:ext xmlns:c16="http://schemas.microsoft.com/office/drawing/2014/chart" uri="{C3380CC4-5D6E-409C-BE32-E72D297353CC}">
              <c16:uniqueId val="{0000000C-7179-4F84-AE4F-407CB04A9E5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родној равноправности?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268-4837-B55A-F7E269B4139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268-4837-B55A-F7E269B4139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268-4837-B55A-F7E269B4139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268-4837-B55A-F7E269B4139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268-4837-B55A-F7E269B4139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268-4837-B55A-F7E269B4139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Weighed'!$AD$31:$AD$36</c:f>
              <c:numCache>
                <c:formatCode>0%</c:formatCode>
                <c:ptCount val="6"/>
                <c:pt idx="0">
                  <c:v>3.8461538461538464E-2</c:v>
                </c:pt>
                <c:pt idx="1">
                  <c:v>3.8461538461538464E-2</c:v>
                </c:pt>
                <c:pt idx="2">
                  <c:v>7.6923076923076927E-2</c:v>
                </c:pt>
                <c:pt idx="3">
                  <c:v>0.26923076923076922</c:v>
                </c:pt>
                <c:pt idx="4">
                  <c:v>0.23076923076923078</c:v>
                </c:pt>
                <c:pt idx="5">
                  <c:v>0.30769230769230771</c:v>
                </c:pt>
              </c:numCache>
            </c:numRef>
          </c:val>
          <c:extLst>
            <c:ext xmlns:c16="http://schemas.microsoft.com/office/drawing/2014/chart" uri="{C3380CC4-5D6E-409C-BE32-E72D297353CC}">
              <c16:uniqueId val="{0000000C-7268-4837-B55A-F7E269B4139A}"/>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RS"/>
              <a:t>Категоризација</a:t>
            </a:r>
            <a:r>
              <a:rPr lang="sr-Cyrl-RS" baseline="0"/>
              <a:t> испитаника</a:t>
            </a:r>
            <a:endParaRPr lang="pt-PT"/>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Weighed'!$B$66:$B$78</c:f>
              <c:strCache>
                <c:ptCount val="13"/>
                <c:pt idx="0">
                  <c:v>Члан Радне групе/Working group member</c:v>
                </c:pt>
                <c:pt idx="1">
                  <c:v>Влада и администрација/National Government and Administration</c:v>
                </c:pt>
                <c:pt idx="2">
                  <c:v>Локална самоуправа/Local Self Government</c:v>
                </c:pt>
                <c:pt idx="3">
                  <c:v>НВО за заштиту животне средине/Environmental NGO</c:v>
                </c:pt>
                <c:pt idx="4">
                  <c:v>HВО за локални развој/Local Development NGO</c:v>
                </c:pt>
                <c:pt idx="5">
                  <c:v>Aкадемске заједнице/Academia</c:v>
                </c:pt>
                <c:pt idx="6">
                  <c:v>Савез синдиката/Workers Unions</c:v>
                </c:pt>
                <c:pt idx="7">
                  <c:v>Удружења пољопривредника/Farmers Associations</c:v>
                </c:pt>
                <c:pt idx="8">
                  <c:v>Пословна удружења/Busniess Association</c:v>
                </c:pt>
                <c:pt idx="9">
                  <c:v>Јавно предузеће/Public Company</c:v>
                </c:pt>
                <c:pt idx="10">
                  <c:v>Приватни сектор/Private Sector Company</c:v>
                </c:pt>
                <c:pt idx="11">
                  <c:v>Грађанин/Citizen</c:v>
                </c:pt>
                <c:pt idx="12">
                  <c:v>Друго/Other</c:v>
                </c:pt>
              </c:strCache>
            </c:strRef>
          </c:cat>
          <c:val>
            <c:numRef>
              <c:f>'Edited Answers to U and Weighed'!$C$66:$C$78</c:f>
              <c:numCache>
                <c:formatCode>0%</c:formatCode>
                <c:ptCount val="13"/>
                <c:pt idx="0">
                  <c:v>7.6923076923076927E-2</c:v>
                </c:pt>
                <c:pt idx="1">
                  <c:v>3.8461538461538464E-2</c:v>
                </c:pt>
                <c:pt idx="2">
                  <c:v>0.26923076923076922</c:v>
                </c:pt>
                <c:pt idx="3">
                  <c:v>3.8461538461538464E-2</c:v>
                </c:pt>
                <c:pt idx="4">
                  <c:v>0</c:v>
                </c:pt>
                <c:pt idx="5">
                  <c:v>3.8461538461538464E-2</c:v>
                </c:pt>
                <c:pt idx="6">
                  <c:v>0</c:v>
                </c:pt>
                <c:pt idx="7">
                  <c:v>0</c:v>
                </c:pt>
                <c:pt idx="8">
                  <c:v>0</c:v>
                </c:pt>
                <c:pt idx="9">
                  <c:v>0.15384615384615385</c:v>
                </c:pt>
                <c:pt idx="10">
                  <c:v>0</c:v>
                </c:pt>
                <c:pt idx="11">
                  <c:v>0.19230769230769232</c:v>
                </c:pt>
                <c:pt idx="12">
                  <c:v>0.19230769230769232</c:v>
                </c:pt>
              </c:numCache>
            </c:numRef>
          </c:val>
          <c:extLst>
            <c:ext xmlns:c16="http://schemas.microsoft.com/office/drawing/2014/chart" uri="{C3380CC4-5D6E-409C-BE32-E72D297353CC}">
              <c16:uniqueId val="{00000000-88BA-486B-97F9-752BA635B71A}"/>
            </c:ext>
          </c:extLst>
        </c:ser>
        <c:dLbls>
          <c:dLblPos val="outEnd"/>
          <c:showLegendKey val="0"/>
          <c:showVal val="1"/>
          <c:showCatName val="0"/>
          <c:showSerName val="0"/>
          <c:showPercent val="0"/>
          <c:showBubbleSize val="0"/>
        </c:dLbls>
        <c:gapWidth val="182"/>
        <c:axId val="445302352"/>
        <c:axId val="445302744"/>
      </c:barChart>
      <c:catAx>
        <c:axId val="4453023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5302744"/>
        <c:crosses val="autoZero"/>
        <c:auto val="1"/>
        <c:lblAlgn val="ctr"/>
        <c:lblOffset val="100"/>
        <c:noMultiLvlLbl val="0"/>
      </c:catAx>
      <c:valAx>
        <c:axId val="44530274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5302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побољшању живота на селу?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4F5-4044-A85E-34437A25F6A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4F5-4044-A85E-34437A25F6A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4F5-4044-A85E-34437A25F6A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4F5-4044-A85E-34437A25F6A4}"/>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4F5-4044-A85E-34437A25F6A4}"/>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4F5-4044-A85E-34437A25F6A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Weighed'!$AF$31:$AF$36</c:f>
              <c:numCache>
                <c:formatCode>0%</c:formatCode>
                <c:ptCount val="6"/>
                <c:pt idx="0">
                  <c:v>0.11538461538461539</c:v>
                </c:pt>
                <c:pt idx="1">
                  <c:v>0.19230769230769232</c:v>
                </c:pt>
                <c:pt idx="2">
                  <c:v>0.30769230769230771</c:v>
                </c:pt>
                <c:pt idx="3">
                  <c:v>0.19230769230769232</c:v>
                </c:pt>
                <c:pt idx="4">
                  <c:v>0.11538461538461539</c:v>
                </c:pt>
                <c:pt idx="5">
                  <c:v>7.6923076923076927E-2</c:v>
                </c:pt>
              </c:numCache>
            </c:numRef>
          </c:val>
          <c:extLst>
            <c:ext xmlns:c16="http://schemas.microsoft.com/office/drawing/2014/chart" uri="{C3380CC4-5D6E-409C-BE32-E72D297353CC}">
              <c16:uniqueId val="{0000000C-74F5-4044-A85E-34437A25F6A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побољшању живота у граду?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A79-4AAE-BE17-D9C617191A6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A79-4AAE-BE17-D9C617191A6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A79-4AAE-BE17-D9C617191A6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A79-4AAE-BE17-D9C617191A6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BA79-4AAE-BE17-D9C617191A6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BA79-4AAE-BE17-D9C617191A6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Weighed'!$AH$31:$AH$36</c:f>
              <c:numCache>
                <c:formatCode>0%</c:formatCode>
                <c:ptCount val="6"/>
                <c:pt idx="0">
                  <c:v>3.8461538461538464E-2</c:v>
                </c:pt>
                <c:pt idx="1">
                  <c:v>7.6923076923076927E-2</c:v>
                </c:pt>
                <c:pt idx="2">
                  <c:v>0.53846153846153844</c:v>
                </c:pt>
                <c:pt idx="3">
                  <c:v>0.26923076923076922</c:v>
                </c:pt>
                <c:pt idx="4">
                  <c:v>7.6923076923076927E-2</c:v>
                </c:pt>
                <c:pt idx="5">
                  <c:v>0</c:v>
                </c:pt>
              </c:numCache>
            </c:numRef>
          </c:val>
          <c:extLst>
            <c:ext xmlns:c16="http://schemas.microsoft.com/office/drawing/2014/chart" uri="{C3380CC4-5D6E-409C-BE32-E72D297353CC}">
              <c16:uniqueId val="{0000000C-BA79-4AAE-BE17-D9C617191A6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отварању радних места?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2BC-434A-862F-453B740F254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2BC-434A-862F-453B740F254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2BC-434A-862F-453B740F254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2BC-434A-862F-453B740F254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2BC-434A-862F-453B740F2540}"/>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2BC-434A-862F-453B740F254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Weighed'!$AJ$31:$AJ$36</c:f>
              <c:numCache>
                <c:formatCode>0%</c:formatCode>
                <c:ptCount val="6"/>
                <c:pt idx="0">
                  <c:v>7.6923076923076927E-2</c:v>
                </c:pt>
                <c:pt idx="1">
                  <c:v>3.8461538461538464E-2</c:v>
                </c:pt>
                <c:pt idx="2">
                  <c:v>0.38461538461538464</c:v>
                </c:pt>
                <c:pt idx="3">
                  <c:v>0.26923076923076922</c:v>
                </c:pt>
                <c:pt idx="4">
                  <c:v>0.23076923076923078</c:v>
                </c:pt>
                <c:pt idx="5">
                  <c:v>0</c:v>
                </c:pt>
              </c:numCache>
            </c:numRef>
          </c:val>
          <c:extLst>
            <c:ext xmlns:c16="http://schemas.microsoft.com/office/drawing/2014/chart" uri="{C3380CC4-5D6E-409C-BE32-E72D297353CC}">
              <c16:uniqueId val="{0000000C-F2BC-434A-862F-453B740F2540}"/>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највише доприноси енергетској безбедности Србије?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82A-4F16-9FE7-9A043D39492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82A-4F16-9FE7-9A043D39492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82A-4F16-9FE7-9A043D39492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82A-4F16-9FE7-9A043D39492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82A-4F16-9FE7-9A043D39492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82A-4F16-9FE7-9A043D39492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Weighed'!$AL$31:$AL$36</c:f>
              <c:numCache>
                <c:formatCode>0%</c:formatCode>
                <c:ptCount val="6"/>
                <c:pt idx="0">
                  <c:v>0.15384615384615385</c:v>
                </c:pt>
                <c:pt idx="1">
                  <c:v>0</c:v>
                </c:pt>
                <c:pt idx="2">
                  <c:v>0.34615384615384615</c:v>
                </c:pt>
                <c:pt idx="3">
                  <c:v>0.30769230769230771</c:v>
                </c:pt>
                <c:pt idx="4">
                  <c:v>0.15384615384615385</c:v>
                </c:pt>
                <c:pt idx="5">
                  <c:v>3.8461538461538464E-2</c:v>
                </c:pt>
              </c:numCache>
            </c:numRef>
          </c:val>
          <c:extLst>
            <c:ext xmlns:c16="http://schemas.microsoft.com/office/drawing/2014/chart" uri="{C3380CC4-5D6E-409C-BE32-E72D297353CC}">
              <c16:uniqueId val="{0000000C-582A-4F16-9FE7-9A043D39492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Који сценарио по вама је најбољи за ваш град? </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E9B-46C7-B57B-A3E2EDCB156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E9B-46C7-B57B-A3E2EDCB156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E9B-46C7-B57B-A3E2EDCB156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E9B-46C7-B57B-A3E2EDCB156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E9B-46C7-B57B-A3E2EDCB156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E9B-46C7-B57B-A3E2EDCB156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'Edited Answers to U and Weighed'!$W$31:$W$36</c:f>
              <c:strCache>
                <c:ptCount val="6"/>
                <c:pt idx="0">
                  <c:v>WAM A</c:v>
                </c:pt>
                <c:pt idx="1">
                  <c:v>WAM B</c:v>
                </c:pt>
                <c:pt idx="2">
                  <c:v>WAM C</c:v>
                </c:pt>
                <c:pt idx="3">
                  <c:v>Сви једнако (All the same)</c:v>
                </c:pt>
                <c:pt idx="4">
                  <c:v>Не знам (Don't know)</c:v>
                </c:pt>
                <c:pt idx="5">
                  <c:v>Ни један (None)</c:v>
                </c:pt>
              </c:strCache>
            </c:strRef>
          </c:cat>
          <c:val>
            <c:numRef>
              <c:f>'Edited Answers to U and Weighed'!$AN$31:$AN$36</c:f>
              <c:numCache>
                <c:formatCode>0%</c:formatCode>
                <c:ptCount val="6"/>
                <c:pt idx="0">
                  <c:v>7.6923076923076927E-2</c:v>
                </c:pt>
                <c:pt idx="1">
                  <c:v>3.8461538461538464E-2</c:v>
                </c:pt>
                <c:pt idx="2">
                  <c:v>0.61538461538461542</c:v>
                </c:pt>
                <c:pt idx="3">
                  <c:v>0.19230769230769232</c:v>
                </c:pt>
                <c:pt idx="4">
                  <c:v>7.6923076923076927E-2</c:v>
                </c:pt>
                <c:pt idx="5">
                  <c:v>0</c:v>
                </c:pt>
              </c:numCache>
            </c:numRef>
          </c:val>
          <c:extLst>
            <c:ext xmlns:c16="http://schemas.microsoft.com/office/drawing/2014/chart" uri="{C3380CC4-5D6E-409C-BE32-E72D297353CC}">
              <c16:uniqueId val="{0000000C-8E9B-46C7-B57B-A3E2EDCB1567}"/>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800" b="1" i="0" u="none" strike="noStrike" kern="1200" baseline="0">
                <a:solidFill>
                  <a:schemeClr val="dk1">
                    <a:lumMod val="75000"/>
                    <a:lumOff val="25000"/>
                  </a:schemeClr>
                </a:solidFill>
                <a:latin typeface="+mn-lt"/>
                <a:ea typeface="+mn-ea"/>
                <a:cs typeface="+mn-cs"/>
              </a:defRPr>
            </a:pPr>
            <a:r>
              <a:rPr lang="az-Cyrl-AZ" sz="1400"/>
              <a:t>Изаберите изјаву која најближе описује ваш случај</a:t>
            </a:r>
            <a:endParaRPr lang="pt-PT" sz="1400"/>
          </a:p>
        </c:rich>
      </c:tx>
      <c:overlay val="0"/>
      <c:spPr>
        <a:noFill/>
        <a:ln>
          <a:noFill/>
        </a:ln>
        <a:effectLst/>
      </c:spPr>
      <c:txPr>
        <a:bodyPr rot="0" spcFirstLastPara="1" vertOverflow="ellipsis" vert="horz" wrap="square" anchor="ctr" anchorCtr="1"/>
        <a:lstStyle/>
        <a:p>
          <a:pPr algn="ct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5AE7-4A55-BFE2-A6CE92D4A405}"/>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5AE7-4A55-BFE2-A6CE92D4A405}"/>
              </c:ext>
            </c:extLst>
          </c:dPt>
          <c:dLbls>
            <c:dLbl>
              <c:idx val="0"/>
              <c:tx>
                <c:rich>
                  <a:bodyPr/>
                  <a:lstStyle/>
                  <a:p>
                    <a:fld id="{2F27F152-E452-4061-ABFC-13DBF2C51402}" type="VALUE">
                      <a:rPr lang="en-US"/>
                      <a:pPr/>
                      <a:t>[VALUE]</a:t>
                    </a:fld>
                    <a:endParaRPr lang="en-US"/>
                  </a:p>
                </c:rich>
              </c:tx>
              <c:dLblPos val="ctr"/>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AE7-4A55-BFE2-A6CE92D4A405}"/>
                </c:ext>
              </c:extLst>
            </c:dLbl>
            <c:dLbl>
              <c:idx val="1"/>
              <c:tx>
                <c:rich>
                  <a:bodyPr/>
                  <a:lstStyle/>
                  <a:p>
                    <a:fld id="{1D4E2926-5A74-4612-8CD6-90944CB7F02F}" type="VALUE">
                      <a:rPr lang="en-US"/>
                      <a:pPr/>
                      <a:t>[VALUE]</a:t>
                    </a:fld>
                    <a:endParaRPr lang="en-US"/>
                  </a:p>
                </c:rich>
              </c:tx>
              <c:dLblPos val="ctr"/>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5AE7-4A55-BFE2-A6CE92D4A405}"/>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'Edited Answers to U and Weighed'!$U$31:$U$32</c:f>
              <c:strCache>
                <c:ptCount val="2"/>
                <c:pt idx="0">
                  <c:v>На моје одговоре на горња питања највише су утицали укупни резултати сценарија, без обзира на резултате у граду у којем живим или радим (или који ми је најближи).(The evaluation I provided above was mostly influenced by the overall results of the scenarios</c:v>
                </c:pt>
                <c:pt idx="1">
                  <c:v>На моје одговоре на горња питања највише су утицале емисије и прекорачења граничних вредности у граду у којем живим или радим (или који ми је најближи). (The evaluation I provided above was mostly influenced by the emissions and exceedances in the city whe</c:v>
                </c:pt>
              </c:strCache>
            </c:strRef>
          </c:cat>
          <c:val>
            <c:numRef>
              <c:f>'Edited Answers to U and Weighed'!$V$31:$V$32</c:f>
              <c:numCache>
                <c:formatCode>0%</c:formatCode>
                <c:ptCount val="2"/>
                <c:pt idx="0">
                  <c:v>0.69230769230769229</c:v>
                </c:pt>
                <c:pt idx="1">
                  <c:v>0.30769230769230771</c:v>
                </c:pt>
              </c:numCache>
            </c:numRef>
          </c:val>
          <c:extLst>
            <c:ext xmlns:c16="http://schemas.microsoft.com/office/drawing/2014/chart" uri="{C3380CC4-5D6E-409C-BE32-E72D297353CC}">
              <c16:uniqueId val="{00000004-5AE7-4A55-BFE2-A6CE92D4A405}"/>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5.7867045307861111E-2"/>
          <c:y val="0.7627509550630015"/>
          <c:w val="0.88426573727464397"/>
          <c:h val="0.22301416949215869"/>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смањењем емисија </a:t>
            </a:r>
            <a:r>
              <a:rPr lang="pt-PT" sz="1000"/>
              <a:t>PM10 </a:t>
            </a:r>
            <a:r>
              <a:rPr lang="az-Cyrl-AZ" sz="1000"/>
              <a:t>постигнутим у оквиру сценарија </a:t>
            </a:r>
            <a:r>
              <a:rPr lang="pt-PT" sz="1000"/>
              <a:t>WAM A, B, C? </a:t>
            </a:r>
            <a:r>
              <a:rPr lang="sr-Cyrl-RS" sz="1000"/>
              <a:t>- просек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Weighed'!$C$30:$E$30</c:f>
              <c:strCache>
                <c:ptCount val="3"/>
                <c:pt idx="0">
                  <c:v>WAM A</c:v>
                </c:pt>
                <c:pt idx="1">
                  <c:v>WAM B</c:v>
                </c:pt>
                <c:pt idx="2">
                  <c:v>WAM C</c:v>
                </c:pt>
              </c:strCache>
            </c:strRef>
          </c:cat>
          <c:val>
            <c:numRef>
              <c:f>'Edited Answers to U and Weighed'!$C$32:$E$32</c:f>
              <c:numCache>
                <c:formatCode>0.00</c:formatCode>
                <c:ptCount val="3"/>
                <c:pt idx="0">
                  <c:v>20.52514792899408</c:v>
                </c:pt>
                <c:pt idx="1">
                  <c:v>24.465976331360945</c:v>
                </c:pt>
                <c:pt idx="2">
                  <c:v>32.183431952662723</c:v>
                </c:pt>
              </c:numCache>
            </c:numRef>
          </c:val>
          <c:extLst>
            <c:ext xmlns:c16="http://schemas.microsoft.com/office/drawing/2014/chart" uri="{C3380CC4-5D6E-409C-BE32-E72D297353CC}">
              <c16:uniqueId val="{00000000-A8FD-4033-A1DD-58F21AED6741}"/>
            </c:ext>
          </c:extLst>
        </c:ser>
        <c:dLbls>
          <c:dLblPos val="outEnd"/>
          <c:showLegendKey val="0"/>
          <c:showVal val="1"/>
          <c:showCatName val="0"/>
          <c:showSerName val="0"/>
          <c:showPercent val="0"/>
          <c:showBubbleSize val="0"/>
        </c:dLbls>
        <c:gapWidth val="219"/>
        <c:overlap val="-27"/>
        <c:axId val="379072208"/>
        <c:axId val="379072600"/>
      </c:barChart>
      <c:catAx>
        <c:axId val="379072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9072600"/>
        <c:crosses val="autoZero"/>
        <c:auto val="1"/>
        <c:lblAlgn val="ctr"/>
        <c:lblOffset val="100"/>
        <c:noMultiLvlLbl val="0"/>
      </c:catAx>
      <c:valAx>
        <c:axId val="3790726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90722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смањењем емисија </a:t>
            </a:r>
            <a:r>
              <a:rPr lang="pt-PT" sz="1000"/>
              <a:t>PM10 </a:t>
            </a:r>
            <a:r>
              <a:rPr lang="az-Cyrl-AZ" sz="1000"/>
              <a:t>постигнутим у оквиру сценарија </a:t>
            </a:r>
            <a:r>
              <a:rPr lang="pt-PT" sz="1000"/>
              <a:t>WAM A? -</a:t>
            </a:r>
            <a:r>
              <a:rPr lang="sr-Cyrl-RS" sz="1000"/>
              <a:t> средња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Weighed'!$C$30:$E$30</c:f>
              <c:strCache>
                <c:ptCount val="3"/>
                <c:pt idx="0">
                  <c:v>WAM A</c:v>
                </c:pt>
                <c:pt idx="1">
                  <c:v>WAM B</c:v>
                </c:pt>
                <c:pt idx="2">
                  <c:v>WAM C</c:v>
                </c:pt>
              </c:strCache>
            </c:strRef>
          </c:cat>
          <c:val>
            <c:numRef>
              <c:f>'Edited Answers to U and Weighed'!$C$33:$E$33</c:f>
              <c:numCache>
                <c:formatCode>General</c:formatCode>
                <c:ptCount val="3"/>
                <c:pt idx="0">
                  <c:v>25</c:v>
                </c:pt>
                <c:pt idx="1">
                  <c:v>30</c:v>
                </c:pt>
                <c:pt idx="2">
                  <c:v>40</c:v>
                </c:pt>
              </c:numCache>
            </c:numRef>
          </c:val>
          <c:extLst>
            <c:ext xmlns:c16="http://schemas.microsoft.com/office/drawing/2014/chart" uri="{C3380CC4-5D6E-409C-BE32-E72D297353CC}">
              <c16:uniqueId val="{00000000-488A-4C36-AB18-18A955B11391}"/>
            </c:ext>
          </c:extLst>
        </c:ser>
        <c:dLbls>
          <c:dLblPos val="outEnd"/>
          <c:showLegendKey val="0"/>
          <c:showVal val="1"/>
          <c:showCatName val="0"/>
          <c:showSerName val="0"/>
          <c:showPercent val="0"/>
          <c:showBubbleSize val="0"/>
        </c:dLbls>
        <c:gapWidth val="219"/>
        <c:overlap val="-27"/>
        <c:axId val="379471792"/>
        <c:axId val="379472184"/>
      </c:barChart>
      <c:catAx>
        <c:axId val="379471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9472184"/>
        <c:crosses val="autoZero"/>
        <c:auto val="1"/>
        <c:lblAlgn val="ctr"/>
        <c:lblOffset val="100"/>
        <c:noMultiLvlLbl val="0"/>
      </c:catAx>
      <c:valAx>
        <c:axId val="379472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9471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бројем дана прекорачења граничних вредности </a:t>
            </a:r>
            <a:r>
              <a:rPr lang="pt-PT" sz="1000"/>
              <a:t>PM10 </a:t>
            </a:r>
            <a:r>
              <a:rPr lang="az-Cyrl-AZ" sz="1000"/>
              <a:t>процењених у </a:t>
            </a:r>
            <a:r>
              <a:rPr lang="pt-PT" sz="1000"/>
              <a:t>WAM A, B, C? </a:t>
            </a:r>
            <a:r>
              <a:rPr lang="sr-Cyrl-RS" sz="1000"/>
              <a:t>- просек оцена</a:t>
            </a:r>
            <a:endParaRPr lang="pt-PT"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Weighed'!$F$30:$H$30</c:f>
              <c:strCache>
                <c:ptCount val="3"/>
                <c:pt idx="0">
                  <c:v>WAM A</c:v>
                </c:pt>
                <c:pt idx="1">
                  <c:v>WAM B</c:v>
                </c:pt>
                <c:pt idx="2">
                  <c:v>WAM C</c:v>
                </c:pt>
              </c:strCache>
            </c:strRef>
          </c:cat>
          <c:val>
            <c:numRef>
              <c:f>'Edited Answers to U and Weighed'!$F$32:$H$32</c:f>
              <c:numCache>
                <c:formatCode>0.00</c:formatCode>
                <c:ptCount val="3"/>
                <c:pt idx="0">
                  <c:v>18.390532544378697</c:v>
                </c:pt>
                <c:pt idx="1">
                  <c:v>21.838757396449701</c:v>
                </c:pt>
                <c:pt idx="2">
                  <c:v>30.869822485207102</c:v>
                </c:pt>
              </c:numCache>
            </c:numRef>
          </c:val>
          <c:extLst>
            <c:ext xmlns:c16="http://schemas.microsoft.com/office/drawing/2014/chart" uri="{C3380CC4-5D6E-409C-BE32-E72D297353CC}">
              <c16:uniqueId val="{00000000-6F13-41E6-A679-DBD26F80FF2C}"/>
            </c:ext>
          </c:extLst>
        </c:ser>
        <c:dLbls>
          <c:dLblPos val="outEnd"/>
          <c:showLegendKey val="0"/>
          <c:showVal val="1"/>
          <c:showCatName val="0"/>
          <c:showSerName val="0"/>
          <c:showPercent val="0"/>
          <c:showBubbleSize val="0"/>
        </c:dLbls>
        <c:gapWidth val="219"/>
        <c:overlap val="-27"/>
        <c:axId val="379473752"/>
        <c:axId val="379474144"/>
      </c:barChart>
      <c:catAx>
        <c:axId val="379473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9474144"/>
        <c:crosses val="autoZero"/>
        <c:auto val="1"/>
        <c:lblAlgn val="ctr"/>
        <c:lblOffset val="100"/>
        <c:noMultiLvlLbl val="0"/>
      </c:catAx>
      <c:valAx>
        <c:axId val="3794741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94737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бројем дана прекорачења граничних вредности PM10 процењених у WAM A, B, C? - средња оцена</a:t>
            </a:r>
            <a:endParaRPr lang="pt-PT" sz="1000"/>
          </a:p>
        </c:rich>
      </c:tx>
      <c:layout>
        <c:manualLayout>
          <c:xMode val="edge"/>
          <c:yMode val="edge"/>
          <c:x val="0.10638188976377955"/>
          <c:y val="2.780996523754345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Weighed'!$F$30:$H$30</c:f>
              <c:strCache>
                <c:ptCount val="3"/>
                <c:pt idx="0">
                  <c:v>WAM A</c:v>
                </c:pt>
                <c:pt idx="1">
                  <c:v>WAM B</c:v>
                </c:pt>
                <c:pt idx="2">
                  <c:v>WAM C</c:v>
                </c:pt>
              </c:strCache>
            </c:strRef>
          </c:cat>
          <c:val>
            <c:numRef>
              <c:f>'Edited Answers to U and Weighed'!$F$33:$H$33</c:f>
              <c:numCache>
                <c:formatCode>General</c:formatCode>
                <c:ptCount val="3"/>
                <c:pt idx="0">
                  <c:v>25</c:v>
                </c:pt>
                <c:pt idx="1">
                  <c:v>25</c:v>
                </c:pt>
                <c:pt idx="2">
                  <c:v>40</c:v>
                </c:pt>
              </c:numCache>
            </c:numRef>
          </c:val>
          <c:extLst>
            <c:ext xmlns:c16="http://schemas.microsoft.com/office/drawing/2014/chart" uri="{C3380CC4-5D6E-409C-BE32-E72D297353CC}">
              <c16:uniqueId val="{00000000-DE75-493B-B096-19FB07614843}"/>
            </c:ext>
          </c:extLst>
        </c:ser>
        <c:dLbls>
          <c:dLblPos val="outEnd"/>
          <c:showLegendKey val="0"/>
          <c:showVal val="1"/>
          <c:showCatName val="0"/>
          <c:showSerName val="0"/>
          <c:showPercent val="0"/>
          <c:showBubbleSize val="0"/>
        </c:dLbls>
        <c:gapWidth val="219"/>
        <c:overlap val="-27"/>
        <c:axId val="444363736"/>
        <c:axId val="444364128"/>
      </c:barChart>
      <c:catAx>
        <c:axId val="444363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4364128"/>
        <c:crosses val="autoZero"/>
        <c:auto val="1"/>
        <c:lblAlgn val="ctr"/>
        <c:lblOffset val="100"/>
        <c:noMultiLvlLbl val="0"/>
      </c:catAx>
      <c:valAx>
        <c:axId val="44436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4363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броја дана прекорачења граничних вредности било које загађујуће материје у вашем граду (или граду у вашој близини) у оквиру </a:t>
            </a:r>
            <a:r>
              <a:rPr lang="pt-PT" sz="1000"/>
              <a:t>WAM A, B, C?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Weighed'!$I$30:$K$30</c:f>
              <c:strCache>
                <c:ptCount val="3"/>
                <c:pt idx="0">
                  <c:v>WAM A</c:v>
                </c:pt>
                <c:pt idx="1">
                  <c:v>WAM B</c:v>
                </c:pt>
                <c:pt idx="2">
                  <c:v>WAM C</c:v>
                </c:pt>
              </c:strCache>
            </c:strRef>
          </c:cat>
          <c:val>
            <c:numRef>
              <c:f>'Edited Answers to U and Weighed'!$I$32:$K$32</c:f>
              <c:numCache>
                <c:formatCode>0.00</c:formatCode>
                <c:ptCount val="3"/>
                <c:pt idx="0">
                  <c:v>22.495562130177515</c:v>
                </c:pt>
                <c:pt idx="1">
                  <c:v>24.630177514792898</c:v>
                </c:pt>
                <c:pt idx="2">
                  <c:v>30.869822485207102</c:v>
                </c:pt>
              </c:numCache>
            </c:numRef>
          </c:val>
          <c:extLst>
            <c:ext xmlns:c16="http://schemas.microsoft.com/office/drawing/2014/chart" uri="{C3380CC4-5D6E-409C-BE32-E72D297353CC}">
              <c16:uniqueId val="{00000000-DBE7-441E-B9C3-6597179B2D0B}"/>
            </c:ext>
          </c:extLst>
        </c:ser>
        <c:dLbls>
          <c:dLblPos val="outEnd"/>
          <c:showLegendKey val="0"/>
          <c:showVal val="1"/>
          <c:showCatName val="0"/>
          <c:showSerName val="0"/>
          <c:showPercent val="0"/>
          <c:showBubbleSize val="0"/>
        </c:dLbls>
        <c:gapWidth val="219"/>
        <c:overlap val="-27"/>
        <c:axId val="444365696"/>
        <c:axId val="444366088"/>
      </c:barChart>
      <c:catAx>
        <c:axId val="444365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4366088"/>
        <c:crosses val="autoZero"/>
        <c:auto val="1"/>
        <c:lblAlgn val="ctr"/>
        <c:lblOffset val="100"/>
        <c:noMultiLvlLbl val="0"/>
      </c:catAx>
      <c:valAx>
        <c:axId val="44436608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43656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az-Cyrl-AZ" sz="1000"/>
              <a:t>Колико сте задовољни проценом броја дана прекорачења граничних вредности било које загађујуће материје у вашем граду (или граду у вашој близини) у оквиру </a:t>
            </a:r>
            <a:r>
              <a:rPr lang="pt-PT" sz="1000"/>
              <a:t>WAM A, B, C? </a:t>
            </a:r>
          </a:p>
        </c:rich>
      </c:tx>
      <c:layout>
        <c:manualLayout>
          <c:xMode val="edge"/>
          <c:yMode val="edge"/>
          <c:x val="0.10638188976377955"/>
          <c:y val="2.780996523754345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'Edited Answers to U and Weighed'!$I$30:$K$30</c:f>
              <c:strCache>
                <c:ptCount val="3"/>
                <c:pt idx="0">
                  <c:v>WAM A</c:v>
                </c:pt>
                <c:pt idx="1">
                  <c:v>WAM B</c:v>
                </c:pt>
                <c:pt idx="2">
                  <c:v>WAM C</c:v>
                </c:pt>
              </c:strCache>
            </c:strRef>
          </c:cat>
          <c:val>
            <c:numRef>
              <c:f>'Edited Answers to U and Weighed'!$I$33:$K$33</c:f>
              <c:numCache>
                <c:formatCode>General</c:formatCode>
                <c:ptCount val="3"/>
                <c:pt idx="0">
                  <c:v>27.5</c:v>
                </c:pt>
                <c:pt idx="1">
                  <c:v>30</c:v>
                </c:pt>
                <c:pt idx="2">
                  <c:v>37.5</c:v>
                </c:pt>
              </c:numCache>
            </c:numRef>
          </c:val>
          <c:extLst>
            <c:ext xmlns:c16="http://schemas.microsoft.com/office/drawing/2014/chart" uri="{C3380CC4-5D6E-409C-BE32-E72D297353CC}">
              <c16:uniqueId val="{00000000-C611-4F25-BB69-7E241714AF5B}"/>
            </c:ext>
          </c:extLst>
        </c:ser>
        <c:dLbls>
          <c:dLblPos val="outEnd"/>
          <c:showLegendKey val="0"/>
          <c:showVal val="1"/>
          <c:showCatName val="0"/>
          <c:showSerName val="0"/>
          <c:showPercent val="0"/>
          <c:showBubbleSize val="0"/>
        </c:dLbls>
        <c:gapWidth val="219"/>
        <c:overlap val="-27"/>
        <c:axId val="383829144"/>
        <c:axId val="383829536"/>
      </c:barChart>
      <c:catAx>
        <c:axId val="383829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3829536"/>
        <c:crosses val="autoZero"/>
        <c:auto val="1"/>
        <c:lblAlgn val="ctr"/>
        <c:lblOffset val="100"/>
        <c:noMultiLvlLbl val="0"/>
      </c:catAx>
      <c:valAx>
        <c:axId val="3838295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3829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gvqQUVLUcTAEMkp0AC7GZAyaLlA==">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B602EA3-B30E-457B-B509-F5EBE0B09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269</Pages>
  <Words>53912</Words>
  <Characters>307302</Characters>
  <Application>Microsoft Office Word</Application>
  <DocSecurity>0</DocSecurity>
  <Lines>2560</Lines>
  <Paragraphs>720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Matej Gasperic</dc:creator>
  <cp:lastModifiedBy>Ivana Vojinović</cp:lastModifiedBy>
  <cp:revision>2</cp:revision>
  <cp:lastPrinted>2022-12-13T18:16:00Z</cp:lastPrinted>
  <dcterms:created xsi:type="dcterms:W3CDTF">2022-12-14T14:53:00Z</dcterms:created>
  <dcterms:modified xsi:type="dcterms:W3CDTF">2022-12-14T14:53:00Z</dcterms:modified>
</cp:coreProperties>
</file>