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5A5B1" w14:textId="77777777" w:rsidR="00497092" w:rsidRPr="00644F20" w:rsidRDefault="002F45E1">
      <w:pPr>
        <w:tabs>
          <w:tab w:val="left" w:pos="6984"/>
        </w:tabs>
        <w:spacing w:after="120" w:line="276" w:lineRule="auto"/>
        <w:jc w:val="right"/>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                            </w:t>
      </w:r>
    </w:p>
    <w:p w14:paraId="40325A22" w14:textId="77777777" w:rsidR="00497092" w:rsidRPr="00644F20" w:rsidRDefault="002F45E1" w:rsidP="00C62E3D">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основу члана 38. став 1. Закона о планском систему Републике Србије (,,Службени гласник РС</w:t>
      </w:r>
      <w:r w:rsidRPr="00644F20">
        <w:rPr>
          <w:rFonts w:ascii="Times New Roman" w:eastAsia="Calibri" w:hAnsi="Times New Roman" w:cs="Times New Roman"/>
          <w:sz w:val="24"/>
          <w:szCs w:val="24"/>
          <w:lang w:val="sr-Cyrl-CS"/>
        </w:rPr>
        <w:t>”</w:t>
      </w:r>
      <w:r w:rsidR="00990B5B" w:rsidRPr="00644F20">
        <w:rPr>
          <w:rFonts w:ascii="Times New Roman" w:eastAsia="Calibri" w:hAnsi="Times New Roman" w:cs="Times New Roman"/>
          <w:sz w:val="24"/>
          <w:szCs w:val="24"/>
          <w:lang w:val="sr-Cyrl-CS"/>
        </w:rPr>
        <w:t>,</w:t>
      </w:r>
      <w:r w:rsidRPr="00644F20">
        <w:rPr>
          <w:rFonts w:ascii="Times New Roman" w:hAnsi="Times New Roman" w:cs="Times New Roman"/>
          <w:sz w:val="24"/>
          <w:szCs w:val="24"/>
          <w:lang w:val="sr-Cyrl-CS"/>
        </w:rPr>
        <w:t xml:space="preserve"> број 30/18),</w:t>
      </w:r>
    </w:p>
    <w:p w14:paraId="66B8943B" w14:textId="77777777" w:rsidR="00497092" w:rsidRPr="00644F20" w:rsidRDefault="002F45E1" w:rsidP="00C62E3D">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Влада </w:t>
      </w:r>
      <w:r w:rsidR="00990B5B" w:rsidRPr="00644F20">
        <w:rPr>
          <w:rFonts w:ascii="Times New Roman" w:hAnsi="Times New Roman" w:cs="Times New Roman"/>
          <w:sz w:val="24"/>
          <w:szCs w:val="24"/>
          <w:lang w:val="sr-Cyrl-CS"/>
        </w:rPr>
        <w:t>усваја</w:t>
      </w:r>
    </w:p>
    <w:p w14:paraId="521B7905" w14:textId="77777777" w:rsidR="00497092" w:rsidRPr="00644F20" w:rsidRDefault="00497092">
      <w:pPr>
        <w:spacing w:after="120" w:line="276" w:lineRule="auto"/>
        <w:jc w:val="both"/>
        <w:rPr>
          <w:rFonts w:ascii="Times New Roman" w:hAnsi="Times New Roman" w:cs="Times New Roman"/>
          <w:sz w:val="24"/>
          <w:szCs w:val="24"/>
          <w:lang w:val="sr-Cyrl-CS"/>
        </w:rPr>
      </w:pPr>
    </w:p>
    <w:p w14:paraId="02FE89A4" w14:textId="77777777" w:rsidR="00497092" w:rsidRPr="00644F20" w:rsidRDefault="002F45E1">
      <w:pPr>
        <w:keepNext/>
        <w:keepLines/>
        <w:spacing w:before="480" w:after="120" w:line="360" w:lineRule="auto"/>
        <w:jc w:val="center"/>
        <w:outlineLvl w:val="0"/>
        <w:rPr>
          <w:rFonts w:ascii="Times New Roman" w:eastAsiaTheme="majorEastAsia" w:hAnsi="Times New Roman" w:cstheme="majorBidi"/>
          <w:b/>
          <w:bCs/>
          <w:sz w:val="28"/>
          <w:szCs w:val="28"/>
          <w:lang w:val="sr-Cyrl-CS"/>
        </w:rPr>
      </w:pPr>
      <w:bookmarkStart w:id="0" w:name="_Toc93923054"/>
      <w:r w:rsidRPr="00644F20">
        <w:rPr>
          <w:rFonts w:ascii="Times New Roman" w:eastAsiaTheme="majorEastAsia" w:hAnsi="Times New Roman" w:cstheme="majorBidi"/>
          <w:b/>
          <w:bCs/>
          <w:sz w:val="28"/>
          <w:szCs w:val="28"/>
          <w:lang w:val="sr-Cyrl-CS"/>
        </w:rPr>
        <w:t xml:space="preserve">ПРОГРАМ </w:t>
      </w:r>
      <w:bookmarkStart w:id="1" w:name="_Toc89363970"/>
      <w:r w:rsidRPr="00644F20">
        <w:rPr>
          <w:rFonts w:ascii="Times New Roman" w:eastAsiaTheme="majorEastAsia" w:hAnsi="Times New Roman" w:cstheme="majorBidi"/>
          <w:b/>
          <w:bCs/>
          <w:sz w:val="28"/>
          <w:szCs w:val="28"/>
          <w:lang w:val="sr-Cyrl-CS"/>
        </w:rPr>
        <w:t>РАЗВОЈА ЦИРКУЛАРНЕ ЕКОНОМИЈЕ</w:t>
      </w:r>
      <w:bookmarkEnd w:id="0"/>
    </w:p>
    <w:p w14:paraId="79F2FD5D" w14:textId="77777777" w:rsidR="00497092" w:rsidRPr="00644F20" w:rsidRDefault="002F45E1" w:rsidP="00C62E3D">
      <w:pPr>
        <w:keepNext/>
        <w:keepLines/>
        <w:spacing w:after="0" w:line="360" w:lineRule="auto"/>
        <w:jc w:val="center"/>
        <w:outlineLvl w:val="0"/>
        <w:rPr>
          <w:rFonts w:ascii="Times New Roman" w:eastAsiaTheme="majorEastAsia" w:hAnsi="Times New Roman" w:cstheme="majorBidi"/>
          <w:b/>
          <w:bCs/>
          <w:sz w:val="28"/>
          <w:szCs w:val="28"/>
          <w:lang w:val="sr-Cyrl-CS"/>
        </w:rPr>
      </w:pPr>
      <w:bookmarkStart w:id="2" w:name="_Toc93923055"/>
      <w:r w:rsidRPr="00644F20">
        <w:rPr>
          <w:rFonts w:ascii="Times New Roman" w:eastAsiaTheme="majorEastAsia" w:hAnsi="Times New Roman" w:cstheme="majorBidi"/>
          <w:b/>
          <w:bCs/>
          <w:sz w:val="28"/>
          <w:szCs w:val="28"/>
          <w:lang w:val="sr-Cyrl-CS"/>
        </w:rPr>
        <w:t>У РЕПУБЛИЦИ СРБИЈИ ЗА ПЕРИОД 2022-2024. ГОДИНЕ</w:t>
      </w:r>
      <w:bookmarkEnd w:id="1"/>
      <w:bookmarkEnd w:id="2"/>
    </w:p>
    <w:p w14:paraId="79EEE01B" w14:textId="77777777" w:rsidR="00C62E3D" w:rsidRPr="00644F20" w:rsidRDefault="00C62E3D" w:rsidP="00C62E3D">
      <w:pPr>
        <w:keepNext/>
        <w:keepLines/>
        <w:spacing w:after="0" w:line="360" w:lineRule="auto"/>
        <w:jc w:val="center"/>
        <w:outlineLvl w:val="0"/>
        <w:rPr>
          <w:rFonts w:ascii="Times New Roman" w:eastAsiaTheme="majorEastAsia" w:hAnsi="Times New Roman" w:cstheme="majorBidi"/>
          <w:b/>
          <w:bCs/>
          <w:sz w:val="28"/>
          <w:szCs w:val="28"/>
          <w:lang w:val="sr-Cyrl-CS"/>
        </w:rPr>
      </w:pPr>
    </w:p>
    <w:p w14:paraId="5C185E5F" w14:textId="77777777" w:rsidR="00497092" w:rsidRPr="00644F20" w:rsidRDefault="002F45E1" w:rsidP="00F06A5B">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Циркуларна економија је препознатa као важан стратешки концепт за зелену транзицију Републике Србије, која је последњих година постављена високо на лествици приоритета за развој нашег друштва. Зелена транзиција је процес који подразумева економску, енергетску и инвестициону транзицију, које су засноване на одрживом коришћењу ресурса и енергије, смањењу негативног утицаја на животну средину, примени иновација и дигиталних алата, знању, додатој вредности и већој конкурентности привреде. </w:t>
      </w:r>
    </w:p>
    <w:p w14:paraId="2DE95860" w14:textId="77777777" w:rsidR="00497092" w:rsidRPr="00644F20" w:rsidRDefault="002F45E1" w:rsidP="00F06A5B">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Производно-потрошачки односи који су доминантни у данашњим економским системима, подразумевају неодрживо коришћење ресурса и енергије. У наредним деценијама потребе за ресурсима биће веће него било кад у досадашњој људској историји и постаје очигледно да линеарни економски модел (узми-произведи-употреби-баци) који се заснива на претпоставци да су природни ресурси неограничени и лако доступни, мора озбиљно да се трансформише. Очекује се да ће се у наредних 40 година глобална потрошња материјала као што су биомаса, фосилна горива, метали и минерали удвостручити, а годишња производња отпада повећати за 70% до 2050. године. </w:t>
      </w:r>
    </w:p>
    <w:p w14:paraId="6BF029FF" w14:textId="77777777" w:rsidR="00497092" w:rsidRPr="00644F20" w:rsidRDefault="002F45E1">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На глобалном нивоу, усвајањем Агенде 2030 Уједињених нација и </w:t>
      </w:r>
      <w:r w:rsidR="00455D75">
        <w:rPr>
          <w:rFonts w:ascii="Times New Roman" w:hAnsi="Times New Roman" w:cs="Times New Roman"/>
          <w:sz w:val="24"/>
          <w:szCs w:val="24"/>
          <w:lang w:val="sr-Cyrl-CS"/>
        </w:rPr>
        <w:t>Закона о потврђивању Споразума из Париза</w:t>
      </w:r>
      <w:r w:rsidR="00455D75">
        <w:rPr>
          <w:rFonts w:ascii="Times New Roman" w:hAnsi="Times New Roman" w:cs="Times New Roman"/>
          <w:sz w:val="24"/>
          <w:szCs w:val="24"/>
        </w:rPr>
        <w:t xml:space="preserve"> </w:t>
      </w:r>
      <w:r w:rsidR="00455D75" w:rsidRPr="00455D75">
        <w:rPr>
          <w:rFonts w:ascii="Times New Roman" w:eastAsia="Times New Roman" w:hAnsi="Times New Roman" w:cs="Times New Roman"/>
          <w:color w:val="000000"/>
          <w:spacing w:val="-5"/>
          <w:sz w:val="24"/>
          <w:szCs w:val="24"/>
          <w:lang w:val="sr-Cyrl-CS"/>
        </w:rPr>
        <w:t>(„Службени гласник РС”, бр</w:t>
      </w:r>
      <w:r w:rsidR="00455D75">
        <w:rPr>
          <w:rFonts w:ascii="Times New Roman" w:hAnsi="Times New Roman" w:cs="Times New Roman"/>
          <w:sz w:val="24"/>
          <w:szCs w:val="24"/>
          <w:lang w:val="sr-Cyrl-RS"/>
        </w:rPr>
        <w:t>ој 4/17),</w:t>
      </w:r>
      <w:r w:rsidRPr="00644F20">
        <w:rPr>
          <w:rFonts w:ascii="Times New Roman" w:hAnsi="Times New Roman" w:cs="Times New Roman"/>
          <w:sz w:val="24"/>
          <w:szCs w:val="24"/>
          <w:lang w:val="sr-Cyrl-CS"/>
        </w:rPr>
        <w:t xml:space="preserve"> свет се определио на одрживи развој и ублажавање климатских промена. Применом циркуларне економије штеде сe ресурси и енергија, чува се вредност материјала и производа. Тежи се њиховом максималном искоришћењу и задржавању у економији што дуже, чиме се могу достићи постављени циљеви. Ово је мултисекторска тема која обухвата већи број области: управљање отпадом, управљање водама и отпадним водама, продужену одговорност произвођача,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добровољне инструменте, еко-дизајн, иновације и развој технологије, финансије и инвестиције, коришћење обновљивих извора енергије и енергетску ефикасност, управљање хемикалијама, нове обрасце производње и потрошње, и друго.</w:t>
      </w:r>
    </w:p>
    <w:p w14:paraId="778814A5" w14:textId="77777777" w:rsidR="00497092" w:rsidRPr="00644F20" w:rsidRDefault="002F45E1" w:rsidP="00F06A5B">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Европској унији се у послeдњих неколико година интензивно усвајају стратешка документа и директиве која усмеравају и подстичу процесе ка циркуларној економији. Зелени договор је у децембру 2019. године представљен као нова развојна стратегија која настоји да Е</w:t>
      </w:r>
      <w:r w:rsidR="00A95345" w:rsidRPr="00644F20">
        <w:rPr>
          <w:rFonts w:ascii="Times New Roman" w:hAnsi="Times New Roman" w:cs="Times New Roman"/>
          <w:sz w:val="24"/>
          <w:szCs w:val="24"/>
          <w:lang w:val="sr-Cyrl-CS"/>
        </w:rPr>
        <w:t>вропску унију</w:t>
      </w:r>
      <w:r w:rsidRPr="00644F20">
        <w:rPr>
          <w:rFonts w:ascii="Times New Roman" w:hAnsi="Times New Roman" w:cs="Times New Roman"/>
          <w:sz w:val="24"/>
          <w:szCs w:val="24"/>
          <w:lang w:val="sr-Cyrl-CS"/>
        </w:rPr>
        <w:t xml:space="preserve"> трансформише у праведно и просперитетно друштво са модерном, конкурентном привредом, заснованој на ефикасној потрошњи ресурса и очувању животне средине и здравља људи. Ова стратегија има за циљ да до 2050. године Европа постане први климатски неутралан контине</w:t>
      </w:r>
      <w:r w:rsidR="00644F20">
        <w:rPr>
          <w:rFonts w:ascii="Times New Roman" w:hAnsi="Times New Roman" w:cs="Times New Roman"/>
          <w:sz w:val="24"/>
          <w:szCs w:val="24"/>
          <w:lang w:val="sr-Cyrl-CS"/>
        </w:rPr>
        <w:t>н</w:t>
      </w:r>
      <w:r w:rsidRPr="00644F20">
        <w:rPr>
          <w:rFonts w:ascii="Times New Roman" w:hAnsi="Times New Roman" w:cs="Times New Roman"/>
          <w:sz w:val="24"/>
          <w:szCs w:val="24"/>
          <w:lang w:val="sr-Cyrl-CS"/>
        </w:rPr>
        <w:t xml:space="preserve">т. Како би се успоставио оквир за раст и одрживу производњу, </w:t>
      </w:r>
      <w:r w:rsidRPr="00644F20">
        <w:rPr>
          <w:rFonts w:ascii="Times New Roman" w:hAnsi="Times New Roman" w:cs="Times New Roman"/>
          <w:sz w:val="24"/>
          <w:szCs w:val="24"/>
          <w:lang w:val="sr-Cyrl-CS"/>
        </w:rPr>
        <w:lastRenderedPageBreak/>
        <w:t xml:space="preserve">у марту 2020. године донета су два веома важна документа: </w:t>
      </w:r>
      <w:r w:rsidRPr="00644F20">
        <w:rPr>
          <w:rFonts w:ascii="Times New Roman" w:hAnsi="Times New Roman" w:cs="Times New Roman"/>
          <w:i/>
          <w:sz w:val="24"/>
          <w:szCs w:val="24"/>
          <w:lang w:val="sr-Cyrl-CS"/>
        </w:rPr>
        <w:t>Нови акциони план за циркуларну економију – за чистију и конкуре</w:t>
      </w:r>
      <w:r w:rsidR="00644F20">
        <w:rPr>
          <w:rFonts w:ascii="Times New Roman" w:hAnsi="Times New Roman" w:cs="Times New Roman"/>
          <w:i/>
          <w:sz w:val="24"/>
          <w:szCs w:val="24"/>
          <w:lang w:val="sr-Cyrl-CS"/>
        </w:rPr>
        <w:t>н</w:t>
      </w:r>
      <w:r w:rsidRPr="00644F20">
        <w:rPr>
          <w:rFonts w:ascii="Times New Roman" w:hAnsi="Times New Roman" w:cs="Times New Roman"/>
          <w:i/>
          <w:sz w:val="24"/>
          <w:szCs w:val="24"/>
          <w:lang w:val="sr-Cyrl-CS"/>
        </w:rPr>
        <w:t>тнију Европу</w:t>
      </w:r>
      <w:r w:rsidRPr="00644F20">
        <w:rPr>
          <w:rFonts w:ascii="Times New Roman" w:hAnsi="Times New Roman" w:cs="Times New Roman"/>
          <w:sz w:val="24"/>
          <w:szCs w:val="24"/>
          <w:lang w:val="sr-Cyrl-CS"/>
        </w:rPr>
        <w:t xml:space="preserve"> и </w:t>
      </w:r>
      <w:r w:rsidRPr="00644F20">
        <w:rPr>
          <w:rFonts w:ascii="Times New Roman" w:hAnsi="Times New Roman" w:cs="Times New Roman"/>
          <w:i/>
          <w:sz w:val="24"/>
          <w:szCs w:val="24"/>
          <w:lang w:val="sr-Cyrl-CS"/>
        </w:rPr>
        <w:t>Нова индустријска стратегија за Европу.</w:t>
      </w:r>
    </w:p>
    <w:p w14:paraId="3A8CE545" w14:textId="77777777" w:rsidR="00497092" w:rsidRPr="00644F20" w:rsidRDefault="002F45E1" w:rsidP="00F06A5B">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Као део Зеленог договора, у новембру 2020. године потписана је Софијска декларација о Зеленој агенди за Западни Балкан. Чине је пет стубова од којих је један циркуларна економија. У октобру 2021. године усвојен је Акциони план за Зелену агенду, у којем је припрема стратешког документа за циркуларну економију jедна од предвиђених активности. </w:t>
      </w:r>
    </w:p>
    <w:p w14:paraId="4A444E20" w14:textId="77777777" w:rsidR="00497092" w:rsidRPr="00644F20" w:rsidRDefault="002F45E1" w:rsidP="00F06A5B">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Дефинисање стратешког оквира за циркуларну економију у Републици Србији започето је 2019. године  израдом </w:t>
      </w:r>
      <w:r w:rsidRPr="00644F20">
        <w:rPr>
          <w:rFonts w:ascii="Times New Roman" w:hAnsi="Times New Roman" w:cs="Times New Roman"/>
          <w:i/>
          <w:sz w:val="24"/>
          <w:szCs w:val="24"/>
          <w:lang w:val="sr-Cyrl-CS"/>
        </w:rPr>
        <w:t>Еx-ante анализе ефеката за циркуларну економију</w:t>
      </w:r>
      <w:r w:rsidRPr="00644F20">
        <w:rPr>
          <w:rFonts w:ascii="Times New Roman" w:hAnsi="Times New Roman" w:cs="Times New Roman"/>
          <w:sz w:val="24"/>
          <w:szCs w:val="24"/>
          <w:lang w:val="sr-Cyrl-CS"/>
        </w:rPr>
        <w:t xml:space="preserve">, која је показала да је за област циркуларне економије потребан посебан документ јавне политике. У складу са резултатима анализе и Законом о планском систему Републике Србије,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је иницирало израду </w:t>
      </w:r>
      <w:r w:rsidRPr="00644F20">
        <w:rPr>
          <w:rFonts w:ascii="Times New Roman" w:hAnsi="Times New Roman" w:cs="Times New Roman"/>
          <w:b/>
          <w:sz w:val="24"/>
          <w:szCs w:val="24"/>
          <w:lang w:val="sr-Cyrl-CS"/>
        </w:rPr>
        <w:t>Програма развоја циркуларне економије у Републици Србији за период 2022-2024. године</w:t>
      </w:r>
      <w:r w:rsidRPr="00644F20">
        <w:rPr>
          <w:rFonts w:ascii="Times New Roman" w:hAnsi="Times New Roman" w:cs="Times New Roman"/>
          <w:sz w:val="24"/>
          <w:szCs w:val="24"/>
          <w:lang w:val="sr-Cyrl-CS"/>
        </w:rPr>
        <w:t>. Документ је припремљен у складу са Уредбом о методологији управљањa јавним политикама, анализи ефеката јавних политика и прописа и садржају појединачних докумената јавних политика (,,Службени гласник РС</w:t>
      </w:r>
      <w:r w:rsidRPr="00644F20">
        <w:rPr>
          <w:rFonts w:ascii="Times New Roman" w:eastAsia="Calibri" w:hAnsi="Times New Roman" w:cs="Times New Roman"/>
          <w:sz w:val="24"/>
          <w:szCs w:val="24"/>
          <w:lang w:val="sr-Cyrl-CS"/>
        </w:rPr>
        <w:t>”</w:t>
      </w:r>
      <w:r w:rsidRPr="00644F20">
        <w:rPr>
          <w:rFonts w:ascii="Times New Roman" w:hAnsi="Times New Roman" w:cs="Times New Roman"/>
          <w:sz w:val="24"/>
          <w:szCs w:val="24"/>
          <w:lang w:val="sr-Cyrl-CS"/>
        </w:rPr>
        <w:t xml:space="preserve">, број 8/19). Документом су обухваћене најважније области од значаја за циркуларну економију: управљање отпадом; управљање водама; обновљиви извори енергије и енергетска ефикасност; управљање хемикалијама;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xml:space="preserve"> и добровољни инструменти; привредна политика; иновације</w:t>
      </w:r>
      <w:r w:rsidRPr="00644F20">
        <w:rPr>
          <w:lang w:val="sr-Cyrl-CS"/>
        </w:rPr>
        <w:t xml:space="preserve"> </w:t>
      </w:r>
      <w:r w:rsidRPr="00644F20">
        <w:rPr>
          <w:rFonts w:ascii="Times New Roman" w:hAnsi="Times New Roman" w:cs="Times New Roman"/>
          <w:sz w:val="24"/>
          <w:szCs w:val="24"/>
          <w:lang w:val="sr-Cyrl-CS"/>
        </w:rPr>
        <w:t>и подизање јавне свести. Ове области разматране су у контексту тренутног стања и потенцијала за примену циркуларне економије. Програм садржи Акциони план за три године у којем су дефинисани општи и посебни циљеви. Општи циљ овог документа је стварање подстицајног окружења за развој циркуларне економије у циљу подршке зеленој транзицији у Републици Србији. За испуњење општег циља предвиђено је пет посебних циљева, са мерама и активностима који ће се спроводити у периоду 2022-2024. године. Један од приоритета је подршка привредним субјектима у циљу унапређења ефикасности производње и уклањања отпада из ланаца снабдевања, задржавања компоненти и материјала у затвореном циклусу кроз поновну прераду и рециклажу, примене нових технологија и замене старих материјала напредним и обновљивим, преласка на коришћење обновљивих извора енергије и материјала, продужавања животног века производа кроз пројектовање и одржавање и виртуелне испоруке робе и услуга. Неопходна је и подршка локалним самоуправама у изради локалних мапа пута за циркуларну економију која ће допринети формирању одрживих заједница. Такође, потребно је едуковати релевантне заинтересоване стране (медије, школе, универзитете, потрошаче), оснажити сарадњу између пословног и академског сектора за иновације</w:t>
      </w:r>
      <w:r w:rsidRPr="00644F20">
        <w:rPr>
          <w:lang w:val="sr-Cyrl-CS"/>
        </w:rPr>
        <w:t xml:space="preserve"> </w:t>
      </w:r>
      <w:r w:rsidRPr="00644F20">
        <w:rPr>
          <w:rFonts w:ascii="Times New Roman" w:hAnsi="Times New Roman" w:cs="Times New Roman"/>
          <w:sz w:val="24"/>
          <w:szCs w:val="24"/>
          <w:lang w:val="sr-Cyrl-CS"/>
        </w:rPr>
        <w:t>које доприносе циркуларној економији и подстаћи примену зелених јавних набавки и добровољних инструмената из области заштите животне средине. Циркуларна економија треба да користи грађанима, регионима и градовима, да допринесе одрживом развоју и климатској неутралности, као и очувању здравља људи и благостању. Процес транзиције на циркуларну економију тражи системски приступ, коришћење потенцијала истраживања, иновације и дигитализацију, као и повезивање свих заинтересованих страна и њихову дугорочну сарадњу. Потпуна транзиција на циркуларну економију превазилази оквире трајања овог програма од три године, тако да се овим документом процес започиње и постављају се темељи за даљи развој и примену овог концепта.</w:t>
      </w:r>
    </w:p>
    <w:p w14:paraId="3975F519" w14:textId="77777777" w:rsidR="00497092" w:rsidRPr="00644F20" w:rsidRDefault="002F45E1" w:rsidP="00F06A5B">
      <w:pPr>
        <w:spacing w:after="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Током израде овог документа одржане су консултације са заинтересованим странама у циљу прикупљања информација о тренутном стању у области циркуларне економије, проблемима који постоје и сагледавању промена које треба да се постигну.  Такође, одржано је више састанака са институцијама које су дале мишљење из делокруга своје надлежности. </w:t>
      </w:r>
      <w:r w:rsidRPr="00644F20">
        <w:rPr>
          <w:rFonts w:ascii="Times New Roman" w:hAnsi="Times New Roman" w:cs="Times New Roman"/>
          <w:sz w:val="24"/>
          <w:szCs w:val="24"/>
          <w:lang w:val="sr-Cyrl-CS"/>
        </w:rPr>
        <w:lastRenderedPageBreak/>
        <w:t xml:space="preserve">Консултације су биле одржане и кроз фокус групе са члановима Радне групе за циркуларну економију која је формирана од стране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чине је предста</w:t>
      </w:r>
      <w:r w:rsidR="00990B5B" w:rsidRPr="00644F20">
        <w:rPr>
          <w:rFonts w:ascii="Times New Roman" w:hAnsi="Times New Roman" w:cs="Times New Roman"/>
          <w:sz w:val="24"/>
          <w:szCs w:val="24"/>
          <w:lang w:val="sr-Cyrl-CS"/>
        </w:rPr>
        <w:t>вници седам</w:t>
      </w:r>
      <w:r w:rsidRPr="00644F20">
        <w:rPr>
          <w:rFonts w:ascii="Times New Roman" w:hAnsi="Times New Roman" w:cs="Times New Roman"/>
          <w:sz w:val="24"/>
          <w:szCs w:val="24"/>
          <w:lang w:val="sr-Cyrl-CS"/>
        </w:rPr>
        <w:t xml:space="preserve"> министарстава и 11 институција релевантних за циркуларну економију. Јавне консултације одржане су 26. октобра 2021. године, а коментари који су добијени допринели су квалитету документа. Јавно представљање документа је било 28. децембра 2021. године у форми видео конференције.</w:t>
      </w:r>
    </w:p>
    <w:p w14:paraId="7D4880E4" w14:textId="77777777" w:rsidR="00497092" w:rsidRPr="00644F20" w:rsidRDefault="002F45E1" w:rsidP="00F06A5B">
      <w:pPr>
        <w:spacing w:after="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Јавна расправа је била одржана у периоду од 23. децембра 2021. до 14. јануара 2022. године.</w:t>
      </w:r>
    </w:p>
    <w:p w14:paraId="6185AF99" w14:textId="77777777" w:rsidR="00497092" w:rsidRPr="00644F20" w:rsidRDefault="002F45E1">
      <w:pPr>
        <w:keepNext/>
        <w:keepLines/>
        <w:spacing w:before="480" w:after="360" w:line="276" w:lineRule="auto"/>
        <w:outlineLvl w:val="0"/>
        <w:rPr>
          <w:rFonts w:ascii="Times New Roman" w:eastAsia="Calibri" w:hAnsi="Times New Roman" w:cstheme="majorBidi"/>
          <w:b/>
          <w:bCs/>
          <w:sz w:val="32"/>
          <w:szCs w:val="32"/>
          <w:lang w:val="sr-Cyrl-CS"/>
        </w:rPr>
      </w:pPr>
      <w:bookmarkStart w:id="3" w:name="_Toc93923056"/>
      <w:r w:rsidRPr="00644F20">
        <w:rPr>
          <w:rFonts w:ascii="Times New Roman" w:eastAsia="Calibri" w:hAnsi="Times New Roman" w:cstheme="majorBidi"/>
          <w:b/>
          <w:bCs/>
          <w:sz w:val="32"/>
          <w:szCs w:val="32"/>
          <w:lang w:val="sr-Cyrl-CS"/>
        </w:rPr>
        <w:t>2. ПЛАНСКИ ДОКУМЕНТИ И ПРАВНИ ОКВИР</w:t>
      </w:r>
      <w:bookmarkEnd w:id="3"/>
      <w:r w:rsidRPr="00644F20">
        <w:rPr>
          <w:rFonts w:ascii="Times New Roman" w:eastAsia="Calibri" w:hAnsi="Times New Roman" w:cstheme="majorBidi"/>
          <w:b/>
          <w:bCs/>
          <w:sz w:val="32"/>
          <w:szCs w:val="32"/>
          <w:lang w:val="sr-Cyrl-CS"/>
        </w:rPr>
        <w:t xml:space="preserve"> </w:t>
      </w:r>
    </w:p>
    <w:p w14:paraId="60AE7BB0" w14:textId="77777777" w:rsidR="00497092" w:rsidRPr="00644F20" w:rsidRDefault="002F45E1">
      <w:pPr>
        <w:keepNext/>
        <w:keepLines/>
        <w:spacing w:before="360" w:after="240"/>
        <w:outlineLvl w:val="1"/>
        <w:rPr>
          <w:rFonts w:ascii="Times New Roman" w:eastAsia="Calibri" w:hAnsi="Times New Roman" w:cstheme="majorBidi"/>
          <w:b/>
          <w:bCs/>
          <w:sz w:val="28"/>
          <w:szCs w:val="28"/>
          <w:lang w:val="sr-Cyrl-CS"/>
        </w:rPr>
      </w:pPr>
      <w:bookmarkStart w:id="4" w:name="_Toc93923057"/>
      <w:r w:rsidRPr="00644F20">
        <w:rPr>
          <w:rFonts w:ascii="Times New Roman" w:eastAsia="Calibri" w:hAnsi="Times New Roman" w:cstheme="majorBidi"/>
          <w:b/>
          <w:bCs/>
          <w:sz w:val="28"/>
          <w:szCs w:val="28"/>
          <w:lang w:val="sr-Cyrl-CS"/>
        </w:rPr>
        <w:t>2.1. Оквир међународних и ЕУ јавних политика</w:t>
      </w:r>
      <w:bookmarkEnd w:id="4"/>
    </w:p>
    <w:p w14:paraId="20CBF97D"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На глобалном нивоу у 2015. години са циљем да се даље подстиче одрживи развој и да се ублаже климатске промене, донета су два веома важна документа. Уједињене Нације су представиле </w:t>
      </w:r>
      <w:r w:rsidRPr="00644F20">
        <w:rPr>
          <w:rFonts w:ascii="Times New Roman" w:eastAsia="Calibri" w:hAnsi="Times New Roman" w:cs="Times New Roman"/>
          <w:b/>
          <w:sz w:val="24"/>
          <w:szCs w:val="24"/>
          <w:lang w:val="sr-Cyrl-CS"/>
        </w:rPr>
        <w:t xml:space="preserve">Агенду 2030 за одрживи развој </w:t>
      </w:r>
      <w:r w:rsidRPr="00644F20">
        <w:rPr>
          <w:rFonts w:ascii="Times New Roman" w:eastAsia="Calibri" w:hAnsi="Times New Roman" w:cs="Times New Roman"/>
          <w:sz w:val="24"/>
          <w:szCs w:val="24"/>
          <w:lang w:val="sr-Cyrl-CS"/>
        </w:rPr>
        <w:t xml:space="preserve">са 17 циљева, која предвиђа да државе потписнице мобилишу све ресурсе како би до 2030. године искорениле сиромаштво, избориле се против неједнакости и пронашле одговоре на климатске промене. Други важан документ је </w:t>
      </w:r>
      <w:r w:rsidRPr="00644F20">
        <w:rPr>
          <w:rFonts w:ascii="Times New Roman" w:eastAsia="Calibri" w:hAnsi="Times New Roman" w:cs="Times New Roman"/>
          <w:b/>
          <w:sz w:val="24"/>
          <w:szCs w:val="24"/>
          <w:lang w:val="sr-Cyrl-CS"/>
        </w:rPr>
        <w:t>Париски споразум</w:t>
      </w:r>
      <w:r w:rsidRPr="00644F20">
        <w:rPr>
          <w:rFonts w:ascii="Times New Roman" w:eastAsia="Calibri" w:hAnsi="Times New Roman" w:cs="Times New Roman"/>
          <w:sz w:val="24"/>
          <w:szCs w:val="24"/>
          <w:lang w:val="sr-Cyrl-CS"/>
        </w:rPr>
        <w:t>, који настоји да оснажи глобални одговор на претње изазване климатским променама, укључујући ограничење раста просечне глобалне температуре значајно испод 2°С у односу на прединдустријски ниво и наст</w:t>
      </w:r>
      <w:r w:rsidR="002E4BF4" w:rsidRPr="00644F20">
        <w:rPr>
          <w:rFonts w:ascii="Times New Roman" w:eastAsia="Calibri" w:hAnsi="Times New Roman" w:cs="Times New Roman"/>
          <w:sz w:val="24"/>
          <w:szCs w:val="24"/>
          <w:lang w:val="sr-Cyrl-CS"/>
        </w:rPr>
        <w:t>авак напора да се ограничи раст</w:t>
      </w:r>
      <w:r w:rsidRPr="00644F20">
        <w:rPr>
          <w:rFonts w:ascii="Times New Roman" w:eastAsia="Calibri" w:hAnsi="Times New Roman" w:cs="Times New Roman"/>
          <w:sz w:val="24"/>
          <w:szCs w:val="24"/>
          <w:lang w:val="sr-Cyrl-CS"/>
        </w:rPr>
        <w:t xml:space="preserve"> температуре до </w:t>
      </w:r>
      <w:r w:rsidR="00990B5B" w:rsidRPr="00644F20">
        <w:rPr>
          <w:rFonts w:ascii="Times New Roman" w:eastAsia="Calibri" w:hAnsi="Times New Roman" w:cs="Times New Roman"/>
          <w:sz w:val="24"/>
          <w:szCs w:val="24"/>
          <w:lang w:val="sr-Cyrl-CS"/>
        </w:rPr>
        <w:br/>
      </w:r>
      <w:r w:rsidRPr="00644F20">
        <w:rPr>
          <w:rFonts w:ascii="Times New Roman" w:eastAsia="Calibri" w:hAnsi="Times New Roman" w:cs="Times New Roman"/>
          <w:sz w:val="24"/>
          <w:szCs w:val="24"/>
          <w:lang w:val="sr-Cyrl-CS"/>
        </w:rPr>
        <w:t xml:space="preserve">1,5 °С у односу на прединдустријски ниво. </w:t>
      </w:r>
    </w:p>
    <w:p w14:paraId="4C2EEF20" w14:textId="77777777" w:rsidR="00497092" w:rsidRPr="00644F20" w:rsidRDefault="002F45E1" w:rsidP="00F06A5B">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Република Србија је као чланица УН преузела обавезе из Агенде 2030, а такође, као потписница Кјото протокола и обавезе из Париског споразума. </w:t>
      </w:r>
    </w:p>
    <w:p w14:paraId="3F9879BD" w14:textId="77777777" w:rsidR="00497092" w:rsidRPr="00644F20" w:rsidRDefault="002F45E1" w:rsidP="00F06A5B">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Седми акциони програм Е</w:t>
      </w:r>
      <w:r w:rsidR="00A95345" w:rsidRPr="00644F20">
        <w:rPr>
          <w:rFonts w:ascii="Times New Roman" w:eastAsia="Calibri" w:hAnsi="Times New Roman" w:cs="Times New Roman"/>
          <w:b/>
          <w:sz w:val="24"/>
          <w:szCs w:val="24"/>
          <w:lang w:val="sr-Cyrl-CS"/>
        </w:rPr>
        <w:t>вропске уније</w:t>
      </w:r>
      <w:r w:rsidRPr="00644F20">
        <w:rPr>
          <w:rFonts w:ascii="Times New Roman" w:eastAsia="Calibri" w:hAnsi="Times New Roman" w:cs="Times New Roman"/>
          <w:b/>
          <w:sz w:val="24"/>
          <w:szCs w:val="24"/>
          <w:lang w:val="sr-Cyrl-CS"/>
        </w:rPr>
        <w:t xml:space="preserve"> за животну средину до 2020. године</w:t>
      </w:r>
      <w:r w:rsidRPr="00644F20">
        <w:rPr>
          <w:rFonts w:ascii="Times New Roman" w:eastAsia="Calibri" w:hAnsi="Times New Roman" w:cs="Times New Roman"/>
          <w:sz w:val="24"/>
          <w:szCs w:val="24"/>
          <w:lang w:val="sr-Cyrl-CS"/>
        </w:rPr>
        <w:t xml:space="preserve"> (Одлука 1386/2013/EU)</w:t>
      </w:r>
      <w:r w:rsidRPr="00644F20">
        <w:rPr>
          <w:rFonts w:ascii="Times New Roman" w:hAnsi="Times New Roman" w:cs="Times New Roman"/>
          <w:sz w:val="24"/>
          <w:szCs w:val="24"/>
          <w:lang w:val="sr-Cyrl-CS"/>
        </w:rPr>
        <w:t xml:space="preserve">, усвојен 2013. године, </w:t>
      </w:r>
      <w:r w:rsidRPr="00644F20">
        <w:rPr>
          <w:rFonts w:ascii="Times New Roman" w:eastAsia="Calibri" w:hAnsi="Times New Roman" w:cs="Times New Roman"/>
          <w:sz w:val="24"/>
          <w:szCs w:val="24"/>
          <w:lang w:val="sr-Cyrl-CS"/>
        </w:rPr>
        <w:t xml:space="preserve">садржи девет приоритетних циљева, од којих је један прелазак на сировински ефикасну, зелену и конкурентну нискоугљеничну економију. Овај циљ поставља основе за даљи развој политика у области циркуларне економије. </w:t>
      </w:r>
    </w:p>
    <w:p w14:paraId="57831CB4" w14:textId="77777777" w:rsidR="00F06A5B"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Европска комисија је 2015. године усвојила свој први акциони план за циркуларну економију </w:t>
      </w:r>
      <w:r w:rsidRPr="00644F20">
        <w:rPr>
          <w:rFonts w:ascii="Times New Roman" w:eastAsia="Calibri" w:hAnsi="Times New Roman" w:cs="Times New Roman"/>
          <w:b/>
          <w:sz w:val="24"/>
          <w:szCs w:val="24"/>
          <w:lang w:val="sr-Cyrl-CS"/>
        </w:rPr>
        <w:t xml:space="preserve">Затварање круга - акциони план за циркуларну економију </w:t>
      </w:r>
      <w:r w:rsidRPr="00644F20">
        <w:rPr>
          <w:rFonts w:ascii="Times New Roman" w:eastAsia="Calibri" w:hAnsi="Times New Roman" w:cs="Times New Roman"/>
          <w:sz w:val="24"/>
          <w:lang w:val="sr-Cyrl-CS" w:eastAsia="en-GB"/>
        </w:rPr>
        <w:t>(COM/2015/614)</w:t>
      </w:r>
      <w:r w:rsidRPr="00644F20">
        <w:rPr>
          <w:rFonts w:ascii="Times New Roman" w:eastAsia="Calibri" w:hAnsi="Times New Roman" w:cs="Times New Roman"/>
          <w:sz w:val="24"/>
          <w:szCs w:val="24"/>
          <w:lang w:val="sr-Cyrl-CS"/>
        </w:rPr>
        <w:t>. План је укључивао мере за подстицање транзиције Е</w:t>
      </w:r>
      <w:r w:rsidR="00A95345"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xml:space="preserve"> ка циркуларној економији, повећање глобалне конкурентности, подстицање одрживог економског раста и отварање нових радних места. Конкретне мере које су биле предвиђене акционим планом односиле су се на унапређење производње, потрошње, управљањe отпадом, тржишта сировина, смањење расипања хране, смањење настајања пластич</w:t>
      </w:r>
      <w:r w:rsidR="00C61428" w:rsidRPr="00644F20">
        <w:rPr>
          <w:rFonts w:ascii="Times New Roman" w:eastAsia="Calibri" w:hAnsi="Times New Roman" w:cs="Times New Roman"/>
          <w:sz w:val="24"/>
          <w:szCs w:val="24"/>
          <w:lang w:val="sr-Cyrl-CS"/>
        </w:rPr>
        <w:t>ног отпада, иновације и улагања</w:t>
      </w:r>
      <w:r w:rsidRPr="00644F20">
        <w:rPr>
          <w:rFonts w:ascii="Times New Roman" w:eastAsia="Calibri" w:hAnsi="Times New Roman" w:cs="Times New Roman"/>
          <w:sz w:val="24"/>
          <w:szCs w:val="24"/>
          <w:lang w:val="sr-Cyrl-CS"/>
        </w:rPr>
        <w:t xml:space="preserve"> и др. Једна од активности која се односила на управљање отпадом је предвидела ревизију постојећег законодавног оквира. У складу са тим у 2018. години усвојен је пакет директива за циркуларну економију којима се прописују нови циљеви до 2035. године у области управљања отпадом. </w:t>
      </w:r>
      <w:r w:rsidR="00F06A5B" w:rsidRPr="00644F20">
        <w:rPr>
          <w:rFonts w:ascii="Times New Roman" w:eastAsia="Calibri" w:hAnsi="Times New Roman" w:cs="Times New Roman"/>
          <w:sz w:val="24"/>
          <w:szCs w:val="24"/>
          <w:lang w:val="sr-Cyrl-CS"/>
        </w:rPr>
        <w:t xml:space="preserve">   </w:t>
      </w:r>
    </w:p>
    <w:p w14:paraId="5BF10573" w14:textId="77777777" w:rsidR="00497092" w:rsidRPr="00644F20" w:rsidRDefault="00F06A5B"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 </w:t>
      </w:r>
      <w:r w:rsidR="002F45E1" w:rsidRPr="00644F20">
        <w:rPr>
          <w:rFonts w:ascii="Times New Roman" w:eastAsia="Calibri" w:hAnsi="Times New Roman" w:cs="Times New Roman"/>
          <w:sz w:val="24"/>
          <w:szCs w:val="24"/>
          <w:lang w:val="sr-Cyrl-CS"/>
        </w:rPr>
        <w:t>Овај пакет чине следеће директиве:</w:t>
      </w:r>
    </w:p>
    <w:p w14:paraId="486AE15F" w14:textId="77777777" w:rsidR="00497092" w:rsidRPr="00644F20" w:rsidRDefault="002F45E1" w:rsidP="00CE01DB">
      <w:pPr>
        <w:pStyle w:val="ListParagraph"/>
        <w:numPr>
          <w:ilvl w:val="0"/>
          <w:numId w:val="2"/>
        </w:numPr>
        <w:spacing w:after="6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Директива 2018/851 ЕУ о изменама директиве 2008/98/ЕС о отпаду;</w:t>
      </w:r>
    </w:p>
    <w:p w14:paraId="4754D61F" w14:textId="77777777" w:rsidR="002E4BF4" w:rsidRPr="00644F20" w:rsidRDefault="002F45E1">
      <w:pPr>
        <w:numPr>
          <w:ilvl w:val="0"/>
          <w:numId w:val="2"/>
        </w:num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Директива 2018/852 ЕУ о изменама директиве 94/62/ЕС о амбалажи и амбалажном </w:t>
      </w:r>
    </w:p>
    <w:p w14:paraId="1CA75096" w14:textId="77777777" w:rsidR="00497092" w:rsidRPr="00644F20" w:rsidRDefault="002F45E1" w:rsidP="002E4BF4">
      <w:p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отпаду;</w:t>
      </w:r>
    </w:p>
    <w:p w14:paraId="59CB3E7E" w14:textId="77777777" w:rsidR="00497092" w:rsidRPr="00644F20" w:rsidRDefault="002F45E1">
      <w:pPr>
        <w:numPr>
          <w:ilvl w:val="0"/>
          <w:numId w:val="2"/>
        </w:num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Директива ЕУ 2018/850 о изменама директиве 1993/31/ЕС о депонијама;</w:t>
      </w:r>
    </w:p>
    <w:p w14:paraId="652943DC" w14:textId="77777777" w:rsidR="002E4BF4" w:rsidRPr="00644F20" w:rsidRDefault="002F45E1">
      <w:pPr>
        <w:numPr>
          <w:ilvl w:val="0"/>
          <w:numId w:val="2"/>
        </w:numPr>
        <w:spacing w:after="60" w:line="276" w:lineRule="auto"/>
        <w:ind w:left="714" w:hanging="357"/>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Директива ЕУ 2018/849 о изменама директива 2000/53/ЕC о отпадним возилима, </w:t>
      </w:r>
    </w:p>
    <w:p w14:paraId="7B1D31D3" w14:textId="77777777" w:rsidR="00497092" w:rsidRPr="00644F20" w:rsidRDefault="002F45E1" w:rsidP="002E4BF4">
      <w:pPr>
        <w:spacing w:after="60" w:line="276" w:lineRule="auto"/>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lastRenderedPageBreak/>
        <w:t>2006/66/ЕC о батеријама и акумулаторима и отпадним батеријама и акумулаторима и Директиве 2012/19/ЕУ о отпадној електричној и електронској опреми.</w:t>
      </w:r>
    </w:p>
    <w:p w14:paraId="2A0D62DD" w14:textId="77777777" w:rsidR="00497092" w:rsidRPr="00644F20" w:rsidRDefault="00F06A5B" w:rsidP="00F06A5B">
      <w:pPr>
        <w:spacing w:after="60" w:line="276" w:lineRule="auto"/>
        <w:ind w:firstLine="357"/>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       </w:t>
      </w:r>
      <w:r w:rsidR="002F45E1" w:rsidRPr="00644F20">
        <w:rPr>
          <w:rFonts w:ascii="Times New Roman" w:eastAsia="Calibri" w:hAnsi="Times New Roman" w:cs="Times New Roman"/>
          <w:sz w:val="24"/>
          <w:szCs w:val="24"/>
          <w:lang w:val="sr-Cyrl-CS"/>
        </w:rPr>
        <w:t xml:space="preserve">Кроз одредбе ових директива дефинисане су конкретне мере за промовисање поновне употребе и подстицање индустријске симбиозе; промоцију економских инструмената; методе обрачуна за стопе рециклаже; економске подстицаје за стављање ,,зелених” производа у продају и друго. Поред тога, до 31. децембра 2024. године прописана је обавеза успостављања шеме продужене одговорности произвођача за све врсте амбалаже. </w:t>
      </w:r>
    </w:p>
    <w:p w14:paraId="5E9691D3" w14:textId="77777777" w:rsidR="00497092" w:rsidRPr="00644F20" w:rsidRDefault="002F45E1" w:rsidP="00F06A5B">
      <w:pPr>
        <w:spacing w:after="60" w:line="276" w:lineRule="auto"/>
        <w:ind w:firstLine="81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Посебна пажња се посвећује превенцији настајања отпада, укључујући и спречавање настајања отпада од хране. Уводе се и важне одредбе у погледу унапређења квалитета секундарних сировина и њихове употребе, одвојеног сакупљања опасног отпада из домаћинстава, сакупљања биолошког и текстилног отпада, као и поновног искоришћења грађевинског отпада и отпада од рушења. Како би се принципи циркуларне економије ефикасно спроводили, новим законодавством превиђена је шира употреба економских инструмената и других мера као подршка хијерархији управљања отпадом. Кључни елементи донети изменама директива су</w:t>
      </w:r>
      <w:r w:rsidRPr="00644F20">
        <w:rPr>
          <w:lang w:val="sr-Cyrl-CS"/>
        </w:rPr>
        <w:t xml:space="preserve"> </w:t>
      </w:r>
      <w:r w:rsidRPr="00644F20">
        <w:rPr>
          <w:rFonts w:ascii="Times New Roman" w:eastAsia="Calibri" w:hAnsi="Times New Roman" w:cs="Times New Roman"/>
          <w:sz w:val="24"/>
          <w:szCs w:val="24"/>
          <w:lang w:val="sr-Cyrl-CS"/>
        </w:rPr>
        <w:t xml:space="preserve">у погледу одређивања специфичних циљева које треба </w:t>
      </w:r>
      <w:r w:rsidR="00C61428" w:rsidRPr="00644F20">
        <w:rPr>
          <w:rFonts w:ascii="Times New Roman" w:eastAsia="Calibri" w:hAnsi="Times New Roman" w:cs="Times New Roman"/>
          <w:sz w:val="24"/>
          <w:szCs w:val="24"/>
          <w:lang w:val="sr-Cyrl-CS"/>
        </w:rPr>
        <w:t>достићи на нивоу Европске уније:</w:t>
      </w:r>
    </w:p>
    <w:p w14:paraId="516527D0" w14:textId="77777777" w:rsidR="00A95345" w:rsidRPr="00644F20" w:rsidRDefault="00EF1B2A" w:rsidP="00A95345">
      <w:pPr>
        <w:pStyle w:val="ListParagraph"/>
        <w:numPr>
          <w:ilvl w:val="0"/>
          <w:numId w:val="24"/>
        </w:numPr>
        <w:spacing w:after="6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заједнички </w:t>
      </w:r>
      <w:r w:rsidR="002F45E1" w:rsidRPr="00644F20">
        <w:rPr>
          <w:rFonts w:ascii="Times New Roman" w:eastAsia="Calibri" w:hAnsi="Times New Roman" w:cs="Times New Roman"/>
          <w:sz w:val="24"/>
          <w:szCs w:val="24"/>
          <w:lang w:val="sr-Cyrl-CS"/>
        </w:rPr>
        <w:t>циљ Е</w:t>
      </w:r>
      <w:r w:rsidR="00A95345" w:rsidRPr="00644F20">
        <w:rPr>
          <w:rFonts w:ascii="Times New Roman" w:eastAsia="Calibri" w:hAnsi="Times New Roman" w:cs="Times New Roman"/>
          <w:sz w:val="24"/>
          <w:szCs w:val="24"/>
          <w:lang w:val="sr-Cyrl-CS"/>
        </w:rPr>
        <w:t>вропске уније</w:t>
      </w:r>
      <w:r w:rsidR="002F45E1" w:rsidRPr="00644F20">
        <w:rPr>
          <w:rFonts w:ascii="Times New Roman" w:eastAsia="Calibri" w:hAnsi="Times New Roman" w:cs="Times New Roman"/>
          <w:sz w:val="24"/>
          <w:szCs w:val="24"/>
          <w:lang w:val="sr-Cyrl-CS"/>
        </w:rPr>
        <w:t xml:space="preserve"> за припрему за поновну употребу и рециклажу </w:t>
      </w:r>
    </w:p>
    <w:p w14:paraId="30B54070" w14:textId="77777777" w:rsidR="00497092" w:rsidRPr="00644F20" w:rsidRDefault="002F45E1" w:rsidP="00A95345">
      <w:pPr>
        <w:spacing w:after="6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комуналног отпада је 65% масе отпада до 2035. године;</w:t>
      </w:r>
    </w:p>
    <w:p w14:paraId="3475D56A" w14:textId="77777777" w:rsidR="00497092" w:rsidRPr="00644F20" w:rsidRDefault="00EF1B2A" w:rsidP="00A95345">
      <w:pPr>
        <w:pStyle w:val="ListParagraph"/>
        <w:numPr>
          <w:ilvl w:val="0"/>
          <w:numId w:val="24"/>
        </w:numPr>
        <w:spacing w:after="6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успостављање </w:t>
      </w:r>
      <w:r w:rsidR="002F45E1" w:rsidRPr="00644F20">
        <w:rPr>
          <w:rFonts w:ascii="Times New Roman" w:eastAsia="Calibri" w:hAnsi="Times New Roman" w:cs="Times New Roman"/>
          <w:sz w:val="24"/>
          <w:szCs w:val="24"/>
          <w:lang w:val="sr-Cyrl-CS"/>
        </w:rPr>
        <w:t xml:space="preserve">одвојеног сaкупљањa барем за папир, метал, пластику и стакло, а </w:t>
      </w:r>
    </w:p>
    <w:p w14:paraId="27891D59" w14:textId="77777777" w:rsidR="00497092" w:rsidRPr="00644F20" w:rsidRDefault="002F45E1">
      <w:p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најкасније до 1. јануара 2025. године за текстил;</w:t>
      </w:r>
    </w:p>
    <w:p w14:paraId="5237B101" w14:textId="77777777" w:rsidR="00497092" w:rsidRPr="00644F20" w:rsidRDefault="00EF1B2A" w:rsidP="00A95345">
      <w:pPr>
        <w:numPr>
          <w:ilvl w:val="0"/>
          <w:numId w:val="24"/>
        </w:num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успостављање </w:t>
      </w:r>
      <w:r w:rsidR="002F45E1" w:rsidRPr="00644F20">
        <w:rPr>
          <w:rFonts w:ascii="Times New Roman" w:eastAsia="Calibri" w:hAnsi="Times New Roman" w:cs="Times New Roman"/>
          <w:sz w:val="24"/>
          <w:szCs w:val="24"/>
          <w:lang w:val="sr-Cyrl-CS"/>
        </w:rPr>
        <w:t xml:space="preserve">система разврставања грађевинског отпада барем за дрво, минералне </w:t>
      </w:r>
    </w:p>
    <w:p w14:paraId="3D8E4CC1" w14:textId="77777777" w:rsidR="00497092" w:rsidRPr="00644F20" w:rsidRDefault="002F45E1">
      <w:p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фракције (бетон, цигла, плочице и керамика, камен), метал, стакло, пластика и гипс. Директива 2008/98/ЕС је прописала циљеве за припрему за поновно искоришћење и рециклажу неопасног грађевинског отпада од минимално 70% масе отпада које је требало достићи до 2020.</w:t>
      </w:r>
      <w:r w:rsidRPr="00644F20">
        <w:rPr>
          <w:lang w:val="sr-Cyrl-CS"/>
        </w:rPr>
        <w:t xml:space="preserve"> </w:t>
      </w:r>
      <w:r w:rsidRPr="00644F20">
        <w:rPr>
          <w:rFonts w:ascii="Times New Roman" w:hAnsi="Times New Roman" w:cs="Times New Roman"/>
          <w:sz w:val="24"/>
          <w:szCs w:val="24"/>
          <w:lang w:val="sr-Cyrl-CS"/>
        </w:rPr>
        <w:t>године.</w:t>
      </w:r>
      <w:r w:rsidRPr="00644F20">
        <w:rPr>
          <w:lang w:val="sr-Cyrl-CS"/>
        </w:rPr>
        <w:t xml:space="preserve"> </w:t>
      </w:r>
      <w:r w:rsidRPr="00644F20">
        <w:rPr>
          <w:rFonts w:ascii="Times New Roman" w:eastAsia="Calibri" w:hAnsi="Times New Roman" w:cs="Times New Roman"/>
          <w:sz w:val="24"/>
          <w:szCs w:val="24"/>
          <w:lang w:val="sr-Cyrl-CS"/>
        </w:rPr>
        <w:t xml:space="preserve">Ови циљеви су и даље на снази и разматраће се до краја 2024. </w:t>
      </w:r>
      <w:r w:rsidRPr="00644F20">
        <w:rPr>
          <w:rFonts w:ascii="Times New Roman" w:hAnsi="Times New Roman" w:cs="Times New Roman"/>
          <w:sz w:val="24"/>
          <w:szCs w:val="24"/>
          <w:lang w:val="sr-Cyrl-CS"/>
        </w:rPr>
        <w:t>године,</w:t>
      </w:r>
      <w:r w:rsidRPr="00644F20">
        <w:rPr>
          <w:lang w:val="sr-Cyrl-CS"/>
        </w:rPr>
        <w:t xml:space="preserve">  </w:t>
      </w:r>
      <w:r w:rsidRPr="00644F20">
        <w:rPr>
          <w:rFonts w:ascii="Times New Roman" w:eastAsia="Calibri" w:hAnsi="Times New Roman" w:cs="Times New Roman"/>
          <w:sz w:val="24"/>
          <w:szCs w:val="24"/>
          <w:lang w:val="sr-Cyrl-CS"/>
        </w:rPr>
        <w:t>када је могуће да ће доћи до новог предлога у погледу циљева за неопасан грађевински отпад;</w:t>
      </w:r>
    </w:p>
    <w:p w14:paraId="17235657" w14:textId="77777777" w:rsidR="00F06A5B" w:rsidRPr="00644F20" w:rsidRDefault="00EF1B2A" w:rsidP="00A95345">
      <w:pPr>
        <w:numPr>
          <w:ilvl w:val="0"/>
          <w:numId w:val="24"/>
        </w:num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заједнички </w:t>
      </w:r>
      <w:r w:rsidR="002F45E1" w:rsidRPr="00644F20">
        <w:rPr>
          <w:rFonts w:ascii="Times New Roman" w:eastAsia="Calibri" w:hAnsi="Times New Roman" w:cs="Times New Roman"/>
          <w:sz w:val="24"/>
          <w:szCs w:val="24"/>
          <w:lang w:val="sr-Cyrl-CS"/>
        </w:rPr>
        <w:t>циљ Е</w:t>
      </w:r>
      <w:r w:rsidR="00F06A5B" w:rsidRPr="00644F20">
        <w:rPr>
          <w:rFonts w:ascii="Times New Roman" w:eastAsia="Calibri" w:hAnsi="Times New Roman" w:cs="Times New Roman"/>
          <w:sz w:val="24"/>
          <w:szCs w:val="24"/>
          <w:lang w:val="sr-Cyrl-CS"/>
        </w:rPr>
        <w:t xml:space="preserve">вропске уније </w:t>
      </w:r>
      <w:r w:rsidR="002F45E1" w:rsidRPr="00644F20">
        <w:rPr>
          <w:rFonts w:ascii="Times New Roman" w:eastAsia="Calibri" w:hAnsi="Times New Roman" w:cs="Times New Roman"/>
          <w:sz w:val="24"/>
          <w:szCs w:val="24"/>
          <w:lang w:val="sr-Cyrl-CS"/>
        </w:rPr>
        <w:t xml:space="preserve">за рециклажу амбалажног отпада је најмање 70% </w:t>
      </w:r>
    </w:p>
    <w:p w14:paraId="41B4135C" w14:textId="77777777" w:rsidR="00497092" w:rsidRPr="00644F20" w:rsidRDefault="002F45E1">
      <w:p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масеног удела од укупног амбалажног отпада до краја 2030. године;</w:t>
      </w:r>
    </w:p>
    <w:p w14:paraId="34577C66" w14:textId="77777777" w:rsidR="00497092" w:rsidRPr="00644F20" w:rsidRDefault="00EF1B2A" w:rsidP="00A95345">
      <w:pPr>
        <w:numPr>
          <w:ilvl w:val="0"/>
          <w:numId w:val="24"/>
        </w:numPr>
        <w:spacing w:after="6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минимални </w:t>
      </w:r>
      <w:r w:rsidR="002F45E1" w:rsidRPr="00644F20">
        <w:rPr>
          <w:rFonts w:ascii="Times New Roman" w:eastAsia="Calibri" w:hAnsi="Times New Roman" w:cs="Times New Roman"/>
          <w:sz w:val="24"/>
          <w:szCs w:val="24"/>
          <w:lang w:val="sr-Cyrl-CS"/>
        </w:rPr>
        <w:t xml:space="preserve">циљеви према масеном уделу за рециклажу за следеће материјале </w:t>
      </w:r>
    </w:p>
    <w:p w14:paraId="1B4C35F1" w14:textId="77777777" w:rsidR="00497092" w:rsidRPr="00644F20" w:rsidRDefault="002F45E1">
      <w:pPr>
        <w:spacing w:after="0" w:line="276" w:lineRule="auto"/>
        <w:contextualSpacing/>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садржане у амбалажном отпаду до краја 2030. године су: 55% пластике, 30% дрвета, 80% необојених метала, 75% стакла, 85% папира и картона;</w:t>
      </w:r>
    </w:p>
    <w:p w14:paraId="55BE0CB5" w14:textId="77777777" w:rsidR="00F06A5B" w:rsidRPr="00644F20" w:rsidRDefault="00EF1B2A" w:rsidP="00A95345">
      <w:pPr>
        <w:numPr>
          <w:ilvl w:val="0"/>
          <w:numId w:val="24"/>
        </w:numPr>
        <w:spacing w:after="0" w:line="276" w:lineRule="auto"/>
        <w:ind w:left="714" w:hanging="357"/>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заједнички </w:t>
      </w:r>
      <w:r w:rsidR="002F45E1" w:rsidRPr="00644F20">
        <w:rPr>
          <w:rFonts w:ascii="Times New Roman" w:eastAsia="Calibri" w:hAnsi="Times New Roman" w:cs="Times New Roman"/>
          <w:sz w:val="24"/>
          <w:szCs w:val="24"/>
          <w:lang w:val="sr-Cyrl-CS"/>
        </w:rPr>
        <w:t>циљ Е</w:t>
      </w:r>
      <w:r w:rsidR="00F06A5B" w:rsidRPr="00644F20">
        <w:rPr>
          <w:rFonts w:ascii="Times New Roman" w:eastAsia="Calibri" w:hAnsi="Times New Roman" w:cs="Times New Roman"/>
          <w:sz w:val="24"/>
          <w:szCs w:val="24"/>
          <w:lang w:val="sr-Cyrl-CS"/>
        </w:rPr>
        <w:t>вропске уније је</w:t>
      </w:r>
      <w:r w:rsidR="002F45E1" w:rsidRPr="00644F20">
        <w:rPr>
          <w:rFonts w:ascii="Times New Roman" w:eastAsia="Calibri" w:hAnsi="Times New Roman" w:cs="Times New Roman"/>
          <w:sz w:val="24"/>
          <w:szCs w:val="24"/>
          <w:lang w:val="sr-Cyrl-CS"/>
        </w:rPr>
        <w:t xml:space="preserve"> да се количина комуналног отпада одложеног на </w:t>
      </w:r>
    </w:p>
    <w:p w14:paraId="76FA5165" w14:textId="77777777" w:rsidR="00497092" w:rsidRPr="00644F20" w:rsidRDefault="002F45E1">
      <w:pPr>
        <w:spacing w:after="0" w:line="276" w:lineRule="auto"/>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депоније смањи на 10% или мање, од укупне количине (по маси) насталог комуналног отпада, до 2035. године.</w:t>
      </w:r>
    </w:p>
    <w:p w14:paraId="7C118121"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Европским зеленим договором</w:t>
      </w:r>
      <w:r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i/>
          <w:sz w:val="24"/>
          <w:szCs w:val="24"/>
          <w:lang w:val="sr-Cyrl-CS"/>
        </w:rPr>
        <w:t>The European Green Deal</w:t>
      </w:r>
      <w:r w:rsidRPr="00644F20">
        <w:rPr>
          <w:rFonts w:ascii="Times New Roman" w:eastAsia="Calibri" w:hAnsi="Times New Roman" w:cs="Times New Roman"/>
          <w:sz w:val="24"/>
          <w:szCs w:val="24"/>
          <w:lang w:val="sr-Cyrl-CS"/>
        </w:rPr>
        <w:t>,</w:t>
      </w:r>
      <w:r w:rsidRPr="00644F20">
        <w:rPr>
          <w:rFonts w:ascii="Times New Roman" w:eastAsia="Calibri" w:hAnsi="Times New Roman" w:cs="Times New Roman"/>
          <w:i/>
          <w:sz w:val="24"/>
          <w:szCs w:val="24"/>
          <w:lang w:val="sr-Cyrl-CS"/>
        </w:rPr>
        <w:t xml:space="preserve"> </w:t>
      </w:r>
      <w:r w:rsidR="00A95345" w:rsidRPr="00644F20">
        <w:rPr>
          <w:rFonts w:ascii="Times New Roman" w:eastAsia="Calibri" w:hAnsi="Times New Roman" w:cs="Times New Roman"/>
          <w:sz w:val="24"/>
          <w:szCs w:val="24"/>
          <w:lang w:val="sr-Cyrl-CS"/>
        </w:rPr>
        <w:t>COM/2019/640), Европска унија</w:t>
      </w:r>
      <w:r w:rsidRPr="00644F20">
        <w:rPr>
          <w:rFonts w:ascii="Times New Roman" w:eastAsia="Calibri" w:hAnsi="Times New Roman" w:cs="Times New Roman"/>
          <w:sz w:val="24"/>
          <w:szCs w:val="24"/>
          <w:lang w:val="sr-Cyrl-CS"/>
        </w:rPr>
        <w:t xml:space="preserve"> се обавезала на испуњење циљева из Агенде 2030 и Париског споразума. Зелени договор је најављен као најамбициознији пакет мера како би Европа до 2050. године постала први климатски неутралан континент. Достизање циљева овог договора подразумева нову индустријску политику засновану на циркуларној економији. Предвиђено је да се индустрија модернизује и да се развијају нова тржишта за климатски неутралне и циркуларне производе. Оквирним планом Зеленог договора било је предвиђено да се у 2020. години донесе неколико важних стратешких докумената. </w:t>
      </w:r>
    </w:p>
    <w:p w14:paraId="4693CF7D" w14:textId="77777777" w:rsidR="00D64593" w:rsidRPr="00644F20" w:rsidRDefault="00D64593" w:rsidP="00F06A5B">
      <w:pPr>
        <w:spacing w:after="60" w:line="276" w:lineRule="auto"/>
        <w:ind w:firstLine="720"/>
        <w:jc w:val="both"/>
        <w:rPr>
          <w:rFonts w:ascii="Times New Roman" w:eastAsia="Calibri" w:hAnsi="Times New Roman" w:cs="Times New Roman"/>
          <w:sz w:val="24"/>
          <w:szCs w:val="24"/>
          <w:lang w:val="sr-Cyrl-CS"/>
        </w:rPr>
      </w:pPr>
    </w:p>
    <w:p w14:paraId="2F8BDC08"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lastRenderedPageBreak/>
        <w:t>Нова индустријска стратегија за Европу</w:t>
      </w:r>
      <w:r w:rsidRPr="00644F20">
        <w:rPr>
          <w:rFonts w:ascii="Times New Roman" w:hAnsi="Times New Roman" w:cs="Times New Roman"/>
          <w:sz w:val="24"/>
          <w:szCs w:val="24"/>
          <w:lang w:val="sr-Cyrl-CS"/>
        </w:rPr>
        <w:t xml:space="preserve"> (</w:t>
      </w:r>
      <w:r w:rsidRPr="00644F20">
        <w:rPr>
          <w:rFonts w:ascii="Times New Roman" w:eastAsia="Calibri" w:hAnsi="Times New Roman" w:cs="Times New Roman"/>
          <w:sz w:val="24"/>
          <w:szCs w:val="24"/>
          <w:lang w:val="sr-Cyrl-CS"/>
        </w:rPr>
        <w:t>COM/2020/102) даје смернице за развој индустрије као кључног сектора за будући развој и благостање Европе. Новим</w:t>
      </w:r>
      <w:r w:rsidRPr="00644F20">
        <w:rPr>
          <w:rFonts w:ascii="Times New Roman" w:eastAsia="Calibri" w:hAnsi="Times New Roman" w:cs="Times New Roman"/>
          <w:b/>
          <w:sz w:val="24"/>
          <w:szCs w:val="24"/>
          <w:lang w:val="sr-Cyrl-CS"/>
        </w:rPr>
        <w:t xml:space="preserve"> Акционим планом за циркуларну економију-за чистију и конкурентнију Европу</w:t>
      </w:r>
      <w:r w:rsidRPr="00644F20">
        <w:rPr>
          <w:rFonts w:ascii="Times New Roman" w:eastAsia="Calibri" w:hAnsi="Times New Roman" w:cs="Times New Roman"/>
          <w:sz w:val="24"/>
          <w:lang w:val="sr-Cyrl-CS" w:eastAsia="en-GB"/>
        </w:rPr>
        <w:t xml:space="preserve"> (COM/2020/98)</w:t>
      </w:r>
      <w:r w:rsidRPr="00644F20">
        <w:rPr>
          <w:rFonts w:ascii="Times New Roman" w:eastAsia="Calibri" w:hAnsi="Times New Roman" w:cs="Times New Roman"/>
          <w:sz w:val="24"/>
          <w:szCs w:val="24"/>
          <w:lang w:val="sr-Cyrl-CS"/>
        </w:rPr>
        <w:t xml:space="preserve"> представљен је скуп међусобно повезаних иницијатива за успостављање чврстог и усклађеног оквира политике у којем ће одрживи производи, услуге и пословни модели постати стандард, а обрасци потрошње трансформисати тако да не долази до генерисања отпада. Планом се подстиче смањење и поновна употреба материјала пре него рециклажа, предлажу се мере које осигуравају да сва амбалажа у Е</w:t>
      </w:r>
      <w:r w:rsidR="00A95345" w:rsidRPr="00644F20">
        <w:rPr>
          <w:rFonts w:ascii="Times New Roman" w:eastAsia="Calibri" w:hAnsi="Times New Roman" w:cs="Times New Roman"/>
          <w:sz w:val="24"/>
          <w:szCs w:val="24"/>
          <w:lang w:val="sr-Cyrl-CS"/>
        </w:rPr>
        <w:t>вропској унији</w:t>
      </w:r>
      <w:r w:rsidRPr="00644F20">
        <w:rPr>
          <w:rFonts w:ascii="Times New Roman" w:eastAsia="Calibri" w:hAnsi="Times New Roman" w:cs="Times New Roman"/>
          <w:sz w:val="24"/>
          <w:szCs w:val="24"/>
          <w:lang w:val="sr-Cyrl-CS"/>
        </w:rPr>
        <w:t xml:space="preserve"> до 2030. године може да се поновно употреби или рециклира и даје оквир за ограничавање или спречавање стављања одређених по циркуларну економију непожељних  материјала и производа на тржиште Е</w:t>
      </w:r>
      <w:r w:rsidR="00A95345"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w:t>
      </w:r>
    </w:p>
    <w:p w14:paraId="2384EEC8" w14:textId="77777777" w:rsidR="00497092" w:rsidRPr="00644F20" w:rsidRDefault="002F45E1" w:rsidP="00F06A5B">
      <w:pPr>
        <w:spacing w:after="120" w:line="276" w:lineRule="auto"/>
        <w:ind w:firstLine="720"/>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
          <w:sz w:val="24"/>
          <w:szCs w:val="24"/>
          <w:lang w:val="sr-Cyrl-CS"/>
        </w:rPr>
        <w:t>Стратегија за одрживост у области хемикалија</w:t>
      </w:r>
      <w:r w:rsidRPr="00644F20">
        <w:rPr>
          <w:rFonts w:ascii="Times New Roman" w:eastAsia="Calibri" w:hAnsi="Times New Roman" w:cs="Times New Roman"/>
          <w:bCs/>
          <w:sz w:val="24"/>
          <w:szCs w:val="24"/>
          <w:lang w:val="sr-Cyrl-CS"/>
        </w:rPr>
        <w:t xml:space="preserve"> (COM/2020/667) додатно се бави везом између ЕУ прописа о хемикалијама, производима и отпаду и јача синергију са циркуларном економијом. </w:t>
      </w:r>
      <w:r w:rsidR="00F06A5B" w:rsidRPr="00644F20">
        <w:rPr>
          <w:rFonts w:ascii="Times New Roman" w:eastAsia="Calibri" w:hAnsi="Times New Roman" w:cs="Times New Roman"/>
          <w:bCs/>
          <w:sz w:val="24"/>
          <w:szCs w:val="24"/>
          <w:lang w:val="sr-Cyrl-CS"/>
        </w:rPr>
        <w:t>Ова с</w:t>
      </w:r>
      <w:r w:rsidRPr="00644F20">
        <w:rPr>
          <w:rFonts w:ascii="Times New Roman" w:eastAsia="Calibri" w:hAnsi="Times New Roman" w:cs="Times New Roman"/>
          <w:bCs/>
          <w:sz w:val="24"/>
          <w:szCs w:val="24"/>
          <w:lang w:val="sr-Cyrl-CS"/>
        </w:rPr>
        <w:t xml:space="preserve">тратегија је усмерена ка остварењу амбиције нултог загађења животне средине без токсичних материја која је утврђена у Европском зеленом договору. </w:t>
      </w:r>
      <w:r w:rsidR="00F06A5B" w:rsidRPr="00644F20">
        <w:rPr>
          <w:rFonts w:ascii="Times New Roman" w:eastAsia="Calibri" w:hAnsi="Times New Roman" w:cs="Times New Roman"/>
          <w:bCs/>
          <w:sz w:val="24"/>
          <w:szCs w:val="24"/>
          <w:lang w:val="sr-Cyrl-CS"/>
        </w:rPr>
        <w:t>Ова с</w:t>
      </w:r>
      <w:r w:rsidRPr="00644F20">
        <w:rPr>
          <w:rFonts w:ascii="Times New Roman" w:eastAsia="Calibri" w:hAnsi="Times New Roman" w:cs="Times New Roman"/>
          <w:bCs/>
          <w:sz w:val="24"/>
          <w:szCs w:val="24"/>
          <w:lang w:val="sr-Cyrl-CS"/>
        </w:rPr>
        <w:t>тратегија у потпуности препознаје фундаменталну улогу хемикалија за добробит људи и за зелену и дигиталну транзицију европске економије и друштва, али истовремено, истиче хитну потребу за решавањем здравствених и еколошких изазова узрокованих најопаснијим хемикалијама и предлаже активности којима ће се обезбедити боља заштита здравља људи и животне средине и подстаћи иновације у погледу безбедних и одрживих хемикалија.</w:t>
      </w:r>
    </w:p>
    <w:p w14:paraId="3DC93A42" w14:textId="77777777" w:rsidR="00497092" w:rsidRPr="00644F20" w:rsidRDefault="002F45E1" w:rsidP="00F06A5B">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Европска</w:t>
      </w:r>
      <w:r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b/>
          <w:sz w:val="24"/>
          <w:szCs w:val="24"/>
          <w:lang w:val="sr-Cyrl-CS"/>
        </w:rPr>
        <w:t>стратегија за пластику у циркуларној економији</w:t>
      </w:r>
      <w:r w:rsidRPr="00644F20">
        <w:rPr>
          <w:rFonts w:ascii="Times New Roman" w:eastAsia="Calibri" w:hAnsi="Times New Roman" w:cs="Times New Roman"/>
          <w:b/>
          <w:sz w:val="24"/>
          <w:szCs w:val="24"/>
          <w:vertAlign w:val="superscript"/>
          <w:lang w:val="sr-Cyrl-CS"/>
        </w:rPr>
        <w:t xml:space="preserve"> </w:t>
      </w:r>
      <w:r w:rsidRPr="00644F20">
        <w:rPr>
          <w:rFonts w:ascii="Times New Roman" w:eastAsia="Calibri" w:hAnsi="Times New Roman" w:cs="Times New Roman"/>
          <w:sz w:val="24"/>
          <w:szCs w:val="24"/>
          <w:lang w:val="sr-Cyrl-CS"/>
        </w:rPr>
        <w:t xml:space="preserve">(COM/2018/028) према програму до 2030. године подстиче циркуларни приступ којим се даје предност рециклажи амбалаже од пластике. </w:t>
      </w:r>
    </w:p>
    <w:p w14:paraId="6BCCDA61" w14:textId="77777777" w:rsidR="00497092" w:rsidRPr="00644F20" w:rsidRDefault="002F45E1" w:rsidP="00F06A5B">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 xml:space="preserve">Стратегија од ,,њиве до трпезе” </w:t>
      </w:r>
      <w:r w:rsidRPr="00644F20">
        <w:rPr>
          <w:rFonts w:ascii="Times New Roman" w:eastAsia="Calibri" w:hAnsi="Times New Roman" w:cs="Times New Roman"/>
          <w:sz w:val="24"/>
          <w:szCs w:val="24"/>
          <w:lang w:val="sr-Cyrl-CS"/>
        </w:rPr>
        <w:t>(Farm to fork Strategy) (</w:t>
      </w:r>
      <w:r w:rsidRPr="00644F20">
        <w:rPr>
          <w:rFonts w:ascii="Times New Roman" w:hAnsi="Times New Roman" w:cs="Times New Roman"/>
          <w:sz w:val="24"/>
          <w:szCs w:val="24"/>
          <w:lang w:val="sr-Cyrl-CS"/>
        </w:rPr>
        <w:t>COM/2020/381)</w:t>
      </w:r>
      <w:r w:rsidRPr="00644F20">
        <w:rPr>
          <w:rFonts w:ascii="Times New Roman" w:eastAsia="Calibri" w:hAnsi="Times New Roman" w:cs="Times New Roman"/>
          <w:sz w:val="24"/>
          <w:szCs w:val="24"/>
          <w:lang w:val="sr-Cyrl-CS"/>
        </w:rPr>
        <w:t xml:space="preserve"> се свеобухватно бави изазовима одрживог система исхране и препознаје нераскидиве везе између здравих људи, здравих друштава и здраве планете. </w:t>
      </w:r>
      <w:r w:rsidR="00F06A5B" w:rsidRPr="00644F20">
        <w:rPr>
          <w:rFonts w:ascii="Times New Roman" w:eastAsia="Calibri" w:hAnsi="Times New Roman" w:cs="Times New Roman"/>
          <w:sz w:val="24"/>
          <w:szCs w:val="24"/>
          <w:lang w:val="sr-Cyrl-CS"/>
        </w:rPr>
        <w:t>Ова с</w:t>
      </w:r>
      <w:r w:rsidRPr="00644F20">
        <w:rPr>
          <w:rFonts w:ascii="Times New Roman" w:eastAsia="Calibri" w:hAnsi="Times New Roman" w:cs="Times New Roman"/>
          <w:sz w:val="24"/>
          <w:szCs w:val="24"/>
          <w:lang w:val="sr-Cyrl-CS"/>
        </w:rPr>
        <w:t>тратегија се бави одрживом пољопривредом и производњом хране, смањењем настајања отпада од хране, с</w:t>
      </w:r>
      <w:r w:rsidRPr="00644F20">
        <w:rPr>
          <w:rFonts w:ascii="Times New Roman" w:hAnsi="Times New Roman" w:cs="Times New Roman"/>
          <w:sz w:val="24"/>
          <w:szCs w:val="24"/>
          <w:lang w:val="sr-Cyrl-CS"/>
        </w:rPr>
        <w:t>тварањем повољног прехрамбеног окружења које олакшава одабир здраве хране у циљу побољшања здравља и квалитета живота потрошача и помаже друштву да смањи трошкове повезане са здрављем</w:t>
      </w:r>
      <w:r w:rsidRPr="00644F20">
        <w:rPr>
          <w:rFonts w:ascii="Times New Roman" w:eastAsia="Calibri" w:hAnsi="Times New Roman" w:cs="Times New Roman"/>
          <w:sz w:val="24"/>
          <w:szCs w:val="24"/>
          <w:lang w:val="sr-Cyrl-CS"/>
        </w:rPr>
        <w:t xml:space="preserve">.   </w:t>
      </w:r>
    </w:p>
    <w:p w14:paraId="2CE2A45D"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Директивом (ЕУ) 2019/904 о смањењу утицаја одређених пластичних производа на животну средину,</w:t>
      </w:r>
      <w:r w:rsidRPr="00644F20">
        <w:rPr>
          <w:rFonts w:ascii="Times New Roman" w:eastAsia="Calibri" w:hAnsi="Times New Roman" w:cs="Times New Roman"/>
          <w:sz w:val="24"/>
          <w:szCs w:val="24"/>
          <w:lang w:val="sr-Cyrl-CS"/>
        </w:rPr>
        <w:t xml:space="preserve"> ЕУ је показала одлучност да подстакне циркуларни приступ и да предност коришћењу одрживих и нетоксичних производа који се могу поново употребити у односу на пластичне производе за једнократну употребу. За 12 врста пластичних производа предвиђене су различите обавезе: за неке постоји потпуна забрана произ</w:t>
      </w:r>
      <w:r w:rsidR="00644F20">
        <w:rPr>
          <w:rFonts w:ascii="Times New Roman" w:eastAsia="Calibri" w:hAnsi="Times New Roman" w:cs="Times New Roman"/>
          <w:sz w:val="24"/>
          <w:szCs w:val="24"/>
          <w:lang w:val="sr-Cyrl-CS"/>
        </w:rPr>
        <w:t>в</w:t>
      </w:r>
      <w:r w:rsidRPr="00644F20">
        <w:rPr>
          <w:rFonts w:ascii="Times New Roman" w:eastAsia="Calibri" w:hAnsi="Times New Roman" w:cs="Times New Roman"/>
          <w:sz w:val="24"/>
          <w:szCs w:val="24"/>
          <w:lang w:val="sr-Cyrl-CS"/>
        </w:rPr>
        <w:t xml:space="preserve">одње и стављања на тржиште и обавеза проналажења одрживијих алтернатива, док је за неке предвиђена обавеза произвођача да допринесу подизању јавне свести и сакупљању отпада насталих од ових производа.  </w:t>
      </w:r>
    </w:p>
    <w:p w14:paraId="0DC857A2"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Потписивањем </w:t>
      </w:r>
      <w:r w:rsidRPr="00644F20">
        <w:rPr>
          <w:rFonts w:ascii="Times New Roman" w:eastAsia="Calibri" w:hAnsi="Times New Roman" w:cs="Times New Roman"/>
          <w:b/>
          <w:bCs/>
          <w:sz w:val="24"/>
          <w:szCs w:val="24"/>
          <w:lang w:val="sr-Cyrl-CS"/>
        </w:rPr>
        <w:t>Декларације о Зеленој агенди за Западни Балкан</w:t>
      </w:r>
      <w:r w:rsidRPr="00644F20">
        <w:rPr>
          <w:rFonts w:ascii="Times New Roman" w:eastAsia="Calibri" w:hAnsi="Times New Roman" w:cs="Times New Roman"/>
          <w:sz w:val="24"/>
          <w:szCs w:val="24"/>
          <w:lang w:val="sr-Cyrl-CS"/>
        </w:rPr>
        <w:t xml:space="preserve"> на Самиту у Софији 10. новембра 2020. године, </w:t>
      </w:r>
      <w:r w:rsidR="00F06A5B" w:rsidRPr="00644F20">
        <w:rPr>
          <w:rFonts w:ascii="Times New Roman" w:eastAsia="Calibri" w:hAnsi="Times New Roman" w:cs="Times New Roman"/>
          <w:sz w:val="24"/>
          <w:szCs w:val="24"/>
          <w:lang w:val="sr-Cyrl-CS"/>
        </w:rPr>
        <w:t xml:space="preserve">Република </w:t>
      </w:r>
      <w:r w:rsidRPr="00644F20">
        <w:rPr>
          <w:rFonts w:ascii="Times New Roman" w:eastAsia="Calibri" w:hAnsi="Times New Roman" w:cs="Times New Roman"/>
          <w:sz w:val="24"/>
          <w:szCs w:val="24"/>
          <w:lang w:val="sr-Cyrl-CS"/>
        </w:rPr>
        <w:t>Србија се обавезала да ће спроводити препоручене мере у пет области, међу којима је и циркуларна економија, са посебним освртом на отпад, рециклажу, одрживу производњу и ефикасну употребу ресурса. Ова декларација, као и Смернице за спровођење Зелене агенде за Западни Балкан (SWD/2020/ 223) треба да подстакну у земљама Западног Балкана прелазак са традиционалног модела на одрживу економију, док ће само спровођење мера бити подржано од Е</w:t>
      </w:r>
      <w:r w:rsidR="00F06A5B"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xml:space="preserve"> у складу са Економским и инвестиционим планом за Западни Балкан (COM/2020/641).</w:t>
      </w:r>
    </w:p>
    <w:p w14:paraId="59D69F24"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lastRenderedPageBreak/>
        <w:t xml:space="preserve">У октобру 2021. године усвојен је и </w:t>
      </w:r>
      <w:r w:rsidRPr="00644F20">
        <w:rPr>
          <w:rFonts w:ascii="Times New Roman" w:eastAsia="Calibri" w:hAnsi="Times New Roman" w:cs="Times New Roman"/>
          <w:b/>
          <w:sz w:val="24"/>
          <w:szCs w:val="24"/>
          <w:lang w:val="sr-Cyrl-CS"/>
        </w:rPr>
        <w:t>Акциони план за спровођење Зелене агенде за Западни Балкан</w:t>
      </w:r>
      <w:r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bCs/>
          <w:sz w:val="24"/>
          <w:szCs w:val="24"/>
          <w:lang w:val="sr-Cyrl-CS"/>
        </w:rPr>
        <w:t>у којем су предвиђене активности и из области циркуларне економије.</w:t>
      </w:r>
    </w:p>
    <w:p w14:paraId="19A41840" w14:textId="77777777" w:rsidR="00497092" w:rsidRPr="00644F20" w:rsidRDefault="002F45E1">
      <w:pPr>
        <w:keepNext/>
        <w:keepLines/>
        <w:spacing w:before="360" w:after="240"/>
        <w:outlineLvl w:val="1"/>
        <w:rPr>
          <w:rFonts w:ascii="Times New Roman" w:eastAsia="Calibri" w:hAnsi="Times New Roman" w:cstheme="majorBidi"/>
          <w:b/>
          <w:bCs/>
          <w:sz w:val="28"/>
          <w:szCs w:val="28"/>
          <w:lang w:val="sr-Cyrl-CS"/>
        </w:rPr>
      </w:pPr>
      <w:bookmarkStart w:id="5" w:name="_Toc93923058"/>
      <w:r w:rsidRPr="00644F20">
        <w:rPr>
          <w:rFonts w:ascii="Times New Roman" w:eastAsia="Calibri" w:hAnsi="Times New Roman" w:cstheme="majorBidi"/>
          <w:b/>
          <w:bCs/>
          <w:sz w:val="28"/>
          <w:szCs w:val="28"/>
          <w:lang w:val="sr-Cyrl-CS"/>
        </w:rPr>
        <w:t>2.2. Национални оквир јавне политике</w:t>
      </w:r>
      <w:bookmarkEnd w:id="5"/>
    </w:p>
    <w:p w14:paraId="4742FF81"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Република Србија је у процесу придруживања Европској унији и у том смислу је у обавези да усагласи национална стратешка документа и законодавство са европским. </w:t>
      </w:r>
    </w:p>
    <w:p w14:paraId="7050D0CD" w14:textId="77777777" w:rsidR="00497092" w:rsidRPr="00644F20" w:rsidRDefault="002F45E1" w:rsidP="00F06A5B">
      <w:pPr>
        <w:autoSpaceDE w:val="0"/>
        <w:autoSpaceDN w:val="0"/>
        <w:adjustRightInd w:val="0"/>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Стратегија индустријске политике Републике Србије за период од 2021. до 2030. године</w:t>
      </w:r>
      <w:r w:rsidRPr="00644F20">
        <w:rPr>
          <w:rFonts w:ascii="Times New Roman" w:eastAsia="Calibri" w:hAnsi="Times New Roman" w:cs="Times New Roman"/>
          <w:sz w:val="24"/>
          <w:szCs w:val="24"/>
          <w:lang w:val="sr-Cyrl-CS"/>
        </w:rPr>
        <w:t xml:space="preserve"> (,,Службени гласник РС”, број 35/20) има за циљ подизање конкурентности индустрије. Између осталог у стратегији се констатује да се услед примене линеарног модела привређивања у Републици Србији јављају значајни губици у токовима сировина, материјала и производа, који доводе до нерационалне употребе ресурса. Један од посебних циљева (циљ 5) односи се на трансформацију индустрије од линеарног ка циркуларном моделу. Као сектори који у Републици Србији имају највећи потенцијал за примену концепта циркуларне економије идентификовани су прерађивачка индустрија (посебно прехрамбена), грађевинарство, као и примарна пољопривреда. У Акционом плану за спровођење стратегије (,,Службени гласник РС”, број 37/21), у оквиру посебног циља 5 дефинисане су три мере (</w:t>
      </w:r>
      <w:r w:rsidR="00B76CFF" w:rsidRPr="00644F20">
        <w:rPr>
          <w:rFonts w:ascii="Times New Roman" w:eastAsia="Calibri" w:hAnsi="Times New Roman" w:cs="Times New Roman"/>
          <w:sz w:val="24"/>
          <w:szCs w:val="24"/>
          <w:lang w:val="sr-Cyrl-CS"/>
        </w:rPr>
        <w:t>седам</w:t>
      </w:r>
      <w:r w:rsidRPr="00644F20">
        <w:rPr>
          <w:rFonts w:ascii="Times New Roman" w:eastAsia="Calibri" w:hAnsi="Times New Roman" w:cs="Times New Roman"/>
          <w:sz w:val="24"/>
          <w:szCs w:val="24"/>
          <w:lang w:val="sr-Cyrl-CS"/>
        </w:rPr>
        <w:t xml:space="preserve"> активности) које ће се спроводити у наредне три године: 1. Промоција циркуларне економије и едукација привредних субјеката; 2. Подстицање инвестиција у решења циркуларне и нискоугљеничне економије као генераторе раста; 3. Подстицање ефикасније употребе материјалних ресурса и енергетске ефикасности у индустријским процесима. </w:t>
      </w:r>
    </w:p>
    <w:p w14:paraId="6767399D"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Стратегија паметне специјализације у Републици Србији за период 2020. до 2027. године</w:t>
      </w:r>
      <w:r w:rsidRPr="00644F20">
        <w:rPr>
          <w:rFonts w:ascii="Times New Roman" w:eastAsia="Calibri" w:hAnsi="Times New Roman" w:cs="Times New Roman"/>
          <w:sz w:val="24"/>
          <w:szCs w:val="24"/>
          <w:lang w:val="sr-Cyrl-CS"/>
        </w:rPr>
        <w:t xml:space="preserve"> (,,Службени гласник РС”, број 21/20) </w:t>
      </w:r>
      <w:r w:rsidRPr="00644F20">
        <w:rPr>
          <w:rFonts w:ascii="Times New Roman" w:hAnsi="Times New Roman" w:cs="Times New Roman"/>
          <w:sz w:val="24"/>
          <w:szCs w:val="24"/>
          <w:lang w:val="sr-Cyrl-CS"/>
        </w:rPr>
        <w:t>представља документ настао у циљу даљег друштвеног и економског развоја путем подизања конкурентности привреде, привредног раста и напретка друштва кроз повезивање истраживачких, индустријских и иновационих снага и ресурса.</w:t>
      </w:r>
      <w:r w:rsidRPr="00644F20">
        <w:rPr>
          <w:lang w:val="sr-Cyrl-CS"/>
        </w:rPr>
        <w:t xml:space="preserve"> </w:t>
      </w:r>
      <w:r w:rsidRPr="00644F20">
        <w:rPr>
          <w:rFonts w:ascii="Times New Roman" w:eastAsia="Calibri" w:hAnsi="Times New Roman" w:cs="Times New Roman"/>
          <w:sz w:val="24"/>
          <w:szCs w:val="24"/>
          <w:lang w:val="sr-Cyrl-CS"/>
        </w:rPr>
        <w:t>У овом документу идентификоване су приоритетне области у које је потребно даље инвестирати: информационо-комуникационе технологије; храна за будућност; машине и производни процеси будућности и креативне индустрије. У оквиру креативних индустрија један од приоритета који ће бити подржан је развој паметне амбалаже, што подразумева развој зелених материјала (деградабилни, из обновљивих ресурса и др.); развој нових боја и пигмената који ће омогућити прелазак на паметне врсте паковања и развој информационих технологија које се примењују у свим деловима производног процеса. Иновације у овој области су кључне за развој циркуларне економије.</w:t>
      </w:r>
      <w:r w:rsidRPr="00644F20">
        <w:rPr>
          <w:lang w:val="sr-Cyrl-CS"/>
        </w:rPr>
        <w:t xml:space="preserve"> </w:t>
      </w:r>
      <w:r w:rsidRPr="00644F20">
        <w:rPr>
          <w:rFonts w:ascii="Times New Roman" w:eastAsia="Calibri" w:hAnsi="Times New Roman" w:cs="Times New Roman"/>
          <w:sz w:val="24"/>
          <w:szCs w:val="24"/>
          <w:lang w:val="sr-Cyrl-CS"/>
        </w:rPr>
        <w:t>У области производње хране акценат је на комплетном искоришћењу пољопривредних производа тако да се на оптималан начин искористе сви нутријенти, а да се кроз валоризацију отпад смањи на минимум и искористи за добијање различитих производа. Овом стратегијом је обухваћена и дигитализација, као важан алат за циркуларну економију.</w:t>
      </w:r>
    </w:p>
    <w:p w14:paraId="7E1A20A9" w14:textId="77777777" w:rsidR="00497092" w:rsidRPr="00644F20" w:rsidRDefault="002F45E1" w:rsidP="00F06A5B">
      <w:pPr>
        <w:autoSpaceDE w:val="0"/>
        <w:autoSpaceDN w:val="0"/>
        <w:adjustRightInd w:val="0"/>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Принципи циркуларне економије су препознати и у</w:t>
      </w:r>
      <w:r w:rsidRPr="00644F20">
        <w:rPr>
          <w:rFonts w:ascii="Times New Roman" w:eastAsia="Calibri" w:hAnsi="Times New Roman" w:cs="Times New Roman"/>
          <w:b/>
          <w:sz w:val="24"/>
          <w:szCs w:val="24"/>
          <w:lang w:val="sr-Cyrl-CS"/>
        </w:rPr>
        <w:t xml:space="preserve"> Стратегији одрживог урбаног развоја до 2030. године</w:t>
      </w:r>
      <w:r w:rsidRPr="00644F20">
        <w:rPr>
          <w:rFonts w:ascii="Times New Roman" w:eastAsia="Calibri" w:hAnsi="Times New Roman" w:cs="Times New Roman"/>
          <w:sz w:val="24"/>
          <w:szCs w:val="24"/>
          <w:lang w:val="sr-Cyrl-CS"/>
        </w:rPr>
        <w:t xml:space="preserve"> (,,Службени гласник РС”, број  47/19).</w:t>
      </w:r>
      <w:r w:rsidRPr="00644F20">
        <w:rPr>
          <w:rFonts w:ascii="Times New Roman" w:eastAsia="Calibri" w:hAnsi="Times New Roman" w:cs="Times New Roman"/>
          <w:b/>
          <w:sz w:val="24"/>
          <w:szCs w:val="24"/>
          <w:lang w:val="sr-Cyrl-CS"/>
        </w:rPr>
        <w:t xml:space="preserve"> </w:t>
      </w:r>
      <w:r w:rsidRPr="00644F20">
        <w:rPr>
          <w:rFonts w:ascii="Times New Roman" w:eastAsia="Calibri" w:hAnsi="Times New Roman" w:cs="Times New Roman"/>
          <w:sz w:val="24"/>
          <w:szCs w:val="24"/>
          <w:lang w:val="sr-Cyrl-CS"/>
        </w:rPr>
        <w:t xml:space="preserve">Као мере за постизање циљева урбаног развоја, наведене су и мере за ублажавање климатских промена унапређењем квалитета свих параметара животне средине, система управљања отпадом и мере унапређења енергетске ефикасности. У оквиру Пакета мера 1.1: Унапређење услова за локални одрживи економски и урбани развој, ова стратегија дефинише као меру 1.1.1. Иновације и развој нискоугљеничне, ресурсно ефикасне ,,зелене” економије, која је у складу са принципима циркуларне економије. </w:t>
      </w:r>
    </w:p>
    <w:p w14:paraId="4B63F16C" w14:textId="77777777" w:rsidR="00497092" w:rsidRPr="00644F20" w:rsidRDefault="002F45E1" w:rsidP="00F06A5B">
      <w:pPr>
        <w:autoSpaceDE w:val="0"/>
        <w:autoSpaceDN w:val="0"/>
        <w:adjustRightInd w:val="0"/>
        <w:spacing w:after="60" w:line="276" w:lineRule="auto"/>
        <w:ind w:firstLine="720"/>
        <w:jc w:val="both"/>
        <w:rPr>
          <w:rFonts w:ascii="Times New Roman" w:eastAsia="Calibri" w:hAnsi="Times New Roman" w:cs="Times New Roman"/>
          <w:b/>
          <w:sz w:val="24"/>
          <w:szCs w:val="24"/>
          <w:lang w:val="sr-Cyrl-CS"/>
        </w:rPr>
      </w:pPr>
      <w:r w:rsidRPr="00644F20">
        <w:rPr>
          <w:rFonts w:ascii="Times New Roman" w:hAnsi="Times New Roman" w:cs="Times New Roman"/>
          <w:b/>
          <w:sz w:val="24"/>
          <w:szCs w:val="24"/>
          <w:lang w:val="sr-Cyrl-CS"/>
        </w:rPr>
        <w:lastRenderedPageBreak/>
        <w:t xml:space="preserve">Стратегија развоја образовања и васпитања у Републици Србији до 2030. године </w:t>
      </w:r>
      <w:r w:rsidRPr="00644F20">
        <w:rPr>
          <w:rFonts w:ascii="Times New Roman" w:eastAsia="Calibri" w:hAnsi="Times New Roman" w:cs="Times New Roman"/>
          <w:sz w:val="24"/>
          <w:szCs w:val="24"/>
          <w:lang w:val="sr-Cyrl-CS"/>
        </w:rPr>
        <w:t xml:space="preserve">(,,Службени гласник РС”, број 63/21) </w:t>
      </w:r>
      <w:r w:rsidRPr="00644F20">
        <w:rPr>
          <w:rFonts w:ascii="Times New Roman" w:hAnsi="Times New Roman" w:cs="Times New Roman"/>
          <w:sz w:val="24"/>
          <w:szCs w:val="24"/>
          <w:lang w:val="sr-Cyrl-CS"/>
        </w:rPr>
        <w:t xml:space="preserve">поставила је темеље развоја образовања који се односе на повећање квалитета, обухвата релевантност и ефикасност образовања, а ради стварања услова за лични и професионални развој сваког појединца, као и за развој друштва и државе заснованих на знању. </w:t>
      </w:r>
    </w:p>
    <w:p w14:paraId="5431AA27" w14:textId="77777777" w:rsidR="00497092" w:rsidRPr="00644F20" w:rsidRDefault="002F45E1" w:rsidP="00F06A5B">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Доношење Програма развоја циркуларне економије </w:t>
      </w:r>
      <w:r w:rsidR="00F06A5B" w:rsidRPr="00644F20">
        <w:rPr>
          <w:rFonts w:ascii="Times New Roman" w:eastAsia="Calibri" w:hAnsi="Times New Roman" w:cs="Times New Roman"/>
          <w:b/>
          <w:sz w:val="24"/>
          <w:szCs w:val="24"/>
          <w:lang w:val="sr-Cyrl-CS"/>
        </w:rPr>
        <w:t>у Републици Србији за период 2022-2024. године</w:t>
      </w:r>
      <w:r w:rsidR="00F06A5B"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sz w:val="24"/>
          <w:szCs w:val="24"/>
          <w:lang w:val="sr-Cyrl-CS"/>
        </w:rPr>
        <w:t xml:space="preserve">је у складу са </w:t>
      </w:r>
      <w:r w:rsidRPr="00644F20">
        <w:rPr>
          <w:rFonts w:ascii="Times New Roman" w:eastAsia="Calibri" w:hAnsi="Times New Roman" w:cs="Times New Roman"/>
          <w:b/>
          <w:sz w:val="24"/>
          <w:szCs w:val="24"/>
          <w:lang w:val="sr-Cyrl-CS"/>
        </w:rPr>
        <w:t>Програмом економских реформи</w:t>
      </w:r>
      <w:r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b/>
          <w:sz w:val="24"/>
          <w:szCs w:val="24"/>
          <w:lang w:val="sr-Cyrl-CS"/>
        </w:rPr>
        <w:t>за период од 2021. до 2023. године</w:t>
      </w:r>
      <w:r w:rsidRPr="00644F20">
        <w:rPr>
          <w:rFonts w:ascii="Times New Roman" w:eastAsia="Calibri" w:hAnsi="Times New Roman" w:cs="Times New Roman"/>
          <w:sz w:val="24"/>
          <w:szCs w:val="24"/>
          <w:lang w:val="sr-Cyrl-CS"/>
        </w:rPr>
        <w:t>, који представља један од кључних докумената у економском дијалогу између Републике Србије и Е</w:t>
      </w:r>
      <w:r w:rsidR="00A95345"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У овом документу описана је Структурна реформа 8: Увођење концепта циркуларне економије, у оквиру које је једна од планираних активности управо п</w:t>
      </w:r>
      <w:r w:rsidRPr="00644F20">
        <w:rPr>
          <w:rFonts w:ascii="Times New Roman" w:eastAsia="Yu Mincho" w:hAnsi="Times New Roman" w:cs="Times New Roman"/>
          <w:sz w:val="24"/>
          <w:szCs w:val="24"/>
          <w:lang w:val="sr-Cyrl-CS"/>
        </w:rPr>
        <w:t>рипрема и усвајање документа јавне политике за циркуларну економију. Остале планиране активности укључују увођење концепта циркуларне економије у локалне самоуправе и привредне субјекте, као и сарадњу пословног и академског сектора.</w:t>
      </w:r>
    </w:p>
    <w:p w14:paraId="105985EB" w14:textId="77777777" w:rsidR="00497092" w:rsidRPr="00644F20" w:rsidRDefault="002F45E1" w:rsidP="00E52387">
      <w:pPr>
        <w:autoSpaceDE w:val="0"/>
        <w:autoSpaceDN w:val="0"/>
        <w:adjustRightInd w:val="0"/>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У </w:t>
      </w:r>
      <w:r w:rsidRPr="00644F20">
        <w:rPr>
          <w:rFonts w:ascii="Times New Roman" w:eastAsia="Calibri" w:hAnsi="Times New Roman" w:cs="Times New Roman"/>
          <w:b/>
          <w:sz w:val="24"/>
          <w:szCs w:val="24"/>
          <w:lang w:val="sr-Cyrl-CS"/>
        </w:rPr>
        <w:t>Програму развоја јавних набавки у Републици Србији за период 2019-2023. године</w:t>
      </w:r>
      <w:r w:rsidRPr="00644F20">
        <w:rPr>
          <w:rFonts w:ascii="Times New Roman" w:eastAsia="Calibri" w:hAnsi="Times New Roman" w:cs="Times New Roman"/>
          <w:sz w:val="24"/>
          <w:szCs w:val="24"/>
          <w:lang w:val="sr-Cyrl-CS"/>
        </w:rPr>
        <w:t xml:space="preserve"> (,,Службени гласник РС”, број 82/19) један од циљева унапређења система јавних набавки је промовисање и подстицање еколошког и социјалног аспекта у јавним набавкама, што може да допринесе и развоју циркулaрне економије. </w:t>
      </w:r>
    </w:p>
    <w:p w14:paraId="5573437D" w14:textId="77777777" w:rsidR="00497092" w:rsidRPr="00644F20" w:rsidRDefault="002F45E1" w:rsidP="00E52387">
      <w:pPr>
        <w:autoSpaceDE w:val="0"/>
        <w:autoSpaceDN w:val="0"/>
        <w:adjustRightInd w:val="0"/>
        <w:spacing w:after="60" w:line="276" w:lineRule="auto"/>
        <w:ind w:firstLine="720"/>
        <w:jc w:val="both"/>
        <w:rPr>
          <w:rFonts w:ascii="Times New Roman" w:eastAsia="Yu Mincho" w:hAnsi="Times New Roman" w:cs="Times New Roman"/>
          <w:sz w:val="24"/>
          <w:szCs w:val="24"/>
          <w:lang w:val="sr-Cyrl-CS"/>
        </w:rPr>
      </w:pPr>
      <w:r w:rsidRPr="00644F20">
        <w:rPr>
          <w:rFonts w:ascii="Times New Roman" w:eastAsia="Calibri" w:hAnsi="Times New Roman" w:cs="Times New Roman"/>
          <w:b/>
          <w:sz w:val="24"/>
          <w:szCs w:val="24"/>
          <w:lang w:val="sr-Cyrl-CS"/>
        </w:rPr>
        <w:t>Стратегија пољопривреде и руралног развоја Републике Србије за период 2014-2024.</w:t>
      </w:r>
      <w:r w:rsidR="00E52387" w:rsidRPr="00644F20">
        <w:rPr>
          <w:rFonts w:ascii="Times New Roman" w:eastAsia="Calibri" w:hAnsi="Times New Roman" w:cs="Times New Roman"/>
          <w:b/>
          <w:sz w:val="24"/>
          <w:szCs w:val="24"/>
          <w:lang w:val="sr-Cyrl-CS"/>
        </w:rPr>
        <w:t xml:space="preserve"> </w:t>
      </w:r>
      <w:r w:rsidR="00B76CFF" w:rsidRPr="00644F20">
        <w:rPr>
          <w:rFonts w:ascii="Times New Roman" w:eastAsia="Calibri" w:hAnsi="Times New Roman" w:cs="Times New Roman"/>
          <w:b/>
          <w:sz w:val="24"/>
          <w:szCs w:val="24"/>
          <w:lang w:val="sr-Cyrl-CS"/>
        </w:rPr>
        <w:t>године</w:t>
      </w:r>
      <w:r w:rsidRPr="00644F20">
        <w:rPr>
          <w:rFonts w:ascii="Times New Roman" w:eastAsia="Calibri" w:hAnsi="Times New Roman" w:cs="Times New Roman"/>
          <w:b/>
          <w:sz w:val="24"/>
          <w:szCs w:val="24"/>
          <w:lang w:val="sr-Cyrl-CS"/>
        </w:rPr>
        <w:t xml:space="preserve"> </w:t>
      </w:r>
      <w:r w:rsidRPr="00644F20">
        <w:rPr>
          <w:rFonts w:ascii="Times New Roman" w:eastAsia="Calibri" w:hAnsi="Times New Roman" w:cs="Times New Roman"/>
          <w:sz w:val="24"/>
          <w:szCs w:val="24"/>
          <w:lang w:val="sr-Cyrl-CS"/>
        </w:rPr>
        <w:t>(,,Службени гласник РС”, број 85/14)</w:t>
      </w:r>
      <w:r w:rsidRPr="00644F20">
        <w:rPr>
          <w:rFonts w:ascii="Times New Roman" w:eastAsia="Calibri" w:hAnsi="Times New Roman" w:cs="Times New Roman"/>
          <w:b/>
          <w:sz w:val="24"/>
          <w:szCs w:val="24"/>
          <w:lang w:val="sr-Cyrl-CS"/>
        </w:rPr>
        <w:t xml:space="preserve"> </w:t>
      </w:r>
      <w:r w:rsidRPr="00644F20">
        <w:rPr>
          <w:rFonts w:ascii="Times New Roman" w:eastAsia="Calibri" w:hAnsi="Times New Roman" w:cs="Times New Roman"/>
          <w:sz w:val="24"/>
          <w:szCs w:val="24"/>
          <w:lang w:val="sr-Cyrl-CS"/>
        </w:rPr>
        <w:t xml:space="preserve">дефинише циљеве за: постизање </w:t>
      </w:r>
      <w:r w:rsidRPr="00644F20">
        <w:rPr>
          <w:rFonts w:ascii="Times New Roman" w:eastAsia="Yu Mincho" w:hAnsi="Times New Roman" w:cs="Times New Roman"/>
          <w:bCs/>
          <w:sz w:val="24"/>
          <w:szCs w:val="24"/>
          <w:lang w:val="sr-Cyrl-CS"/>
        </w:rPr>
        <w:t>технолошког развоја и модернизације пољопривредне производње и прераде кроз унапређење технологије и ефикаснији систем преношења искуства и иновација;</w:t>
      </w:r>
      <w:r w:rsidRPr="00644F20">
        <w:rPr>
          <w:rFonts w:ascii="Times New Roman" w:eastAsia="Yu Mincho" w:hAnsi="Times New Roman" w:cs="Times New Roman"/>
          <w:sz w:val="24"/>
          <w:szCs w:val="24"/>
          <w:lang w:val="sr-Cyrl-CS"/>
        </w:rPr>
        <w:t xml:space="preserve"> </w:t>
      </w:r>
      <w:r w:rsidRPr="00644F20">
        <w:rPr>
          <w:rFonts w:ascii="Times New Roman" w:eastAsia="Yu Mincho" w:hAnsi="Times New Roman" w:cs="Times New Roman"/>
          <w:bCs/>
          <w:sz w:val="24"/>
          <w:szCs w:val="24"/>
          <w:lang w:val="sr-Cyrl-CS"/>
        </w:rPr>
        <w:t>повећање продуктивности и ефикасности у производњи на свим нивоима у ланцу производње хране;</w:t>
      </w:r>
      <w:r w:rsidRPr="00644F20">
        <w:rPr>
          <w:rFonts w:ascii="Times New Roman" w:eastAsia="Yu Mincho" w:hAnsi="Times New Roman" w:cs="Times New Roman"/>
          <w:sz w:val="24"/>
          <w:szCs w:val="24"/>
          <w:lang w:val="sr-Cyrl-CS"/>
        </w:rPr>
        <w:t xml:space="preserve"> </w:t>
      </w:r>
      <w:r w:rsidRPr="00644F20">
        <w:rPr>
          <w:rFonts w:ascii="Times New Roman" w:eastAsia="Yu Mincho" w:hAnsi="Times New Roman" w:cs="Times New Roman"/>
          <w:bCs/>
          <w:sz w:val="24"/>
          <w:szCs w:val="24"/>
          <w:lang w:val="sr-Cyrl-CS"/>
        </w:rPr>
        <w:t>јачање способности прехрамбене индустрије за креирање производа више додате вредности уз употребу домаћих сировина. Поред тога</w:t>
      </w:r>
      <w:r w:rsidRPr="00644F20">
        <w:rPr>
          <w:rFonts w:ascii="Times New Roman" w:eastAsia="Yu Mincho" w:hAnsi="Times New Roman" w:cs="Times New Roman"/>
          <w:sz w:val="24"/>
          <w:szCs w:val="24"/>
          <w:lang w:val="sr-Cyrl-CS"/>
        </w:rPr>
        <w:t xml:space="preserve"> област заштите и унапређења животне средине и очувања природних ресурса дефинише оперативне циљеве: подизање свести о значају коришћења обновљивих извора енергије и производњи енергетских усева; контролисано управљање отпадом из примарне пољопривредне производње; развој и унапређење система управљања споредним производима прехрамбене индустрије.</w:t>
      </w:r>
    </w:p>
    <w:p w14:paraId="41F0F850" w14:textId="77777777" w:rsidR="00497092" w:rsidRPr="00644F20" w:rsidRDefault="002F45E1" w:rsidP="00E52387">
      <w:pPr>
        <w:autoSpaceDE w:val="0"/>
        <w:autoSpaceDN w:val="0"/>
        <w:adjustRightInd w:val="0"/>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Друга стратешка документа која су усвојена у ранијем периоду</w:t>
      </w:r>
      <w:r w:rsidRPr="00644F20">
        <w:rPr>
          <w:rFonts w:ascii="Times New Roman" w:hAnsi="Times New Roman" w:cs="Times New Roman"/>
          <w:sz w:val="24"/>
          <w:szCs w:val="24"/>
          <w:lang w:val="sr-Cyrl-CS"/>
        </w:rPr>
        <w:t xml:space="preserve"> и чији је период важења истекао, али су принципи и циљеви утврђени тим документима од значаја за остваривање континуитета у планирању приликом израде и утврђивања </w:t>
      </w:r>
      <w:r w:rsidRPr="00644F20">
        <w:rPr>
          <w:rFonts w:ascii="Times New Roman" w:eastAsia="Calibri" w:hAnsi="Times New Roman" w:cs="Times New Roman"/>
          <w:sz w:val="24"/>
          <w:szCs w:val="24"/>
          <w:lang w:val="sr-Cyrl-CS"/>
        </w:rPr>
        <w:t xml:space="preserve">Програма развоја циркуларне економије </w:t>
      </w:r>
      <w:r w:rsidR="00E52387" w:rsidRPr="00644F20">
        <w:rPr>
          <w:rFonts w:ascii="Times New Roman" w:eastAsia="Calibri" w:hAnsi="Times New Roman" w:cs="Times New Roman"/>
          <w:sz w:val="24"/>
          <w:szCs w:val="24"/>
          <w:lang w:val="sr-Cyrl-CS"/>
        </w:rPr>
        <w:t xml:space="preserve">у  </w:t>
      </w:r>
      <w:r w:rsidR="00E52387" w:rsidRPr="00644F20">
        <w:rPr>
          <w:rFonts w:ascii="Times New Roman" w:eastAsia="Calibri" w:hAnsi="Times New Roman" w:cs="Times New Roman"/>
          <w:b/>
          <w:sz w:val="24"/>
          <w:szCs w:val="24"/>
          <w:lang w:val="sr-Cyrl-CS"/>
        </w:rPr>
        <w:t>Републици Србији за период 2022-2024. године</w:t>
      </w:r>
      <w:r w:rsidR="00E52387"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sz w:val="24"/>
          <w:szCs w:val="24"/>
          <w:lang w:val="sr-Cyrl-CS"/>
        </w:rPr>
        <w:t>су</w:t>
      </w:r>
      <w:r w:rsidRPr="00644F20">
        <w:rPr>
          <w:rFonts w:ascii="Times New Roman" w:eastAsia="Calibri" w:hAnsi="Times New Roman" w:cs="Times New Roman"/>
          <w:b/>
          <w:bCs/>
          <w:sz w:val="24"/>
          <w:szCs w:val="24"/>
          <w:lang w:val="sr-Cyrl-CS"/>
        </w:rPr>
        <w:t xml:space="preserve"> </w:t>
      </w:r>
      <w:r w:rsidR="00E52387" w:rsidRPr="00644F20">
        <w:rPr>
          <w:rFonts w:ascii="Times New Roman" w:eastAsia="Calibri" w:hAnsi="Times New Roman" w:cs="Times New Roman"/>
          <w:b/>
          <w:bCs/>
          <w:sz w:val="24"/>
          <w:szCs w:val="24"/>
          <w:lang w:val="sr-Cyrl-CS"/>
        </w:rPr>
        <w:t>Одлука о утврђивању Националнoг</w:t>
      </w:r>
      <w:r w:rsidRPr="00644F20">
        <w:rPr>
          <w:rFonts w:ascii="Times New Roman" w:eastAsia="Calibri" w:hAnsi="Times New Roman" w:cs="Times New Roman"/>
          <w:b/>
          <w:bCs/>
          <w:sz w:val="24"/>
          <w:szCs w:val="24"/>
          <w:lang w:val="sr-Cyrl-CS"/>
        </w:rPr>
        <w:t xml:space="preserve"> програмa заштите животне средине </w:t>
      </w:r>
      <w:r w:rsidRPr="00644F20">
        <w:rPr>
          <w:rFonts w:ascii="Times New Roman" w:eastAsia="Calibri" w:hAnsi="Times New Roman" w:cs="Times New Roman"/>
          <w:bCs/>
          <w:sz w:val="24"/>
          <w:szCs w:val="24"/>
          <w:lang w:val="sr-Cyrl-CS"/>
        </w:rPr>
        <w:t>(,,Службени гласник РС”, број 12/10),</w:t>
      </w:r>
      <w:r w:rsidRPr="00644F20">
        <w:rPr>
          <w:rFonts w:ascii="Times New Roman" w:eastAsia="Calibri" w:hAnsi="Times New Roman" w:cs="Times New Roman"/>
          <w:b/>
          <w:bCs/>
          <w:sz w:val="24"/>
          <w:szCs w:val="24"/>
          <w:lang w:val="sr-Cyrl-CS"/>
        </w:rPr>
        <w:t xml:space="preserve"> Национална стратегија за апроксимацију у области животне средине за Републику Србију </w:t>
      </w:r>
      <w:r w:rsidRPr="00644F20">
        <w:rPr>
          <w:rFonts w:ascii="Times New Roman" w:eastAsia="Calibri" w:hAnsi="Times New Roman" w:cs="Times New Roman"/>
          <w:sz w:val="24"/>
          <w:szCs w:val="24"/>
          <w:lang w:val="sr-Cyrl-CS"/>
        </w:rPr>
        <w:t xml:space="preserve">(,,Службени гласник РС”, број </w:t>
      </w:r>
      <w:r w:rsidRPr="00644F20">
        <w:rPr>
          <w:rFonts w:ascii="Times New Roman" w:eastAsia="Calibri" w:hAnsi="Times New Roman" w:cs="Times New Roman"/>
          <w:bCs/>
          <w:sz w:val="24"/>
          <w:szCs w:val="24"/>
          <w:lang w:val="sr-Cyrl-CS"/>
        </w:rPr>
        <w:t>80/11)</w:t>
      </w:r>
      <w:r w:rsidRPr="00644F20">
        <w:rPr>
          <w:rFonts w:ascii="Times New Roman" w:eastAsia="Calibri" w:hAnsi="Times New Roman" w:cs="Times New Roman"/>
          <w:sz w:val="24"/>
          <w:szCs w:val="24"/>
          <w:lang w:val="sr-Cyrl-CS"/>
        </w:rPr>
        <w:t xml:space="preserve"> и </w:t>
      </w:r>
      <w:r w:rsidRPr="00644F20">
        <w:rPr>
          <w:rFonts w:ascii="Times New Roman" w:eastAsia="Calibri" w:hAnsi="Times New Roman" w:cs="Times New Roman"/>
          <w:b/>
          <w:bCs/>
          <w:sz w:val="24"/>
          <w:szCs w:val="24"/>
          <w:lang w:val="sr-Cyrl-CS"/>
        </w:rPr>
        <w:t xml:space="preserve">Национални програм за усвајање правних тековина Европске уније. </w:t>
      </w:r>
      <w:r w:rsidRPr="00644F20">
        <w:rPr>
          <w:rFonts w:ascii="Times New Roman" w:eastAsia="Calibri" w:hAnsi="Times New Roman" w:cs="Times New Roman"/>
          <w:sz w:val="24"/>
          <w:szCs w:val="24"/>
          <w:lang w:val="sr-Cyrl-CS"/>
        </w:rPr>
        <w:t xml:space="preserve">Такође, у погледу одрживог развоја и чистије производње који су у нераскидивој вези са концептом циркуларне економије, анализиране су и препоруке у оквиру </w:t>
      </w:r>
      <w:r w:rsidRPr="00644F20">
        <w:rPr>
          <w:rFonts w:ascii="Times New Roman" w:eastAsia="Calibri" w:hAnsi="Times New Roman" w:cs="Times New Roman"/>
          <w:b/>
          <w:bCs/>
          <w:sz w:val="24"/>
          <w:szCs w:val="24"/>
          <w:lang w:val="sr-Cyrl-CS"/>
        </w:rPr>
        <w:t xml:space="preserve">Стратегије увођења чистије производње у Републици Србији </w:t>
      </w:r>
      <w:r w:rsidRPr="00644F20">
        <w:rPr>
          <w:rFonts w:ascii="Times New Roman" w:eastAsia="Calibri" w:hAnsi="Times New Roman" w:cs="Times New Roman"/>
          <w:bCs/>
          <w:sz w:val="24"/>
          <w:szCs w:val="24"/>
          <w:lang w:val="sr-Cyrl-CS"/>
        </w:rPr>
        <w:t>(,,Службени гласник РС”, број 17/09)</w:t>
      </w:r>
      <w:r w:rsidRPr="00644F20">
        <w:rPr>
          <w:rFonts w:ascii="Times New Roman" w:eastAsia="Calibri" w:hAnsi="Times New Roman" w:cs="Times New Roman"/>
          <w:sz w:val="24"/>
          <w:szCs w:val="24"/>
          <w:lang w:val="sr-Cyrl-CS"/>
        </w:rPr>
        <w:t xml:space="preserve"> и нацрта </w:t>
      </w:r>
      <w:r w:rsidRPr="00644F20">
        <w:rPr>
          <w:rFonts w:ascii="Times New Roman" w:eastAsia="Calibri" w:hAnsi="Times New Roman" w:cs="Times New Roman"/>
          <w:b/>
          <w:sz w:val="24"/>
          <w:szCs w:val="24"/>
          <w:lang w:val="sr-Cyrl-CS"/>
        </w:rPr>
        <w:t>Програма увођења чистије производње у Републици Србији</w:t>
      </w:r>
      <w:r w:rsidRPr="00644F20">
        <w:rPr>
          <w:rFonts w:ascii="Times New Roman" w:eastAsia="Calibri" w:hAnsi="Times New Roman" w:cs="Times New Roman"/>
          <w:sz w:val="24"/>
          <w:szCs w:val="24"/>
          <w:lang w:val="sr-Cyrl-CS"/>
        </w:rPr>
        <w:t xml:space="preserve">, као и </w:t>
      </w:r>
      <w:r w:rsidRPr="00644F20">
        <w:rPr>
          <w:rFonts w:ascii="Times New Roman" w:eastAsia="Calibri" w:hAnsi="Times New Roman" w:cs="Times New Roman"/>
          <w:b/>
          <w:bCs/>
          <w:sz w:val="24"/>
          <w:szCs w:val="24"/>
          <w:lang w:val="sr-Cyrl-CS"/>
        </w:rPr>
        <w:t xml:space="preserve">Националне стратегије одрживог развоја </w:t>
      </w:r>
      <w:r w:rsidRPr="00644F20">
        <w:rPr>
          <w:rFonts w:ascii="Times New Roman" w:eastAsia="Calibri" w:hAnsi="Times New Roman" w:cs="Times New Roman"/>
          <w:bCs/>
          <w:sz w:val="24"/>
          <w:szCs w:val="24"/>
          <w:lang w:val="sr-Cyrl-CS"/>
        </w:rPr>
        <w:t>(,,Службени гласник РС”, број 57/08)</w:t>
      </w:r>
      <w:r w:rsidRPr="00644F20">
        <w:rPr>
          <w:rFonts w:ascii="Times New Roman" w:eastAsia="Calibri" w:hAnsi="Times New Roman" w:cs="Times New Roman"/>
          <w:sz w:val="24"/>
          <w:szCs w:val="24"/>
          <w:lang w:val="sr-Cyrl-CS"/>
        </w:rPr>
        <w:t xml:space="preserve">.  </w:t>
      </w:r>
    </w:p>
    <w:p w14:paraId="5472F019" w14:textId="77777777" w:rsidR="00E52387" w:rsidRPr="00644F20" w:rsidRDefault="002F45E1" w:rsidP="00E52387">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 xml:space="preserve">Програмом управљања  отпадом у Републици Србији за период 2022-2031. године </w:t>
      </w:r>
      <w:r w:rsidRPr="00644F20">
        <w:rPr>
          <w:rFonts w:ascii="Times New Roman" w:eastAsia="Calibri" w:hAnsi="Times New Roman" w:cs="Times New Roman"/>
          <w:sz w:val="24"/>
          <w:szCs w:val="24"/>
          <w:lang w:val="sr-Cyrl-CS"/>
        </w:rPr>
        <w:t xml:space="preserve">(,,Службени гласник РС”, број 12/22), се утврђују стратешки циљеви за унапређење система управљања отпадом и основна начела којима треба да се руководе сви актери у управљању отпадом за остваривање тих циљева у Републици Србији за период 2022-2031. године. </w:t>
      </w:r>
      <w:r w:rsidR="00E52387" w:rsidRPr="00644F20">
        <w:rPr>
          <w:rFonts w:ascii="Times New Roman" w:eastAsia="Calibri" w:hAnsi="Times New Roman" w:cs="Times New Roman"/>
          <w:sz w:val="24"/>
          <w:szCs w:val="24"/>
          <w:lang w:val="sr-Cyrl-CS"/>
        </w:rPr>
        <w:t xml:space="preserve"> </w:t>
      </w:r>
    </w:p>
    <w:p w14:paraId="5871E385" w14:textId="77777777" w:rsidR="00497092" w:rsidRPr="00644F20" w:rsidRDefault="002F45E1" w:rsidP="00E52387">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lastRenderedPageBreak/>
        <w:t xml:space="preserve">Спровођење овог програма, поред смањења штетног утицаја на животну средину и климатске промене, треба да омогући остваривање предуслова за коришћење отпада у циркуларној економији. Програму управљања отпадом </w:t>
      </w:r>
      <w:r w:rsidR="00E52387" w:rsidRPr="00644F20">
        <w:rPr>
          <w:rFonts w:ascii="Times New Roman" w:eastAsia="Calibri" w:hAnsi="Times New Roman" w:cs="Times New Roman"/>
          <w:sz w:val="24"/>
          <w:szCs w:val="24"/>
          <w:lang w:val="sr-Cyrl-CS"/>
        </w:rPr>
        <w:t xml:space="preserve">у Републици Србији за период 2022-2031. године </w:t>
      </w:r>
      <w:r w:rsidRPr="00644F20">
        <w:rPr>
          <w:rFonts w:ascii="Times New Roman" w:eastAsia="Calibri" w:hAnsi="Times New Roman" w:cs="Times New Roman"/>
          <w:sz w:val="24"/>
          <w:szCs w:val="24"/>
          <w:lang w:val="sr-Cyrl-CS"/>
        </w:rPr>
        <w:t>претходила је Стратегија управљања отпадом за период 2010–2019. године (,,Службени гласник РС”, број 29/10), на основу које су постављени услови за успостављање и развој интегрисаног система управљања отпадом у Р</w:t>
      </w:r>
      <w:r w:rsidR="00E52387" w:rsidRPr="00644F20">
        <w:rPr>
          <w:rFonts w:ascii="Times New Roman" w:eastAsia="Calibri" w:hAnsi="Times New Roman" w:cs="Times New Roman"/>
          <w:sz w:val="24"/>
          <w:szCs w:val="24"/>
          <w:lang w:val="sr-Cyrl-CS"/>
        </w:rPr>
        <w:t xml:space="preserve">епублици </w:t>
      </w:r>
      <w:r w:rsidRPr="00644F20">
        <w:rPr>
          <w:rFonts w:ascii="Times New Roman" w:eastAsia="Calibri" w:hAnsi="Times New Roman" w:cs="Times New Roman"/>
          <w:sz w:val="24"/>
          <w:szCs w:val="24"/>
          <w:lang w:val="sr-Cyrl-CS"/>
        </w:rPr>
        <w:t>С</w:t>
      </w:r>
      <w:r w:rsidR="00E52387" w:rsidRPr="00644F20">
        <w:rPr>
          <w:rFonts w:ascii="Times New Roman" w:eastAsia="Calibri" w:hAnsi="Times New Roman" w:cs="Times New Roman"/>
          <w:sz w:val="24"/>
          <w:szCs w:val="24"/>
          <w:lang w:val="sr-Cyrl-CS"/>
        </w:rPr>
        <w:t>рбији</w:t>
      </w:r>
      <w:r w:rsidRPr="00644F20">
        <w:rPr>
          <w:rFonts w:ascii="Times New Roman" w:eastAsia="Calibri" w:hAnsi="Times New Roman" w:cs="Times New Roman"/>
          <w:sz w:val="24"/>
          <w:szCs w:val="24"/>
          <w:lang w:val="sr-Cyrl-CS"/>
        </w:rPr>
        <w:t>. Напредак у претходном периоду је остварен у усклађивању регулативе у области управљања отпадом са регулативом Е</w:t>
      </w:r>
      <w:r w:rsidR="00A95345"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xml:space="preserve">, на институционалном јачању и постизању регионалних споразума за успостављање заједничког управљања отпадом, као и на изградњи једног броја санитарних депонија. Циљеви постављени </w:t>
      </w:r>
      <w:r w:rsidR="00E52387" w:rsidRPr="00644F20">
        <w:rPr>
          <w:rFonts w:ascii="Times New Roman" w:eastAsia="Calibri" w:hAnsi="Times New Roman" w:cs="Times New Roman"/>
          <w:sz w:val="24"/>
          <w:szCs w:val="24"/>
          <w:lang w:val="sr-Cyrl-CS"/>
        </w:rPr>
        <w:t>овом с</w:t>
      </w:r>
      <w:r w:rsidRPr="00644F20">
        <w:rPr>
          <w:rFonts w:ascii="Times New Roman" w:eastAsia="Calibri" w:hAnsi="Times New Roman" w:cs="Times New Roman"/>
          <w:sz w:val="24"/>
          <w:szCs w:val="24"/>
          <w:lang w:val="sr-Cyrl-CS"/>
        </w:rPr>
        <w:t>тратегијом нису у потпуности остварени, пре свега у обухвату организованим прикупљањем отпада, степену примарне сепарације отпада и рециклажи, изградњи инфраструктуре и престанку одлагања отпада на несанитарне депоније и сметлишта, примени економских инструмената и успостављању одрживог система финансирања управљања отпадом. Како планирани циљеви претходним планским документом нису у потпуности достигнути и како је у међувремену дошло до постављања нових циљева Е</w:t>
      </w:r>
      <w:r w:rsidR="00130D46"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xml:space="preserve"> у области управљања отпадом у оквиру „зелене транзиције” ради преласка на циркуларну економију у</w:t>
      </w:r>
      <w:r w:rsidR="00130D46" w:rsidRPr="00644F20">
        <w:rPr>
          <w:rFonts w:ascii="Times New Roman" w:eastAsia="Calibri" w:hAnsi="Times New Roman" w:cs="Times New Roman"/>
          <w:sz w:val="24"/>
          <w:szCs w:val="24"/>
          <w:lang w:val="sr-Cyrl-CS"/>
        </w:rPr>
        <w:t xml:space="preserve"> Европској унији</w:t>
      </w:r>
      <w:r w:rsidRPr="00644F20">
        <w:rPr>
          <w:rFonts w:ascii="Times New Roman" w:eastAsia="Calibri" w:hAnsi="Times New Roman" w:cs="Times New Roman"/>
          <w:sz w:val="24"/>
          <w:szCs w:val="24"/>
          <w:lang w:val="sr-Cyrl-CS"/>
        </w:rPr>
        <w:t>, постављени су нови циљеви у области управљања отпадом у Републици Србији.</w:t>
      </w:r>
    </w:p>
    <w:p w14:paraId="2432497F" w14:textId="77777777" w:rsidR="00497092" w:rsidRPr="00644F20" w:rsidRDefault="002F45E1" w:rsidP="00E52387">
      <w:pPr>
        <w:spacing w:after="60" w:line="276" w:lineRule="auto"/>
        <w:ind w:firstLine="720"/>
        <w:jc w:val="both"/>
        <w:rPr>
          <w:rFonts w:ascii="Times New Roman" w:eastAsia="Calibri" w:hAnsi="Times New Roman" w:cs="Times New Roman"/>
          <w:strike/>
          <w:sz w:val="24"/>
          <w:szCs w:val="24"/>
          <w:lang w:val="sr-Cyrl-CS"/>
        </w:rPr>
      </w:pPr>
      <w:r w:rsidRPr="00644F20">
        <w:rPr>
          <w:rFonts w:ascii="Times New Roman" w:eastAsia="Calibri" w:hAnsi="Times New Roman" w:cs="Times New Roman"/>
          <w:sz w:val="24"/>
          <w:szCs w:val="24"/>
          <w:lang w:val="sr-Cyrl-CS"/>
        </w:rPr>
        <w:t>С обзиром да је Р</w:t>
      </w:r>
      <w:r w:rsidR="00E52387" w:rsidRPr="00644F20">
        <w:rPr>
          <w:rFonts w:ascii="Times New Roman" w:eastAsia="Calibri" w:hAnsi="Times New Roman" w:cs="Times New Roman"/>
          <w:sz w:val="24"/>
          <w:szCs w:val="24"/>
          <w:lang w:val="sr-Cyrl-CS"/>
        </w:rPr>
        <w:t xml:space="preserve">епублика </w:t>
      </w:r>
      <w:r w:rsidRPr="00644F20">
        <w:rPr>
          <w:rFonts w:ascii="Times New Roman" w:eastAsia="Calibri" w:hAnsi="Times New Roman" w:cs="Times New Roman"/>
          <w:sz w:val="24"/>
          <w:szCs w:val="24"/>
          <w:lang w:val="sr-Cyrl-CS"/>
        </w:rPr>
        <w:t>С</w:t>
      </w:r>
      <w:r w:rsidR="00E52387" w:rsidRPr="00644F20">
        <w:rPr>
          <w:rFonts w:ascii="Times New Roman" w:eastAsia="Calibri" w:hAnsi="Times New Roman" w:cs="Times New Roman"/>
          <w:sz w:val="24"/>
          <w:szCs w:val="24"/>
          <w:lang w:val="sr-Cyrl-CS"/>
        </w:rPr>
        <w:t>рбија</w:t>
      </w:r>
      <w:r w:rsidRPr="00644F20">
        <w:rPr>
          <w:rFonts w:ascii="Times New Roman" w:eastAsia="Calibri" w:hAnsi="Times New Roman" w:cs="Times New Roman"/>
          <w:sz w:val="24"/>
          <w:szCs w:val="24"/>
          <w:lang w:val="sr-Cyrl-CS"/>
        </w:rPr>
        <w:t xml:space="preserve"> опредељења за чланство у Е</w:t>
      </w:r>
      <w:r w:rsidR="00130D46" w:rsidRPr="00644F20">
        <w:rPr>
          <w:rFonts w:ascii="Times New Roman" w:eastAsia="Calibri" w:hAnsi="Times New Roman" w:cs="Times New Roman"/>
          <w:sz w:val="24"/>
          <w:szCs w:val="24"/>
          <w:lang w:val="sr-Cyrl-CS"/>
        </w:rPr>
        <w:t>вропској унији</w:t>
      </w:r>
      <w:r w:rsidRPr="00644F20">
        <w:rPr>
          <w:rFonts w:ascii="Times New Roman" w:eastAsia="Calibri" w:hAnsi="Times New Roman" w:cs="Times New Roman"/>
          <w:sz w:val="24"/>
          <w:szCs w:val="24"/>
          <w:lang w:val="sr-Cyrl-CS"/>
        </w:rPr>
        <w:t xml:space="preserve">, новим документом ће бити обухваћене и директиве из пакета циркуларне економије које су усвојене 2018. године и којима се прописују нови циљеви када је у питању одлагање отпада на депоније, амбалажни отпад, електрични и електронски отпад, батерије и отпадна возила. </w:t>
      </w:r>
    </w:p>
    <w:p w14:paraId="383A615B" w14:textId="77777777" w:rsidR="00497092" w:rsidRPr="00644F20" w:rsidRDefault="002F45E1" w:rsidP="00130D46">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 xml:space="preserve">Стратегија управљања водама на територији Републике Србије до 2034. године </w:t>
      </w:r>
      <w:r w:rsidRPr="00644F20">
        <w:rPr>
          <w:rFonts w:ascii="Times New Roman" w:eastAsia="Calibri" w:hAnsi="Times New Roman" w:cs="Times New Roman"/>
          <w:sz w:val="24"/>
          <w:szCs w:val="24"/>
          <w:lang w:val="sr-Cyrl-CS"/>
        </w:rPr>
        <w:t>(,,Службени гласник РС”, број 3/17)</w:t>
      </w:r>
      <w:r w:rsidR="00130D46" w:rsidRPr="00644F20">
        <w:rPr>
          <w:rFonts w:ascii="Times New Roman" w:eastAsia="Calibri" w:hAnsi="Times New Roman" w:cs="Times New Roman"/>
          <w:sz w:val="24"/>
          <w:szCs w:val="24"/>
          <w:lang w:val="sr-Cyrl-CS"/>
        </w:rPr>
        <w:t>,</w:t>
      </w:r>
      <w:r w:rsidRPr="00644F20">
        <w:rPr>
          <w:rFonts w:ascii="Times New Roman" w:eastAsia="Calibri" w:hAnsi="Times New Roman" w:cs="Times New Roman"/>
          <w:sz w:val="24"/>
          <w:szCs w:val="24"/>
          <w:lang w:val="sr-Cyrl-CS"/>
        </w:rPr>
        <w:t xml:space="preserve"> представља плански документ којим се утврђују дугорочни правци управљања водама на територији Републике Србије. Са аспекта циркуларне економије посебно су важне области снабдевања водом становништва и индустрије, као и управљања отпадним водама. У областима снабдевања водом циљеви ове стратегије су углавном усмерени ка проширењу система водоснабдевања и њиховом унапређењу у погледу расположивости и квалитета воде, остваривању рационалне потрошње воде, кроз едукацију становништва и примену најбољих доступних техника у индустрији, као и остваривање ефикасније наплате, што све доприноси развоју циркуларне економије. У области управљања отпадним водама, између осталог, </w:t>
      </w:r>
      <w:r w:rsidR="00130D46" w:rsidRPr="00644F20">
        <w:rPr>
          <w:rFonts w:ascii="Times New Roman" w:eastAsia="Calibri" w:hAnsi="Times New Roman" w:cs="Times New Roman"/>
          <w:sz w:val="24"/>
          <w:szCs w:val="24"/>
          <w:lang w:val="sr-Cyrl-CS"/>
        </w:rPr>
        <w:t>овом с</w:t>
      </w:r>
      <w:r w:rsidRPr="00644F20">
        <w:rPr>
          <w:rFonts w:ascii="Times New Roman" w:eastAsia="Calibri" w:hAnsi="Times New Roman" w:cs="Times New Roman"/>
          <w:sz w:val="24"/>
          <w:szCs w:val="24"/>
          <w:lang w:val="sr-Cyrl-CS"/>
        </w:rPr>
        <w:t>тратегијом је предвиђена даља изградња канализационих система, доношење неопходних планских и подзаконских аката за заштиту вода од загађивања, као и примена административних мера за стимулисање рециркулације и поновног коришћења воде.</w:t>
      </w:r>
    </w:p>
    <w:p w14:paraId="32B5C031" w14:textId="77777777" w:rsidR="00497092" w:rsidRPr="00644F20" w:rsidRDefault="002F45E1" w:rsidP="00130D46">
      <w:pPr>
        <w:spacing w:after="120" w:line="276" w:lineRule="auto"/>
        <w:ind w:firstLine="720"/>
        <w:jc w:val="both"/>
        <w:rPr>
          <w:rFonts w:ascii="Times New Roman" w:eastAsia="Calibri" w:hAnsi="Times New Roman" w:cs="Times New Roman"/>
          <w:iCs/>
          <w:sz w:val="24"/>
          <w:szCs w:val="24"/>
          <w:lang w:val="sr-Cyrl-CS"/>
        </w:rPr>
      </w:pPr>
      <w:r w:rsidRPr="00644F20">
        <w:rPr>
          <w:rFonts w:ascii="Times New Roman" w:eastAsia="Calibri" w:hAnsi="Times New Roman" w:cs="Times New Roman"/>
          <w:b/>
          <w:sz w:val="24"/>
          <w:szCs w:val="24"/>
          <w:lang w:val="sr-Cyrl-CS"/>
        </w:rPr>
        <w:t xml:space="preserve">Стратегија развоја енергетике Републике Србије до 2025. године са пројекцијама до 2030. године </w:t>
      </w:r>
      <w:r w:rsidRPr="00644F20">
        <w:rPr>
          <w:rFonts w:ascii="Times New Roman" w:eastAsia="Calibri" w:hAnsi="Times New Roman" w:cs="Times New Roman"/>
          <w:sz w:val="24"/>
          <w:szCs w:val="24"/>
          <w:lang w:val="sr-Cyrl-CS"/>
        </w:rPr>
        <w:t xml:space="preserve">(,,Службени гласник РС”, број 101/15) и </w:t>
      </w:r>
      <w:r w:rsidRPr="00644F20">
        <w:rPr>
          <w:rFonts w:ascii="Times New Roman" w:eastAsia="Calibri" w:hAnsi="Times New Roman" w:cs="Times New Roman"/>
          <w:b/>
          <w:sz w:val="24"/>
          <w:szCs w:val="24"/>
          <w:lang w:val="sr-Cyrl-CS"/>
        </w:rPr>
        <w:t>Уредба о утврђивању</w:t>
      </w:r>
      <w:r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b/>
          <w:sz w:val="24"/>
          <w:szCs w:val="24"/>
          <w:lang w:val="sr-Cyrl-CS"/>
        </w:rPr>
        <w:t>Програма остваривања Стратегије развоја енергетике за период од 2017</w:t>
      </w:r>
      <w:r w:rsidR="007F668E" w:rsidRPr="00644F20">
        <w:rPr>
          <w:rFonts w:ascii="Times New Roman" w:eastAsia="Calibri" w:hAnsi="Times New Roman" w:cs="Times New Roman"/>
          <w:b/>
          <w:sz w:val="24"/>
          <w:szCs w:val="24"/>
          <w:lang w:val="sr-Cyrl-CS"/>
        </w:rPr>
        <w:t>.</w:t>
      </w:r>
      <w:r w:rsidRPr="00644F20">
        <w:rPr>
          <w:rFonts w:ascii="Times New Roman" w:eastAsia="Calibri" w:hAnsi="Times New Roman" w:cs="Times New Roman"/>
          <w:b/>
          <w:sz w:val="24"/>
          <w:szCs w:val="24"/>
          <w:lang w:val="sr-Cyrl-CS"/>
        </w:rPr>
        <w:t xml:space="preserve"> до 2023. године</w:t>
      </w:r>
      <w:r w:rsidRPr="00644F20">
        <w:rPr>
          <w:rFonts w:ascii="Times New Roman" w:eastAsia="Calibri" w:hAnsi="Times New Roman" w:cs="Times New Roman"/>
          <w:sz w:val="24"/>
          <w:szCs w:val="24"/>
          <w:lang w:val="sr-Cyrl-CS"/>
        </w:rPr>
        <w:t xml:space="preserve"> (,,Службени гласник РС”, број 104/17) дају основне смернице и правце примене принципа ефикасног коришћења енергије. </w:t>
      </w:r>
    </w:p>
    <w:p w14:paraId="019AF35E" w14:textId="77777777" w:rsidR="00497092" w:rsidRPr="00644F20" w:rsidRDefault="002F45E1" w:rsidP="002E4BF4">
      <w:pPr>
        <w:autoSpaceDE w:val="0"/>
        <w:autoSpaceDN w:val="0"/>
        <w:adjustRightInd w:val="0"/>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 xml:space="preserve">Преговарачка позиција за Поглавље 27 ,,Животна средина и климатске промене”, </w:t>
      </w:r>
      <w:r w:rsidRPr="00644F20">
        <w:rPr>
          <w:rFonts w:ascii="Times New Roman" w:eastAsia="Calibri" w:hAnsi="Times New Roman" w:cs="Times New Roman"/>
          <w:sz w:val="24"/>
          <w:szCs w:val="24"/>
          <w:lang w:val="sr-Cyrl-CS"/>
        </w:rPr>
        <w:t xml:space="preserve">кластер 4, израђена за процес преговора о приступању Републике Србије Европској унији, даје полазне основе за израду и доношење докумената јавних политика у области животне средине. </w:t>
      </w:r>
      <w:r w:rsidRPr="00644F20">
        <w:rPr>
          <w:rFonts w:ascii="Times New Roman" w:eastAsia="Calibri" w:hAnsi="Times New Roman" w:cs="Times New Roman"/>
          <w:sz w:val="24"/>
          <w:szCs w:val="24"/>
          <w:lang w:val="sr-Cyrl-CS"/>
        </w:rPr>
        <w:lastRenderedPageBreak/>
        <w:t xml:space="preserve">Између осталог дефинише и неопходне кораке за усклађивање националне политике и законодавства са новим захтевима које уводи </w:t>
      </w:r>
      <w:r w:rsidRPr="00644F20">
        <w:rPr>
          <w:rFonts w:ascii="Times New Roman" w:eastAsia="Times New Roman" w:hAnsi="Times New Roman" w:cs="Times New Roman"/>
          <w:sz w:val="24"/>
          <w:szCs w:val="24"/>
          <w:lang w:val="sr-Cyrl-CS"/>
        </w:rPr>
        <w:t>ЕУ</w:t>
      </w:r>
      <w:r w:rsidRPr="00644F20">
        <w:rPr>
          <w:rFonts w:ascii="Times New Roman" w:eastAsia="Calibri" w:hAnsi="Times New Roman" w:cs="Times New Roman"/>
          <w:sz w:val="24"/>
          <w:szCs w:val="24"/>
          <w:lang w:val="sr-Cyrl-CS"/>
        </w:rPr>
        <w:t xml:space="preserve"> Пакет циркуларне економије.</w:t>
      </w:r>
    </w:p>
    <w:p w14:paraId="30770F47" w14:textId="77777777" w:rsidR="00497092" w:rsidRPr="00644F20" w:rsidRDefault="002F45E1" w:rsidP="002E4BF4">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У циљу припреме стратешког оквира за циркуларну економију током 2019. </w:t>
      </w:r>
      <w:r w:rsidR="00130D46" w:rsidRPr="00644F20">
        <w:rPr>
          <w:rFonts w:ascii="Times New Roman" w:eastAsia="Calibri" w:hAnsi="Times New Roman" w:cs="Times New Roman"/>
          <w:sz w:val="24"/>
          <w:szCs w:val="24"/>
          <w:lang w:val="sr-Cyrl-CS"/>
        </w:rPr>
        <w:t xml:space="preserve">године </w:t>
      </w:r>
      <w:r w:rsidRPr="00644F20">
        <w:rPr>
          <w:rFonts w:ascii="Times New Roman" w:eastAsia="Calibri" w:hAnsi="Times New Roman" w:cs="Times New Roman"/>
          <w:sz w:val="24"/>
          <w:szCs w:val="24"/>
          <w:lang w:val="sr-Cyrl-CS"/>
        </w:rPr>
        <w:t xml:space="preserve">израђена је </w:t>
      </w:r>
      <w:r w:rsidRPr="00644F20">
        <w:rPr>
          <w:rFonts w:ascii="Times New Roman" w:eastAsia="Calibri" w:hAnsi="Times New Roman" w:cs="Times New Roman"/>
          <w:b/>
          <w:sz w:val="24"/>
          <w:szCs w:val="24"/>
          <w:lang w:val="sr-Cyrl-CS"/>
        </w:rPr>
        <w:t>еx-аnte анализa ефеката за циркуларну економију</w:t>
      </w:r>
      <w:r w:rsidRPr="00644F20">
        <w:rPr>
          <w:rFonts w:ascii="Times New Roman" w:eastAsia="Calibri" w:hAnsi="Times New Roman" w:cs="Times New Roman"/>
          <w:sz w:val="24"/>
          <w:szCs w:val="24"/>
          <w:lang w:val="sr-Cyrl-CS"/>
        </w:rPr>
        <w:t>, у складу са Законом о планском систему Републике Србије и подзаконским актима. Анализом постојећег стања која је спроведена предвиђеном методологијом, констатован је низ потешкоћа за пуну примену концепта циркуларне економије упркос јасно израженом интересу индустрије и шире јавности за успостављањем таквог модела организације привреде. На основу спроведене анализе, закључак је био да је за Републику Србију оправдано да се изради документ јавне политике за</w:t>
      </w:r>
      <w:r w:rsidR="00256587" w:rsidRPr="00644F20">
        <w:rPr>
          <w:rFonts w:ascii="Times New Roman" w:eastAsia="Calibri" w:hAnsi="Times New Roman" w:cs="Times New Roman"/>
          <w:sz w:val="24"/>
          <w:szCs w:val="24"/>
          <w:lang w:val="sr-Cyrl-CS"/>
        </w:rPr>
        <w:t xml:space="preserve"> циркуларну економију, односно </w:t>
      </w:r>
      <w:r w:rsidR="00055EE2" w:rsidRPr="00644F20">
        <w:rPr>
          <w:rFonts w:ascii="Times New Roman" w:eastAsia="Calibri" w:hAnsi="Times New Roman" w:cs="Times New Roman"/>
          <w:sz w:val="24"/>
          <w:szCs w:val="24"/>
          <w:lang w:val="sr-Cyrl-CS"/>
        </w:rPr>
        <w:t>Пр</w:t>
      </w:r>
      <w:r w:rsidRPr="00644F20">
        <w:rPr>
          <w:rFonts w:ascii="Times New Roman" w:eastAsia="Calibri" w:hAnsi="Times New Roman" w:cs="Times New Roman"/>
          <w:sz w:val="24"/>
          <w:szCs w:val="24"/>
          <w:lang w:val="sr-Cyrl-CS"/>
        </w:rPr>
        <w:t>ограм развоја циркуларне економије у Републици Србији</w:t>
      </w:r>
      <w:r w:rsidR="00B644DB" w:rsidRPr="00644F20">
        <w:rPr>
          <w:rFonts w:ascii="Times New Roman" w:eastAsia="Calibri" w:hAnsi="Times New Roman" w:cs="Times New Roman"/>
          <w:sz w:val="24"/>
          <w:szCs w:val="24"/>
          <w:lang w:val="sr-Cyrl-CS"/>
        </w:rPr>
        <w:t xml:space="preserve"> за период 2022-2024. године.</w:t>
      </w:r>
      <w:r w:rsidRPr="00644F20">
        <w:rPr>
          <w:rFonts w:ascii="Times New Roman" w:eastAsia="Calibri" w:hAnsi="Times New Roman" w:cs="Times New Roman"/>
          <w:sz w:val="24"/>
          <w:szCs w:val="24"/>
          <w:lang w:val="sr-Cyrl-CS"/>
        </w:rPr>
        <w:t xml:space="preserve"> Резултати анализе су показали и да су очекивани ефекти од примене одговарајућих мера у области циркуларне економије примарно са позитивним утицајима на животну средину, привреду, економију и друштво у целини.</w:t>
      </w:r>
    </w:p>
    <w:p w14:paraId="6291DE20" w14:textId="77777777" w:rsidR="00497092" w:rsidRPr="00644F20" w:rsidRDefault="002F45E1" w:rsidP="00130D46">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Иако није докумeнт јавне политике, важан документ за промоцију концепта циркуларне економије, који је представљен у мају 2020. године, је </w:t>
      </w:r>
      <w:r w:rsidRPr="00644F20">
        <w:rPr>
          <w:rFonts w:ascii="Times New Roman" w:eastAsia="Calibri" w:hAnsi="Times New Roman" w:cs="Times New Roman"/>
          <w:b/>
          <w:sz w:val="24"/>
          <w:szCs w:val="24"/>
          <w:lang w:val="sr-Cyrl-CS"/>
        </w:rPr>
        <w:t>Мапа пута за циркуларну економију у Србији.</w:t>
      </w:r>
      <w:r w:rsidRPr="00644F20">
        <w:rPr>
          <w:rFonts w:ascii="Times New Roman" w:eastAsia="Calibri" w:hAnsi="Times New Roman" w:cs="Times New Roman"/>
          <w:sz w:val="24"/>
          <w:szCs w:val="24"/>
          <w:lang w:val="sr-Cyrl-CS"/>
        </w:rPr>
        <w:t xml:space="preserve"> Идеја је да Мапа пута </w:t>
      </w:r>
      <w:r w:rsidR="00130D46" w:rsidRPr="00644F20">
        <w:rPr>
          <w:rFonts w:ascii="Times New Roman" w:eastAsia="Calibri" w:hAnsi="Times New Roman" w:cs="Times New Roman"/>
          <w:b/>
          <w:sz w:val="24"/>
          <w:szCs w:val="24"/>
          <w:lang w:val="sr-Cyrl-CS"/>
        </w:rPr>
        <w:t>за циркуларну економију у Србији</w:t>
      </w:r>
      <w:r w:rsidR="00130D46"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sz w:val="24"/>
          <w:szCs w:val="24"/>
          <w:lang w:val="sr-Cyrl-CS"/>
        </w:rPr>
        <w:t>покрене дијалог између доносиоца одлука, представника индустрије, академског сектора и цивилног друштва, као и да подстакне целокупно друштво на системске промене у опхођењу према ресурсима. Изабрани сектори који су анализирани и представљени у документу су: производна индустрија; пољопривреда и храна - вишкови хране и отпад од хране; пластика и амбалажа; грађевински сектор - грађевински отпад. Од посебног значаја су препоруке које су дате за сваки од поменутих сектора, као и примери добре праксе који могу да пруже подршку при</w:t>
      </w:r>
      <w:r w:rsidR="00644F20">
        <w:rPr>
          <w:rFonts w:ascii="Times New Roman" w:eastAsia="Calibri" w:hAnsi="Times New Roman" w:cs="Times New Roman"/>
          <w:sz w:val="24"/>
          <w:szCs w:val="24"/>
          <w:lang w:val="sr-Cyrl-CS"/>
        </w:rPr>
        <w:t>в</w:t>
      </w:r>
      <w:r w:rsidRPr="00644F20">
        <w:rPr>
          <w:rFonts w:ascii="Times New Roman" w:eastAsia="Calibri" w:hAnsi="Times New Roman" w:cs="Times New Roman"/>
          <w:sz w:val="24"/>
          <w:szCs w:val="24"/>
          <w:lang w:val="sr-Cyrl-CS"/>
        </w:rPr>
        <w:t>редним субјектима у примени концепта циркуларне економије. Овај документ је први овакве врсте у региону, а урађен је по узору на оваква д</w:t>
      </w:r>
      <w:r w:rsidR="00672412" w:rsidRPr="00644F20">
        <w:rPr>
          <w:rFonts w:ascii="Times New Roman" w:eastAsia="Calibri" w:hAnsi="Times New Roman" w:cs="Times New Roman"/>
          <w:sz w:val="24"/>
          <w:szCs w:val="24"/>
          <w:lang w:val="sr-Cyrl-CS"/>
        </w:rPr>
        <w:t>окумента земаља Европске уније</w:t>
      </w:r>
      <w:r w:rsidRPr="00644F20">
        <w:rPr>
          <w:rFonts w:ascii="Times New Roman" w:eastAsia="Calibri" w:hAnsi="Times New Roman" w:cs="Times New Roman"/>
          <w:sz w:val="24"/>
          <w:szCs w:val="24"/>
          <w:lang w:val="sr-Cyrl-CS"/>
        </w:rPr>
        <w:t xml:space="preserve"> (Словенија, Финска, Холандија и др). </w:t>
      </w:r>
    </w:p>
    <w:p w14:paraId="110353F9" w14:textId="77777777" w:rsidR="00497092" w:rsidRPr="00644F20" w:rsidRDefault="002F45E1">
      <w:pPr>
        <w:keepNext/>
        <w:keepLines/>
        <w:spacing w:before="360" w:after="240"/>
        <w:outlineLvl w:val="1"/>
        <w:rPr>
          <w:rFonts w:ascii="Times New Roman" w:eastAsia="Calibri" w:hAnsi="Times New Roman" w:cstheme="majorBidi"/>
          <w:b/>
          <w:bCs/>
          <w:sz w:val="28"/>
          <w:szCs w:val="28"/>
          <w:lang w:val="sr-Cyrl-CS"/>
        </w:rPr>
      </w:pPr>
      <w:bookmarkStart w:id="6" w:name="_Toc93923059"/>
      <w:r w:rsidRPr="00644F20">
        <w:rPr>
          <w:rFonts w:ascii="Times New Roman" w:eastAsia="Calibri" w:hAnsi="Times New Roman" w:cstheme="majorBidi"/>
          <w:b/>
          <w:bCs/>
          <w:sz w:val="28"/>
          <w:szCs w:val="28"/>
          <w:lang w:val="sr-Cyrl-CS"/>
        </w:rPr>
        <w:t>2.3. Национални правни оквир</w:t>
      </w:r>
      <w:bookmarkEnd w:id="6"/>
    </w:p>
    <w:p w14:paraId="47B92743" w14:textId="77777777" w:rsidR="00497092" w:rsidRPr="00644F20" w:rsidRDefault="002F45E1" w:rsidP="00130D46">
      <w:pPr>
        <w:autoSpaceDE w:val="0"/>
        <w:autoSpaceDN w:val="0"/>
        <w:adjustRightInd w:val="0"/>
        <w:spacing w:after="60" w:line="276" w:lineRule="auto"/>
        <w:ind w:firstLine="720"/>
        <w:jc w:val="both"/>
        <w:rPr>
          <w:rFonts w:eastAsia="Calibri"/>
          <w:sz w:val="26"/>
          <w:szCs w:val="26"/>
          <w:lang w:val="sr-Cyrl-CS"/>
        </w:rPr>
      </w:pPr>
      <w:r w:rsidRPr="00644F20">
        <w:rPr>
          <w:rFonts w:ascii="Times New Roman" w:eastAsia="Calibri" w:hAnsi="Times New Roman" w:cs="Times New Roman"/>
          <w:sz w:val="24"/>
          <w:szCs w:val="24"/>
          <w:lang w:val="sr-Cyrl-CS"/>
        </w:rPr>
        <w:t xml:space="preserve">Одређени број прописа из различитих области је у вези са елементима и принципима циркуларне економије и на тај начин они креирају амбијент у коме ће се ресурси користити ефикасно, а притисак на животну средину смањити уз истовремени развој економије. </w:t>
      </w:r>
    </w:p>
    <w:p w14:paraId="25240AD6" w14:textId="77777777" w:rsidR="00497092" w:rsidRPr="00644F20" w:rsidRDefault="002F45E1" w:rsidP="00130D46">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 xml:space="preserve">Закон о управљању отпадом </w:t>
      </w:r>
      <w:r w:rsidRPr="00644F20">
        <w:rPr>
          <w:rFonts w:ascii="Times New Roman" w:eastAsia="Calibri" w:hAnsi="Times New Roman" w:cs="Times New Roman"/>
          <w:sz w:val="24"/>
          <w:szCs w:val="24"/>
          <w:lang w:val="sr-Cyrl-CS"/>
        </w:rPr>
        <w:t xml:space="preserve">(,,Службени гласник РС”, бр. 36/09, 88/10, 14/16 и 95/18 - др. закон) уређује област управљања отпадом, кроз обезбеђивање услова за: превенцију настајања отпада, посебно развојем чистијих технологија и рационалним коришћењем природних богатстава, као и отклањање опасности од његовог штетног дејства на здравље људи и животну средину; поновно искоришћење и рециклажу отпада, издвајање секундарних сировина из отпада и коришћење отпада као енергента; развој поступака и метода за одлагање отпада; санацију неуређених одлагалишта отпада; праћење стања постојећих и новоформираних одлагалишта отпада; развијање свести о управљању отпадом. Овај закон је мењан током претходних година како би се делимично усагласио са одредбама европских директива, па је тако у 2016. години створен правни основ за дефинисање испуњености услова за нуспроизвод и престанак статуса отпада (регистар нуспроизвода и регистар отпада који је престао да буде отпад). Ове одредбе су од велике важности за циркуларну економију јер се ствара основа да се отпад прогласи нуспроизводом и да се овим материјалом тргује, што може </w:t>
      </w:r>
      <w:r w:rsidRPr="00644F20">
        <w:rPr>
          <w:rFonts w:ascii="Times New Roman" w:eastAsia="Calibri" w:hAnsi="Times New Roman" w:cs="Times New Roman"/>
          <w:sz w:val="24"/>
          <w:szCs w:val="24"/>
          <w:lang w:val="sr-Cyrl-CS"/>
        </w:rPr>
        <w:lastRenderedPageBreak/>
        <w:t xml:space="preserve">да утиче на повећање одвојеног сакупљања многих фракција отпада које се могу поново искористити.  За примену концепта циркуларне економије важан је и члан 38. </w:t>
      </w:r>
      <w:r w:rsidR="00F24EBC" w:rsidRPr="00644F20">
        <w:rPr>
          <w:rFonts w:ascii="Times New Roman" w:eastAsia="Calibri" w:hAnsi="Times New Roman" w:cs="Times New Roman"/>
          <w:sz w:val="24"/>
          <w:szCs w:val="24"/>
          <w:lang w:val="sr-Cyrl-CS"/>
        </w:rPr>
        <w:t xml:space="preserve">Закона о управљању отпадом </w:t>
      </w:r>
      <w:r w:rsidRPr="00644F20">
        <w:rPr>
          <w:rFonts w:ascii="Times New Roman" w:eastAsia="Calibri" w:hAnsi="Times New Roman" w:cs="Times New Roman"/>
          <w:sz w:val="24"/>
          <w:szCs w:val="24"/>
          <w:lang w:val="sr-Cyrl-CS"/>
        </w:rPr>
        <w:t xml:space="preserve">који се односи на поновну употребу и поновно искоришћење отпада. Прописано је да надлежни орган за управљање отпадом предузима одговарајуће мере за подстицање поновне употребе и припреме за поновну употребу производа, где је то могуће, а нарочито развојем система за репарацију и поновну употребу производа, применом економских инструмената, критеријума при спровођењу поступка јавних набавки и утврђивањем других циљева и мера, као и да предузима мере којима обезбеђује и промовише или унапређује поновно искоришћење отпада. </w:t>
      </w:r>
    </w:p>
    <w:p w14:paraId="72C070E2" w14:textId="77777777" w:rsidR="00497092" w:rsidRPr="00644F20" w:rsidRDefault="002F45E1" w:rsidP="00130D46">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Постојање ових чланова показује да постоји законски основ за примену принципа циркуларне економије и у том смислу потребна је само доследна примена истих.  Преношењем и осталих одредби ЕУ директива из пакета циркуларне економије у национално законодавство створиће се додатни подстицаји за транзицију на циркуларну економију.</w:t>
      </w:r>
    </w:p>
    <w:p w14:paraId="5BB77055" w14:textId="77777777" w:rsidR="00497092" w:rsidRPr="00644F20" w:rsidRDefault="002F45E1" w:rsidP="002E4BF4">
      <w:pPr>
        <w:spacing w:after="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 xml:space="preserve">Закон о амбалажи и амбалажном отпаду </w:t>
      </w:r>
      <w:r w:rsidRPr="00644F20">
        <w:rPr>
          <w:rFonts w:ascii="Times New Roman" w:eastAsia="Calibri" w:hAnsi="Times New Roman" w:cs="Times New Roman"/>
          <w:sz w:val="24"/>
          <w:szCs w:val="24"/>
          <w:lang w:val="sr-Cyrl-CS"/>
        </w:rPr>
        <w:t xml:space="preserve">(,,Службени гласник РС”, бр. 36/09 и 95/18 - др. закон) регулише услове стављања амбалаже на тржиште Републике Србије, начин управљања амбалажним отпадом и обавезу доношења националних циљева, дефинише све субјекте у управљању амбалажом и амбалажним отпадом и заснован је на подели одговорности произвођача, увозника, пакера/пунилаца, дистрибутера, сакупљача, превозника, крајњег снабдевача и крајњег корисника, а дефинише и обавезе извештавања, финансијске и економске инструменте, надзор и казнену политику. За циркулaрну економију важне су одредбе које се односе на специфичне захтеве за поновну употребу амбалаже; специфичне захтеве за амбалажу која је поновно искористива рециклажом материјала; специфичне захтеве за амбалажу која је поновно искористива компостирањем и биоразградњом и специфичне захтеве за амбалажу која је поновно искористива у облику енергије. Такође се прописује обавеза да се амбалажа пројектује тако да након коришћења може да се поново искористи. Циркуларни дизајн је нужан за примену концепта циркуларне економије и у том смислу потребно је даље примењивати иновације у пројектовању одговарајуће амбалаже, као и у врстама материјала који се користе за амбалажу. </w:t>
      </w:r>
    </w:p>
    <w:p w14:paraId="275D4BD1" w14:textId="77777777" w:rsidR="00497092" w:rsidRPr="00644F20" w:rsidRDefault="002F45E1" w:rsidP="002E4BF4">
      <w:pPr>
        <w:spacing w:after="0" w:line="276" w:lineRule="auto"/>
        <w:ind w:firstLine="360"/>
        <w:jc w:val="both"/>
        <w:rPr>
          <w:rFonts w:ascii="Times New Roman" w:eastAsia="Calibri" w:hAnsi="Times New Roman" w:cs="Times New Roman"/>
          <w:iCs/>
          <w:sz w:val="24"/>
          <w:szCs w:val="24"/>
          <w:lang w:val="sr-Cyrl-CS"/>
        </w:rPr>
      </w:pPr>
      <w:r w:rsidRPr="00644F20">
        <w:rPr>
          <w:rFonts w:ascii="Times New Roman" w:eastAsia="Calibri" w:hAnsi="Times New Roman" w:cs="Times New Roman"/>
          <w:iCs/>
          <w:sz w:val="24"/>
          <w:szCs w:val="24"/>
          <w:lang w:val="sr-Cyrl-CS"/>
        </w:rPr>
        <w:t>Важећи подзаконски прописи којима се ближе уређују поменуте области, а који су од значаја у контексту циркуларне економије су:</w:t>
      </w:r>
    </w:p>
    <w:p w14:paraId="413249B9" w14:textId="77777777" w:rsidR="002E4BF4" w:rsidRPr="00644F20" w:rsidRDefault="002F45E1" w:rsidP="002E4BF4">
      <w:pPr>
        <w:pStyle w:val="ListParagraph"/>
        <w:numPr>
          <w:ilvl w:val="0"/>
          <w:numId w:val="4"/>
        </w:numPr>
        <w:spacing w:after="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Правилник о критеријумима за одређивање нуспроизвода и обрасцу извештаја о </w:t>
      </w:r>
    </w:p>
    <w:p w14:paraId="41430BE8" w14:textId="77777777" w:rsidR="00497092" w:rsidRPr="00644F20" w:rsidRDefault="002F45E1" w:rsidP="002E4BF4">
      <w:pPr>
        <w:spacing w:after="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нуспроизводима, начину и роковима за његово достављање (,,Службени гласник РС”, бр. 76/19 и 95/22);</w:t>
      </w:r>
    </w:p>
    <w:p w14:paraId="442CAAFB" w14:textId="77777777" w:rsidR="002E4BF4" w:rsidRPr="00644F20" w:rsidRDefault="002F45E1" w:rsidP="002E4BF4">
      <w:pPr>
        <w:numPr>
          <w:ilvl w:val="0"/>
          <w:numId w:val="4"/>
        </w:numPr>
        <w:spacing w:after="0" w:line="276" w:lineRule="auto"/>
        <w:ind w:left="714" w:hanging="357"/>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Правилник о садржини захтева за упис у Регистар нуспроизвода и Регистар отпада који </w:t>
      </w:r>
    </w:p>
    <w:p w14:paraId="00A84803" w14:textId="77777777" w:rsidR="00497092" w:rsidRPr="00644F20" w:rsidRDefault="002F45E1" w:rsidP="002E4BF4">
      <w:pPr>
        <w:spacing w:after="0" w:line="276" w:lineRule="auto"/>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је престао да буде отпад (,,Службени гласник РС”, бр. 76/19 и 95/22);</w:t>
      </w:r>
    </w:p>
    <w:p w14:paraId="52DF52FC" w14:textId="77777777" w:rsidR="002E4BF4" w:rsidRPr="00644F20" w:rsidRDefault="002F45E1" w:rsidP="002E4BF4">
      <w:pPr>
        <w:pStyle w:val="ListParagraph"/>
        <w:numPr>
          <w:ilvl w:val="0"/>
          <w:numId w:val="4"/>
        </w:numPr>
        <w:spacing w:after="0"/>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Правилник о техничким захтевима и другим посебним критеријумима за поједине </w:t>
      </w:r>
    </w:p>
    <w:p w14:paraId="5C7F7AB8" w14:textId="77777777" w:rsidR="00497092" w:rsidRPr="00644F20" w:rsidRDefault="002F45E1" w:rsidP="002E4BF4">
      <w:pPr>
        <w:spacing w:after="0"/>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врсте отпада који престају да буду отпад (,,Службени гласник РС”, број 78/19).</w:t>
      </w:r>
    </w:p>
    <w:p w14:paraId="2193BCBD" w14:textId="77777777" w:rsidR="00497092" w:rsidRPr="00644F20" w:rsidRDefault="002F45E1" w:rsidP="002E4BF4">
      <w:pPr>
        <w:spacing w:after="0" w:line="276" w:lineRule="auto"/>
        <w:ind w:firstLine="36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Концепт циркуларне економије на пољу управљања водама заснива се на ефикасном коришћењу вода, пречишћавању отпадних токова, рециклирању и поновној употреби вода. Правни основ за управљање и заштиту водама у Републици Србији чине </w:t>
      </w:r>
      <w:r w:rsidRPr="00644F20">
        <w:rPr>
          <w:rFonts w:ascii="Times New Roman" w:eastAsia="Calibri" w:hAnsi="Times New Roman" w:cs="Times New Roman"/>
          <w:b/>
          <w:sz w:val="24"/>
          <w:szCs w:val="24"/>
          <w:lang w:val="sr-Cyrl-CS"/>
        </w:rPr>
        <w:t xml:space="preserve">Закон о водама </w:t>
      </w:r>
      <w:r w:rsidRPr="00644F20">
        <w:rPr>
          <w:rFonts w:ascii="Times New Roman" w:eastAsia="Calibri" w:hAnsi="Times New Roman" w:cs="Times New Roman"/>
          <w:sz w:val="24"/>
          <w:szCs w:val="24"/>
          <w:lang w:val="sr-Cyrl-CS"/>
        </w:rPr>
        <w:t xml:space="preserve">(,,Службени гласник РС”, бр. 30/10, 93/12, 101/16, 95/18 и 95/18 – др.закон) и сет подзаконских аката којима се дефинишу одређени специфични захтеви. Одредбе овог закона односе се на све површинске и подземне воде на територији Републике Србије, укључујући термалне и минералне воде, осим подземних вода из којих се могу добити корисне минералне сировине и геотермална енергија. </w:t>
      </w:r>
      <w:r w:rsidR="00130D46" w:rsidRPr="00644F20">
        <w:rPr>
          <w:rFonts w:ascii="Times New Roman" w:eastAsia="Calibri" w:hAnsi="Times New Roman" w:cs="Times New Roman"/>
          <w:sz w:val="24"/>
          <w:szCs w:val="24"/>
          <w:lang w:val="sr-Cyrl-CS"/>
        </w:rPr>
        <w:t>Овај з</w:t>
      </w:r>
      <w:r w:rsidRPr="00644F20">
        <w:rPr>
          <w:rFonts w:ascii="Times New Roman" w:eastAsia="Calibri" w:hAnsi="Times New Roman" w:cs="Times New Roman"/>
          <w:sz w:val="24"/>
          <w:szCs w:val="24"/>
          <w:lang w:val="sr-Cyrl-CS"/>
        </w:rPr>
        <w:t xml:space="preserve">акон прописује рационално коришћење површинских и </w:t>
      </w:r>
      <w:r w:rsidRPr="00644F20">
        <w:rPr>
          <w:rFonts w:ascii="Times New Roman" w:eastAsia="Calibri" w:hAnsi="Times New Roman" w:cs="Times New Roman"/>
          <w:sz w:val="24"/>
          <w:szCs w:val="24"/>
          <w:lang w:val="sr-Cyrl-CS"/>
        </w:rPr>
        <w:lastRenderedPageBreak/>
        <w:t>подземних вода, праћење статуса водотокова и намеће ограничења по питању емисија загађујућих материја у воде. Најважније одредбе овог закона огледају се у обавезама пречишћавања отпадних вода, мерењу количине захваћених вода, мерењу количине и испитивању квалитета отпадних вода, као и обавезама у погледу контроле исправности објеката и уређаја. Интегрално управљање водама дефинисано овим законом је између осталог засновано на начелу одрживог развоја - по коме коришћење вода мора да буде базирано на дугорочној заштити расположивих водних ресурса, по количини и квалитету, и начелу уважавања најбољих доступних техника, које укључују и технике за ефикасно коришћење воде. Оба начела су комплементарна са концептом циркуларне економије и представљају основ за његов развој, па је с тог аспекта овај закон кључан за увођење циркуларне економије у области управљања водама.</w:t>
      </w:r>
    </w:p>
    <w:p w14:paraId="3BBC549C" w14:textId="77777777" w:rsidR="00497092" w:rsidRPr="00644F20" w:rsidRDefault="002F45E1" w:rsidP="009F738C">
      <w:pPr>
        <w:spacing w:after="120" w:line="276" w:lineRule="auto"/>
        <w:ind w:firstLine="720"/>
        <w:jc w:val="both"/>
        <w:rPr>
          <w:rFonts w:ascii="Times New Roman" w:eastAsia="Calibri" w:hAnsi="Times New Roman" w:cs="Times New Roman"/>
          <w:iCs/>
          <w:sz w:val="24"/>
          <w:szCs w:val="24"/>
          <w:lang w:val="sr-Cyrl-CS"/>
        </w:rPr>
      </w:pPr>
      <w:r w:rsidRPr="00644F20">
        <w:rPr>
          <w:rFonts w:ascii="Times New Roman" w:eastAsia="Calibri" w:hAnsi="Times New Roman" w:cs="Times New Roman"/>
          <w:b/>
          <w:bCs/>
          <w:iCs/>
          <w:sz w:val="24"/>
          <w:szCs w:val="24"/>
          <w:lang w:val="sr-Cyrl-CS"/>
        </w:rPr>
        <w:t>Закон о хемикалијама</w:t>
      </w:r>
      <w:r w:rsidRPr="00644F20">
        <w:rPr>
          <w:rFonts w:ascii="Times New Roman" w:eastAsia="Calibri" w:hAnsi="Times New Roman" w:cs="Times New Roman"/>
          <w:iCs/>
          <w:sz w:val="24"/>
          <w:szCs w:val="24"/>
          <w:lang w:val="sr-Cyrl-CS"/>
        </w:rPr>
        <w:t xml:space="preserve"> (,,Службени гласник РС”, бр. 36/09, 88/10, 92/11, 93/12 и 25/15), је кровни пропис који уређује управљање хемикалијама у Републици Србији, а заснива се на начелу предострожности и начелу да произвођач, увозник или даљи корисник производи, ставља у промет и користи хемикалије тако да нема непожељних ефеката по здравље људи и животну средину. Овај закон, заједно са подзаконским актима, усаглашен је са REACH (Уредбa 1907/2006/ЕЗ) и другим ЕУ прописима у области хемикалија, укључујући и одредбе које се односе на класификацију и комуникацију опасности од хемикалија. </w:t>
      </w:r>
      <w:r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iCs/>
          <w:sz w:val="24"/>
          <w:szCs w:val="24"/>
          <w:lang w:val="sr-Cyrl-CS"/>
        </w:rPr>
        <w:t>У погледу одредби које се односе на најопасније хемикалије, прописана су</w:t>
      </w:r>
      <w:r w:rsidRPr="00644F20">
        <w:rPr>
          <w:rFonts w:ascii="Times New Roman" w:eastAsia="Calibri" w:hAnsi="Times New Roman" w:cs="Times New Roman"/>
          <w:b/>
          <w:bCs/>
          <w:iCs/>
          <w:sz w:val="24"/>
          <w:szCs w:val="24"/>
          <w:lang w:val="sr-Cyrl-CS"/>
        </w:rPr>
        <w:t xml:space="preserve"> </w:t>
      </w:r>
      <w:r w:rsidRPr="00644F20">
        <w:rPr>
          <w:rFonts w:ascii="Times New Roman" w:eastAsia="Calibri" w:hAnsi="Times New Roman" w:cs="Times New Roman"/>
          <w:bCs/>
          <w:iCs/>
          <w:sz w:val="24"/>
          <w:szCs w:val="24"/>
          <w:lang w:val="sr-Cyrl-CS"/>
        </w:rPr>
        <w:t>ограничења</w:t>
      </w:r>
      <w:r w:rsidRPr="00644F20">
        <w:rPr>
          <w:rFonts w:ascii="Times New Roman" w:eastAsia="Calibri" w:hAnsi="Times New Roman" w:cs="Times New Roman"/>
          <w:iCs/>
          <w:sz w:val="24"/>
          <w:szCs w:val="24"/>
          <w:lang w:val="sr-Cyrl-CS"/>
        </w:rPr>
        <w:t xml:space="preserve"> </w:t>
      </w:r>
      <w:r w:rsidRPr="00644F20">
        <w:rPr>
          <w:rFonts w:ascii="Times New Roman" w:eastAsia="Calibri" w:hAnsi="Times New Roman" w:cs="Times New Roman"/>
          <w:bCs/>
          <w:iCs/>
          <w:sz w:val="24"/>
          <w:szCs w:val="24"/>
          <w:lang w:val="sr-Cyrl-CS"/>
        </w:rPr>
        <w:t>и забране</w:t>
      </w:r>
      <w:r w:rsidRPr="00644F20">
        <w:rPr>
          <w:rFonts w:ascii="Times New Roman" w:eastAsia="Calibri" w:hAnsi="Times New Roman" w:cs="Times New Roman"/>
          <w:b/>
          <w:bCs/>
          <w:iCs/>
          <w:sz w:val="24"/>
          <w:szCs w:val="24"/>
          <w:lang w:val="sr-Cyrl-CS"/>
        </w:rPr>
        <w:t xml:space="preserve"> </w:t>
      </w:r>
      <w:r w:rsidRPr="00644F20">
        <w:rPr>
          <w:rFonts w:ascii="Times New Roman" w:eastAsia="Calibri" w:hAnsi="Times New Roman" w:cs="Times New Roman"/>
          <w:iCs/>
          <w:sz w:val="24"/>
          <w:szCs w:val="24"/>
          <w:lang w:val="sr-Cyrl-CS"/>
        </w:rPr>
        <w:t xml:space="preserve">које се односе на њихову производњу, стављање у промет и коришћење, укључујући и листу забрањених и ограничених POPs супстанци које су обухваћене Стокхолмском конвенцијом. Такође, транспоноване су листа </w:t>
      </w:r>
      <w:r w:rsidRPr="00644F20">
        <w:rPr>
          <w:rFonts w:ascii="Times New Roman" w:eastAsia="Calibri" w:hAnsi="Times New Roman" w:cs="Times New Roman"/>
          <w:b/>
          <w:bCs/>
          <w:iCs/>
          <w:sz w:val="24"/>
          <w:szCs w:val="24"/>
          <w:lang w:val="sr-Cyrl-CS"/>
        </w:rPr>
        <w:t>супстанци које изазивају забринутост (</w:t>
      </w:r>
      <w:r w:rsidRPr="00644F20">
        <w:rPr>
          <w:rFonts w:ascii="Times New Roman" w:eastAsia="Calibri" w:hAnsi="Times New Roman" w:cs="Times New Roman"/>
          <w:b/>
          <w:bCs/>
          <w:i/>
          <w:iCs/>
          <w:sz w:val="24"/>
          <w:szCs w:val="24"/>
          <w:lang w:val="sr-Cyrl-CS"/>
        </w:rPr>
        <w:t>Substances of Very High Concern - SVHC</w:t>
      </w:r>
      <w:r w:rsidRPr="00644F20">
        <w:rPr>
          <w:rFonts w:ascii="Times New Roman" w:eastAsia="Calibri" w:hAnsi="Times New Roman" w:cs="Times New Roman"/>
          <w:b/>
          <w:bCs/>
          <w:iCs/>
          <w:sz w:val="24"/>
          <w:szCs w:val="24"/>
          <w:lang w:val="sr-Cyrl-CS"/>
        </w:rPr>
        <w:t>),</w:t>
      </w:r>
      <w:r w:rsidRPr="00644F20">
        <w:rPr>
          <w:rFonts w:ascii="Times New Roman" w:eastAsia="Calibri" w:hAnsi="Times New Roman" w:cs="Times New Roman"/>
          <w:iCs/>
          <w:sz w:val="24"/>
          <w:szCs w:val="24"/>
          <w:lang w:val="sr-Cyrl-CS"/>
        </w:rPr>
        <w:t xml:space="preserve"> </w:t>
      </w:r>
      <w:r w:rsidRPr="00644F20">
        <w:rPr>
          <w:rFonts w:ascii="Times New Roman" w:eastAsia="Calibri" w:hAnsi="Times New Roman" w:cs="Times New Roman"/>
          <w:b/>
          <w:bCs/>
          <w:iCs/>
          <w:sz w:val="24"/>
          <w:szCs w:val="24"/>
          <w:lang w:val="sr-Cyrl-CS"/>
        </w:rPr>
        <w:t xml:space="preserve">као и листа супстанци кандидата за листу SVHC, </w:t>
      </w:r>
      <w:r w:rsidRPr="00644F20">
        <w:rPr>
          <w:rFonts w:ascii="Times New Roman" w:eastAsia="Calibri" w:hAnsi="Times New Roman" w:cs="Times New Roman"/>
          <w:iCs/>
          <w:sz w:val="24"/>
          <w:szCs w:val="24"/>
          <w:lang w:val="sr-Cyrl-CS"/>
        </w:rPr>
        <w:t>а свима у ланцу снабдевања, укључујући и крајње потрошаче дато је</w:t>
      </w:r>
      <w:r w:rsidRPr="00644F20">
        <w:rPr>
          <w:rFonts w:ascii="Times New Roman" w:eastAsia="Calibri" w:hAnsi="Times New Roman" w:cs="Times New Roman"/>
          <w:b/>
          <w:bCs/>
          <w:iCs/>
          <w:sz w:val="24"/>
          <w:szCs w:val="24"/>
          <w:lang w:val="sr-Cyrl-CS"/>
        </w:rPr>
        <w:t xml:space="preserve"> </w:t>
      </w:r>
      <w:r w:rsidRPr="00644F20">
        <w:rPr>
          <w:rFonts w:ascii="Times New Roman" w:eastAsia="Calibri" w:hAnsi="Times New Roman" w:cs="Times New Roman"/>
          <w:bCs/>
          <w:iCs/>
          <w:sz w:val="24"/>
          <w:szCs w:val="24"/>
          <w:lang w:val="sr-Cyrl-CS"/>
        </w:rPr>
        <w:t>право на информацију о евентуалном присуству оваквих супстанци у производима</w:t>
      </w:r>
      <w:r w:rsidRPr="00644F20">
        <w:rPr>
          <w:rFonts w:ascii="Times New Roman" w:eastAsia="Calibri" w:hAnsi="Times New Roman" w:cs="Times New Roman"/>
          <w:iCs/>
          <w:sz w:val="24"/>
          <w:szCs w:val="24"/>
          <w:lang w:val="sr-Cyrl-CS"/>
        </w:rPr>
        <w:t xml:space="preserve">. Такође, у складу са овим законом </w:t>
      </w:r>
      <w:r w:rsidR="001B6E66" w:rsidRPr="00644F20">
        <w:rPr>
          <w:rFonts w:ascii="Times New Roman" w:eastAsia="Calibri" w:hAnsi="Times New Roman" w:cs="Times New Roman"/>
          <w:iCs/>
          <w:sz w:val="24"/>
          <w:szCs w:val="24"/>
          <w:lang w:val="sr-Cyrl-CS"/>
        </w:rPr>
        <w:t>МЗЖС</w:t>
      </w:r>
      <w:r w:rsidRPr="00644F20">
        <w:rPr>
          <w:rFonts w:ascii="Times New Roman" w:eastAsia="Calibri" w:hAnsi="Times New Roman" w:cs="Times New Roman"/>
          <w:iCs/>
          <w:sz w:val="24"/>
          <w:szCs w:val="24"/>
          <w:lang w:val="sr-Cyrl-CS"/>
        </w:rPr>
        <w:t xml:space="preserve"> води Регистар хемикалија које се производе или увозе на тржиште Републике Србије и спроводи поступке у вези увоза и извоза одређених опасних хемикалија које су обухваћене Ротердамском конвенцијом.</w:t>
      </w:r>
    </w:p>
    <w:p w14:paraId="4306B61E" w14:textId="77777777" w:rsidR="00497092" w:rsidRPr="00644F20" w:rsidRDefault="002F45E1" w:rsidP="002E4BF4">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Када је у питању препознавање идеје циркуларне економије у енергетици, концепт се заснива на уређењу области управљања енергијом, повећања енергетске ефикасности и коришћења обновљивих извора енергије за енергетске и неенергетске сврхе.</w:t>
      </w:r>
    </w:p>
    <w:p w14:paraId="738587BE" w14:textId="77777777" w:rsidR="00497092" w:rsidRPr="00644F20" w:rsidRDefault="002F45E1" w:rsidP="009F738C">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Законом о енергетици</w:t>
      </w:r>
      <w:r w:rsidRPr="00644F20">
        <w:rPr>
          <w:rFonts w:ascii="Times New Roman" w:eastAsia="Calibri" w:hAnsi="Times New Roman" w:cs="Times New Roman"/>
          <w:sz w:val="24"/>
          <w:szCs w:val="24"/>
          <w:lang w:val="sr-Cyrl-CS"/>
        </w:rPr>
        <w:t xml:space="preserve"> (,,Службени гласник РС”, бр. 145/14, 95/18 – др. закон и 40/21) утврђени су дугорочни циљеви у области енергетике, као и обезбеђивање услова за унапређење енергетске ефикасности и повећања употребе обновљивих извора енергије у обављању енергетских делатности и потрошњи енергије. Овим законом су препознати главни актери у области енергетике, као и успостављени принципи који дефинишу њихове дужности, а које су детаљније прописане законима којимa се уређују обновљиви извори енергије, као и енергетска ефикасност. </w:t>
      </w:r>
      <w:r w:rsidR="008177CB" w:rsidRPr="00644F20">
        <w:rPr>
          <w:rFonts w:ascii="Times New Roman" w:eastAsia="Calibri" w:hAnsi="Times New Roman" w:cs="Times New Roman"/>
          <w:sz w:val="24"/>
          <w:szCs w:val="24"/>
          <w:lang w:val="sr-Cyrl-CS"/>
        </w:rPr>
        <w:t xml:space="preserve">Овим законом </w:t>
      </w:r>
      <w:r w:rsidRPr="00644F20">
        <w:rPr>
          <w:rFonts w:ascii="Times New Roman" w:eastAsia="Calibri" w:hAnsi="Times New Roman" w:cs="Times New Roman"/>
          <w:sz w:val="24"/>
          <w:szCs w:val="24"/>
          <w:lang w:val="sr-Cyrl-CS"/>
        </w:rPr>
        <w:t>се омогућава стварање услова за поуздан и безбедан рад и одрживи развој енергетских система.</w:t>
      </w:r>
    </w:p>
    <w:p w14:paraId="64B584F9" w14:textId="77777777" w:rsidR="00497092" w:rsidRPr="00644F20" w:rsidRDefault="002F45E1" w:rsidP="009F738C">
      <w:pPr>
        <w:spacing w:after="60" w:line="276" w:lineRule="auto"/>
        <w:ind w:firstLine="720"/>
        <w:jc w:val="both"/>
        <w:rPr>
          <w:rFonts w:ascii="Times New Roman" w:eastAsia="Calibri" w:hAnsi="Times New Roman" w:cs="Times New Roman"/>
          <w:sz w:val="24"/>
          <w:szCs w:val="24"/>
          <w:shd w:val="clear" w:color="auto" w:fill="FFFFFF"/>
          <w:lang w:val="sr-Cyrl-CS"/>
        </w:rPr>
      </w:pPr>
      <w:r w:rsidRPr="00644F20">
        <w:rPr>
          <w:rFonts w:ascii="Times New Roman" w:eastAsia="Calibri" w:hAnsi="Times New Roman" w:cs="Times New Roman"/>
          <w:b/>
          <w:sz w:val="24"/>
          <w:szCs w:val="24"/>
          <w:shd w:val="clear" w:color="auto" w:fill="FFFFFF"/>
          <w:lang w:val="sr-Cyrl-CS"/>
        </w:rPr>
        <w:t xml:space="preserve">Законом </w:t>
      </w:r>
      <w:r w:rsidRPr="00644F20">
        <w:rPr>
          <w:rFonts w:ascii="Times New Roman" w:eastAsia="Calibri" w:hAnsi="Times New Roman" w:cs="Times New Roman"/>
          <w:b/>
          <w:sz w:val="24"/>
          <w:szCs w:val="24"/>
          <w:lang w:val="sr-Cyrl-CS"/>
        </w:rPr>
        <w:t xml:space="preserve">о коришћењу обновљивих извора енергије </w:t>
      </w:r>
      <w:r w:rsidRPr="00644F20">
        <w:rPr>
          <w:rFonts w:ascii="Times New Roman" w:eastAsia="Calibri" w:hAnsi="Times New Roman" w:cs="Times New Roman"/>
          <w:sz w:val="24"/>
          <w:szCs w:val="24"/>
          <w:lang w:val="sr-Cyrl-CS"/>
        </w:rPr>
        <w:t>(,,Службени гласник РС”, број 40/21)</w:t>
      </w:r>
      <w:r w:rsidRPr="00644F20">
        <w:rPr>
          <w:rFonts w:ascii="Times New Roman" w:eastAsia="Calibri" w:hAnsi="Times New Roman" w:cs="Times New Roman"/>
          <w:sz w:val="24"/>
          <w:szCs w:val="24"/>
          <w:shd w:val="clear" w:color="auto" w:fill="FFFFFF"/>
          <w:lang w:val="sr-Cyrl-CS"/>
        </w:rPr>
        <w:t xml:space="preserve"> уређује се коришћење енергије и дефинишу циљеви из обновљивих извора, начин одређивања удела обновљивих извора енергије Републике Србије у бруто финалној потрошњи енергије, интеграција енергије из обновљивих извора на тржиште, системи подстицаја производње електричне енер</w:t>
      </w:r>
      <w:r w:rsidR="00C5632C" w:rsidRPr="00644F20">
        <w:rPr>
          <w:rFonts w:ascii="Times New Roman" w:eastAsia="Calibri" w:hAnsi="Times New Roman" w:cs="Times New Roman"/>
          <w:sz w:val="24"/>
          <w:szCs w:val="24"/>
          <w:shd w:val="clear" w:color="auto" w:fill="FFFFFF"/>
          <w:lang w:val="sr-Cyrl-CS"/>
        </w:rPr>
        <w:t xml:space="preserve">гије из обновљивих извора итд. </w:t>
      </w:r>
      <w:r w:rsidRPr="00644F20">
        <w:rPr>
          <w:rFonts w:ascii="Times New Roman" w:eastAsia="Calibri" w:hAnsi="Times New Roman" w:cs="Times New Roman"/>
          <w:sz w:val="24"/>
          <w:szCs w:val="24"/>
          <w:shd w:val="clear" w:color="auto" w:fill="FFFFFF"/>
          <w:lang w:val="sr-Cyrl-CS"/>
        </w:rPr>
        <w:t xml:space="preserve">Неки од најзначајнијих циљева </w:t>
      </w:r>
      <w:r w:rsidRPr="00644F20">
        <w:rPr>
          <w:rFonts w:ascii="Times New Roman" w:eastAsia="Calibri" w:hAnsi="Times New Roman" w:cs="Times New Roman"/>
          <w:sz w:val="24"/>
          <w:szCs w:val="24"/>
          <w:shd w:val="clear" w:color="auto" w:fill="FFFFFF"/>
          <w:lang w:val="sr-Cyrl-CS"/>
        </w:rPr>
        <w:lastRenderedPageBreak/>
        <w:t>овог закона су у потпуности у складу са принципима циркуларне економије, као што су смањење употребе фосилних горива и повећањe коришћења обновљивих извора енергије у циљу заштите животне средине и подстицањe истраживања, иновација и конкурентности у области коришћења обновљивих извора енергије.</w:t>
      </w:r>
    </w:p>
    <w:p w14:paraId="22BB3587" w14:textId="77777777" w:rsidR="00497092" w:rsidRPr="00644F20" w:rsidRDefault="002F45E1" w:rsidP="002E4BF4">
      <w:pPr>
        <w:spacing w:after="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Законом о енергетској ефикасности и рационалној употреби енергије</w:t>
      </w:r>
      <w:r w:rsidRPr="00644F20">
        <w:rPr>
          <w:rFonts w:ascii="Times New Roman" w:eastAsia="Calibri" w:hAnsi="Times New Roman" w:cs="Times New Roman"/>
          <w:sz w:val="24"/>
          <w:szCs w:val="24"/>
          <w:shd w:val="clear" w:color="auto" w:fill="FFFFFF"/>
          <w:lang w:val="sr-Cyrl-CS"/>
        </w:rPr>
        <w:t xml:space="preserve"> (,,Службени гласник РС”, број 40/21) уређују се услови и начин ефикасног коришћења енергије и енергената, политика ефикасног коришћења енергије; систем енергетског менаџмента; мере политике енергетске ефикасности; енергетско означавање и захтеви у погледу еко-дизајна; финансирање, подстицајне и друге мере, као и друга питања од значаја у вези са ефикасним коришћењем енергије.</w:t>
      </w:r>
    </w:p>
    <w:p w14:paraId="03013332" w14:textId="77777777" w:rsidR="00497092" w:rsidRPr="00644F20" w:rsidRDefault="002F45E1" w:rsidP="002E4BF4">
      <w:pPr>
        <w:spacing w:after="0" w:line="276" w:lineRule="auto"/>
        <w:ind w:firstLine="720"/>
        <w:jc w:val="both"/>
        <w:rPr>
          <w:rFonts w:ascii="Times New Roman" w:eastAsia="Calibri" w:hAnsi="Times New Roman" w:cs="Times New Roman"/>
          <w:iCs/>
          <w:sz w:val="24"/>
          <w:szCs w:val="24"/>
          <w:lang w:val="sr-Cyrl-CS"/>
        </w:rPr>
      </w:pPr>
      <w:r w:rsidRPr="00644F20">
        <w:rPr>
          <w:rFonts w:ascii="Times New Roman" w:eastAsia="Calibri" w:hAnsi="Times New Roman" w:cs="Times New Roman"/>
          <w:iCs/>
          <w:sz w:val="24"/>
          <w:szCs w:val="24"/>
          <w:lang w:val="sr-Cyrl-CS"/>
        </w:rPr>
        <w:t>У наставку је дат преглед најважнијих подзаконских прописа којима се ближе уређује област енергетске ефикасности, а који су од значаја у контексту циркуларне економије:</w:t>
      </w:r>
    </w:p>
    <w:p w14:paraId="6015ACA6" w14:textId="77777777" w:rsidR="00497092" w:rsidRPr="00644F20" w:rsidRDefault="00745073" w:rsidP="002E4BF4">
      <w:pPr>
        <w:spacing w:after="0" w:line="276" w:lineRule="auto"/>
        <w:ind w:firstLine="720"/>
        <w:jc w:val="both"/>
        <w:rPr>
          <w:rFonts w:ascii="Times New Roman" w:eastAsia="Calibri" w:hAnsi="Times New Roman" w:cs="Times New Roman"/>
          <w:iCs/>
          <w:sz w:val="24"/>
          <w:szCs w:val="24"/>
          <w:lang w:val="sr-Cyrl-CS"/>
        </w:rPr>
      </w:pPr>
      <w:r w:rsidRPr="00644F20">
        <w:rPr>
          <w:rFonts w:ascii="Times New Roman" w:eastAsia="Calibri" w:hAnsi="Times New Roman" w:cs="Times New Roman"/>
          <w:iCs/>
          <w:sz w:val="24"/>
          <w:szCs w:val="24"/>
          <w:lang w:val="sr-Cyrl-CS"/>
        </w:rPr>
        <w:t xml:space="preserve">1) </w:t>
      </w:r>
      <w:r w:rsidR="002F45E1" w:rsidRPr="00644F20">
        <w:rPr>
          <w:rFonts w:ascii="Times New Roman" w:eastAsia="Calibri" w:hAnsi="Times New Roman" w:cs="Times New Roman"/>
          <w:iCs/>
          <w:sz w:val="24"/>
          <w:szCs w:val="24"/>
          <w:lang w:val="sr-Cyrl-CS"/>
        </w:rPr>
        <w:t>Уредба о еко-дизајну производа који утичу на потрошњу енергије (,,Службени гласник РС”, број 132/21);</w:t>
      </w:r>
    </w:p>
    <w:p w14:paraId="3A8D51F2"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sz w:val="24"/>
          <w:szCs w:val="24"/>
          <w:lang w:val="sr-Cyrl-CS" w:eastAsia="en-GB"/>
        </w:rPr>
        <w:t xml:space="preserve">2) </w:t>
      </w:r>
      <w:r w:rsidR="002F45E1" w:rsidRPr="00644F20">
        <w:rPr>
          <w:rFonts w:ascii="Times New Roman" w:eastAsia="Times New Roman" w:hAnsi="Times New Roman" w:cs="Times New Roman"/>
          <w:sz w:val="24"/>
          <w:szCs w:val="24"/>
          <w:lang w:val="sr-Cyrl-CS" w:eastAsia="en-GB"/>
        </w:rPr>
        <w:t xml:space="preserve">Уредба о врстама производа који утичу на потрошњу енергије за које је неопходно означавање потрошње енергије и других ресурса </w:t>
      </w:r>
      <w:r w:rsidR="002F45E1" w:rsidRPr="00644F20">
        <w:rPr>
          <w:rFonts w:ascii="Times New Roman" w:eastAsia="Times New Roman" w:hAnsi="Times New Roman" w:cs="Times New Roman"/>
          <w:sz w:val="24"/>
          <w:szCs w:val="24"/>
          <w:shd w:val="clear" w:color="auto" w:fill="FFFFFF"/>
          <w:lang w:val="sr-Cyrl-CS" w:eastAsia="en-GB"/>
        </w:rPr>
        <w:t>(,,Службени гласник РС”</w:t>
      </w:r>
      <w:r w:rsidR="002F45E1" w:rsidRPr="00644F20">
        <w:rPr>
          <w:rFonts w:ascii="Times New Roman" w:eastAsia="Times New Roman" w:hAnsi="Times New Roman" w:cs="Times New Roman"/>
          <w:sz w:val="24"/>
          <w:szCs w:val="24"/>
          <w:lang w:val="sr-Cyrl-CS" w:eastAsia="en-GB"/>
        </w:rPr>
        <w:t>, бр. 92/13, 80/16 и 41/21);</w:t>
      </w:r>
    </w:p>
    <w:p w14:paraId="5A8D8223"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sz w:val="24"/>
          <w:szCs w:val="24"/>
          <w:lang w:val="sr-Cyrl-CS" w:eastAsia="en-GB"/>
        </w:rPr>
        <w:t xml:space="preserve">3) </w:t>
      </w:r>
      <w:r w:rsidR="002F45E1" w:rsidRPr="00644F20">
        <w:rPr>
          <w:rFonts w:ascii="Times New Roman" w:eastAsia="Times New Roman" w:hAnsi="Times New Roman" w:cs="Times New Roman"/>
          <w:sz w:val="24"/>
          <w:szCs w:val="24"/>
          <w:lang w:val="sr-Cyrl-CS" w:eastAsia="en-GB"/>
        </w:rPr>
        <w:t xml:space="preserve">Уредба о обвезницима система енергетског менаџмента </w:t>
      </w:r>
      <w:r w:rsidR="002F45E1" w:rsidRPr="00644F20">
        <w:rPr>
          <w:rFonts w:ascii="Times New Roman" w:eastAsia="Times New Roman" w:hAnsi="Times New Roman" w:cs="Times New Roman"/>
          <w:sz w:val="24"/>
          <w:szCs w:val="24"/>
          <w:shd w:val="clear" w:color="auto" w:fill="FFFFFF"/>
          <w:lang w:val="sr-Cyrl-CS" w:eastAsia="en-GB"/>
        </w:rPr>
        <w:t>(,,Службени гласник РС”</w:t>
      </w:r>
      <w:r w:rsidR="002F45E1" w:rsidRPr="00644F20">
        <w:rPr>
          <w:rFonts w:ascii="Times New Roman" w:eastAsia="Times New Roman" w:hAnsi="Times New Roman" w:cs="Times New Roman"/>
          <w:sz w:val="24"/>
          <w:szCs w:val="24"/>
          <w:lang w:val="sr-Cyrl-CS" w:eastAsia="en-GB"/>
        </w:rPr>
        <w:t>, број 59/22);</w:t>
      </w:r>
    </w:p>
    <w:p w14:paraId="01C64EA9"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shd w:val="clear" w:color="auto" w:fill="FFFFFF"/>
          <w:lang w:val="sr-Cyrl-CS" w:eastAsia="en-GB"/>
        </w:rPr>
      </w:pPr>
      <w:r w:rsidRPr="00644F20">
        <w:rPr>
          <w:rFonts w:ascii="Times New Roman" w:eastAsia="Times New Roman" w:hAnsi="Times New Roman" w:cs="Times New Roman"/>
          <w:bCs/>
          <w:sz w:val="24"/>
          <w:szCs w:val="24"/>
          <w:lang w:val="sr-Cyrl-CS" w:eastAsia="en-GB"/>
        </w:rPr>
        <w:t xml:space="preserve">4) </w:t>
      </w:r>
      <w:r w:rsidR="002F45E1" w:rsidRPr="00644F20">
        <w:rPr>
          <w:rFonts w:ascii="Times New Roman" w:eastAsia="Times New Roman" w:hAnsi="Times New Roman" w:cs="Times New Roman"/>
          <w:bCs/>
          <w:sz w:val="24"/>
          <w:szCs w:val="24"/>
          <w:lang w:val="sr-Cyrl-CS" w:eastAsia="en-GB"/>
        </w:rPr>
        <w:t>П</w:t>
      </w:r>
      <w:r w:rsidR="002F45E1" w:rsidRPr="00644F20">
        <w:rPr>
          <w:rFonts w:ascii="Times New Roman" w:eastAsia="Times New Roman" w:hAnsi="Times New Roman" w:cs="Times New Roman"/>
          <w:bCs/>
          <w:szCs w:val="24"/>
          <w:lang w:val="sr-Cyrl-CS" w:eastAsia="en-GB"/>
        </w:rPr>
        <w:t xml:space="preserve">равилник </w:t>
      </w:r>
      <w:r w:rsidR="002F45E1" w:rsidRPr="00644F20">
        <w:rPr>
          <w:rFonts w:ascii="Times New Roman" w:eastAsia="Times New Roman" w:hAnsi="Times New Roman" w:cs="Times New Roman"/>
          <w:bCs/>
          <w:sz w:val="24"/>
          <w:szCs w:val="24"/>
          <w:lang w:val="sr-Cyrl-CS" w:eastAsia="en-GB"/>
        </w:rPr>
        <w:t xml:space="preserve">о означавању енергетске ефикасности грејача воде, резервоара топле воде и комплета грејача воде и соларног уређаја </w:t>
      </w:r>
      <w:r w:rsidR="002F45E1" w:rsidRPr="00644F20">
        <w:rPr>
          <w:rFonts w:ascii="Times New Roman" w:eastAsia="Times New Roman" w:hAnsi="Times New Roman" w:cs="Times New Roman"/>
          <w:sz w:val="24"/>
          <w:szCs w:val="24"/>
          <w:shd w:val="clear" w:color="auto" w:fill="FFFFFF"/>
          <w:lang w:val="sr-Cyrl-CS" w:eastAsia="en-GB"/>
        </w:rPr>
        <w:t>(,,Службени гласник РС”, број 67/18);</w:t>
      </w:r>
    </w:p>
    <w:p w14:paraId="2FC469FC"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bCs/>
          <w:sz w:val="24"/>
          <w:szCs w:val="24"/>
          <w:lang w:val="sr-Cyrl-CS" w:eastAsia="en-GB"/>
        </w:rPr>
        <w:t xml:space="preserve">5) </w:t>
      </w:r>
      <w:r w:rsidR="002F45E1" w:rsidRPr="00644F20">
        <w:rPr>
          <w:rFonts w:ascii="Times New Roman" w:eastAsia="Times New Roman" w:hAnsi="Times New Roman" w:cs="Times New Roman"/>
          <w:bCs/>
          <w:sz w:val="24"/>
          <w:szCs w:val="24"/>
          <w:lang w:val="sr-Cyrl-CS" w:eastAsia="en-GB"/>
        </w:rPr>
        <w:t>П</w:t>
      </w:r>
      <w:r w:rsidR="002F45E1" w:rsidRPr="00644F20">
        <w:rPr>
          <w:rFonts w:ascii="Times New Roman" w:eastAsia="Times New Roman" w:hAnsi="Times New Roman" w:cs="Times New Roman"/>
          <w:bCs/>
          <w:szCs w:val="24"/>
          <w:lang w:val="sr-Cyrl-CS" w:eastAsia="en-GB"/>
        </w:rPr>
        <w:t>равилник</w:t>
      </w:r>
      <w:r w:rsidR="002F45E1" w:rsidRPr="00644F20">
        <w:rPr>
          <w:rFonts w:ascii="Times New Roman" w:eastAsia="Times New Roman" w:hAnsi="Times New Roman" w:cs="Times New Roman"/>
          <w:bCs/>
          <w:sz w:val="24"/>
          <w:szCs w:val="24"/>
          <w:lang w:val="sr-Cyrl-CS" w:eastAsia="en-GB"/>
        </w:rPr>
        <w:t xml:space="preserve"> о означавању енергетске ефикасности грејача простора, комбинованих грејача, комплета грејача простора, опреме за регулацију температуре и соларног уређаја и комплета комбинованог грејача, опреме за регулацију температуре и соларног уређаја</w:t>
      </w:r>
      <w:r w:rsidR="002F45E1" w:rsidRPr="00644F20">
        <w:rPr>
          <w:rFonts w:ascii="Times New Roman" w:eastAsia="Times New Roman" w:hAnsi="Times New Roman" w:cs="Times New Roman"/>
          <w:sz w:val="24"/>
          <w:szCs w:val="24"/>
          <w:lang w:val="sr-Cyrl-CS" w:eastAsia="en-GB"/>
        </w:rPr>
        <w:t xml:space="preserve">, </w:t>
      </w:r>
      <w:r w:rsidR="002F45E1" w:rsidRPr="00644F20">
        <w:rPr>
          <w:rFonts w:ascii="Times New Roman" w:eastAsia="Times New Roman" w:hAnsi="Times New Roman" w:cs="Times New Roman"/>
          <w:sz w:val="24"/>
          <w:szCs w:val="24"/>
          <w:shd w:val="clear" w:color="auto" w:fill="FFFFFF"/>
          <w:lang w:val="sr-Cyrl-CS" w:eastAsia="en-GB"/>
        </w:rPr>
        <w:t xml:space="preserve">(,,Службени гласник РС”, </w:t>
      </w:r>
      <w:r w:rsidR="002F45E1" w:rsidRPr="00644F20">
        <w:rPr>
          <w:rFonts w:ascii="Times New Roman" w:eastAsia="Times New Roman" w:hAnsi="Times New Roman" w:cs="Times New Roman"/>
          <w:sz w:val="24"/>
          <w:szCs w:val="24"/>
          <w:lang w:val="sr-Cyrl-CS" w:eastAsia="en-GB"/>
        </w:rPr>
        <w:t>број 17/18);</w:t>
      </w:r>
    </w:p>
    <w:p w14:paraId="1D22B20E" w14:textId="77777777" w:rsidR="00497092" w:rsidRPr="00644F20" w:rsidRDefault="00C5632C" w:rsidP="002E4BF4">
      <w:pPr>
        <w:shd w:val="clear" w:color="auto" w:fill="FFFFFF"/>
        <w:spacing w:after="0" w:line="240" w:lineRule="auto"/>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bCs/>
          <w:sz w:val="24"/>
          <w:szCs w:val="24"/>
          <w:lang w:val="sr-Cyrl-CS" w:eastAsia="en-GB"/>
        </w:rPr>
        <w:tab/>
      </w:r>
      <w:r w:rsidR="00745073" w:rsidRPr="00644F20">
        <w:rPr>
          <w:rFonts w:ascii="Times New Roman" w:eastAsia="Times New Roman" w:hAnsi="Times New Roman" w:cs="Times New Roman"/>
          <w:bCs/>
          <w:sz w:val="24"/>
          <w:szCs w:val="24"/>
          <w:lang w:val="sr-Cyrl-CS" w:eastAsia="en-GB"/>
        </w:rPr>
        <w:t xml:space="preserve">6) </w:t>
      </w:r>
      <w:r w:rsidR="002F45E1" w:rsidRPr="00644F20">
        <w:rPr>
          <w:rFonts w:ascii="Times New Roman" w:eastAsia="Times New Roman" w:hAnsi="Times New Roman" w:cs="Times New Roman"/>
          <w:bCs/>
          <w:sz w:val="24"/>
          <w:szCs w:val="24"/>
          <w:lang w:val="sr-Cyrl-CS" w:eastAsia="en-GB"/>
        </w:rPr>
        <w:t>П</w:t>
      </w:r>
      <w:r w:rsidR="002F45E1" w:rsidRPr="00644F20">
        <w:rPr>
          <w:rFonts w:ascii="Times New Roman" w:eastAsia="Times New Roman" w:hAnsi="Times New Roman" w:cs="Times New Roman"/>
          <w:bCs/>
          <w:szCs w:val="24"/>
          <w:lang w:val="sr-Cyrl-CS" w:eastAsia="en-GB"/>
        </w:rPr>
        <w:t>равилник</w:t>
      </w:r>
      <w:r w:rsidR="002F45E1" w:rsidRPr="00644F20">
        <w:rPr>
          <w:rFonts w:ascii="Times New Roman" w:eastAsia="Times New Roman" w:hAnsi="Times New Roman" w:cs="Times New Roman"/>
          <w:bCs/>
          <w:sz w:val="24"/>
          <w:szCs w:val="24"/>
          <w:lang w:val="sr-Cyrl-CS" w:eastAsia="en-GB"/>
        </w:rPr>
        <w:t xml:space="preserve"> о означавању енергетске ефикасности машина за сушење веша са бубњем за домаћинство  </w:t>
      </w:r>
      <w:r w:rsidR="002F45E1" w:rsidRPr="00644F20">
        <w:rPr>
          <w:rFonts w:ascii="Times New Roman" w:eastAsia="Times New Roman" w:hAnsi="Times New Roman" w:cs="Times New Roman"/>
          <w:sz w:val="24"/>
          <w:szCs w:val="24"/>
          <w:shd w:val="clear" w:color="auto" w:fill="FFFFFF"/>
          <w:lang w:val="sr-Cyrl-CS" w:eastAsia="en-GB"/>
        </w:rPr>
        <w:t xml:space="preserve">(,,Службени гласник РС”, </w:t>
      </w:r>
      <w:r w:rsidR="002F45E1" w:rsidRPr="00644F20">
        <w:rPr>
          <w:rFonts w:ascii="Times New Roman" w:eastAsia="Times New Roman" w:hAnsi="Times New Roman" w:cs="Times New Roman"/>
          <w:sz w:val="24"/>
          <w:szCs w:val="24"/>
          <w:lang w:val="sr-Cyrl-CS" w:eastAsia="en-GB"/>
        </w:rPr>
        <w:t>број 24/17);</w:t>
      </w:r>
    </w:p>
    <w:p w14:paraId="571594D5"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bCs/>
          <w:sz w:val="24"/>
          <w:szCs w:val="24"/>
          <w:lang w:val="sr-Cyrl-CS" w:eastAsia="en-GB"/>
        </w:rPr>
        <w:t xml:space="preserve">7) </w:t>
      </w:r>
      <w:r w:rsidR="002F45E1" w:rsidRPr="00644F20">
        <w:rPr>
          <w:rFonts w:ascii="Times New Roman" w:eastAsia="Times New Roman" w:hAnsi="Times New Roman" w:cs="Times New Roman"/>
          <w:bCs/>
          <w:sz w:val="24"/>
          <w:szCs w:val="24"/>
          <w:lang w:val="sr-Cyrl-CS" w:eastAsia="en-GB"/>
        </w:rPr>
        <w:t>П</w:t>
      </w:r>
      <w:r w:rsidR="002F45E1" w:rsidRPr="00644F20">
        <w:rPr>
          <w:rFonts w:ascii="Times New Roman" w:eastAsia="Times New Roman" w:hAnsi="Times New Roman" w:cs="Times New Roman"/>
          <w:bCs/>
          <w:szCs w:val="24"/>
          <w:lang w:val="sr-Cyrl-CS" w:eastAsia="en-GB"/>
        </w:rPr>
        <w:t>равилник</w:t>
      </w:r>
      <w:r w:rsidR="002F45E1" w:rsidRPr="00644F20">
        <w:rPr>
          <w:rFonts w:ascii="Times New Roman" w:eastAsia="Times New Roman" w:hAnsi="Times New Roman" w:cs="Times New Roman"/>
          <w:bCs/>
          <w:sz w:val="24"/>
          <w:szCs w:val="24"/>
          <w:lang w:val="sr-Cyrl-CS" w:eastAsia="en-GB"/>
        </w:rPr>
        <w:t xml:space="preserve"> о означавању енергетске ефикасности пећница и напа за  домаћинство</w:t>
      </w:r>
      <w:r w:rsidR="002F45E1" w:rsidRPr="00644F20">
        <w:rPr>
          <w:rFonts w:ascii="Times New Roman" w:eastAsia="Times New Roman" w:hAnsi="Times New Roman" w:cs="Times New Roman"/>
          <w:sz w:val="24"/>
          <w:szCs w:val="24"/>
          <w:lang w:val="sr-Cyrl-CS" w:eastAsia="en-GB"/>
        </w:rPr>
        <w:t xml:space="preserve"> </w:t>
      </w:r>
      <w:r w:rsidR="002F45E1" w:rsidRPr="00644F20">
        <w:rPr>
          <w:rFonts w:ascii="Times New Roman" w:eastAsia="Times New Roman" w:hAnsi="Times New Roman" w:cs="Times New Roman"/>
          <w:sz w:val="24"/>
          <w:szCs w:val="24"/>
          <w:shd w:val="clear" w:color="auto" w:fill="FFFFFF"/>
          <w:lang w:val="sr-Cyrl-CS" w:eastAsia="en-GB"/>
        </w:rPr>
        <w:t>(,,Службени гласник РС”,</w:t>
      </w:r>
      <w:r w:rsidR="002F45E1" w:rsidRPr="00644F20">
        <w:rPr>
          <w:rFonts w:ascii="Times New Roman" w:eastAsia="Times New Roman" w:hAnsi="Times New Roman" w:cs="Times New Roman"/>
          <w:sz w:val="24"/>
          <w:szCs w:val="24"/>
          <w:lang w:val="sr-Cyrl-CS" w:eastAsia="en-GB"/>
        </w:rPr>
        <w:t xml:space="preserve"> број 19/17) ;</w:t>
      </w:r>
    </w:p>
    <w:p w14:paraId="71FB8FBC"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bCs/>
          <w:sz w:val="24"/>
          <w:szCs w:val="24"/>
          <w:lang w:val="sr-Cyrl-CS" w:eastAsia="en-GB"/>
        </w:rPr>
        <w:t xml:space="preserve">8) </w:t>
      </w:r>
      <w:r w:rsidR="002F45E1" w:rsidRPr="00644F20">
        <w:rPr>
          <w:rFonts w:ascii="Times New Roman" w:eastAsia="Times New Roman" w:hAnsi="Times New Roman" w:cs="Times New Roman"/>
          <w:bCs/>
          <w:sz w:val="24"/>
          <w:szCs w:val="24"/>
          <w:lang w:val="sr-Cyrl-CS" w:eastAsia="en-GB"/>
        </w:rPr>
        <w:t>П</w:t>
      </w:r>
      <w:r w:rsidR="002F45E1" w:rsidRPr="00644F20">
        <w:rPr>
          <w:rFonts w:ascii="Times New Roman" w:eastAsia="Times New Roman" w:hAnsi="Times New Roman" w:cs="Times New Roman"/>
          <w:bCs/>
          <w:szCs w:val="24"/>
          <w:lang w:val="sr-Cyrl-CS" w:eastAsia="en-GB"/>
        </w:rPr>
        <w:t>равилник</w:t>
      </w:r>
      <w:r w:rsidR="002F45E1" w:rsidRPr="00644F20">
        <w:rPr>
          <w:rFonts w:ascii="Times New Roman" w:eastAsia="Times New Roman" w:hAnsi="Times New Roman" w:cs="Times New Roman"/>
          <w:bCs/>
          <w:sz w:val="24"/>
          <w:szCs w:val="24"/>
          <w:lang w:val="sr-Cyrl-CS" w:eastAsia="en-GB"/>
        </w:rPr>
        <w:t xml:space="preserve"> о означавању енергетске ефикасности уређаја за климатизацију </w:t>
      </w:r>
      <w:r w:rsidR="002F45E1" w:rsidRPr="00644F20">
        <w:rPr>
          <w:rFonts w:ascii="Times New Roman" w:eastAsia="Times New Roman" w:hAnsi="Times New Roman" w:cs="Times New Roman"/>
          <w:sz w:val="24"/>
          <w:szCs w:val="24"/>
          <w:shd w:val="clear" w:color="auto" w:fill="FFFFFF"/>
          <w:lang w:val="sr-Cyrl-CS" w:eastAsia="en-GB"/>
        </w:rPr>
        <w:t>(,,Службени гласник РС”,</w:t>
      </w:r>
      <w:r w:rsidR="002F45E1" w:rsidRPr="00644F20">
        <w:rPr>
          <w:rFonts w:ascii="Times New Roman" w:eastAsia="Times New Roman" w:hAnsi="Times New Roman" w:cs="Times New Roman"/>
          <w:sz w:val="24"/>
          <w:szCs w:val="24"/>
          <w:lang w:val="sr-Cyrl-CS" w:eastAsia="en-GB"/>
        </w:rPr>
        <w:t xml:space="preserve"> број 24/14); </w:t>
      </w:r>
    </w:p>
    <w:p w14:paraId="5AC60FC3" w14:textId="77777777" w:rsidR="00497092" w:rsidRPr="00644F20" w:rsidRDefault="00745073" w:rsidP="002E4BF4">
      <w:pPr>
        <w:shd w:val="clear" w:color="auto" w:fill="FFFFFF"/>
        <w:spacing w:after="0" w:line="240" w:lineRule="auto"/>
        <w:ind w:firstLine="720"/>
        <w:jc w:val="both"/>
        <w:rPr>
          <w:rFonts w:ascii="Times New Roman" w:eastAsia="Calibri" w:hAnsi="Times New Roman" w:cs="Times New Roman"/>
          <w:sz w:val="24"/>
          <w:szCs w:val="24"/>
          <w:lang w:val="sr-Cyrl-CS" w:eastAsia="en-GB"/>
        </w:rPr>
      </w:pPr>
      <w:r w:rsidRPr="00644F20">
        <w:rPr>
          <w:rFonts w:ascii="Times New Roman" w:eastAsia="Times New Roman" w:hAnsi="Times New Roman" w:cs="Times New Roman"/>
          <w:bCs/>
          <w:sz w:val="24"/>
          <w:szCs w:val="24"/>
          <w:lang w:val="sr-Cyrl-CS" w:eastAsia="en-GB"/>
        </w:rPr>
        <w:t xml:space="preserve">9) </w:t>
      </w:r>
      <w:r w:rsidR="002F45E1" w:rsidRPr="00644F20">
        <w:rPr>
          <w:rFonts w:ascii="Times New Roman" w:eastAsia="Calibri" w:hAnsi="Times New Roman" w:cs="Times New Roman"/>
          <w:sz w:val="24"/>
          <w:szCs w:val="24"/>
          <w:lang w:val="sr-Cyrl-CS" w:eastAsia="en-GB"/>
        </w:rPr>
        <w:t>Правилник о означавању енергетске ефикасности електричних извора светлости (,,Службени гласник РС”, број 30/22);</w:t>
      </w:r>
    </w:p>
    <w:p w14:paraId="7B579E67" w14:textId="77777777" w:rsidR="00497092" w:rsidRPr="00644F20" w:rsidRDefault="00745073" w:rsidP="002E4BF4">
      <w:pPr>
        <w:shd w:val="clear" w:color="auto" w:fill="FFFFFF"/>
        <w:spacing w:after="0" w:line="240" w:lineRule="auto"/>
        <w:ind w:firstLine="720"/>
        <w:jc w:val="both"/>
        <w:rPr>
          <w:rFonts w:ascii="Times New Roman" w:eastAsia="Calibri" w:hAnsi="Times New Roman" w:cs="Times New Roman"/>
          <w:sz w:val="24"/>
          <w:szCs w:val="24"/>
          <w:lang w:val="sr-Cyrl-CS" w:eastAsia="en-GB"/>
        </w:rPr>
      </w:pPr>
      <w:r w:rsidRPr="00644F20">
        <w:rPr>
          <w:rFonts w:ascii="Times New Roman" w:eastAsia="Times New Roman" w:hAnsi="Times New Roman" w:cs="Times New Roman"/>
          <w:bCs/>
          <w:sz w:val="24"/>
          <w:szCs w:val="24"/>
          <w:lang w:val="sr-Cyrl-CS" w:eastAsia="en-GB"/>
        </w:rPr>
        <w:t xml:space="preserve">10) </w:t>
      </w:r>
      <w:r w:rsidR="002F45E1" w:rsidRPr="00644F20">
        <w:rPr>
          <w:rFonts w:ascii="Times New Roman" w:eastAsia="Calibri" w:hAnsi="Times New Roman" w:cs="Times New Roman"/>
          <w:sz w:val="24"/>
          <w:szCs w:val="24"/>
          <w:lang w:val="sr-Cyrl-CS" w:eastAsia="en-GB"/>
        </w:rPr>
        <w:t>Правилник о означавању енергетске ефикасности машина за прање веша у домаћинству и машина за прање и сушење веша у домаћинству (,,Службени гласник РС”, број 43/21);</w:t>
      </w:r>
    </w:p>
    <w:p w14:paraId="6B64CB34" w14:textId="77777777" w:rsidR="00497092" w:rsidRPr="00644F20" w:rsidRDefault="00745073" w:rsidP="004D210E">
      <w:pPr>
        <w:shd w:val="clear" w:color="auto" w:fill="FFFFFF"/>
        <w:spacing w:after="0" w:line="240" w:lineRule="auto"/>
        <w:ind w:firstLine="720"/>
        <w:jc w:val="both"/>
        <w:rPr>
          <w:rFonts w:ascii="Times New Roman" w:eastAsia="Calibri" w:hAnsi="Times New Roman" w:cs="Times New Roman"/>
          <w:sz w:val="24"/>
          <w:szCs w:val="24"/>
          <w:lang w:val="sr-Cyrl-CS" w:eastAsia="en-GB"/>
        </w:rPr>
      </w:pPr>
      <w:r w:rsidRPr="00644F20">
        <w:rPr>
          <w:rFonts w:ascii="Times New Roman" w:eastAsia="Calibri" w:hAnsi="Times New Roman" w:cs="Times New Roman"/>
          <w:sz w:val="24"/>
          <w:szCs w:val="24"/>
          <w:lang w:val="sr-Cyrl-CS" w:eastAsia="en-GB"/>
        </w:rPr>
        <w:t xml:space="preserve">11) </w:t>
      </w:r>
      <w:r w:rsidR="002F45E1" w:rsidRPr="00644F20">
        <w:rPr>
          <w:rFonts w:ascii="Times New Roman" w:eastAsia="Calibri" w:hAnsi="Times New Roman" w:cs="Times New Roman"/>
          <w:sz w:val="24"/>
          <w:szCs w:val="24"/>
          <w:lang w:val="sr-Cyrl-CS" w:eastAsia="en-GB"/>
        </w:rPr>
        <w:t>Правилник о означавању енергетске ефикасности машина за прање судова у домаћинству (,,Службени гласник РС”, број 43/21);</w:t>
      </w:r>
    </w:p>
    <w:p w14:paraId="14D4786A" w14:textId="77777777" w:rsidR="00497092" w:rsidRPr="00644F20" w:rsidRDefault="00745073" w:rsidP="004D210E">
      <w:pPr>
        <w:shd w:val="clear" w:color="auto" w:fill="FFFFFF"/>
        <w:spacing w:after="0" w:line="240" w:lineRule="auto"/>
        <w:ind w:firstLine="720"/>
        <w:jc w:val="both"/>
        <w:rPr>
          <w:rFonts w:ascii="Times New Roman" w:eastAsia="Calibri" w:hAnsi="Times New Roman" w:cs="Times New Roman"/>
          <w:sz w:val="24"/>
          <w:szCs w:val="24"/>
          <w:lang w:val="sr-Cyrl-CS" w:eastAsia="en-GB"/>
        </w:rPr>
      </w:pPr>
      <w:r w:rsidRPr="00644F20">
        <w:rPr>
          <w:rFonts w:ascii="Times New Roman" w:eastAsia="Calibri" w:hAnsi="Times New Roman" w:cs="Times New Roman"/>
          <w:sz w:val="24"/>
          <w:szCs w:val="24"/>
          <w:lang w:val="sr-Cyrl-CS" w:eastAsia="en-GB"/>
        </w:rPr>
        <w:t xml:space="preserve">12) </w:t>
      </w:r>
      <w:r w:rsidR="002F45E1" w:rsidRPr="00644F20">
        <w:rPr>
          <w:rFonts w:ascii="Times New Roman" w:eastAsia="Calibri" w:hAnsi="Times New Roman" w:cs="Times New Roman"/>
          <w:sz w:val="24"/>
          <w:szCs w:val="24"/>
          <w:lang w:val="sr-Cyrl-CS" w:eastAsia="en-GB"/>
        </w:rPr>
        <w:t>Правилник о означавању енергетске ефикасности расхладних уређаја (,,Службени гласник РС”, број 43/21);</w:t>
      </w:r>
    </w:p>
    <w:p w14:paraId="361C2AFD"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bCs/>
          <w:sz w:val="24"/>
          <w:szCs w:val="24"/>
          <w:lang w:val="sr-Cyrl-CS" w:eastAsia="en-GB"/>
        </w:rPr>
        <w:t xml:space="preserve">13) </w:t>
      </w:r>
      <w:r w:rsidR="002F45E1" w:rsidRPr="00644F20">
        <w:rPr>
          <w:rFonts w:ascii="Times New Roman" w:eastAsia="Times New Roman" w:hAnsi="Times New Roman" w:cs="Times New Roman"/>
          <w:bCs/>
          <w:sz w:val="24"/>
          <w:szCs w:val="24"/>
          <w:lang w:val="sr-Cyrl-CS" w:eastAsia="en-GB"/>
        </w:rPr>
        <w:t>Правилник</w:t>
      </w:r>
      <w:r w:rsidR="002F45E1" w:rsidRPr="00644F20">
        <w:rPr>
          <w:rFonts w:ascii="Times New Roman" w:eastAsia="Times New Roman" w:hAnsi="Times New Roman" w:cs="Times New Roman"/>
          <w:sz w:val="24"/>
          <w:szCs w:val="24"/>
          <w:lang w:val="sr-Cyrl-CS" w:eastAsia="en-GB"/>
        </w:rPr>
        <w:t xml:space="preserve"> о означавању енергетске ефикасности електронских екрана </w:t>
      </w:r>
      <w:r w:rsidR="002F45E1" w:rsidRPr="00644F20">
        <w:rPr>
          <w:rFonts w:ascii="Times New Roman" w:eastAsia="Times New Roman" w:hAnsi="Times New Roman" w:cs="Times New Roman"/>
          <w:sz w:val="24"/>
          <w:szCs w:val="24"/>
          <w:shd w:val="clear" w:color="auto" w:fill="FFFFFF"/>
          <w:lang w:val="sr-Cyrl-CS" w:eastAsia="en-GB"/>
        </w:rPr>
        <w:t xml:space="preserve">(,,Службени гласник РС”, </w:t>
      </w:r>
      <w:r w:rsidR="002F45E1" w:rsidRPr="00644F20">
        <w:rPr>
          <w:rFonts w:ascii="Times New Roman" w:eastAsia="Times New Roman" w:hAnsi="Times New Roman" w:cs="Times New Roman"/>
          <w:sz w:val="24"/>
          <w:szCs w:val="24"/>
          <w:lang w:val="sr-Cyrl-CS" w:eastAsia="en-GB"/>
        </w:rPr>
        <w:t>број 92/21);</w:t>
      </w:r>
    </w:p>
    <w:p w14:paraId="71A9F364" w14:textId="77777777" w:rsidR="002E4BF4"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sz w:val="24"/>
          <w:szCs w:val="24"/>
          <w:lang w:val="sr-Cyrl-CS" w:eastAsia="en-GB"/>
        </w:rPr>
        <w:t xml:space="preserve">14) </w:t>
      </w:r>
      <w:r w:rsidR="002F45E1" w:rsidRPr="00644F20">
        <w:rPr>
          <w:rFonts w:ascii="Times New Roman" w:eastAsia="Times New Roman" w:hAnsi="Times New Roman" w:cs="Times New Roman"/>
          <w:sz w:val="24"/>
          <w:szCs w:val="24"/>
          <w:lang w:val="sr-Cyrl-CS" w:eastAsia="en-GB"/>
        </w:rPr>
        <w:t>Правилник о обрасцу годишњег извештаја о остваривању циљева уштеде енергије</w:t>
      </w:r>
      <w:r w:rsidRPr="00644F20">
        <w:rPr>
          <w:rFonts w:ascii="Times New Roman" w:eastAsia="Times New Roman" w:hAnsi="Times New Roman" w:cs="Times New Roman"/>
          <w:sz w:val="24"/>
          <w:szCs w:val="24"/>
          <w:lang w:val="sr-Cyrl-CS" w:eastAsia="en-GB"/>
        </w:rPr>
        <w:t xml:space="preserve"> и начину његовог достављања</w:t>
      </w:r>
      <w:r w:rsidR="002F45E1" w:rsidRPr="00644F20">
        <w:rPr>
          <w:rFonts w:ascii="Times New Roman" w:eastAsia="Times New Roman" w:hAnsi="Times New Roman" w:cs="Times New Roman"/>
          <w:sz w:val="24"/>
          <w:szCs w:val="24"/>
          <w:lang w:val="sr-Cyrl-CS" w:eastAsia="en-GB"/>
        </w:rPr>
        <w:t xml:space="preserve"> </w:t>
      </w:r>
      <w:r w:rsidR="002F45E1" w:rsidRPr="00644F20">
        <w:rPr>
          <w:rFonts w:ascii="Times New Roman" w:eastAsia="Times New Roman" w:hAnsi="Times New Roman" w:cs="Times New Roman"/>
          <w:sz w:val="24"/>
          <w:szCs w:val="24"/>
          <w:shd w:val="clear" w:color="auto" w:fill="FFFFFF"/>
          <w:lang w:val="sr-Cyrl-CS" w:eastAsia="en-GB"/>
        </w:rPr>
        <w:t xml:space="preserve">(,,Службени гласник РС”, </w:t>
      </w:r>
      <w:r w:rsidR="004D210E" w:rsidRPr="00644F20">
        <w:rPr>
          <w:rFonts w:ascii="Times New Roman" w:eastAsia="Times New Roman" w:hAnsi="Times New Roman" w:cs="Times New Roman"/>
          <w:sz w:val="24"/>
          <w:szCs w:val="24"/>
          <w:lang w:val="sr-Cyrl-CS" w:eastAsia="en-GB"/>
        </w:rPr>
        <w:t>број</w:t>
      </w:r>
      <w:r w:rsidR="002F45E1" w:rsidRPr="00644F20">
        <w:rPr>
          <w:rFonts w:ascii="Times New Roman" w:eastAsia="Times New Roman" w:hAnsi="Times New Roman" w:cs="Times New Roman"/>
          <w:sz w:val="24"/>
          <w:szCs w:val="24"/>
          <w:lang w:val="sr-Cyrl-CS" w:eastAsia="en-GB"/>
        </w:rPr>
        <w:t xml:space="preserve"> 67/22</w:t>
      </w:r>
      <w:r w:rsidRPr="00644F20">
        <w:rPr>
          <w:rFonts w:ascii="Times New Roman" w:eastAsia="Times New Roman" w:hAnsi="Times New Roman" w:cs="Times New Roman"/>
          <w:sz w:val="24"/>
          <w:szCs w:val="24"/>
          <w:lang w:val="sr-Cyrl-CS" w:eastAsia="en-GB"/>
        </w:rPr>
        <w:t>);</w:t>
      </w:r>
    </w:p>
    <w:p w14:paraId="1FEB281C"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sz w:val="24"/>
          <w:szCs w:val="24"/>
          <w:lang w:val="sr-Cyrl-CS" w:eastAsia="en-GB"/>
        </w:rPr>
        <w:t xml:space="preserve">15) </w:t>
      </w:r>
      <w:r w:rsidR="002F45E1" w:rsidRPr="00644F20">
        <w:rPr>
          <w:rFonts w:ascii="Times New Roman" w:eastAsia="Times New Roman" w:hAnsi="Times New Roman" w:cs="Times New Roman"/>
          <w:sz w:val="24"/>
          <w:szCs w:val="24"/>
          <w:lang w:val="sr-Cyrl-CS" w:eastAsia="en-GB"/>
        </w:rPr>
        <w:t xml:space="preserve">Правилник о условима за именовање енергетских менаџера у органима јединица локалне самоуправе </w:t>
      </w:r>
      <w:r w:rsidR="002F45E1" w:rsidRPr="00644F20">
        <w:rPr>
          <w:rFonts w:ascii="Times New Roman" w:eastAsia="Times New Roman" w:hAnsi="Times New Roman" w:cs="Times New Roman"/>
          <w:sz w:val="24"/>
          <w:szCs w:val="24"/>
          <w:shd w:val="clear" w:color="auto" w:fill="FFFFFF"/>
          <w:lang w:val="sr-Cyrl-CS" w:eastAsia="en-GB"/>
        </w:rPr>
        <w:t>(,,Службени гласник РС”</w:t>
      </w:r>
      <w:r w:rsidR="002F45E1" w:rsidRPr="00644F20">
        <w:rPr>
          <w:rFonts w:ascii="Times New Roman" w:eastAsia="Times New Roman" w:hAnsi="Times New Roman" w:cs="Times New Roman"/>
          <w:sz w:val="24"/>
          <w:szCs w:val="24"/>
          <w:lang w:val="sr-Cyrl-CS" w:eastAsia="en-GB"/>
        </w:rPr>
        <w:t xml:space="preserve"> број 31/16);</w:t>
      </w:r>
    </w:p>
    <w:p w14:paraId="1B6E797D" w14:textId="77777777" w:rsidR="00497092" w:rsidRPr="00644F20" w:rsidRDefault="00745073" w:rsidP="002E4BF4">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sz w:val="24"/>
          <w:szCs w:val="24"/>
          <w:lang w:val="sr-Cyrl-CS" w:eastAsia="en-GB"/>
        </w:rPr>
        <w:t xml:space="preserve">16) </w:t>
      </w:r>
      <w:r w:rsidR="002F45E1" w:rsidRPr="00644F20">
        <w:rPr>
          <w:rFonts w:ascii="Times New Roman" w:eastAsia="Times New Roman" w:hAnsi="Times New Roman" w:cs="Times New Roman"/>
          <w:sz w:val="24"/>
          <w:szCs w:val="24"/>
          <w:lang w:val="sr-Cyrl-CS" w:eastAsia="en-GB"/>
        </w:rPr>
        <w:t xml:space="preserve">Правилник о условима за именовање енергетских менаџера у привредним друштвима чија је претежна делатност у производном сектору и предузећима као јавним службама </w:t>
      </w:r>
      <w:r w:rsidR="002F45E1" w:rsidRPr="00644F20">
        <w:rPr>
          <w:rFonts w:ascii="Times New Roman" w:eastAsia="Times New Roman" w:hAnsi="Times New Roman" w:cs="Times New Roman"/>
          <w:sz w:val="24"/>
          <w:szCs w:val="24"/>
          <w:shd w:val="clear" w:color="auto" w:fill="FFFFFF"/>
          <w:lang w:val="sr-Cyrl-CS" w:eastAsia="en-GB"/>
        </w:rPr>
        <w:t>(,,Службени гласник РС”</w:t>
      </w:r>
      <w:r w:rsidR="002F45E1" w:rsidRPr="00644F20">
        <w:rPr>
          <w:rFonts w:ascii="Times New Roman" w:eastAsia="Times New Roman" w:hAnsi="Times New Roman" w:cs="Times New Roman"/>
          <w:sz w:val="24"/>
          <w:szCs w:val="24"/>
          <w:lang w:val="sr-Cyrl-CS" w:eastAsia="en-GB"/>
        </w:rPr>
        <w:t>, број 98/16);</w:t>
      </w:r>
    </w:p>
    <w:p w14:paraId="7837768A" w14:textId="77777777" w:rsidR="00497092" w:rsidRPr="00644F20" w:rsidRDefault="002F45E1" w:rsidP="009F738C">
      <w:pPr>
        <w:shd w:val="clear" w:color="auto" w:fill="FFFFFF"/>
        <w:spacing w:after="120" w:line="276" w:lineRule="auto"/>
        <w:ind w:firstLine="720"/>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
          <w:bCs/>
          <w:sz w:val="24"/>
          <w:szCs w:val="24"/>
          <w:lang w:val="sr-Cyrl-CS"/>
        </w:rPr>
        <w:lastRenderedPageBreak/>
        <w:t xml:space="preserve">Закон о климатским променама </w:t>
      </w:r>
      <w:r w:rsidRPr="00644F20">
        <w:rPr>
          <w:rFonts w:ascii="Times New Roman" w:eastAsia="Calibri" w:hAnsi="Times New Roman" w:cs="Times New Roman"/>
          <w:bCs/>
          <w:sz w:val="24"/>
          <w:szCs w:val="24"/>
          <w:lang w:val="sr-Cyrl-CS"/>
        </w:rPr>
        <w:t>(,,Службени гласник РС”, број 26/21)</w:t>
      </w:r>
      <w:r w:rsidRPr="00644F20">
        <w:rPr>
          <w:sz w:val="24"/>
          <w:szCs w:val="24"/>
          <w:lang w:val="sr-Cyrl-CS"/>
        </w:rPr>
        <w:t xml:space="preserve"> </w:t>
      </w:r>
      <w:r w:rsidRPr="00644F20">
        <w:rPr>
          <w:rFonts w:ascii="Times New Roman" w:eastAsia="Calibri" w:hAnsi="Times New Roman" w:cs="Times New Roman"/>
          <w:bCs/>
          <w:sz w:val="24"/>
          <w:szCs w:val="24"/>
          <w:lang w:val="sr-Cyrl-CS"/>
        </w:rPr>
        <w:t>пружа основу за ефикасан и транспарентан систем за мониторинг, извештавање и верификацију (МRV систем), који ће пружити детаљне информације о напретку у испуњавању домаћих и међународних обавеза и осигурати праћење постизања национално утврђеног доприноса.</w:t>
      </w:r>
      <w:r w:rsidRPr="00644F20">
        <w:rPr>
          <w:lang w:val="sr-Cyrl-CS"/>
        </w:rPr>
        <w:t xml:space="preserve"> </w:t>
      </w:r>
      <w:r w:rsidRPr="00644F20">
        <w:rPr>
          <w:rFonts w:ascii="Times New Roman" w:eastAsia="Calibri" w:hAnsi="Times New Roman" w:cs="Times New Roman"/>
          <w:bCs/>
          <w:sz w:val="24"/>
          <w:szCs w:val="24"/>
          <w:lang w:val="sr-Cyrl-CS"/>
        </w:rPr>
        <w:t>Циљ овог закона је успостављање система како би се смањиле емисије гасова са ефектом стаклене баште (GHG гасова) на исплатив и економски ефикасан начин и тиме избегле опасне промене климе на глобалном нивоу и неповољни утицаји промене климе. Такође циљ овог закона је и смањење емисија GHG и прилагођавање на измењене климатске услове усвајањем и спровођењем докумената јавних политика.</w:t>
      </w:r>
    </w:p>
    <w:p w14:paraId="02CB8CF0" w14:textId="77777777" w:rsidR="00497092" w:rsidRPr="00644F20" w:rsidRDefault="009F738C">
      <w:pPr>
        <w:widowControl w:val="0"/>
        <w:tabs>
          <w:tab w:val="left" w:pos="0"/>
        </w:tabs>
        <w:spacing w:after="120" w:line="276" w:lineRule="auto"/>
        <w:jc w:val="both"/>
        <w:rPr>
          <w:rFonts w:ascii="Times New Roman" w:eastAsia="Times New Roman" w:hAnsi="Times New Roman" w:cs="Times New Roman"/>
          <w:sz w:val="24"/>
          <w:szCs w:val="24"/>
          <w:lang w:val="sr-Cyrl-CS" w:eastAsia="de-DE"/>
        </w:rPr>
      </w:pPr>
      <w:r w:rsidRPr="00644F20">
        <w:rPr>
          <w:rFonts w:ascii="Times New Roman" w:eastAsia="Times New Roman" w:hAnsi="Times New Roman" w:cs="Times New Roman"/>
          <w:b/>
          <w:bCs/>
          <w:sz w:val="24"/>
          <w:szCs w:val="24"/>
          <w:lang w:val="sr-Cyrl-CS" w:eastAsia="de-DE"/>
        </w:rPr>
        <w:tab/>
      </w:r>
      <w:r w:rsidR="002F45E1" w:rsidRPr="00644F20">
        <w:rPr>
          <w:rFonts w:ascii="Times New Roman" w:eastAsia="Times New Roman" w:hAnsi="Times New Roman" w:cs="Times New Roman"/>
          <w:b/>
          <w:bCs/>
          <w:sz w:val="24"/>
          <w:szCs w:val="24"/>
          <w:lang w:val="sr-Cyrl-CS" w:eastAsia="de-DE"/>
        </w:rPr>
        <w:t xml:space="preserve">Законом о заштити ваздуха </w:t>
      </w:r>
      <w:r w:rsidR="00080A8C" w:rsidRPr="00644F20">
        <w:rPr>
          <w:rFonts w:ascii="Times New Roman" w:eastAsia="Times New Roman" w:hAnsi="Times New Roman" w:cs="Times New Roman"/>
          <w:sz w:val="24"/>
          <w:szCs w:val="24"/>
          <w:lang w:val="sr-Cyrl-CS" w:eastAsia="de-DE"/>
        </w:rPr>
        <w:t>(,,Службени гласник РС”, бр.</w:t>
      </w:r>
      <w:r w:rsidR="002F45E1" w:rsidRPr="00644F20">
        <w:rPr>
          <w:rFonts w:ascii="Times New Roman" w:eastAsia="Times New Roman" w:hAnsi="Times New Roman" w:cs="Times New Roman"/>
          <w:sz w:val="24"/>
          <w:szCs w:val="24"/>
          <w:lang w:val="sr-Cyrl-CS" w:eastAsia="de-DE"/>
        </w:rPr>
        <w:t xml:space="preserve"> 36/09, 10/13 и 26/21) уређује се управљање квалитетом ваздуха и утврђују мере, начин организовања и контроле спровођења заштите и унапређења квалитета ваздуха као природне вредности од заједничког интереса под посебном заштитом. Одредбе овог закона не примењују се на загађења која изазивају радиоактивни материјали, индустријски удеси и природне катастрофе. </w:t>
      </w:r>
    </w:p>
    <w:p w14:paraId="55EA8FF4" w14:textId="77777777" w:rsidR="00497092" w:rsidRPr="00644F20" w:rsidRDefault="002F45E1" w:rsidP="009F738C">
      <w:pPr>
        <w:spacing w:after="120" w:line="276" w:lineRule="auto"/>
        <w:ind w:firstLine="720"/>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b/>
          <w:sz w:val="24"/>
          <w:szCs w:val="24"/>
          <w:lang w:val="sr-Cyrl-CS"/>
        </w:rPr>
        <w:t>Закон о интегрисаном спречавању и контроли загађивања животне средине</w:t>
      </w:r>
      <w:r w:rsidRPr="00644F20">
        <w:rPr>
          <w:rFonts w:ascii="Times New Roman" w:eastAsia="Times New Roman" w:hAnsi="Times New Roman" w:cs="Times New Roman"/>
          <w:sz w:val="24"/>
          <w:szCs w:val="24"/>
          <w:lang w:val="sr-Cyrl-CS"/>
        </w:rPr>
        <w:t xml:space="preserve"> (,,Службени гласник РС”, бр. 135/04, 25/15 и 109/21), уређује услове и поступак издавања интегрисане дозволе за постројења и активности која могу имати негативне утицаје на здравље људи, животну средину или материјална добра, врсте активности и постројења, надзор и друга питања. У поступку издавања дозволе, оператер је дужан да достави детаљне податке о постројењу и активностима које се у њему одвијају, изворима емисије, природи и количинама предвиђених емисија, али и мерама за смањење настајања и уклањања отпада, мерама за ефикасно коришћење енергије и другим мерама које се од њега очекује да предузме у циљу достизања захтева у погледу заштите животне средине. Такође, оператер је у обавези да уради детаљан преглед усклађености рада постројења са најбољим доступним техникама (</w:t>
      </w:r>
      <w:r w:rsidRPr="00644F20">
        <w:rPr>
          <w:rFonts w:ascii="Times New Roman" w:eastAsia="Times New Roman" w:hAnsi="Times New Roman" w:cs="Times New Roman"/>
          <w:i/>
          <w:sz w:val="24"/>
          <w:szCs w:val="24"/>
          <w:lang w:val="sr-Cyrl-CS"/>
        </w:rPr>
        <w:t>BAT</w:t>
      </w:r>
      <w:r w:rsidRPr="00644F20">
        <w:rPr>
          <w:rFonts w:ascii="Times New Roman" w:eastAsia="Times New Roman" w:hAnsi="Times New Roman" w:cs="Times New Roman"/>
          <w:sz w:val="24"/>
          <w:szCs w:val="24"/>
          <w:lang w:val="sr-Cyrl-CS"/>
        </w:rPr>
        <w:t xml:space="preserve">), као и план мера за усаглашавање са овим техникама и достизање граничних вредности емисија повезаних са њима. </w:t>
      </w:r>
    </w:p>
    <w:p w14:paraId="22A16966" w14:textId="77777777" w:rsidR="00497092" w:rsidRPr="00644F20" w:rsidRDefault="002F45E1" w:rsidP="009F738C">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Закон о заштити животне средине</w:t>
      </w:r>
      <w:r w:rsidRPr="00644F20">
        <w:rPr>
          <w:rFonts w:ascii="Times New Roman" w:eastAsia="Calibri" w:hAnsi="Times New Roman" w:cs="Times New Roman"/>
          <w:sz w:val="24"/>
          <w:szCs w:val="24"/>
          <w:lang w:val="sr-Cyrl-CS"/>
        </w:rPr>
        <w:t xml:space="preserve"> (,,Службени гласник РС”, бр. 135/04, 36/09, 36/09</w:t>
      </w:r>
      <w:r w:rsidR="00FF33CB"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sz w:val="24"/>
          <w:szCs w:val="24"/>
          <w:lang w:val="sr-Cyrl-CS"/>
        </w:rPr>
        <w:t>-</w:t>
      </w:r>
      <w:r w:rsidR="00FF33CB"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sz w:val="24"/>
          <w:szCs w:val="24"/>
          <w:lang w:val="sr-Cyrl-CS"/>
        </w:rPr>
        <w:t>др. закон,  72/09</w:t>
      </w:r>
      <w:r w:rsidR="00FF33CB"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sz w:val="24"/>
          <w:szCs w:val="24"/>
          <w:lang w:val="sr-Cyrl-CS"/>
        </w:rPr>
        <w:t>-</w:t>
      </w:r>
      <w:r w:rsidR="00FF33CB" w:rsidRPr="00644F20">
        <w:rPr>
          <w:rFonts w:ascii="Times New Roman" w:eastAsia="Calibri" w:hAnsi="Times New Roman" w:cs="Times New Roman"/>
          <w:sz w:val="24"/>
          <w:szCs w:val="24"/>
          <w:lang w:val="sr-Cyrl-CS"/>
        </w:rPr>
        <w:t xml:space="preserve"> </w:t>
      </w:r>
      <w:r w:rsidRPr="00644F20">
        <w:rPr>
          <w:rFonts w:ascii="Times New Roman" w:eastAsia="Calibri" w:hAnsi="Times New Roman" w:cs="Times New Roman"/>
          <w:sz w:val="24"/>
          <w:szCs w:val="24"/>
          <w:lang w:val="sr-Cyrl-CS"/>
        </w:rPr>
        <w:t>др. закон, 43/11, 14/16</w:t>
      </w:r>
      <w:r w:rsidR="004D210E" w:rsidRPr="00644F20">
        <w:rPr>
          <w:rFonts w:ascii="Times New Roman" w:eastAsia="Calibri" w:hAnsi="Times New Roman" w:cs="Times New Roman"/>
          <w:sz w:val="24"/>
          <w:szCs w:val="24"/>
          <w:lang w:val="sr-Cyrl-CS"/>
        </w:rPr>
        <w:t xml:space="preserve"> -УС</w:t>
      </w:r>
      <w:r w:rsidRPr="00644F20">
        <w:rPr>
          <w:rFonts w:ascii="Times New Roman" w:eastAsia="Calibri" w:hAnsi="Times New Roman" w:cs="Times New Roman"/>
          <w:sz w:val="24"/>
          <w:szCs w:val="24"/>
          <w:lang w:val="sr-Cyrl-CS"/>
        </w:rPr>
        <w:t>, 76/18, 95/18</w:t>
      </w:r>
      <w:r w:rsidR="00FF33CB" w:rsidRPr="00644F20">
        <w:rPr>
          <w:rFonts w:ascii="Times New Roman" w:eastAsia="Calibri" w:hAnsi="Times New Roman" w:cs="Times New Roman"/>
          <w:sz w:val="24"/>
          <w:szCs w:val="24"/>
          <w:lang w:val="sr-Cyrl-CS"/>
        </w:rPr>
        <w:t xml:space="preserve"> </w:t>
      </w:r>
      <w:r w:rsidR="004D210E" w:rsidRPr="00644F20">
        <w:rPr>
          <w:rFonts w:ascii="Times New Roman" w:eastAsia="Calibri" w:hAnsi="Times New Roman" w:cs="Times New Roman"/>
          <w:sz w:val="24"/>
          <w:szCs w:val="24"/>
          <w:lang w:val="sr-Cyrl-CS"/>
        </w:rPr>
        <w:t>-</w:t>
      </w:r>
      <w:r w:rsidR="00FF33CB" w:rsidRPr="00644F20">
        <w:rPr>
          <w:rFonts w:ascii="Times New Roman" w:eastAsia="Calibri" w:hAnsi="Times New Roman" w:cs="Times New Roman"/>
          <w:sz w:val="24"/>
          <w:szCs w:val="24"/>
          <w:lang w:val="sr-Cyrl-CS"/>
        </w:rPr>
        <w:t xml:space="preserve"> </w:t>
      </w:r>
      <w:r w:rsidR="004D210E" w:rsidRPr="00644F20">
        <w:rPr>
          <w:rFonts w:ascii="Times New Roman" w:eastAsia="Calibri" w:hAnsi="Times New Roman" w:cs="Times New Roman"/>
          <w:sz w:val="24"/>
          <w:szCs w:val="24"/>
          <w:lang w:val="sr-Cyrl-CS"/>
        </w:rPr>
        <w:t>др.закон</w:t>
      </w:r>
      <w:r w:rsidR="00FF33CB" w:rsidRPr="00644F20">
        <w:rPr>
          <w:rFonts w:ascii="Times New Roman" w:eastAsia="Calibri" w:hAnsi="Times New Roman" w:cs="Times New Roman"/>
          <w:sz w:val="24"/>
          <w:szCs w:val="24"/>
          <w:lang w:val="sr-Cyrl-CS"/>
        </w:rPr>
        <w:t xml:space="preserve"> и 95/18 -</w:t>
      </w:r>
      <w:r w:rsidRPr="00644F20">
        <w:rPr>
          <w:rFonts w:ascii="Times New Roman" w:eastAsia="Calibri" w:hAnsi="Times New Roman" w:cs="Times New Roman"/>
          <w:sz w:val="24"/>
          <w:szCs w:val="24"/>
          <w:lang w:val="sr-Cyrl-CS"/>
        </w:rPr>
        <w:t xml:space="preserve"> др. закон) уређује интегрални систем заштите животне средине којим се обезбеђује остваривање права човека на живот и развој у здравој животној средини и уравнотежен однос привредног развоја и животне средине у Републици Србији. Као основна начела заштите животне средине, овим законом су дефинисана, између осталог, начело интегралности, начело превенције и предострожности, начело очувања природних вредности, начело одрживог развоја, начело загађивач плаћа и друго. Овим законом и одговарајућим подзаконским актима су дефинисани сви потребни услови за доделу и одузимање Еко знака који се може доделити за производе који испуњавају критеријуме по питању заштите животне средине, а произведени су на </w:t>
      </w:r>
      <w:r w:rsidR="009F738C" w:rsidRPr="00644F20">
        <w:rPr>
          <w:rFonts w:ascii="Times New Roman" w:eastAsia="Calibri" w:hAnsi="Times New Roman" w:cs="Times New Roman"/>
          <w:sz w:val="24"/>
          <w:szCs w:val="24"/>
          <w:lang w:val="sr-Cyrl-CS"/>
        </w:rPr>
        <w:t>територији Републике Србије. У овом з</w:t>
      </w:r>
      <w:r w:rsidRPr="00644F20">
        <w:rPr>
          <w:rFonts w:ascii="Times New Roman" w:eastAsia="Calibri" w:hAnsi="Times New Roman" w:cs="Times New Roman"/>
          <w:sz w:val="24"/>
          <w:szCs w:val="24"/>
          <w:lang w:val="sr-Cyrl-CS"/>
        </w:rPr>
        <w:t>акону се наводи да се у Републици Србији примењују српски стандарди за систем менаџмента животном средином (SRPS ISO 14001), као и да п</w:t>
      </w:r>
      <w:r w:rsidRPr="00644F20">
        <w:rPr>
          <w:rFonts w:ascii="Times New Roman" w:eastAsia="Times New Roman" w:hAnsi="Times New Roman" w:cs="Times New Roman"/>
          <w:sz w:val="24"/>
          <w:szCs w:val="24"/>
          <w:lang w:val="sr-Cyrl-CS"/>
        </w:rPr>
        <w:t xml:space="preserve">равна лица, предузетници и организације, који имају успостављен систем менаџмента животном средином могу да се укључе у </w:t>
      </w:r>
      <w:r w:rsidRPr="00644F20">
        <w:rPr>
          <w:rFonts w:ascii="Times New Roman" w:eastAsia="Calibri" w:hAnsi="Times New Roman" w:cs="Times New Roman"/>
          <w:sz w:val="24"/>
          <w:szCs w:val="24"/>
          <w:lang w:val="sr-Cyrl-CS"/>
        </w:rPr>
        <w:t xml:space="preserve">систем EMAS. </w:t>
      </w:r>
      <w:r w:rsidR="00FF33CB" w:rsidRPr="00644F20">
        <w:rPr>
          <w:rFonts w:ascii="Times New Roman" w:eastAsia="Calibri" w:hAnsi="Times New Roman" w:cs="Times New Roman"/>
          <w:sz w:val="24"/>
          <w:szCs w:val="24"/>
          <w:lang w:val="sr-Cyrl-CS"/>
        </w:rPr>
        <w:t xml:space="preserve">Овај закон </w:t>
      </w:r>
      <w:r w:rsidRPr="00644F20">
        <w:rPr>
          <w:rFonts w:ascii="Times New Roman" w:eastAsia="Calibri" w:hAnsi="Times New Roman" w:cs="Times New Roman"/>
          <w:sz w:val="24"/>
          <w:szCs w:val="24"/>
          <w:lang w:val="sr-Cyrl-CS"/>
        </w:rPr>
        <w:t xml:space="preserve">даје основу и за подзаконски акт за EMAS који још увек није усвојен. </w:t>
      </w:r>
    </w:p>
    <w:p w14:paraId="25552BCC" w14:textId="77777777" w:rsidR="000202E0" w:rsidRPr="00644F20" w:rsidRDefault="000202E0" w:rsidP="009F738C">
      <w:pPr>
        <w:spacing w:after="60" w:line="276" w:lineRule="auto"/>
        <w:ind w:firstLine="720"/>
        <w:jc w:val="both"/>
        <w:rPr>
          <w:rFonts w:ascii="Times New Roman" w:eastAsia="Calibri" w:hAnsi="Times New Roman" w:cs="Times New Roman"/>
          <w:sz w:val="24"/>
          <w:szCs w:val="24"/>
          <w:lang w:val="sr-Cyrl-CS"/>
        </w:rPr>
      </w:pPr>
    </w:p>
    <w:p w14:paraId="4F7DFE5C" w14:textId="77777777" w:rsidR="000202E0" w:rsidRPr="00644F20" w:rsidRDefault="000202E0" w:rsidP="009F738C">
      <w:pPr>
        <w:spacing w:after="60" w:line="276" w:lineRule="auto"/>
        <w:ind w:firstLine="720"/>
        <w:jc w:val="both"/>
        <w:rPr>
          <w:rFonts w:ascii="Times New Roman" w:eastAsia="Calibri" w:hAnsi="Times New Roman" w:cs="Times New Roman"/>
          <w:sz w:val="24"/>
          <w:szCs w:val="24"/>
          <w:lang w:val="sr-Cyrl-CS"/>
        </w:rPr>
      </w:pPr>
    </w:p>
    <w:p w14:paraId="2F93F3AD" w14:textId="77777777" w:rsidR="00497092" w:rsidRPr="00644F20" w:rsidRDefault="002F45E1" w:rsidP="009F738C">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lastRenderedPageBreak/>
        <w:t>Правилник о ближим условима, критеријумима и поступку за добијање права на коришћење еколошког знака, елементима, изгледу и начину употребе еколошког знака за производе и услуге</w:t>
      </w:r>
      <w:r w:rsidRPr="00644F20">
        <w:rPr>
          <w:rFonts w:ascii="Times New Roman" w:eastAsia="Calibri" w:hAnsi="Times New Roman" w:cs="Times New Roman"/>
          <w:sz w:val="24"/>
          <w:szCs w:val="24"/>
          <w:lang w:val="sr-Cyrl-CS"/>
        </w:rPr>
        <w:t xml:space="preserve"> (,,Службени гласник РС”, број 49/16) је израђен по угледу на Уредбу Европске Комисије 66/2010 о ЕУ Еко знаку.</w:t>
      </w:r>
      <w:r w:rsidR="000202E0" w:rsidRPr="00644F20">
        <w:rPr>
          <w:rFonts w:ascii="Times New Roman" w:eastAsia="Calibri" w:hAnsi="Times New Roman" w:cs="Times New Roman"/>
          <w:sz w:val="24"/>
          <w:szCs w:val="24"/>
          <w:lang w:val="sr-Cyrl-CS"/>
        </w:rPr>
        <w:t xml:space="preserve"> Овај правилник </w:t>
      </w:r>
      <w:r w:rsidRPr="00644F20">
        <w:rPr>
          <w:rFonts w:ascii="Times New Roman" w:eastAsia="Calibri" w:hAnsi="Times New Roman" w:cs="Times New Roman"/>
          <w:sz w:val="24"/>
          <w:szCs w:val="24"/>
          <w:lang w:val="sr-Cyrl-CS"/>
        </w:rPr>
        <w:t xml:space="preserve">садржи тренутно конкретне критеријуме за Еко знак Републике Србије за 26 различитих група производа и услуга. Критеријуми су израђени по угледу на одговарајуће критеријуме за ЕУ Еко знак који су важили у тренутку израде </w:t>
      </w:r>
      <w:r w:rsidR="004B21E5" w:rsidRPr="00644F20">
        <w:rPr>
          <w:rFonts w:ascii="Times New Roman" w:eastAsia="Calibri" w:hAnsi="Times New Roman" w:cs="Times New Roman"/>
          <w:sz w:val="24"/>
          <w:szCs w:val="24"/>
          <w:lang w:val="sr-Cyrl-CS"/>
        </w:rPr>
        <w:t>овог правилника</w:t>
      </w:r>
      <w:r w:rsidRPr="00644F20">
        <w:rPr>
          <w:rFonts w:ascii="Times New Roman" w:eastAsia="Calibri" w:hAnsi="Times New Roman" w:cs="Times New Roman"/>
          <w:sz w:val="24"/>
          <w:szCs w:val="24"/>
          <w:lang w:val="sr-Cyrl-CS"/>
        </w:rPr>
        <w:t xml:space="preserve">. </w:t>
      </w:r>
    </w:p>
    <w:p w14:paraId="59F80F09" w14:textId="77777777" w:rsidR="00497092" w:rsidRPr="00644F20" w:rsidRDefault="002F45E1" w:rsidP="009F738C">
      <w:pPr>
        <w:shd w:val="clear" w:color="auto" w:fill="FFFFFF"/>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bCs/>
          <w:sz w:val="24"/>
          <w:szCs w:val="24"/>
          <w:lang w:val="sr-Cyrl-CS"/>
        </w:rPr>
        <w:t xml:space="preserve">Законом о јавним набавкама </w:t>
      </w:r>
      <w:r w:rsidRPr="00644F20">
        <w:rPr>
          <w:rFonts w:ascii="Times New Roman" w:eastAsia="Calibri" w:hAnsi="Times New Roman" w:cs="Times New Roman"/>
          <w:bCs/>
          <w:sz w:val="24"/>
          <w:szCs w:val="24"/>
          <w:lang w:val="sr-Cyrl-CS"/>
        </w:rPr>
        <w:t xml:space="preserve">(,,Службени гласник РС”, број 91/19) је </w:t>
      </w:r>
      <w:r w:rsidRPr="00644F20">
        <w:rPr>
          <w:rFonts w:ascii="Times New Roman" w:eastAsia="Calibri" w:hAnsi="Times New Roman" w:cs="Times New Roman"/>
          <w:sz w:val="24"/>
          <w:szCs w:val="24"/>
          <w:lang w:val="sr-Cyrl-CS"/>
        </w:rPr>
        <w:t xml:space="preserve">предвиђена могућност набавке добара, услуга и радова са бољим перформансама по животну средину (укључујући и узимање у обзир одговарајућег означавања и успостављеног система менаџмента животном средином), кроз укључивање одговарајућих захтева у техничким спецификацијама, критеријума за доделу уговора, а који се односе на предности у вези са животном средином и укупне трошкове животног циклуса предмета јавне набавке. Посебна пажња је посвећена трошковима животног циклуса што је од великог значаја за разумевање концепта зелених јавних набавки и за саму примену у пракси.  </w:t>
      </w:r>
    </w:p>
    <w:p w14:paraId="1C65A849" w14:textId="77777777" w:rsidR="00497092" w:rsidRPr="00644F20" w:rsidRDefault="002F45E1" w:rsidP="009F738C">
      <w:pPr>
        <w:spacing w:after="120" w:line="276" w:lineRule="auto"/>
        <w:ind w:firstLine="720"/>
        <w:jc w:val="both"/>
        <w:rPr>
          <w:rFonts w:ascii="Cambria" w:eastAsia="Arial Unicode MS" w:hAnsi="Cambria" w:cs="Arial Unicode MS"/>
          <w:sz w:val="24"/>
          <w:szCs w:val="24"/>
          <w:u w:color="000000"/>
          <w:lang w:val="sr-Cyrl-CS"/>
        </w:rPr>
      </w:pPr>
      <w:r w:rsidRPr="00644F20">
        <w:rPr>
          <w:rFonts w:ascii="Times New Roman" w:eastAsia="Arial Unicode MS" w:hAnsi="Times New Roman" w:cs="Times New Roman"/>
          <w:b/>
          <w:bCs/>
          <w:sz w:val="24"/>
          <w:szCs w:val="24"/>
          <w:u w:color="000000"/>
          <w:lang w:val="sr-Cyrl-CS"/>
        </w:rPr>
        <w:t xml:space="preserve">Законом о јавно-приватном партнерству и концесијама </w:t>
      </w:r>
      <w:r w:rsidRPr="00644F20">
        <w:rPr>
          <w:rFonts w:ascii="Times New Roman" w:eastAsia="Arial Unicode MS" w:hAnsi="Times New Roman" w:cs="Times New Roman"/>
          <w:bCs/>
          <w:sz w:val="24"/>
          <w:szCs w:val="24"/>
          <w:u w:color="000000"/>
          <w:lang w:val="sr-Cyrl-CS"/>
        </w:rPr>
        <w:t>(,,Службени гласник РС”, бр. 88/11, 15/16 и 104/16)</w:t>
      </w:r>
      <w:r w:rsidRPr="00644F20">
        <w:rPr>
          <w:rFonts w:ascii="Times New Roman" w:eastAsia="Arial Unicode MS" w:hAnsi="Times New Roman" w:cs="Times New Roman"/>
          <w:sz w:val="24"/>
          <w:szCs w:val="24"/>
          <w:u w:color="000000"/>
          <w:lang w:val="sr-Cyrl-CS"/>
        </w:rPr>
        <w:t xml:space="preserve"> су уређени између осталог: услови и начин израде, предлагања и одобравања пројеката јавно-приватног партнерства; права и обавезе јавних и приватних партнера; услови и начин давања концесије. Кроз одговарајуће чланове закона су укључени и елементи који су релевантни за </w:t>
      </w:r>
      <w:r w:rsidR="005D74AC" w:rsidRPr="00644F20">
        <w:rPr>
          <w:rFonts w:ascii="Times New Roman" w:eastAsia="Arial Unicode MS" w:hAnsi="Times New Roman" w:cs="Times New Roman"/>
          <w:sz w:val="24"/>
          <w:szCs w:val="24"/>
          <w:u w:color="000000"/>
          <w:lang w:val="sr-Cyrl-CS"/>
        </w:rPr>
        <w:t>ЗеЈН</w:t>
      </w:r>
      <w:r w:rsidRPr="00644F20">
        <w:rPr>
          <w:rFonts w:ascii="Times New Roman" w:eastAsia="Arial Unicode MS" w:hAnsi="Times New Roman" w:cs="Times New Roman"/>
          <w:sz w:val="24"/>
          <w:szCs w:val="24"/>
          <w:u w:color="000000"/>
          <w:lang w:val="sr-Cyrl-CS"/>
        </w:rPr>
        <w:t xml:space="preserve"> (начело заштите животне средине, захтеви у области заштите животне средине у вези са јавно-приватним партнерствима и концесионим делатностима).</w:t>
      </w:r>
      <w:r w:rsidRPr="00644F20">
        <w:rPr>
          <w:rFonts w:ascii="Cambria" w:eastAsia="Yu Gothic Light" w:hAnsi="Cambria" w:cs="Times New Roman"/>
          <w:b/>
          <w:bCs/>
          <w:sz w:val="24"/>
          <w:szCs w:val="24"/>
          <w:u w:color="000000"/>
          <w:lang w:val="sr-Cyrl-CS"/>
        </w:rPr>
        <w:t xml:space="preserve"> </w:t>
      </w:r>
    </w:p>
    <w:p w14:paraId="02F5AE19" w14:textId="77777777" w:rsidR="00497092" w:rsidRPr="00644F20" w:rsidRDefault="002F45E1" w:rsidP="004D210E">
      <w:pPr>
        <w:autoSpaceDE w:val="0"/>
        <w:autoSpaceDN w:val="0"/>
        <w:adjustRightInd w:val="0"/>
        <w:spacing w:after="120" w:line="276" w:lineRule="auto"/>
        <w:ind w:firstLine="720"/>
        <w:jc w:val="both"/>
        <w:rPr>
          <w:rFonts w:ascii="Times New Roman" w:eastAsia="Calibri" w:hAnsi="Times New Roman" w:cs="Times New Roman"/>
          <w:b/>
          <w:sz w:val="24"/>
          <w:szCs w:val="24"/>
          <w:lang w:val="sr-Cyrl-CS"/>
        </w:rPr>
      </w:pPr>
      <w:r w:rsidRPr="00644F20">
        <w:rPr>
          <w:rFonts w:ascii="Times New Roman" w:eastAsia="Calibri" w:hAnsi="Times New Roman" w:cs="Times New Roman"/>
          <w:b/>
          <w:sz w:val="24"/>
          <w:szCs w:val="24"/>
          <w:lang w:val="sr-Cyrl-CS"/>
        </w:rPr>
        <w:t xml:space="preserve">Законом о иновационој делатности </w:t>
      </w:r>
      <w:r w:rsidRPr="00644F20">
        <w:rPr>
          <w:rFonts w:ascii="Times New Roman" w:eastAsia="Calibri" w:hAnsi="Times New Roman" w:cs="Times New Roman"/>
          <w:sz w:val="24"/>
          <w:szCs w:val="24"/>
          <w:lang w:val="sr-Cyrl-CS"/>
        </w:rPr>
        <w:t xml:space="preserve">(,,Службени гласник РС”, број 129/21) уређују се основна начела, циљеви и организација примене научних сазнања, техничких и технолошких знања, инвентивности и проналазаштва, у функцији стварања и реализације, у односу на постојећу техничко-технолошку основу, нових и побољшаних производа, процеса и услуга, као покретача развоја Републике Србије. Иако директно не прописује развој и примену циркуларне економије, примена овог закона омогућава подршку развоју иновација. Стога он представља основ за подстицајне мере и из области циркуларне економије. </w:t>
      </w:r>
    </w:p>
    <w:p w14:paraId="2624A3B0" w14:textId="77777777" w:rsidR="00497092" w:rsidRPr="00644F20" w:rsidRDefault="002F45E1" w:rsidP="004D210E">
      <w:pPr>
        <w:spacing w:after="120" w:line="276" w:lineRule="auto"/>
        <w:ind w:firstLine="720"/>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
          <w:sz w:val="24"/>
          <w:szCs w:val="24"/>
          <w:lang w:val="sr-Cyrl-CS"/>
        </w:rPr>
        <w:t xml:space="preserve">Закон о планирању и изградњи </w:t>
      </w:r>
      <w:r w:rsidRPr="00644F20">
        <w:rPr>
          <w:rFonts w:ascii="Times New Roman" w:eastAsia="Calibri" w:hAnsi="Times New Roman" w:cs="Times New Roman"/>
          <w:sz w:val="24"/>
          <w:szCs w:val="24"/>
          <w:lang w:val="sr-Cyrl-CS"/>
        </w:rPr>
        <w:t xml:space="preserve">(,,Службени гласник РС”, бр. </w:t>
      </w:r>
      <w:r w:rsidRPr="00644F20">
        <w:rPr>
          <w:rFonts w:ascii="Times New Roman" w:eastAsia="Calibri" w:hAnsi="Times New Roman" w:cs="Times New Roman"/>
          <w:bCs/>
          <w:sz w:val="24"/>
          <w:szCs w:val="24"/>
          <w:lang w:val="sr-Cyrl-CS"/>
        </w:rPr>
        <w:t>72/09, 81/09-исправка, 64/1</w:t>
      </w:r>
      <w:r w:rsidR="00EE58FE">
        <w:rPr>
          <w:rFonts w:ascii="Times New Roman" w:eastAsia="Calibri" w:hAnsi="Times New Roman" w:cs="Times New Roman"/>
          <w:bCs/>
          <w:sz w:val="24"/>
          <w:szCs w:val="24"/>
          <w:lang w:val="sr-Cyrl-CS"/>
        </w:rPr>
        <w:t xml:space="preserve">0 –УС, 24/11, 121/12, 42/13 –УС, </w:t>
      </w:r>
      <w:r w:rsidRPr="00644F20">
        <w:rPr>
          <w:rFonts w:ascii="Times New Roman" w:eastAsia="Calibri" w:hAnsi="Times New Roman" w:cs="Times New Roman"/>
          <w:bCs/>
          <w:sz w:val="24"/>
          <w:szCs w:val="24"/>
          <w:lang w:val="sr-Cyrl-CS"/>
        </w:rPr>
        <w:t>50/13 –УС, 98/13 –УС, 132/14, 145/14, 83/18, 31/19, 37/19, 9/20 и 52/21)</w:t>
      </w:r>
      <w:r w:rsidRPr="00644F20">
        <w:rPr>
          <w:lang w:val="sr-Cyrl-CS"/>
        </w:rPr>
        <w:t xml:space="preserve"> </w:t>
      </w:r>
      <w:r w:rsidRPr="00644F20">
        <w:rPr>
          <w:rFonts w:ascii="Times New Roman" w:eastAsia="Calibri" w:hAnsi="Times New Roman" w:cs="Times New Roman"/>
          <w:bCs/>
          <w:sz w:val="24"/>
          <w:szCs w:val="24"/>
          <w:lang w:val="sr-Cyrl-CS"/>
        </w:rPr>
        <w:t>уређује услове и начин уређења простора, уређивање и коришћење грађевинског земљишта и изградњу објеката; вршење надзора над применом одредаба овог закона и инспекцијски надзор; друга питања од значаја за уређење простора, уређивање и коришћење грађевинског земљишта и за изградњу објеката.</w:t>
      </w:r>
    </w:p>
    <w:p w14:paraId="66A87007" w14:textId="77777777" w:rsidR="00497092" w:rsidRPr="00644F20" w:rsidRDefault="004D210E">
      <w:pPr>
        <w:widowControl w:val="0"/>
        <w:tabs>
          <w:tab w:val="left" w:pos="0"/>
          <w:tab w:val="left" w:pos="527"/>
        </w:tabs>
        <w:spacing w:after="60" w:line="276" w:lineRule="auto"/>
        <w:jc w:val="both"/>
        <w:rPr>
          <w:rFonts w:ascii="Times New Roman" w:eastAsia="Times New Roman" w:hAnsi="Times New Roman" w:cs="Times New Roman"/>
          <w:bCs/>
          <w:sz w:val="24"/>
          <w:szCs w:val="24"/>
          <w:lang w:val="sr-Cyrl-CS" w:eastAsia="de-DE"/>
        </w:rPr>
      </w:pPr>
      <w:r w:rsidRPr="00644F20">
        <w:rPr>
          <w:rFonts w:ascii="Times New Roman" w:eastAsia="Times New Roman" w:hAnsi="Times New Roman" w:cs="Times New Roman"/>
          <w:b/>
          <w:sz w:val="24"/>
          <w:szCs w:val="24"/>
          <w:lang w:val="sr-Cyrl-CS" w:eastAsia="de-DE"/>
        </w:rPr>
        <w:tab/>
      </w:r>
      <w:r w:rsidR="002F45E1" w:rsidRPr="00644F20">
        <w:rPr>
          <w:rFonts w:ascii="Times New Roman" w:eastAsia="Times New Roman" w:hAnsi="Times New Roman" w:cs="Times New Roman"/>
          <w:b/>
          <w:sz w:val="24"/>
          <w:szCs w:val="24"/>
          <w:lang w:val="sr-Cyrl-CS" w:eastAsia="de-DE"/>
        </w:rPr>
        <w:t xml:space="preserve">Закон о комуналним делатностима </w:t>
      </w:r>
      <w:r w:rsidR="002F45E1" w:rsidRPr="00644F20">
        <w:rPr>
          <w:rFonts w:ascii="Times New Roman" w:eastAsia="Times New Roman" w:hAnsi="Times New Roman" w:cs="Times New Roman"/>
          <w:sz w:val="24"/>
          <w:szCs w:val="24"/>
          <w:lang w:val="sr-Cyrl-CS" w:eastAsia="de-DE"/>
        </w:rPr>
        <w:t xml:space="preserve">(,,Службени гласник РС”, бр. </w:t>
      </w:r>
      <w:r w:rsidR="002F45E1" w:rsidRPr="00644F20">
        <w:rPr>
          <w:rFonts w:ascii="Times New Roman" w:eastAsia="Times New Roman" w:hAnsi="Times New Roman" w:cs="Times New Roman"/>
          <w:bCs/>
          <w:sz w:val="24"/>
          <w:szCs w:val="24"/>
          <w:lang w:val="sr-Cyrl-CS" w:eastAsia="de-DE"/>
        </w:rPr>
        <w:t>88/11, 104/16 и 95/18) утврђује комуналне услуге и уређује опште услове и начин њиховог пружања, омогућава организовање и пружање комуналних услуга за две или више општина и/или градовa, под условима предвиђеним законом и споразумима између скупштина општина.</w:t>
      </w:r>
    </w:p>
    <w:p w14:paraId="66DEAC42" w14:textId="77777777" w:rsidR="00A755F3" w:rsidRPr="00644F20" w:rsidRDefault="00A755F3">
      <w:pPr>
        <w:widowControl w:val="0"/>
        <w:tabs>
          <w:tab w:val="left" w:pos="0"/>
          <w:tab w:val="left" w:pos="527"/>
        </w:tabs>
        <w:spacing w:after="60" w:line="276" w:lineRule="auto"/>
        <w:jc w:val="both"/>
        <w:rPr>
          <w:rFonts w:ascii="Times New Roman" w:eastAsia="Times New Roman" w:hAnsi="Times New Roman" w:cs="Times New Roman"/>
          <w:bCs/>
          <w:sz w:val="24"/>
          <w:szCs w:val="24"/>
          <w:lang w:val="sr-Cyrl-CS" w:eastAsia="de-DE"/>
        </w:rPr>
      </w:pPr>
    </w:p>
    <w:p w14:paraId="07835984" w14:textId="77777777" w:rsidR="00A755F3" w:rsidRPr="00644F20" w:rsidRDefault="00A755F3">
      <w:pPr>
        <w:widowControl w:val="0"/>
        <w:tabs>
          <w:tab w:val="left" w:pos="0"/>
          <w:tab w:val="left" w:pos="527"/>
        </w:tabs>
        <w:spacing w:after="60" w:line="276" w:lineRule="auto"/>
        <w:jc w:val="both"/>
        <w:rPr>
          <w:rFonts w:ascii="Times New Roman" w:eastAsia="Times New Roman" w:hAnsi="Times New Roman" w:cs="Times New Roman"/>
          <w:bCs/>
          <w:sz w:val="24"/>
          <w:szCs w:val="24"/>
          <w:lang w:val="sr-Cyrl-CS" w:eastAsia="de-DE"/>
        </w:rPr>
      </w:pPr>
    </w:p>
    <w:p w14:paraId="550DC1E4" w14:textId="77777777" w:rsidR="00A755F3" w:rsidRPr="00644F20" w:rsidRDefault="00A755F3">
      <w:pPr>
        <w:widowControl w:val="0"/>
        <w:tabs>
          <w:tab w:val="left" w:pos="0"/>
          <w:tab w:val="left" w:pos="527"/>
        </w:tabs>
        <w:spacing w:after="60" w:line="276" w:lineRule="auto"/>
        <w:jc w:val="both"/>
        <w:rPr>
          <w:rFonts w:ascii="Times New Roman" w:eastAsia="Times New Roman" w:hAnsi="Times New Roman" w:cs="Times New Roman"/>
          <w:bCs/>
          <w:sz w:val="24"/>
          <w:szCs w:val="24"/>
          <w:lang w:val="sr-Cyrl-CS" w:eastAsia="de-DE"/>
        </w:rPr>
      </w:pPr>
    </w:p>
    <w:p w14:paraId="0BD436BA" w14:textId="77777777" w:rsidR="00A755F3" w:rsidRPr="00644F20" w:rsidRDefault="00A755F3">
      <w:pPr>
        <w:widowControl w:val="0"/>
        <w:tabs>
          <w:tab w:val="left" w:pos="0"/>
          <w:tab w:val="left" w:pos="527"/>
        </w:tabs>
        <w:spacing w:after="60" w:line="276" w:lineRule="auto"/>
        <w:jc w:val="both"/>
        <w:rPr>
          <w:rFonts w:ascii="Times New Roman" w:eastAsia="Times New Roman" w:hAnsi="Times New Roman" w:cs="Times New Roman"/>
          <w:bCs/>
          <w:sz w:val="24"/>
          <w:szCs w:val="24"/>
          <w:lang w:val="sr-Cyrl-CS" w:eastAsia="de-DE"/>
        </w:rPr>
      </w:pPr>
    </w:p>
    <w:p w14:paraId="67442A73" w14:textId="77777777" w:rsidR="00497092" w:rsidRPr="00644F20" w:rsidRDefault="00340D26">
      <w:pPr>
        <w:widowControl w:val="0"/>
        <w:tabs>
          <w:tab w:val="left" w:pos="0"/>
          <w:tab w:val="left" w:pos="527"/>
        </w:tabs>
        <w:spacing w:after="60" w:line="276" w:lineRule="auto"/>
        <w:jc w:val="both"/>
        <w:rPr>
          <w:rFonts w:ascii="Times New Roman" w:eastAsia="Times New Roman" w:hAnsi="Times New Roman" w:cs="Times New Roman"/>
          <w:sz w:val="24"/>
          <w:szCs w:val="24"/>
          <w:lang w:val="sr-Cyrl-CS" w:eastAsia="de-DE"/>
        </w:rPr>
      </w:pPr>
      <w:r w:rsidRPr="00644F20">
        <w:rPr>
          <w:rFonts w:ascii="Times New Roman" w:eastAsia="Times New Roman" w:hAnsi="Times New Roman" w:cs="Times New Roman"/>
          <w:b/>
          <w:bCs/>
          <w:sz w:val="24"/>
          <w:szCs w:val="24"/>
          <w:lang w:val="sr-Cyrl-CS" w:eastAsia="de-DE"/>
        </w:rPr>
        <w:lastRenderedPageBreak/>
        <w:tab/>
      </w:r>
      <w:r w:rsidR="002F45E1" w:rsidRPr="00644F20">
        <w:rPr>
          <w:rFonts w:ascii="Times New Roman" w:eastAsia="Times New Roman" w:hAnsi="Times New Roman" w:cs="Times New Roman"/>
          <w:b/>
          <w:bCs/>
          <w:sz w:val="24"/>
          <w:szCs w:val="24"/>
          <w:lang w:val="sr-Cyrl-CS" w:eastAsia="de-DE"/>
        </w:rPr>
        <w:t xml:space="preserve">Закон о локалној самоуправи </w:t>
      </w:r>
      <w:r w:rsidR="00813839" w:rsidRPr="00644F20">
        <w:rPr>
          <w:rFonts w:ascii="Times New Roman" w:eastAsia="Times New Roman" w:hAnsi="Times New Roman" w:cs="Times New Roman"/>
          <w:sz w:val="24"/>
          <w:szCs w:val="24"/>
          <w:lang w:val="sr-Cyrl-CS" w:eastAsia="de-DE"/>
        </w:rPr>
        <w:t>(,,Службени гласник РС”, бр.</w:t>
      </w:r>
      <w:r w:rsidR="00A755F3" w:rsidRPr="00644F20">
        <w:rPr>
          <w:rFonts w:ascii="Times New Roman" w:eastAsia="Times New Roman" w:hAnsi="Times New Roman" w:cs="Times New Roman"/>
          <w:sz w:val="24"/>
          <w:szCs w:val="24"/>
          <w:lang w:val="sr-Cyrl-CS" w:eastAsia="de-DE"/>
        </w:rPr>
        <w:t xml:space="preserve"> 129/07, 83/14-</w:t>
      </w:r>
      <w:r w:rsidR="002F45E1" w:rsidRPr="00644F20">
        <w:rPr>
          <w:rFonts w:ascii="Times New Roman" w:eastAsia="Times New Roman" w:hAnsi="Times New Roman" w:cs="Times New Roman"/>
          <w:sz w:val="24"/>
          <w:szCs w:val="24"/>
          <w:lang w:val="sr-Cyrl-CS" w:eastAsia="de-DE"/>
        </w:rPr>
        <w:t xml:space="preserve">др. закон, 101/16-др. закон, 47/18 и 111/21-др. закон) прописује права и одговорности </w:t>
      </w:r>
      <w:r w:rsidR="00C40C94" w:rsidRPr="00644F20">
        <w:rPr>
          <w:rFonts w:ascii="Times New Roman" w:eastAsia="Times New Roman" w:hAnsi="Times New Roman" w:cs="Times New Roman"/>
          <w:sz w:val="24"/>
          <w:szCs w:val="24"/>
          <w:lang w:val="sr-Cyrl-CS" w:eastAsia="de-DE"/>
        </w:rPr>
        <w:t>ЈЛС</w:t>
      </w:r>
      <w:r w:rsidR="002F45E1" w:rsidRPr="00644F20">
        <w:rPr>
          <w:rFonts w:ascii="Times New Roman" w:eastAsia="Times New Roman" w:hAnsi="Times New Roman" w:cs="Times New Roman"/>
          <w:sz w:val="24"/>
          <w:szCs w:val="24"/>
          <w:lang w:val="sr-Cyrl-CS" w:eastAsia="de-DE"/>
        </w:rPr>
        <w:t xml:space="preserve"> утврђене Уставом, законом, другим прописом и статутом (кључне и поверене послове), могућност сарадње и удруживања јединица локалне самоуправе ради остваривања заједничких циљева, планова и развојних програма, као и других послова од заједничког интереса.</w:t>
      </w:r>
    </w:p>
    <w:p w14:paraId="3D1D766A" w14:textId="77777777" w:rsidR="00497092" w:rsidRPr="00644F20" w:rsidRDefault="002F45E1">
      <w:pPr>
        <w:keepNext/>
        <w:keepLines/>
        <w:spacing w:before="480" w:after="360" w:line="276" w:lineRule="auto"/>
        <w:outlineLvl w:val="0"/>
        <w:rPr>
          <w:rFonts w:ascii="Times New Roman" w:eastAsiaTheme="majorEastAsia" w:hAnsi="Times New Roman" w:cstheme="majorBidi"/>
          <w:b/>
          <w:bCs/>
          <w:sz w:val="32"/>
          <w:szCs w:val="32"/>
          <w:lang w:val="sr-Cyrl-CS"/>
        </w:rPr>
      </w:pPr>
      <w:bookmarkStart w:id="7" w:name="_Toc93923060"/>
      <w:r w:rsidRPr="00644F20">
        <w:rPr>
          <w:rFonts w:ascii="Times New Roman" w:eastAsiaTheme="majorEastAsia" w:hAnsi="Times New Roman" w:cstheme="majorBidi"/>
          <w:b/>
          <w:bCs/>
          <w:sz w:val="32"/>
          <w:szCs w:val="32"/>
          <w:lang w:val="sr-Cyrl-CS"/>
        </w:rPr>
        <w:t>3. ПРЕГЛЕД И АНАЛИЗА ПОСТОЈЕЋЕГ СТАЊА</w:t>
      </w:r>
      <w:bookmarkEnd w:id="7"/>
      <w:r w:rsidRPr="00644F20">
        <w:rPr>
          <w:rFonts w:ascii="Times New Roman" w:eastAsiaTheme="majorEastAsia" w:hAnsi="Times New Roman" w:cstheme="majorBidi"/>
          <w:b/>
          <w:bCs/>
          <w:sz w:val="32"/>
          <w:szCs w:val="32"/>
          <w:lang w:val="sr-Cyrl-CS"/>
        </w:rPr>
        <w:t xml:space="preserve"> </w:t>
      </w:r>
    </w:p>
    <w:p w14:paraId="2E5484EB" w14:textId="77777777" w:rsidR="00497092" w:rsidRPr="00644F20" w:rsidRDefault="002F45E1">
      <w:pPr>
        <w:keepNext/>
        <w:keepLines/>
        <w:spacing w:before="360" w:after="120"/>
        <w:outlineLvl w:val="1"/>
        <w:rPr>
          <w:rFonts w:ascii="Times New Roman" w:eastAsiaTheme="majorEastAsia" w:hAnsi="Times New Roman" w:cs="Times New Roman"/>
          <w:b/>
          <w:bCs/>
          <w:sz w:val="28"/>
          <w:szCs w:val="28"/>
          <w:lang w:val="sr-Cyrl-CS"/>
        </w:rPr>
      </w:pPr>
      <w:bookmarkStart w:id="8" w:name="_Toc93923061"/>
      <w:r w:rsidRPr="00644F20">
        <w:rPr>
          <w:rFonts w:ascii="Times New Roman" w:eastAsiaTheme="majorEastAsia" w:hAnsi="Times New Roman" w:cs="Times New Roman"/>
          <w:b/>
          <w:bCs/>
          <w:sz w:val="28"/>
          <w:szCs w:val="28"/>
          <w:lang w:val="sr-Cyrl-CS"/>
        </w:rPr>
        <w:t>3.1. Преглед постојећег стања</w:t>
      </w:r>
      <w:bookmarkEnd w:id="8"/>
    </w:p>
    <w:p w14:paraId="7B7BFEFD" w14:textId="77777777" w:rsidR="00497092" w:rsidRPr="00644F20" w:rsidRDefault="002F45E1" w:rsidP="00340D26">
      <w:pPr>
        <w:spacing w:after="60" w:line="276" w:lineRule="auto"/>
        <w:ind w:firstLine="720"/>
        <w:jc w:val="both"/>
        <w:rPr>
          <w:rFonts w:ascii="Times New Roman" w:hAnsi="Times New Roman" w:cs="Times New Roman"/>
          <w:sz w:val="24"/>
          <w:szCs w:val="24"/>
          <w:lang w:val="sr-Cyrl-CS"/>
        </w:rPr>
      </w:pPr>
      <w:r w:rsidRPr="00644F20">
        <w:rPr>
          <w:rFonts w:ascii="Times New Roman" w:eastAsia="Calibri" w:hAnsi="Times New Roman" w:cs="Times New Roman"/>
          <w:bCs/>
          <w:sz w:val="24"/>
          <w:szCs w:val="24"/>
          <w:lang w:val="sr-Cyrl-CS"/>
        </w:rPr>
        <w:t xml:space="preserve">Транзиција ка циркуларној економији захтева </w:t>
      </w:r>
      <w:r w:rsidRPr="00644F20">
        <w:rPr>
          <w:rFonts w:ascii="Times New Roman" w:hAnsi="Times New Roman" w:cs="Times New Roman"/>
          <w:sz w:val="24"/>
          <w:szCs w:val="24"/>
          <w:lang w:val="sr-Cyrl-CS"/>
        </w:rPr>
        <w:t xml:space="preserve">суштинске промене у начину на који се планирају и реализују производне активности, односно начину на који се производи планирају, пројектују, израђују и користе. Такође, она захтева промену начина на који се друштво односи према потребама и ставља акценат на нове вредности производа и услуга, као што су очување ресурса и заштита животне средине. </w:t>
      </w:r>
    </w:p>
    <w:p w14:paraId="5EF22506" w14:textId="77777777" w:rsidR="00497092" w:rsidRPr="00644F20" w:rsidRDefault="002F45E1" w:rsidP="00340D26">
      <w:pPr>
        <w:spacing w:after="60" w:line="276" w:lineRule="auto"/>
        <w:ind w:firstLine="720"/>
        <w:jc w:val="both"/>
        <w:rPr>
          <w:rFonts w:ascii="Times New Roman" w:eastAsia="Calibri" w:hAnsi="Times New Roman" w:cs="Times New Roman"/>
          <w:bCs/>
          <w:sz w:val="24"/>
          <w:szCs w:val="24"/>
          <w:lang w:val="sr-Cyrl-CS"/>
        </w:rPr>
      </w:pPr>
      <w:r w:rsidRPr="00644F20">
        <w:rPr>
          <w:rFonts w:ascii="Times New Roman" w:hAnsi="Times New Roman" w:cs="Times New Roman"/>
          <w:sz w:val="24"/>
          <w:szCs w:val="24"/>
          <w:lang w:val="sr-Cyrl-CS"/>
        </w:rPr>
        <w:t xml:space="preserve">За остваривање циркуларности у привреди неопходан је развој адекватних пословних модела, заснованих на иновацијама, који ће </w:t>
      </w:r>
      <w:r w:rsidRPr="00644F20">
        <w:rPr>
          <w:rFonts w:ascii="Times New Roman" w:eastAsia="Calibri" w:hAnsi="Times New Roman" w:cs="Times New Roman"/>
          <w:bCs/>
          <w:sz w:val="24"/>
          <w:szCs w:val="24"/>
          <w:lang w:val="sr-Cyrl-CS"/>
        </w:rPr>
        <w:t xml:space="preserve">одговорити будућим захтевима </w:t>
      </w:r>
      <w:r w:rsidRPr="00644F20">
        <w:rPr>
          <w:rFonts w:ascii="Times New Roman" w:hAnsi="Times New Roman" w:cs="Times New Roman"/>
          <w:sz w:val="24"/>
          <w:szCs w:val="24"/>
          <w:lang w:val="sr-Cyrl-CS"/>
        </w:rPr>
        <w:t xml:space="preserve">потрошача и корисника услуга на домаћем и међународном тржишту, као што су примена циркуларног дизајна производа, </w:t>
      </w:r>
      <w:r w:rsidRPr="00644F20">
        <w:rPr>
          <w:rFonts w:ascii="Times New Roman" w:eastAsia="Calibri" w:hAnsi="Times New Roman" w:cs="Times New Roman"/>
          <w:bCs/>
          <w:sz w:val="24"/>
          <w:szCs w:val="24"/>
          <w:lang w:val="sr-Cyrl-CS"/>
        </w:rPr>
        <w:t xml:space="preserve">продужени животни век производа, поновна употреба и поправка производа, </w:t>
      </w:r>
      <w:r w:rsidRPr="00644F20">
        <w:rPr>
          <w:rFonts w:ascii="Times New Roman" w:hAnsi="Times New Roman" w:cs="Times New Roman"/>
          <w:sz w:val="24"/>
          <w:szCs w:val="24"/>
          <w:lang w:val="sr-Cyrl-CS"/>
        </w:rPr>
        <w:t>могућност рециклаже материјала и др. Такви пословни модели првенствено морају да омогуће привредим субјектима да остваре свој примарни циљ - стварање профита и повећање конкуре</w:t>
      </w:r>
      <w:r w:rsidR="00644F20">
        <w:rPr>
          <w:rFonts w:ascii="Times New Roman" w:hAnsi="Times New Roman" w:cs="Times New Roman"/>
          <w:sz w:val="24"/>
          <w:szCs w:val="24"/>
          <w:lang w:val="sr-Cyrl-CS"/>
        </w:rPr>
        <w:t>н</w:t>
      </w:r>
      <w:r w:rsidRPr="00644F20">
        <w:rPr>
          <w:rFonts w:ascii="Times New Roman" w:hAnsi="Times New Roman" w:cs="Times New Roman"/>
          <w:sz w:val="24"/>
          <w:szCs w:val="24"/>
          <w:lang w:val="sr-Cyrl-CS"/>
        </w:rPr>
        <w:t xml:space="preserve">тности. С друге стране, даљи развој инфраструктуре и функционисање локалних заједница треба ускладити са принципима циркуларне економије. Тако нешто </w:t>
      </w:r>
      <w:r w:rsidRPr="00644F20">
        <w:rPr>
          <w:rFonts w:ascii="Times New Roman" w:eastAsia="Calibri" w:hAnsi="Times New Roman" w:cs="Times New Roman"/>
          <w:bCs/>
          <w:sz w:val="24"/>
          <w:szCs w:val="24"/>
          <w:lang w:val="sr-Cyrl-CS"/>
        </w:rPr>
        <w:t>захтева мултидисциплинаран приступ и сарадњу доносиоца одлука, привредних субјеката, научноистраживачких организација и организација цивилног друштва на новом, вишем, нивоу, као и размену поузданих информација, да би се што боље идентификовали потенцијали и изазови на том путу и пронашла адекватна решења.</w:t>
      </w:r>
    </w:p>
    <w:p w14:paraId="0A832D6D" w14:textId="77777777" w:rsidR="00497092" w:rsidRPr="00644F20" w:rsidRDefault="002F45E1" w:rsidP="00340D26">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Сходно наведеном, неопходно је </w:t>
      </w:r>
      <w:r w:rsidRPr="00644F20">
        <w:rPr>
          <w:rFonts w:ascii="Times New Roman" w:eastAsia="Calibri" w:hAnsi="Times New Roman" w:cs="Times New Roman"/>
          <w:bCs/>
          <w:sz w:val="24"/>
          <w:szCs w:val="24"/>
          <w:lang w:val="sr-Cyrl-CS"/>
        </w:rPr>
        <w:t xml:space="preserve">сагледати постојеће стање привреде и друштва у Републици Србији, како би се дефинисале </w:t>
      </w:r>
      <w:r w:rsidRPr="00644F20">
        <w:rPr>
          <w:rFonts w:ascii="Times New Roman" w:hAnsi="Times New Roman" w:cs="Times New Roman"/>
          <w:sz w:val="24"/>
          <w:szCs w:val="24"/>
          <w:lang w:val="sr-Cyrl-CS"/>
        </w:rPr>
        <w:t xml:space="preserve">приоритетне мере и активности којима ће се отворити пут ка усвајању принципа циркуларне економије, и поставили темељи за развој одрживе и конкурентне националне привреде засноване на том концепту. </w:t>
      </w:r>
    </w:p>
    <w:p w14:paraId="657264B2"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9" w:name="_Toc93923062"/>
      <w:r w:rsidRPr="00644F20">
        <w:rPr>
          <w:rFonts w:ascii="Times New Roman" w:eastAsiaTheme="majorEastAsia" w:hAnsi="Times New Roman" w:cstheme="majorBidi"/>
          <w:b/>
          <w:bCs/>
          <w:sz w:val="26"/>
          <w:szCs w:val="26"/>
          <w:lang w:val="sr-Cyrl-CS"/>
        </w:rPr>
        <w:t>3.1.1. Природни ресурси</w:t>
      </w:r>
      <w:bookmarkEnd w:id="9"/>
    </w:p>
    <w:p w14:paraId="708DE00C" w14:textId="77777777" w:rsidR="00497092" w:rsidRPr="00644F20" w:rsidRDefault="002F45E1" w:rsidP="00340D26">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Најзначајнији природни ресурси Републике Србије су воде, шуме и пољопривредно земљиште. Такође, Република Србија располаже сировинском базом металичних и неметаличних минералних сировина као и енергетских минералних сировина (угаљ, нафта, природни гас). </w:t>
      </w:r>
    </w:p>
    <w:p w14:paraId="0DD90EF8" w14:textId="77777777" w:rsidR="00497092" w:rsidRPr="00644F20" w:rsidRDefault="002F45E1" w:rsidP="00C40C94">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погледу расположивости </w:t>
      </w:r>
      <w:r w:rsidRPr="00644F20">
        <w:rPr>
          <w:rFonts w:ascii="Times New Roman" w:hAnsi="Times New Roman" w:cs="Times New Roman"/>
          <w:b/>
          <w:sz w:val="24"/>
          <w:szCs w:val="24"/>
          <w:lang w:val="sr-Cyrl-CS"/>
        </w:rPr>
        <w:t>водних ресурса</w:t>
      </w:r>
      <w:r w:rsidRPr="00644F20">
        <w:rPr>
          <w:rFonts w:ascii="Times New Roman" w:hAnsi="Times New Roman" w:cs="Times New Roman"/>
          <w:sz w:val="24"/>
          <w:szCs w:val="24"/>
          <w:lang w:val="sr-Cyrl-CS"/>
        </w:rPr>
        <w:t>, макроскопски гледано Република Србија још увек располаже са довољном количином воде. Просечна вредност индекса експлоатације воде (WEI) на националном нивоу за период 2008-2017. године је ниска и износи 2,69%</w:t>
      </w:r>
      <w:r w:rsidRPr="00644F20">
        <w:rPr>
          <w:rFonts w:ascii="Times New Roman" w:hAnsi="Times New Roman"/>
          <w:sz w:val="24"/>
          <w:vertAlign w:val="superscript"/>
          <w:lang w:val="sr-Cyrl-CS"/>
        </w:rPr>
        <w:footnoteReference w:id="1"/>
      </w:r>
      <w:r w:rsidRPr="00644F20">
        <w:rPr>
          <w:rFonts w:ascii="Times New Roman" w:hAnsi="Times New Roman" w:cs="Times New Roman"/>
          <w:sz w:val="24"/>
          <w:szCs w:val="24"/>
          <w:lang w:val="sr-Cyrl-CS"/>
        </w:rPr>
        <w:t xml:space="preserve">, што указује да смо као земља још увек далеко од стања водног стреса (20%) и екстремног водног стреса (40%). Међутим, територију Републике Србије карактерише изузетна просторна и </w:t>
      </w:r>
      <w:r w:rsidRPr="00644F20">
        <w:rPr>
          <w:rFonts w:ascii="Times New Roman" w:hAnsi="Times New Roman" w:cs="Times New Roman"/>
          <w:sz w:val="24"/>
          <w:szCs w:val="24"/>
          <w:lang w:val="sr-Cyrl-CS"/>
        </w:rPr>
        <w:lastRenderedPageBreak/>
        <w:t>временска неравномерност водног режима, па стварна расположивост воде и стање водног стреса на локалном нивоу могу бити знатно различити од стања на националном нивоу. Такође, количина површинских водa којe се формирају на националној територији је мала (око 1,500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 xml:space="preserve"> по становнику и години</w:t>
      </w:r>
      <w:r w:rsidRPr="00644F20">
        <w:rPr>
          <w:rFonts w:ascii="Times New Roman" w:hAnsi="Times New Roman"/>
          <w:sz w:val="24"/>
          <w:vertAlign w:val="superscript"/>
          <w:lang w:val="sr-Cyrl-CS"/>
        </w:rPr>
        <w:footnoteReference w:id="2"/>
      </w:r>
      <w:r w:rsidRPr="00644F20">
        <w:rPr>
          <w:rFonts w:ascii="Times New Roman" w:hAnsi="Times New Roman" w:cs="Times New Roman"/>
          <w:sz w:val="24"/>
          <w:szCs w:val="24"/>
          <w:lang w:val="sr-Cyrl-CS"/>
        </w:rPr>
        <w:t>) и временом се смањује, због чега расположивост воде у држави делом зависи од транзитних вода. Процењује се да ће услед климатских промена тај тренд бити све израженији, због чега ће и расположивост воде у Републици Србији све више зависити од вода које дотичу из окружења. У прилог томе иде и податак да су расположиви капацитети подземних вода ограничени, неравномерно распоређени и да опадају са временом</w:t>
      </w:r>
      <w:r w:rsidRPr="00644F20">
        <w:rPr>
          <w:rFonts w:ascii="Times New Roman" w:hAnsi="Times New Roman"/>
          <w:sz w:val="24"/>
          <w:vertAlign w:val="superscript"/>
          <w:lang w:val="sr-Cyrl-CS"/>
        </w:rPr>
        <w:footnoteReference w:id="3"/>
      </w:r>
      <w:r w:rsidRPr="00644F20">
        <w:rPr>
          <w:rFonts w:ascii="Times New Roman" w:hAnsi="Times New Roman" w:cs="Times New Roman"/>
          <w:sz w:val="24"/>
          <w:szCs w:val="24"/>
          <w:lang w:val="sr-Cyrl-CS"/>
        </w:rPr>
        <w:t xml:space="preserve">. Отуда све активности које се односе на очување водних ресурса имају велики значај, посебно на локалном нивоу. </w:t>
      </w:r>
      <w:r w:rsidR="00813839" w:rsidRPr="00644F20">
        <w:rPr>
          <w:rFonts w:ascii="Times New Roman" w:hAnsi="Times New Roman" w:cs="Times New Roman"/>
          <w:sz w:val="24"/>
          <w:szCs w:val="24"/>
          <w:lang w:val="sr-Cyrl-CS"/>
        </w:rPr>
        <w:t xml:space="preserve">  </w:t>
      </w:r>
    </w:p>
    <w:p w14:paraId="5B1FF511" w14:textId="77777777" w:rsidR="00497092" w:rsidRPr="00644F20" w:rsidRDefault="002F45E1" w:rsidP="00C40C94">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погледу коришћења воде најзначајнији потрошач је привреда, у оквиру које индустрија са око 79%, сектор пољопривреде, шумарства и рибарства око 13%, као и сектор услуга око 2%, док се за санитарне потребе домаћинстава на годишњем нивоу искористи око 6% од укупно коришћене воде</w:t>
      </w:r>
      <w:r w:rsidRPr="00644F20">
        <w:rPr>
          <w:rFonts w:ascii="Times New Roman" w:hAnsi="Times New Roman"/>
          <w:sz w:val="24"/>
          <w:vertAlign w:val="superscript"/>
          <w:lang w:val="sr-Cyrl-CS"/>
        </w:rPr>
        <w:footnoteReference w:id="4"/>
      </w:r>
      <w:r w:rsidRPr="00644F20">
        <w:rPr>
          <w:rFonts w:ascii="Times New Roman" w:hAnsi="Times New Roman" w:cs="Times New Roman"/>
          <w:sz w:val="24"/>
          <w:szCs w:val="24"/>
          <w:lang w:val="sr-Cyrl-CS"/>
        </w:rPr>
        <w:t xml:space="preserve">. </w:t>
      </w:r>
    </w:p>
    <w:p w14:paraId="7409771F" w14:textId="77777777" w:rsidR="00497092" w:rsidRPr="00644F20" w:rsidRDefault="002F45E1" w:rsidP="00C40C94">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Од укупне количине захваћених вода искористи се око 96%, док се у просеку око 4% губи током дистрибуције. Велики удео коришћених вода чине воде из сопствених и других водозахвата, док воде из система јавног снабдевања чине свега око 8% укупно захваћених вода</w:t>
      </w:r>
      <w:r w:rsidRPr="00644F20">
        <w:rPr>
          <w:rFonts w:ascii="Times New Roman" w:hAnsi="Times New Roman" w:cs="Times New Roman"/>
          <w:sz w:val="24"/>
          <w:szCs w:val="24"/>
          <w:vertAlign w:val="superscript"/>
          <w:lang w:val="sr-Cyrl-CS"/>
        </w:rPr>
        <w:t>15</w:t>
      </w:r>
      <w:r w:rsidRPr="00644F20">
        <w:rPr>
          <w:rFonts w:ascii="Times New Roman" w:hAnsi="Times New Roman" w:cs="Times New Roman"/>
          <w:sz w:val="24"/>
          <w:szCs w:val="24"/>
          <w:lang w:val="sr-Cyrl-CS"/>
        </w:rPr>
        <w:t>. Подаци о количинама воде која се рециклира и сакупљене кишнице нису доступни.</w:t>
      </w:r>
    </w:p>
    <w:p w14:paraId="2A2BDA52" w14:textId="77777777" w:rsidR="00497092" w:rsidRPr="00644F20" w:rsidRDefault="002F45E1">
      <w:pPr>
        <w:spacing w:after="60" w:line="276" w:lineRule="auto"/>
        <w:jc w:val="both"/>
        <w:rPr>
          <w:rFonts w:ascii="Times New Roman" w:eastAsia="Calibri" w:hAnsi="Times New Roman" w:cs="Times New Roman"/>
          <w:sz w:val="24"/>
          <w:szCs w:val="24"/>
          <w:lang w:val="sr-Cyrl-CS"/>
        </w:rPr>
      </w:pPr>
      <w:r w:rsidRPr="00644F20">
        <w:rPr>
          <w:rFonts w:ascii="Times New Roman" w:hAnsi="Times New Roman" w:cs="Times New Roman"/>
          <w:sz w:val="24"/>
          <w:szCs w:val="24"/>
          <w:lang w:val="sr-Cyrl-CS"/>
        </w:rPr>
        <w:t xml:space="preserve">Према резултатима мониторинга квалитета површинских вода, који спроводи </w:t>
      </w:r>
      <w:r w:rsidR="001B6E66" w:rsidRPr="00644F20">
        <w:rPr>
          <w:rFonts w:ascii="Times New Roman" w:hAnsi="Times New Roman" w:cs="Times New Roman"/>
          <w:sz w:val="24"/>
          <w:szCs w:val="24"/>
          <w:lang w:val="sr-Cyrl-CS"/>
        </w:rPr>
        <w:t>АЗЖС</w:t>
      </w:r>
      <w:r w:rsidRPr="00644F20">
        <w:rPr>
          <w:rFonts w:ascii="Times New Roman" w:hAnsi="Times New Roman" w:cs="Times New Roman"/>
          <w:sz w:val="24"/>
          <w:szCs w:val="24"/>
          <w:lang w:val="sr-Cyrl-CS"/>
        </w:rPr>
        <w:t xml:space="preserve">, сумираних у индикатор квалитета воде </w:t>
      </w:r>
      <w:r w:rsidRPr="00644F20">
        <w:rPr>
          <w:rFonts w:ascii="Times New Roman" w:hAnsi="Times New Roman" w:cs="Times New Roman"/>
          <w:i/>
          <w:sz w:val="24"/>
          <w:szCs w:val="24"/>
          <w:lang w:val="sr-Cyrl-CS"/>
        </w:rPr>
        <w:t>Serbian Water Quality Index</w:t>
      </w:r>
      <w:r w:rsidRPr="00644F20">
        <w:rPr>
          <w:rFonts w:ascii="Times New Roman" w:hAnsi="Times New Roman" w:cs="Times New Roman"/>
          <w:sz w:val="24"/>
          <w:szCs w:val="24"/>
          <w:lang w:val="sr-Cyrl-CS"/>
        </w:rPr>
        <w:t xml:space="preserve"> (SWQI), у периоду 1998-2017, 15% водотокова имало је одличан, 25% врло добар, 46% добар, 13% лош и 1% веома лош статус. Најчистији су мали водотокови у брдско планинским подручјима, док се најзагађенији водотокови налазе у близини већих урбаних и индустријских центара, што је последица испуштања непречишћених комуналних и индустријских отпадних вода. Овакво стање указује на неопходност даљег унапређења система управљања отпадним водама на нивоу локалних самоуправа и привредних субјеката, као и примене одговарајућих третмана за њихово пречишћавање.</w:t>
      </w:r>
    </w:p>
    <w:p w14:paraId="6F635194" w14:textId="77777777" w:rsidR="00497092" w:rsidRPr="00644F20" w:rsidRDefault="002F45E1" w:rsidP="004D210E">
      <w:pPr>
        <w:spacing w:after="60" w:line="276" w:lineRule="auto"/>
        <w:ind w:firstLine="720"/>
        <w:jc w:val="both"/>
        <w:rPr>
          <w:rFonts w:ascii="Times New Roman" w:hAnsi="Times New Roman" w:cs="Times New Roman"/>
          <w:iCs/>
          <w:sz w:val="24"/>
          <w:szCs w:val="24"/>
          <w:lang w:val="sr-Cyrl-CS"/>
        </w:rPr>
      </w:pPr>
      <w:r w:rsidRPr="00644F20">
        <w:rPr>
          <w:rFonts w:ascii="Times New Roman" w:eastAsia="Calibri" w:hAnsi="Times New Roman" w:cs="Times New Roman"/>
          <w:bCs/>
          <w:sz w:val="24"/>
          <w:szCs w:val="24"/>
          <w:lang w:val="sr-Cyrl-CS"/>
        </w:rPr>
        <w:t xml:space="preserve">Према расположивим подацима Управе за шуме, државне шуме заузимају површину 1.194.000 ha или 53,0%, док приватне шуме заузимају површину од 1.058.400 ha или 47%. У току је израда Друге националне инвентуре шума која треба да се заврши у последњем кварталу 2022. године или првом кварталу 2023. године и која ће дати новије податке о шумовитости и уделу државних и приватних шума. </w:t>
      </w:r>
      <w:r w:rsidRPr="00644F20">
        <w:rPr>
          <w:rFonts w:ascii="Times New Roman" w:eastAsia="Calibri" w:hAnsi="Times New Roman" w:cs="Times New Roman"/>
          <w:sz w:val="24"/>
          <w:szCs w:val="24"/>
          <w:lang w:val="sr-Cyrl-CS"/>
        </w:rPr>
        <w:t xml:space="preserve">У односу на укупну обраслу површину у шумском фонду Србије доминирају изданачке шуме са 64,7%, природне састојине високог порекла покривају 27,5%, а вештачки поменуте састојине (са културама) 7,8%. У целини гледано, стање државних шума може се окарактерисати као задовољавајуће, док су шуме у приватном власништву у квантитативном смислу лошије. </w:t>
      </w:r>
      <w:r w:rsidRPr="00644F20">
        <w:rPr>
          <w:rFonts w:ascii="Times New Roman" w:eastAsia="Calibri" w:hAnsi="Times New Roman" w:cs="Times New Roman"/>
          <w:bCs/>
          <w:sz w:val="24"/>
          <w:szCs w:val="24"/>
          <w:lang w:val="sr-Cyrl-CS"/>
        </w:rPr>
        <w:t>Имајући у виду да дрво представља највећи природни обновљиви ресурс, а</w:t>
      </w:r>
      <w:r w:rsidRPr="00644F20">
        <w:rPr>
          <w:rFonts w:ascii="Times New Roman" w:hAnsi="Times New Roman" w:cs="Times New Roman"/>
          <w:iCs/>
          <w:sz w:val="24"/>
          <w:szCs w:val="24"/>
          <w:lang w:val="sr-Cyrl-CS"/>
        </w:rPr>
        <w:t>ли и ресурс коме је потребно дуго времена да би се обновио, адекватно управљање шумама и рационална потрошња дрвета неопходни су предуслови за одрживи развој тог сегмента привреде.</w:t>
      </w:r>
    </w:p>
    <w:p w14:paraId="503D9A25" w14:textId="77777777" w:rsidR="00497092" w:rsidRPr="00644F20" w:rsidRDefault="002F45E1" w:rsidP="00C80DCF">
      <w:pPr>
        <w:spacing w:after="60" w:line="276" w:lineRule="auto"/>
        <w:ind w:firstLine="720"/>
        <w:jc w:val="both"/>
        <w:rPr>
          <w:lang w:val="sr-Cyrl-CS"/>
        </w:rPr>
      </w:pPr>
      <w:r w:rsidRPr="00644F20">
        <w:rPr>
          <w:rFonts w:ascii="Times New Roman" w:eastAsia="Calibri" w:hAnsi="Times New Roman" w:cs="Times New Roman"/>
          <w:sz w:val="24"/>
          <w:szCs w:val="24"/>
          <w:lang w:val="sr-Cyrl-CS"/>
        </w:rPr>
        <w:lastRenderedPageBreak/>
        <w:t xml:space="preserve">Истовремено, према подацима Републичког завода за статистику за 2019. годину, </w:t>
      </w:r>
      <w:r w:rsidRPr="00644F20">
        <w:rPr>
          <w:rFonts w:ascii="Times New Roman" w:eastAsia="Calibri" w:hAnsi="Times New Roman" w:cs="Times New Roman"/>
          <w:b/>
          <w:sz w:val="24"/>
          <w:szCs w:val="24"/>
          <w:lang w:val="sr-Cyrl-CS"/>
        </w:rPr>
        <w:t>пољопривредно земљиште</w:t>
      </w:r>
      <w:r w:rsidRPr="00644F20">
        <w:rPr>
          <w:rFonts w:ascii="Times New Roman" w:eastAsia="Calibri" w:hAnsi="Times New Roman" w:cs="Times New Roman"/>
          <w:sz w:val="24"/>
          <w:szCs w:val="24"/>
          <w:lang w:val="sr-Cyrl-CS"/>
        </w:rPr>
        <w:t xml:space="preserve"> у Републици Србији обухвата 3.481.567 ha, што представља 44,87% територије земље.</w:t>
      </w:r>
      <w:r w:rsidRPr="00644F20">
        <w:rPr>
          <w:rFonts w:ascii="Times New Roman" w:eastAsia="Calibri" w:hAnsi="Times New Roman" w:cs="Times New Roman"/>
          <w:lang w:val="sr-Cyrl-CS"/>
        </w:rPr>
        <w:t xml:space="preserve"> </w:t>
      </w:r>
      <w:r w:rsidRPr="00644F20">
        <w:rPr>
          <w:rFonts w:ascii="Times New Roman" w:eastAsia="Calibri" w:hAnsi="Times New Roman" w:cs="Times New Roman"/>
          <w:sz w:val="24"/>
          <w:szCs w:val="24"/>
          <w:lang w:val="sr-Cyrl-CS"/>
        </w:rPr>
        <w:t>Према обиму и структури расположивих пољопривредних површина, Република Србија спада у ред европских земаља са повољним земљишним ресурсима.</w:t>
      </w:r>
    </w:p>
    <w:p w14:paraId="664F4F30" w14:textId="77777777" w:rsidR="00497092" w:rsidRPr="00644F20" w:rsidRDefault="002F45E1" w:rsidP="00C80DCF">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Локалне резерве </w:t>
      </w:r>
      <w:r w:rsidRPr="00644F20">
        <w:rPr>
          <w:rFonts w:ascii="Times New Roman" w:hAnsi="Times New Roman" w:cs="Times New Roman"/>
          <w:b/>
          <w:sz w:val="24"/>
          <w:szCs w:val="24"/>
          <w:lang w:val="sr-Cyrl-CS"/>
        </w:rPr>
        <w:t>сирове нафте</w:t>
      </w:r>
      <w:r w:rsidRPr="00644F20">
        <w:rPr>
          <w:rFonts w:ascii="Times New Roman" w:hAnsi="Times New Roman" w:cs="Times New Roman"/>
          <w:sz w:val="24"/>
          <w:szCs w:val="24"/>
          <w:lang w:val="sr-Cyrl-CS"/>
        </w:rPr>
        <w:t xml:space="preserve"> и </w:t>
      </w:r>
      <w:r w:rsidRPr="00644F20">
        <w:rPr>
          <w:rFonts w:ascii="Times New Roman" w:hAnsi="Times New Roman" w:cs="Times New Roman"/>
          <w:b/>
          <w:sz w:val="24"/>
          <w:szCs w:val="24"/>
          <w:lang w:val="sr-Cyrl-CS"/>
        </w:rPr>
        <w:t>природног гаса</w:t>
      </w:r>
      <w:r w:rsidRPr="00644F20">
        <w:rPr>
          <w:rFonts w:ascii="Times New Roman" w:hAnsi="Times New Roman" w:cs="Times New Roman"/>
          <w:sz w:val="24"/>
          <w:szCs w:val="24"/>
          <w:lang w:val="sr-Cyrl-CS"/>
        </w:rPr>
        <w:t xml:space="preserve"> су ограничене, што указује на значајну зависност Републике Србије од њиховог увоза. Домаћа </w:t>
      </w:r>
      <w:r w:rsidRPr="00644F20">
        <w:rPr>
          <w:rFonts w:ascii="Times New Roman" w:hAnsi="Times New Roman" w:cs="Times New Roman"/>
          <w:b/>
          <w:sz w:val="24"/>
          <w:szCs w:val="24"/>
          <w:lang w:val="sr-Cyrl-CS"/>
        </w:rPr>
        <w:t>производња</w:t>
      </w:r>
      <w:r w:rsidRPr="00644F20">
        <w:rPr>
          <w:rFonts w:ascii="Times New Roman" w:hAnsi="Times New Roman" w:cs="Times New Roman"/>
          <w:sz w:val="24"/>
          <w:szCs w:val="24"/>
          <w:lang w:val="sr-Cyrl-CS"/>
        </w:rPr>
        <w:t xml:space="preserve"> </w:t>
      </w:r>
      <w:r w:rsidRPr="00644F20">
        <w:rPr>
          <w:rFonts w:ascii="Times New Roman" w:hAnsi="Times New Roman" w:cs="Times New Roman"/>
          <w:b/>
          <w:sz w:val="24"/>
          <w:szCs w:val="24"/>
          <w:lang w:val="sr-Cyrl-CS"/>
        </w:rPr>
        <w:t>примарне енергије</w:t>
      </w:r>
      <w:r w:rsidRPr="00644F20">
        <w:rPr>
          <w:rFonts w:ascii="Times New Roman" w:hAnsi="Times New Roman" w:cs="Times New Roman"/>
          <w:sz w:val="24"/>
          <w:szCs w:val="24"/>
          <w:lang w:val="sr-Cyrl-CS"/>
        </w:rPr>
        <w:t xml:space="preserve"> заснива се на експлоатацији ограничених домаћих ресурса (угаљ, сирова нафта, природни гас) и обновљивих извора енергије, а највећи удео у њеној структури има </w:t>
      </w:r>
      <w:r w:rsidRPr="00644F20">
        <w:rPr>
          <w:rFonts w:ascii="Times New Roman" w:hAnsi="Times New Roman" w:cs="Times New Roman"/>
          <w:b/>
          <w:sz w:val="24"/>
          <w:szCs w:val="24"/>
          <w:lang w:val="sr-Cyrl-CS"/>
        </w:rPr>
        <w:t xml:space="preserve">угаљ </w:t>
      </w:r>
      <w:r w:rsidRPr="00644F20">
        <w:rPr>
          <w:rFonts w:ascii="Times New Roman" w:hAnsi="Times New Roman" w:cs="Times New Roman"/>
          <w:sz w:val="24"/>
          <w:szCs w:val="24"/>
          <w:lang w:val="sr-Cyrl-CS"/>
        </w:rPr>
        <w:t>(</w:t>
      </w:r>
      <w:r w:rsidR="00A755F3" w:rsidRPr="00644F20">
        <w:rPr>
          <w:rFonts w:ascii="Times New Roman" w:hAnsi="Times New Roman" w:cs="Times New Roman"/>
          <w:sz w:val="24"/>
          <w:szCs w:val="24"/>
          <w:lang w:val="sr-Cyrl-CS"/>
        </w:rPr>
        <w:t xml:space="preserve">Слика </w:t>
      </w:r>
      <w:r w:rsidRPr="00644F20">
        <w:rPr>
          <w:rFonts w:ascii="Times New Roman" w:hAnsi="Times New Roman" w:cs="Times New Roman"/>
          <w:sz w:val="24"/>
          <w:szCs w:val="24"/>
          <w:lang w:val="sr-Cyrl-CS"/>
        </w:rPr>
        <w:t>3.1). Укупна потрошња енергије на нивоу Републике Србије је знатно већа од расположивих капацитета (15,4 Мten), па се око трећине (35,9%) потребне енергије обезбеђује увозом енергената. Највеће учешће у нето увозу примарне енергије имају сирова нафта и деривати нафте (60%) и природни гас (25%)</w:t>
      </w:r>
      <w:r w:rsidRPr="00644F20">
        <w:rPr>
          <w:rFonts w:ascii="Times New Roman" w:hAnsi="Times New Roman" w:cs="Times New Roman"/>
          <w:sz w:val="24"/>
          <w:szCs w:val="24"/>
          <w:vertAlign w:val="superscript"/>
          <w:lang w:val="sr-Cyrl-CS"/>
        </w:rPr>
        <w:footnoteReference w:id="5"/>
      </w:r>
      <w:r w:rsidRPr="00644F20">
        <w:rPr>
          <w:rFonts w:ascii="Times New Roman" w:hAnsi="Times New Roman" w:cs="Times New Roman"/>
          <w:sz w:val="24"/>
          <w:szCs w:val="24"/>
          <w:lang w:val="sr-Cyrl-CS"/>
        </w:rPr>
        <w:t>.</w:t>
      </w:r>
    </w:p>
    <w:p w14:paraId="0B9DC4CC" w14:textId="77777777" w:rsidR="00813839" w:rsidRPr="00644F20" w:rsidRDefault="00813839">
      <w:pPr>
        <w:spacing w:after="60" w:line="276" w:lineRule="auto"/>
        <w:jc w:val="both"/>
        <w:rPr>
          <w:rFonts w:ascii="Times New Roman" w:hAnsi="Times New Roman" w:cs="Times New Roman"/>
          <w:sz w:val="24"/>
          <w:szCs w:val="24"/>
          <w:lang w:val="sr-Cyrl-CS"/>
        </w:rPr>
      </w:pPr>
    </w:p>
    <w:p w14:paraId="3E939037" w14:textId="77777777" w:rsidR="00497092" w:rsidRPr="00644F20" w:rsidRDefault="002F45E1">
      <w:pPr>
        <w:spacing w:after="60" w:line="276" w:lineRule="auto"/>
        <w:jc w:val="center"/>
        <w:rPr>
          <w:rFonts w:ascii="Times New Roman" w:hAnsi="Times New Roman" w:cs="Times New Roman"/>
          <w:sz w:val="24"/>
          <w:szCs w:val="24"/>
          <w:lang w:val="sr-Cyrl-CS"/>
        </w:rPr>
      </w:pPr>
      <w:r w:rsidRPr="00644F20">
        <w:rPr>
          <w:noProof/>
        </w:rPr>
        <w:drawing>
          <wp:inline distT="0" distB="0" distL="0" distR="0" wp14:anchorId="3048F80C" wp14:editId="7A60A1A6">
            <wp:extent cx="5080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E105A1C" w14:textId="77777777" w:rsidR="00497092" w:rsidRPr="00644F20" w:rsidRDefault="00532461">
      <w:pPr>
        <w:spacing w:after="60" w:line="276" w:lineRule="auto"/>
        <w:jc w:val="center"/>
        <w:rPr>
          <w:rFonts w:ascii="Times New Roman" w:hAnsi="Times New Roman" w:cs="Times New Roman"/>
          <w:b/>
          <w:lang w:val="sr-Cyrl-CS"/>
        </w:rPr>
      </w:pPr>
      <w:r w:rsidRPr="00644F20">
        <w:rPr>
          <w:rFonts w:ascii="Times New Roman" w:hAnsi="Times New Roman" w:cs="Times New Roman"/>
          <w:b/>
          <w:spacing w:val="-3"/>
          <w:lang w:val="sr-Cyrl-CS"/>
        </w:rPr>
        <w:t>С</w:t>
      </w:r>
      <w:r w:rsidR="002F45E1" w:rsidRPr="00644F20">
        <w:rPr>
          <w:rFonts w:ascii="Times New Roman" w:hAnsi="Times New Roman" w:cs="Times New Roman"/>
          <w:b/>
          <w:spacing w:val="-3"/>
          <w:lang w:val="sr-Cyrl-CS"/>
        </w:rPr>
        <w:t xml:space="preserve">лика 3.1  </w:t>
      </w:r>
      <w:r w:rsidR="002F45E1" w:rsidRPr="00644F20">
        <w:rPr>
          <w:rFonts w:ascii="Times New Roman" w:hAnsi="Times New Roman" w:cs="Times New Roman"/>
          <w:spacing w:val="-3"/>
          <w:lang w:val="sr-Cyrl-CS"/>
        </w:rPr>
        <w:t>Структура производње примарне енергије по енергентима за 2018. годину</w:t>
      </w:r>
    </w:p>
    <w:p w14:paraId="145DACA1" w14:textId="77777777" w:rsidR="00497092" w:rsidRPr="00644F20" w:rsidRDefault="002F45E1" w:rsidP="004D210E">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погледу </w:t>
      </w:r>
      <w:r w:rsidRPr="00644F20">
        <w:rPr>
          <w:rFonts w:ascii="Times New Roman" w:hAnsi="Times New Roman" w:cs="Times New Roman"/>
          <w:b/>
          <w:sz w:val="24"/>
          <w:szCs w:val="24"/>
          <w:lang w:val="sr-Cyrl-CS"/>
        </w:rPr>
        <w:t>потрошње</w:t>
      </w:r>
      <w:r w:rsidRPr="00644F20">
        <w:rPr>
          <w:rFonts w:ascii="Times New Roman" w:hAnsi="Times New Roman" w:cs="Times New Roman"/>
          <w:sz w:val="24"/>
          <w:szCs w:val="24"/>
          <w:lang w:val="sr-Cyrl-CS"/>
        </w:rPr>
        <w:t xml:space="preserve"> </w:t>
      </w:r>
      <w:r w:rsidRPr="00644F20">
        <w:rPr>
          <w:rFonts w:ascii="Times New Roman" w:hAnsi="Times New Roman" w:cs="Times New Roman"/>
          <w:b/>
          <w:sz w:val="24"/>
          <w:szCs w:val="24"/>
          <w:lang w:val="sr-Cyrl-CS"/>
        </w:rPr>
        <w:t>финалне енергије</w:t>
      </w:r>
      <w:r w:rsidRPr="00644F20">
        <w:rPr>
          <w:rFonts w:ascii="Times New Roman" w:hAnsi="Times New Roman" w:cs="Times New Roman"/>
          <w:sz w:val="24"/>
          <w:szCs w:val="24"/>
          <w:lang w:val="sr-Cyrl-CS"/>
        </w:rPr>
        <w:t xml:space="preserve"> најзахтевнији су сектори домаћинства (34%),  саобраћаја (27%) и индустрије са (26%), док остали сектори заједно (пољопривреда и јавне и комерцијалне делатности) учествују са 13%.</w:t>
      </w:r>
      <w:r w:rsidRPr="00644F20">
        <w:rPr>
          <w:rFonts w:ascii="Times New Roman" w:hAnsi="Times New Roman" w:cs="Times New Roman"/>
          <w:sz w:val="24"/>
          <w:szCs w:val="24"/>
          <w:vertAlign w:val="superscript"/>
          <w:lang w:val="sr-Cyrl-CS"/>
        </w:rPr>
        <w:t>5,</w:t>
      </w:r>
      <w:r w:rsidRPr="00644F20">
        <w:rPr>
          <w:rFonts w:ascii="Times New Roman" w:hAnsi="Times New Roman" w:cs="Times New Roman"/>
          <w:sz w:val="24"/>
          <w:szCs w:val="24"/>
          <w:vertAlign w:val="superscript"/>
          <w:lang w:val="sr-Cyrl-CS"/>
        </w:rPr>
        <w:footnoteReference w:id="6"/>
      </w:r>
      <w:r w:rsidRPr="00644F20">
        <w:rPr>
          <w:rFonts w:ascii="Times New Roman" w:hAnsi="Times New Roman" w:cs="Times New Roman"/>
          <w:sz w:val="24"/>
          <w:szCs w:val="24"/>
          <w:lang w:val="sr-Cyrl-CS"/>
        </w:rPr>
        <w:t xml:space="preserve"> У потрошњи финалне енергије највише коришћени енергенти су нафтни деривати (32,0%) и електрична енергија (29%), а имајући на уму да се око 70% електричне енергије добија из угља</w:t>
      </w:r>
      <w:r w:rsidRPr="00644F20">
        <w:rPr>
          <w:rFonts w:ascii="Times New Roman" w:hAnsi="Times New Roman" w:cs="Times New Roman"/>
          <w:sz w:val="24"/>
          <w:szCs w:val="24"/>
          <w:vertAlign w:val="superscript"/>
          <w:lang w:val="sr-Cyrl-CS"/>
        </w:rPr>
        <w:t>5</w:t>
      </w:r>
      <w:r w:rsidRPr="00644F20">
        <w:rPr>
          <w:rFonts w:ascii="Times New Roman" w:hAnsi="Times New Roman" w:cs="Times New Roman"/>
          <w:sz w:val="24"/>
          <w:szCs w:val="24"/>
          <w:lang w:val="sr-Cyrl-CS"/>
        </w:rPr>
        <w:t>, јасно се види да је Република Србија у великој мери зависна од фосилних горива. Таква структура потрошње енергената резултује већом емисијом гасова са ефектом стаклене баште и већим загађењем ваздуха.</w:t>
      </w:r>
    </w:p>
    <w:p w14:paraId="68B468C3" w14:textId="77777777" w:rsidR="00497092" w:rsidRPr="00644F20" w:rsidRDefault="00094B3C">
      <w:pPr>
        <w:spacing w:after="60" w:line="276" w:lineRule="auto"/>
        <w:jc w:val="both"/>
        <w:rPr>
          <w:rFonts w:ascii="Times New Roman" w:eastAsia="Calibri"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Уопштено, привреду Републике Србије карактерише висока вредност енергетског интензитета (односа утрошене примарне енергије и бруто домаћег производа), што указује на енергетски интензивну индустрију, а делимично је последица производње производа са ниским степеном финализације и малом додатом вредношћу.</w:t>
      </w:r>
      <w:r w:rsidR="002F45E1" w:rsidRPr="00644F20">
        <w:rPr>
          <w:rFonts w:ascii="Times New Roman" w:eastAsia="Calibri" w:hAnsi="Times New Roman" w:cs="Times New Roman"/>
          <w:sz w:val="24"/>
          <w:szCs w:val="24"/>
          <w:lang w:val="sr-Cyrl-CS"/>
        </w:rPr>
        <w:t xml:space="preserve"> Слично емисија гасова са </w:t>
      </w:r>
      <w:r w:rsidR="002F45E1" w:rsidRPr="00644F20">
        <w:rPr>
          <w:rFonts w:ascii="Times New Roman" w:eastAsia="Calibri" w:hAnsi="Times New Roman" w:cs="Times New Roman"/>
          <w:sz w:val="24"/>
          <w:szCs w:val="24"/>
          <w:lang w:val="sr-Cyrl-CS"/>
        </w:rPr>
        <w:lastRenderedPageBreak/>
        <w:t>ефектом стаклене баште исказана по јединици бруто домаћег производа је четири пута већа од европског просека</w:t>
      </w:r>
      <w:r w:rsidR="002F45E1" w:rsidRPr="00644F20">
        <w:rPr>
          <w:rFonts w:ascii="Times New Roman" w:eastAsia="Calibri" w:hAnsi="Times New Roman" w:cs="Times New Roman"/>
          <w:sz w:val="24"/>
          <w:szCs w:val="24"/>
          <w:vertAlign w:val="superscript"/>
          <w:lang w:val="sr-Cyrl-CS"/>
        </w:rPr>
        <w:footnoteReference w:id="7"/>
      </w:r>
      <w:r w:rsidR="002F45E1" w:rsidRPr="00644F20">
        <w:rPr>
          <w:rFonts w:ascii="Times New Roman" w:eastAsia="Calibri" w:hAnsi="Times New Roman" w:cs="Times New Roman"/>
          <w:sz w:val="24"/>
          <w:szCs w:val="24"/>
          <w:lang w:val="sr-Cyrl-CS"/>
        </w:rPr>
        <w:t xml:space="preserve">.  </w:t>
      </w:r>
    </w:p>
    <w:p w14:paraId="6C23FD98" w14:textId="77777777" w:rsidR="00497092" w:rsidRPr="00644F20" w:rsidRDefault="002F45E1" w:rsidP="004D210E">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Република Србија има велике инвестиционе потенцијале у сектору </w:t>
      </w:r>
      <w:r w:rsidRPr="00644F20">
        <w:rPr>
          <w:rFonts w:ascii="Times New Roman" w:hAnsi="Times New Roman" w:cs="Times New Roman"/>
          <w:b/>
          <w:sz w:val="24"/>
          <w:szCs w:val="24"/>
          <w:lang w:val="sr-Cyrl-CS"/>
        </w:rPr>
        <w:t>обновљивих извора енергије</w:t>
      </w:r>
      <w:r w:rsidRPr="00644F20">
        <w:rPr>
          <w:rFonts w:ascii="Times New Roman" w:hAnsi="Times New Roman" w:cs="Times New Roman"/>
          <w:sz w:val="24"/>
          <w:szCs w:val="24"/>
          <w:lang w:val="sr-Cyrl-CS"/>
        </w:rPr>
        <w:t>, посебно у домену соларне енергије и енергије ветра, а процењује се да, поред енергије ветра и сунца,  највеће резерве леже у потенцијалу биомасе и хидроенергији.</w:t>
      </w:r>
    </w:p>
    <w:p w14:paraId="3BC49A9E" w14:textId="77777777" w:rsidR="00497092" w:rsidRPr="00644F20" w:rsidRDefault="00094B3C">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 xml:space="preserve">Основе за систематски развој </w:t>
      </w:r>
      <w:r w:rsidR="002F45E1" w:rsidRPr="00644F20">
        <w:rPr>
          <w:rFonts w:ascii="Times New Roman" w:hAnsi="Times New Roman" w:cs="Times New Roman"/>
          <w:b/>
          <w:sz w:val="24"/>
          <w:szCs w:val="24"/>
          <w:lang w:val="sr-Cyrl-CS"/>
        </w:rPr>
        <w:t>производње енергије из обновљивих извора</w:t>
      </w:r>
      <w:r w:rsidR="002F45E1" w:rsidRPr="00644F20">
        <w:rPr>
          <w:rFonts w:ascii="Times New Roman" w:hAnsi="Times New Roman" w:cs="Times New Roman"/>
          <w:sz w:val="24"/>
          <w:szCs w:val="24"/>
          <w:lang w:val="sr-Cyrl-CS"/>
        </w:rPr>
        <w:t xml:space="preserve"> у Републици Србији су постављене још 2009. године. Иако се процењује да има велике инвестиционе потенцијале, ова област је још увек у развоју, а традиционална горива, попут некомерцијалне биомасе тренутно имају велико учешће у испуњавању свакодневних потреба за енергијом руралних и урбаних домаћинстава са ниским приходима. Производња енергије из обновљивих извора енергије у Републици Србији обухвата производњу и потрошњу електричне енергије из великих и малих водених токова, енергије ветра и сунца, биогаса, као и производњу и потрошњу топлотне енергије из геотермалне енергије и биомасе (огревно дрво, пелет и брикет)</w:t>
      </w:r>
      <w:r w:rsidR="002F45E1" w:rsidRPr="00644F20">
        <w:rPr>
          <w:rFonts w:ascii="Times New Roman" w:hAnsi="Times New Roman" w:cs="Times New Roman"/>
          <w:sz w:val="24"/>
          <w:szCs w:val="24"/>
          <w:vertAlign w:val="superscript"/>
          <w:lang w:val="sr-Cyrl-CS"/>
        </w:rPr>
        <w:footnoteReference w:id="8"/>
      </w:r>
      <w:r w:rsidR="002F45E1" w:rsidRPr="00644F20">
        <w:rPr>
          <w:rFonts w:ascii="Times New Roman" w:hAnsi="Times New Roman" w:cs="Times New Roman"/>
          <w:sz w:val="24"/>
          <w:szCs w:val="24"/>
          <w:lang w:val="sr-Cyrl-CS"/>
        </w:rPr>
        <w:t>. Процењени технички искористиви потенцијал расположивих ОИЕ износи око 5,64 Mtoe годишње</w:t>
      </w:r>
      <w:r w:rsidR="002F45E1" w:rsidRPr="00644F20">
        <w:rPr>
          <w:rFonts w:ascii="Times New Roman" w:hAnsi="Times New Roman" w:cs="Times New Roman"/>
          <w:sz w:val="24"/>
          <w:szCs w:val="24"/>
          <w:vertAlign w:val="superscript"/>
          <w:lang w:val="sr-Cyrl-CS"/>
        </w:rPr>
        <w:footnoteReference w:id="9"/>
      </w:r>
      <w:r w:rsidR="002F45E1" w:rsidRPr="00644F20">
        <w:rPr>
          <w:rFonts w:ascii="Times New Roman" w:hAnsi="Times New Roman" w:cs="Times New Roman"/>
          <w:sz w:val="24"/>
          <w:szCs w:val="24"/>
          <w:lang w:val="sr-Cyrl-CS"/>
        </w:rPr>
        <w:t>, од чега се тренутно користи 35%. Од расположивих ОИЕ, за даљи развој, највећи потенцијал имају биомаса са око 3,4 Mtoe и хидропотенцијал са 1,7 Mtoe годишње (</w:t>
      </w:r>
      <w:r w:rsidRPr="00644F20">
        <w:rPr>
          <w:rFonts w:ascii="Times New Roman" w:hAnsi="Times New Roman" w:cs="Times New Roman"/>
          <w:sz w:val="24"/>
          <w:szCs w:val="24"/>
          <w:lang w:val="sr-Cyrl-CS"/>
        </w:rPr>
        <w:t xml:space="preserve">Слика </w:t>
      </w:r>
      <w:r w:rsidR="002F45E1" w:rsidRPr="00644F20">
        <w:rPr>
          <w:rFonts w:ascii="Times New Roman" w:hAnsi="Times New Roman" w:cs="Times New Roman"/>
          <w:sz w:val="24"/>
          <w:szCs w:val="24"/>
          <w:lang w:val="sr-Cyrl-CS"/>
        </w:rPr>
        <w:t xml:space="preserve">3.2). </w:t>
      </w:r>
    </w:p>
    <w:p w14:paraId="006C768B" w14:textId="77777777" w:rsidR="00497092" w:rsidRPr="00644F20" w:rsidRDefault="002F45E1">
      <w:pPr>
        <w:spacing w:after="60" w:line="276" w:lineRule="auto"/>
        <w:jc w:val="center"/>
        <w:rPr>
          <w:rFonts w:ascii="Times New Roman" w:hAnsi="Times New Roman" w:cs="Times New Roman"/>
          <w:sz w:val="23"/>
          <w:szCs w:val="23"/>
          <w:lang w:val="sr-Cyrl-CS"/>
        </w:rPr>
      </w:pPr>
      <w:r w:rsidRPr="00644F20">
        <w:rPr>
          <w:noProof/>
        </w:rPr>
        <w:drawing>
          <wp:inline distT="0" distB="0" distL="0" distR="0" wp14:anchorId="68264D78" wp14:editId="2076F1A7">
            <wp:extent cx="4829175" cy="2934970"/>
            <wp:effectExtent l="0" t="0" r="0" b="0"/>
            <wp:docPr id="2"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C0C6F7D" w14:textId="77777777" w:rsidR="00497092" w:rsidRPr="00644F20" w:rsidRDefault="00532461">
      <w:pPr>
        <w:spacing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С</w:t>
      </w:r>
      <w:r w:rsidR="002F45E1" w:rsidRPr="00644F20">
        <w:rPr>
          <w:rFonts w:ascii="Times New Roman" w:hAnsi="Times New Roman" w:cs="Times New Roman"/>
          <w:b/>
          <w:lang w:val="sr-Cyrl-CS"/>
        </w:rPr>
        <w:t xml:space="preserve">лика 3.2 </w:t>
      </w:r>
      <w:r w:rsidR="002F45E1" w:rsidRPr="00644F20">
        <w:rPr>
          <w:rFonts w:ascii="Times New Roman" w:hAnsi="Times New Roman" w:cs="Times New Roman"/>
          <w:lang w:val="sr-Cyrl-CS"/>
        </w:rPr>
        <w:t>Структура процењеног потенцијала ОИЕ у Републици Србији</w:t>
      </w:r>
      <w:r w:rsidR="002F45E1" w:rsidRPr="00644F20">
        <w:rPr>
          <w:rFonts w:ascii="Times New Roman" w:hAnsi="Times New Roman" w:cs="Times New Roman"/>
          <w:b/>
          <w:lang w:val="sr-Cyrl-CS"/>
        </w:rPr>
        <w:t xml:space="preserve"> </w:t>
      </w:r>
    </w:p>
    <w:p w14:paraId="641DE2B4" w14:textId="77777777" w:rsidR="00497092" w:rsidRPr="00644F20" w:rsidRDefault="002F45E1" w:rsidP="00D26FC9">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структури бруто финалне потрошње енергије (</w:t>
      </w:r>
      <w:r w:rsidR="007E233A" w:rsidRPr="00644F20">
        <w:rPr>
          <w:rFonts w:ascii="Times New Roman" w:hAnsi="Times New Roman" w:cs="Times New Roman"/>
          <w:sz w:val="24"/>
          <w:szCs w:val="24"/>
          <w:lang w:val="sr-Cyrl-CS"/>
        </w:rPr>
        <w:t xml:space="preserve">у даљем тексту: </w:t>
      </w:r>
      <w:r w:rsidRPr="00644F20">
        <w:rPr>
          <w:rFonts w:ascii="Times New Roman" w:hAnsi="Times New Roman" w:cs="Times New Roman"/>
          <w:sz w:val="24"/>
          <w:szCs w:val="24"/>
          <w:lang w:val="sr-Cyrl-CS"/>
        </w:rPr>
        <w:t xml:space="preserve">БФПЕ), </w:t>
      </w:r>
      <w:r w:rsidR="00CE025C" w:rsidRPr="00644F20">
        <w:rPr>
          <w:rFonts w:ascii="Times New Roman" w:hAnsi="Times New Roman" w:cs="Times New Roman"/>
          <w:sz w:val="24"/>
          <w:szCs w:val="24"/>
          <w:lang w:val="sr-Cyrl-CS"/>
        </w:rPr>
        <w:t>ОИЕ</w:t>
      </w:r>
      <w:r w:rsidRPr="00644F20">
        <w:rPr>
          <w:rFonts w:ascii="Times New Roman" w:hAnsi="Times New Roman" w:cs="Times New Roman"/>
          <w:sz w:val="24"/>
          <w:szCs w:val="24"/>
          <w:lang w:val="sr-Cyrl-CS"/>
        </w:rPr>
        <w:t xml:space="preserve"> учествују са око 2,063</w:t>
      </w:r>
      <w:r w:rsidRPr="00644F20">
        <w:rPr>
          <w:rFonts w:ascii="Times New Roman" w:hAnsi="Times New Roman"/>
          <w:lang w:val="sr-Cyrl-CS"/>
        </w:rPr>
        <w:t xml:space="preserve"> </w:t>
      </w:r>
      <w:r w:rsidRPr="00644F20">
        <w:rPr>
          <w:rFonts w:ascii="Times New Roman" w:hAnsi="Times New Roman" w:cs="Times New Roman"/>
          <w:sz w:val="24"/>
          <w:szCs w:val="24"/>
          <w:lang w:val="sr-Cyrl-CS"/>
        </w:rPr>
        <w:t>Mtoe, односно са око 20%, од чега се највише троше за производњу електричне енергије (око 30%) и за потребе грејања и хлађења (око 25%). Највише коришћени извори су чврста биомаса (56%) и хидропотенцијал (37%), док су остали извори знатно мање заступљени. Од укупно утрошене енергије произведене из ОИЕ у индустрији се троши свега 14%</w:t>
      </w:r>
      <w:r w:rsidRPr="00644F20">
        <w:rPr>
          <w:rFonts w:ascii="Times New Roman" w:hAnsi="Times New Roman" w:cs="Times New Roman"/>
          <w:sz w:val="24"/>
          <w:szCs w:val="24"/>
          <w:vertAlign w:val="superscript"/>
          <w:lang w:val="sr-Cyrl-CS"/>
        </w:rPr>
        <w:footnoteReference w:id="10"/>
      </w:r>
      <w:r w:rsidRPr="00644F20">
        <w:rPr>
          <w:rFonts w:ascii="Times New Roman" w:hAnsi="Times New Roman" w:cs="Times New Roman"/>
          <w:sz w:val="24"/>
          <w:szCs w:val="24"/>
          <w:lang w:val="sr-Cyrl-CS"/>
        </w:rPr>
        <w:t xml:space="preserve">. </w:t>
      </w:r>
    </w:p>
    <w:p w14:paraId="698F05F4" w14:textId="77777777" w:rsidR="00CE025C" w:rsidRPr="00644F20" w:rsidRDefault="00CE025C" w:rsidP="00D26FC9">
      <w:pPr>
        <w:spacing w:after="60" w:line="276" w:lineRule="auto"/>
        <w:ind w:firstLine="720"/>
        <w:jc w:val="both"/>
        <w:rPr>
          <w:rFonts w:ascii="Times New Roman" w:hAnsi="Times New Roman" w:cs="Times New Roman"/>
          <w:sz w:val="24"/>
          <w:szCs w:val="24"/>
          <w:lang w:val="sr-Cyrl-CS"/>
        </w:rPr>
      </w:pPr>
    </w:p>
    <w:p w14:paraId="2EE4576E" w14:textId="77777777" w:rsidR="00497092" w:rsidRPr="00644F20" w:rsidRDefault="002F45E1" w:rsidP="00D26FC9">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 xml:space="preserve">У периоду од 2009. године, од када је успостављен правни оквир са подстицајним мерама („фид-ин” тарифама), до краја 2020. године у Републици Србији остварен је константан пораст изградње нових капацитета за производњу електричне енергије из ОИЕ. До децембра 2020. године у оквиру система подстицајних мера изграђено је 278 електрана које користе ОИЕ укупне инсталисане снаге 540,54 MW. Међутим, без обзира на изграђене капацитете, удео ОИЕ у БФПЕ у 2019. години износио је 21,44% од планираних 25,6%. Спорији развој од очекиваног може се у извесној мери објаснити временом потребним да систем подстицаја проради и стабилизује се, да се изгради поверење инвеститора у функционисање система, као и да се припреме одговарајући пројекти, посебно за изградњу великих електрана. </w:t>
      </w:r>
    </w:p>
    <w:p w14:paraId="08FADF1F" w14:textId="77777777" w:rsidR="00497092" w:rsidRPr="00644F20" w:rsidRDefault="002F45E1" w:rsidP="00D26FC9">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Природни ресурси Републике Србије, као обновљиве или необновљиве геолошке, хидролошке и биолошке вредности, имају реалну или потенцијалну економску вредност, али се пре свега морају очувати у складу са принципима одрживог развоја. </w:t>
      </w:r>
    </w:p>
    <w:p w14:paraId="1B4E58AB"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10" w:name="_Toc93923063"/>
      <w:r w:rsidRPr="00644F20">
        <w:rPr>
          <w:rFonts w:ascii="Times New Roman" w:eastAsiaTheme="majorEastAsia" w:hAnsi="Times New Roman" w:cstheme="majorBidi"/>
          <w:b/>
          <w:bCs/>
          <w:sz w:val="26"/>
          <w:szCs w:val="26"/>
          <w:lang w:val="sr-Cyrl-CS"/>
        </w:rPr>
        <w:t>3.1.2. Привреда</w:t>
      </w:r>
      <w:bookmarkEnd w:id="10"/>
    </w:p>
    <w:p w14:paraId="27AC58A3" w14:textId="77777777" w:rsidR="00497092" w:rsidRPr="00644F20" w:rsidRDefault="002F45E1" w:rsidP="00D26FC9">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Иако постоји тенденција јачања свести о потреби одрживог и одговорног пословања у Републици Србији, значајан број привредних субјеката фокусиран је на економско-финансијске резултате у циљу опстанка на тржишту, без обзира на негативни утицај по животну средину и неефикасно трошење природних ресурса. Kоришћење нових технологија је тек у повоју и тешко се спроводи због малих или ограничених капацитета привреде да изнесе терет промена. Упркос томе што законодавни оквир дозвољава увођење принципа циркуларне економије и постоји интерес за унапређење пословања и отвореност за промене, свест и знање о принципима, предностима и користима које доноси циркуларна економија је ниска. </w:t>
      </w:r>
    </w:p>
    <w:p w14:paraId="19D127C1" w14:textId="77777777" w:rsidR="00497092" w:rsidRPr="00644F20" w:rsidRDefault="002F45E1" w:rsidP="00D26FC9">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Cs/>
          <w:sz w:val="24"/>
          <w:szCs w:val="24"/>
          <w:lang w:val="sr-Cyrl-CS"/>
        </w:rPr>
        <w:t>Вредности индикатора</w:t>
      </w:r>
      <w:r w:rsidRPr="00644F20">
        <w:rPr>
          <w:rFonts w:ascii="Times New Roman" w:eastAsia="Calibri" w:hAnsi="Times New Roman" w:cs="Times New Roman"/>
          <w:sz w:val="24"/>
          <w:szCs w:val="24"/>
          <w:lang w:val="sr-Cyrl-CS"/>
        </w:rPr>
        <w:t xml:space="preserve">, као што су </w:t>
      </w:r>
      <w:r w:rsidRPr="00644F20">
        <w:rPr>
          <w:rFonts w:ascii="Times New Roman" w:eastAsia="Calibri" w:hAnsi="Times New Roman" w:cs="Times New Roman"/>
          <w:i/>
          <w:sz w:val="24"/>
          <w:szCs w:val="24"/>
          <w:lang w:val="sr-Cyrl-CS"/>
        </w:rPr>
        <w:t>Потрошња домаћих ресурса</w:t>
      </w:r>
      <w:r w:rsidRPr="00644F20">
        <w:rPr>
          <w:rFonts w:ascii="Times New Roman" w:eastAsia="Calibri" w:hAnsi="Times New Roman" w:cs="Times New Roman"/>
          <w:sz w:val="24"/>
          <w:szCs w:val="24"/>
          <w:lang w:val="sr-Cyrl-CS"/>
        </w:rPr>
        <w:t xml:space="preserve"> (ДМЦ,</w:t>
      </w:r>
      <w:r w:rsidRPr="00644F20">
        <w:rPr>
          <w:lang w:val="sr-Cyrl-CS"/>
        </w:rPr>
        <w:t xml:space="preserve"> </w:t>
      </w:r>
      <w:r w:rsidRPr="00644F20">
        <w:rPr>
          <w:rFonts w:ascii="Times New Roman" w:eastAsia="Calibri" w:hAnsi="Times New Roman" w:cs="Times New Roman"/>
          <w:i/>
          <w:sz w:val="24"/>
          <w:szCs w:val="24"/>
          <w:lang w:val="sr-Cyrl-CS"/>
        </w:rPr>
        <w:t>Domestic material consumption</w:t>
      </w:r>
      <w:r w:rsidRPr="00644F20">
        <w:rPr>
          <w:rFonts w:ascii="Times New Roman" w:eastAsia="Calibri" w:hAnsi="Times New Roman" w:cs="Times New Roman"/>
          <w:sz w:val="24"/>
          <w:szCs w:val="24"/>
          <w:lang w:val="sr-Cyrl-CS"/>
        </w:rPr>
        <w:t xml:space="preserve">), </w:t>
      </w:r>
      <w:r w:rsidR="001B6E66" w:rsidRPr="00644F20">
        <w:rPr>
          <w:rFonts w:ascii="Times New Roman" w:eastAsia="Calibri" w:hAnsi="Times New Roman" w:cs="Times New Roman"/>
          <w:sz w:val="24"/>
          <w:szCs w:val="24"/>
          <w:lang w:val="sr-Cyrl-CS"/>
        </w:rPr>
        <w:t>БДП</w:t>
      </w:r>
      <w:r w:rsidRPr="00644F20">
        <w:rPr>
          <w:rFonts w:ascii="Times New Roman" w:eastAsia="Calibri" w:hAnsi="Times New Roman" w:cs="Times New Roman"/>
          <w:sz w:val="24"/>
          <w:szCs w:val="24"/>
          <w:lang w:val="sr-Cyrl-CS"/>
        </w:rPr>
        <w:t xml:space="preserve"> и повезане вредности </w:t>
      </w:r>
      <w:r w:rsidRPr="00644F20">
        <w:rPr>
          <w:rFonts w:ascii="Times New Roman" w:eastAsia="Calibri" w:hAnsi="Times New Roman" w:cs="Times New Roman"/>
          <w:i/>
          <w:sz w:val="24"/>
          <w:szCs w:val="24"/>
          <w:lang w:val="sr-Cyrl-CS"/>
        </w:rPr>
        <w:t>Продуктивност ресурса</w:t>
      </w:r>
      <w:r w:rsidRPr="00644F20">
        <w:rPr>
          <w:rFonts w:ascii="Times New Roman" w:eastAsia="Calibri" w:hAnsi="Times New Roman" w:cs="Times New Roman"/>
          <w:sz w:val="24"/>
          <w:szCs w:val="24"/>
          <w:lang w:val="sr-Cyrl-CS"/>
        </w:rPr>
        <w:t xml:space="preserve">, којима се описује економија једне земље су показатељ </w:t>
      </w:r>
      <w:r w:rsidRPr="00644F20">
        <w:rPr>
          <w:rFonts w:ascii="Times New Roman" w:eastAsia="Calibri" w:hAnsi="Times New Roman" w:cs="Times New Roman"/>
          <w:bCs/>
          <w:sz w:val="24"/>
          <w:szCs w:val="24"/>
          <w:lang w:val="sr-Cyrl-CS"/>
        </w:rPr>
        <w:t>општег стања привреде Републике Србије</w:t>
      </w:r>
      <w:r w:rsidRPr="00644F20">
        <w:rPr>
          <w:rFonts w:ascii="Times New Roman" w:eastAsia="Calibri" w:hAnsi="Times New Roman" w:cs="Times New Roman"/>
          <w:sz w:val="24"/>
          <w:szCs w:val="24"/>
          <w:lang w:val="sr-Cyrl-CS"/>
        </w:rPr>
        <w:t>. У периоду 2001-2018. године су вредности сва три индикатора биле у порасту, потрошња домаћих ресурса повећана је за 19,2%, а продуктивност ресурса за 39%, услед бржег раста БДП-а од раста потрошње материјала. Такав тренд указује да је национална привреда у великој мери зависна од експлоатације природних ресурса, као и да је у датом периоду постигнуто само релативно раздвајање економског раста од коришћења ресурса. Поређења ради, у истом периоду продуктивност ресурса у Европској унији се повећала за 35% и остварено је апсолутно раздвајање економског раста од коришћења ресурса, услед смањивања потрошње ресурса (9%</w:t>
      </w:r>
      <w:r w:rsidRPr="00644F20">
        <w:rPr>
          <w:rFonts w:ascii="Times New Roman" w:eastAsia="Calibri" w:hAnsi="Times New Roman" w:cs="Times New Roman"/>
          <w:sz w:val="24"/>
          <w:szCs w:val="24"/>
          <w:vertAlign w:val="superscript"/>
          <w:lang w:val="sr-Cyrl-CS"/>
        </w:rPr>
        <w:footnoteReference w:id="11"/>
      </w:r>
      <w:r w:rsidRPr="00644F20">
        <w:rPr>
          <w:rFonts w:ascii="Times New Roman" w:eastAsia="Calibri" w:hAnsi="Times New Roman" w:cs="Times New Roman"/>
          <w:sz w:val="24"/>
          <w:szCs w:val="24"/>
          <w:lang w:val="sr-Cyrl-CS"/>
        </w:rPr>
        <w:t>).</w:t>
      </w:r>
    </w:p>
    <w:p w14:paraId="07EED5FB" w14:textId="77777777" w:rsidR="00497092" w:rsidRPr="00644F20" w:rsidRDefault="002F45E1" w:rsidP="00D26FC9">
      <w:pPr>
        <w:spacing w:after="60" w:line="276" w:lineRule="auto"/>
        <w:ind w:firstLine="720"/>
        <w:jc w:val="both"/>
        <w:rPr>
          <w:rFonts w:ascii="Times New Roman" w:hAnsi="Times New Roman"/>
          <w:sz w:val="24"/>
          <w:szCs w:val="24"/>
          <w:lang w:val="sr-Cyrl-CS"/>
        </w:rPr>
      </w:pPr>
      <w:r w:rsidRPr="00644F20">
        <w:rPr>
          <w:rFonts w:ascii="Times New Roman" w:eastAsia="Calibri" w:hAnsi="Times New Roman" w:cs="Times New Roman"/>
          <w:sz w:val="24"/>
          <w:szCs w:val="24"/>
          <w:lang w:val="sr-Cyrl-CS"/>
        </w:rPr>
        <w:t>Привреда Републике Србије се темељи на пружању различитих врста услуга, пољопривреди и индустрији. Поређење броја пословних субјеката у 2019. години према делатности коју обављају</w:t>
      </w:r>
      <w:r w:rsidRPr="00644F20">
        <w:rPr>
          <w:rFonts w:ascii="Times New Roman" w:eastAsia="Calibri" w:hAnsi="Times New Roman" w:cs="Times New Roman"/>
          <w:sz w:val="24"/>
          <w:szCs w:val="24"/>
          <w:vertAlign w:val="superscript"/>
          <w:lang w:val="sr-Cyrl-CS"/>
        </w:rPr>
        <w:footnoteReference w:id="12"/>
      </w:r>
      <w:r w:rsidRPr="00644F20">
        <w:rPr>
          <w:rFonts w:ascii="Times New Roman" w:hAnsi="Times New Roman"/>
          <w:sz w:val="24"/>
          <w:szCs w:val="24"/>
          <w:lang w:val="sr-Cyrl-CS"/>
        </w:rPr>
        <w:t xml:space="preserve">, показује да је највећи број предузећа концентрисан у трговини на велико и мало и поправци моторних возила (34,2%). У сектору прерађивачке индустрије концентрисано је око 17,8% </w:t>
      </w:r>
      <w:r w:rsidRPr="00644F20">
        <w:rPr>
          <w:rFonts w:ascii="Times New Roman" w:eastAsia="Calibri" w:hAnsi="Times New Roman" w:cs="Times New Roman"/>
          <w:sz w:val="24"/>
          <w:szCs w:val="24"/>
          <w:lang w:val="sr-Cyrl-CS"/>
        </w:rPr>
        <w:t>пословних</w:t>
      </w:r>
      <w:r w:rsidRPr="00644F20">
        <w:rPr>
          <w:rFonts w:ascii="Times New Roman" w:hAnsi="Times New Roman"/>
          <w:sz w:val="24"/>
          <w:szCs w:val="24"/>
          <w:lang w:val="sr-Cyrl-CS"/>
        </w:rPr>
        <w:t xml:space="preserve"> субјеката, док је 13,9% </w:t>
      </w:r>
      <w:r w:rsidRPr="00644F20">
        <w:rPr>
          <w:rFonts w:ascii="Times New Roman" w:eastAsia="Calibri" w:hAnsi="Times New Roman" w:cs="Times New Roman"/>
          <w:sz w:val="24"/>
          <w:szCs w:val="24"/>
          <w:lang w:val="sr-Cyrl-CS"/>
        </w:rPr>
        <w:t>пословних</w:t>
      </w:r>
      <w:r w:rsidRPr="00644F20">
        <w:rPr>
          <w:rFonts w:ascii="Times New Roman" w:hAnsi="Times New Roman"/>
          <w:sz w:val="24"/>
          <w:szCs w:val="24"/>
          <w:lang w:val="sr-Cyrl-CS"/>
        </w:rPr>
        <w:t xml:space="preserve"> субјеката у сектору стручних, научних, иновационих и техничких делатности. </w:t>
      </w:r>
    </w:p>
    <w:p w14:paraId="7093C0DE" w14:textId="77777777" w:rsidR="00497092" w:rsidRPr="00644F20" w:rsidRDefault="002F45E1" w:rsidP="00D26FC9">
      <w:pPr>
        <w:spacing w:after="60" w:line="276" w:lineRule="auto"/>
        <w:ind w:firstLine="720"/>
        <w:jc w:val="both"/>
        <w:rPr>
          <w:rFonts w:ascii="Times New Roman" w:hAnsi="Times New Roman"/>
          <w:sz w:val="24"/>
          <w:szCs w:val="24"/>
          <w:lang w:val="sr-Cyrl-CS"/>
        </w:rPr>
      </w:pPr>
      <w:r w:rsidRPr="00644F20">
        <w:rPr>
          <w:rFonts w:ascii="Times New Roman" w:eastAsia="Calibri" w:hAnsi="Times New Roman" w:cs="Times New Roman"/>
          <w:sz w:val="24"/>
          <w:szCs w:val="24"/>
          <w:lang w:val="sr-Cyrl-CS"/>
        </w:rPr>
        <w:t xml:space="preserve">Поређење броја запослених у различитим делатностима указује да је прерађивачка индустрија доминантна, а нешто мање и трговина на велико и мало. Знатно мањи број запослених је у другим делатностима, од којих се издвајају државна управа и обавезно </w:t>
      </w:r>
      <w:r w:rsidRPr="00644F20">
        <w:rPr>
          <w:rFonts w:ascii="Times New Roman" w:eastAsia="Calibri" w:hAnsi="Times New Roman" w:cs="Times New Roman"/>
          <w:sz w:val="24"/>
          <w:szCs w:val="24"/>
          <w:lang w:val="sr-Cyrl-CS"/>
        </w:rPr>
        <w:lastRenderedPageBreak/>
        <w:t>социјално осигурање, образовање, здравствена и социјална заштита, саобраћај и складиштење, грађевинарство, стручне, научне, иновационе и техничке делатности и административне и помоћне услужне делатности (</w:t>
      </w:r>
      <w:r w:rsidR="00C54000" w:rsidRPr="00644F20">
        <w:rPr>
          <w:rFonts w:ascii="Times New Roman" w:eastAsia="Calibri" w:hAnsi="Times New Roman" w:cs="Times New Roman"/>
          <w:sz w:val="24"/>
          <w:szCs w:val="24"/>
          <w:lang w:val="sr-Cyrl-CS"/>
        </w:rPr>
        <w:t xml:space="preserve">Слика </w:t>
      </w:r>
      <w:r w:rsidRPr="00644F20">
        <w:rPr>
          <w:rFonts w:ascii="Times New Roman" w:eastAsia="Calibri" w:hAnsi="Times New Roman" w:cs="Times New Roman"/>
          <w:sz w:val="24"/>
          <w:szCs w:val="24"/>
          <w:lang w:val="sr-Cyrl-CS"/>
        </w:rPr>
        <w:t xml:space="preserve">3.3). </w:t>
      </w:r>
      <w:r w:rsidRPr="00644F20">
        <w:rPr>
          <w:rFonts w:ascii="Times New Roman" w:hAnsi="Times New Roman"/>
          <w:sz w:val="24"/>
          <w:szCs w:val="24"/>
          <w:lang w:val="sr-Cyrl-CS"/>
        </w:rPr>
        <w:t>Такође, највећи удео у укупном промету остварује трговина на велико и мало и поправка моторних возила (37,3%), а нешто мањи прерађивачка индустрија (30,9%).</w:t>
      </w:r>
    </w:p>
    <w:p w14:paraId="6F5AF7D0" w14:textId="77777777" w:rsidR="00497092" w:rsidRPr="00644F20" w:rsidRDefault="002F45E1">
      <w:pPr>
        <w:spacing w:after="60" w:line="276" w:lineRule="auto"/>
        <w:jc w:val="center"/>
        <w:rPr>
          <w:rFonts w:ascii="Times New Roman" w:eastAsia="Calibri" w:hAnsi="Times New Roman" w:cs="Times New Roman"/>
          <w:sz w:val="24"/>
          <w:szCs w:val="24"/>
          <w:lang w:val="sr-Cyrl-CS"/>
        </w:rPr>
      </w:pPr>
      <w:r w:rsidRPr="00644F20">
        <w:rPr>
          <w:rFonts w:ascii="Times New Roman" w:eastAsia="Calibri" w:hAnsi="Times New Roman" w:cs="Times New Roman"/>
          <w:noProof/>
          <w:sz w:val="24"/>
          <w:szCs w:val="24"/>
        </w:rPr>
        <w:drawing>
          <wp:inline distT="0" distB="0" distL="0" distR="0" wp14:anchorId="0E214D37" wp14:editId="2E9BFDA4">
            <wp:extent cx="5567045" cy="3562350"/>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FE1C773" w14:textId="77777777" w:rsidR="00497092" w:rsidRPr="00644F20" w:rsidRDefault="002F45E1">
      <w:pPr>
        <w:spacing w:after="120" w:line="276" w:lineRule="auto"/>
        <w:jc w:val="center"/>
        <w:rPr>
          <w:rFonts w:ascii="Calibri" w:eastAsia="Calibri" w:hAnsi="Calibri" w:cs="Times New Roman"/>
          <w:b/>
          <w:lang w:val="sr-Cyrl-CS"/>
        </w:rPr>
      </w:pPr>
      <w:r w:rsidRPr="00644F20">
        <w:rPr>
          <w:rFonts w:ascii="Times New Roman" w:eastAsia="Calibri" w:hAnsi="Times New Roman" w:cs="Times New Roman"/>
          <w:b/>
          <w:lang w:val="sr-Cyrl-CS"/>
        </w:rPr>
        <w:t xml:space="preserve">Слика 3.3 </w:t>
      </w:r>
      <w:r w:rsidRPr="00644F20">
        <w:rPr>
          <w:rFonts w:ascii="Times New Roman" w:eastAsia="Calibri" w:hAnsi="Times New Roman" w:cs="Times New Roman"/>
          <w:lang w:val="sr-Cyrl-CS"/>
        </w:rPr>
        <w:t>Запосленост по делатностима у 2020.години</w:t>
      </w:r>
      <w:r w:rsidRPr="00644F20">
        <w:rPr>
          <w:rFonts w:ascii="Times New Roman" w:eastAsia="Calibri" w:hAnsi="Times New Roman" w:cs="Times New Roman"/>
          <w:vertAlign w:val="superscript"/>
          <w:lang w:val="sr-Cyrl-CS"/>
        </w:rPr>
        <w:footnoteReference w:id="13"/>
      </w:r>
      <w:r w:rsidRPr="00644F20">
        <w:rPr>
          <w:rFonts w:ascii="Times New Roman" w:eastAsia="Calibri" w:hAnsi="Times New Roman" w:cs="Times New Roman"/>
          <w:vertAlign w:val="superscript"/>
          <w:lang w:val="sr-Cyrl-CS"/>
        </w:rPr>
        <w:t>,</w:t>
      </w:r>
      <w:r w:rsidRPr="00644F20">
        <w:rPr>
          <w:rFonts w:ascii="Times New Roman" w:eastAsia="Calibri" w:hAnsi="Times New Roman" w:cs="Times New Roman"/>
          <w:vertAlign w:val="superscript"/>
          <w:lang w:val="sr-Cyrl-CS"/>
        </w:rPr>
        <w:footnoteReference w:id="14"/>
      </w:r>
    </w:p>
    <w:p w14:paraId="63AD3502" w14:textId="77777777" w:rsidR="00497092" w:rsidRPr="00644F20" w:rsidRDefault="002F45E1" w:rsidP="00CE45C6">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hAnsi="Times New Roman" w:cs="Times New Roman"/>
          <w:sz w:val="24"/>
          <w:szCs w:val="24"/>
          <w:lang w:val="sr-Cyrl-CS"/>
        </w:rPr>
        <w:t xml:space="preserve">Сходно наведеном, </w:t>
      </w:r>
      <w:r w:rsidRPr="00644F20">
        <w:rPr>
          <w:rFonts w:ascii="Times New Roman" w:eastAsia="Calibri" w:hAnsi="Times New Roman" w:cs="Times New Roman"/>
          <w:sz w:val="24"/>
          <w:szCs w:val="24"/>
          <w:lang w:val="sr-Cyrl-CS"/>
        </w:rPr>
        <w:t>прерађивачка индустрија представља главну привредну грану у Републици Србији, која је према подацима Републичког завода за статистику у 2020. години остварила најзначајније учешће у формирању БДП од 13,3%</w:t>
      </w:r>
      <w:r w:rsidRPr="00644F20">
        <w:rPr>
          <w:rFonts w:ascii="Times New Roman" w:eastAsia="Calibri" w:hAnsi="Times New Roman" w:cs="Times New Roman"/>
          <w:sz w:val="24"/>
          <w:szCs w:val="24"/>
          <w:vertAlign w:val="superscript"/>
          <w:lang w:val="sr-Cyrl-CS"/>
        </w:rPr>
        <w:footnoteReference w:id="15"/>
      </w:r>
      <w:r w:rsidRPr="00644F20">
        <w:rPr>
          <w:rFonts w:ascii="Times New Roman" w:eastAsia="Calibri" w:hAnsi="Times New Roman" w:cs="Times New Roman"/>
          <w:sz w:val="24"/>
          <w:szCs w:val="24"/>
          <w:lang w:val="sr-Cyrl-CS"/>
        </w:rPr>
        <w:t xml:space="preserve">. </w:t>
      </w:r>
    </w:p>
    <w:p w14:paraId="06D76A57" w14:textId="77777777" w:rsidR="00497092" w:rsidRPr="00644F20" w:rsidRDefault="002F45E1" w:rsidP="00CE45C6">
      <w:pPr>
        <w:autoSpaceDE w:val="0"/>
        <w:autoSpaceDN w:val="0"/>
        <w:adjustRightInd w:val="0"/>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Учешће </w:t>
      </w:r>
      <w:r w:rsidRPr="00644F20">
        <w:rPr>
          <w:rFonts w:ascii="Times New Roman" w:eastAsia="Calibri" w:hAnsi="Times New Roman" w:cs="Times New Roman"/>
          <w:b/>
          <w:bCs/>
          <w:sz w:val="24"/>
          <w:szCs w:val="24"/>
          <w:lang w:val="sr-Cyrl-CS"/>
        </w:rPr>
        <w:t>пољопривредне производње</w:t>
      </w:r>
      <w:r w:rsidRPr="00644F20">
        <w:rPr>
          <w:rFonts w:ascii="Times New Roman" w:eastAsia="Calibri" w:hAnsi="Times New Roman" w:cs="Times New Roman"/>
          <w:sz w:val="24"/>
          <w:szCs w:val="24"/>
          <w:lang w:val="sr-Cyrl-CS"/>
        </w:rPr>
        <w:t xml:space="preserve"> у националном БДП-у током последњих година креће се између 6 и 7%</w:t>
      </w:r>
      <w:r w:rsidRPr="00644F20">
        <w:rPr>
          <w:rFonts w:ascii="Times New Roman" w:eastAsia="Calibri" w:hAnsi="Times New Roman" w:cs="Times New Roman"/>
          <w:sz w:val="24"/>
          <w:szCs w:val="24"/>
          <w:vertAlign w:val="superscript"/>
          <w:lang w:val="sr-Cyrl-CS"/>
        </w:rPr>
        <w:footnoteReference w:id="16"/>
      </w:r>
      <w:r w:rsidRPr="00644F20">
        <w:rPr>
          <w:rFonts w:ascii="Times New Roman" w:eastAsia="Calibri" w:hAnsi="Times New Roman" w:cs="Times New Roman"/>
          <w:sz w:val="24"/>
          <w:szCs w:val="24"/>
          <w:lang w:val="sr-Cyrl-CS"/>
        </w:rPr>
        <w:t>, што се са једне стране може приписати богатим природним ресурсима и повољним климатским условима за пољопривредну производњу, а са друге стране и споријем процесу структурног реформисања остале привреде.</w:t>
      </w:r>
      <w:r w:rsidRPr="00644F20">
        <w:rPr>
          <w:rFonts w:ascii="Times New Roman" w:eastAsia="Calibri" w:hAnsi="Times New Roman" w:cs="Times New Roman"/>
          <w:lang w:val="sr-Cyrl-CS"/>
        </w:rPr>
        <w:t xml:space="preserve"> </w:t>
      </w:r>
      <w:r w:rsidRPr="00644F20">
        <w:rPr>
          <w:rFonts w:ascii="Times New Roman" w:eastAsia="Calibri" w:hAnsi="Times New Roman" w:cs="Times New Roman"/>
          <w:sz w:val="24"/>
          <w:szCs w:val="24"/>
          <w:lang w:val="sr-Cyrl-CS"/>
        </w:rPr>
        <w:t>Сектор пољопривреде активно је заступљен у спољној трговини и доприноси обезбеђивању хране и економском развоју руралних подручја. У укупној вредности пољопривредне производње заступљенија је биљна од сточарске производње (67,5% односно 32,5% у 2020. години).</w:t>
      </w:r>
    </w:p>
    <w:p w14:paraId="11175291" w14:textId="77777777" w:rsidR="00497092" w:rsidRPr="00644F20" w:rsidRDefault="002F45E1" w:rsidP="00CE45C6">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sz w:val="24"/>
          <w:szCs w:val="24"/>
          <w:lang w:val="sr-Cyrl-CS"/>
        </w:rPr>
        <w:t>Органска производња</w:t>
      </w:r>
      <w:r w:rsidRPr="00644F20">
        <w:rPr>
          <w:rFonts w:ascii="Times New Roman" w:eastAsia="Calibri" w:hAnsi="Times New Roman" w:cs="Times New Roman"/>
          <w:sz w:val="24"/>
          <w:szCs w:val="24"/>
          <w:lang w:val="sr-Cyrl-CS"/>
        </w:rPr>
        <w:t xml:space="preserve"> у Републици Србији је све популарнија и економски значајнија. Захваљујући потенцијалима који се пре свега огледају у уситњеном поседу и земљишту које није загађено штетним материјама, овај вид пољопривреде може значајно допринети развоју руралних подручја, а тиме и пољопривреде уопште. У периоду од 2019-2020. године удео површине под органском производњом у односу на пoвршину кoришћeнoг пoљoприврeднoг </w:t>
      </w:r>
      <w:r w:rsidRPr="00644F20">
        <w:rPr>
          <w:rFonts w:ascii="Times New Roman" w:eastAsia="Calibri" w:hAnsi="Times New Roman" w:cs="Times New Roman"/>
          <w:sz w:val="24"/>
          <w:szCs w:val="24"/>
          <w:lang w:val="sr-Cyrl-CS"/>
        </w:rPr>
        <w:lastRenderedPageBreak/>
        <w:t>зeмљиштa нa тeритoриjи Рeпубликe Србиje је износио од 0,5% - 0,6%, а најзаступљеније су биле воћарска и ратарска производња, и производња крмног биља</w:t>
      </w:r>
      <w:r w:rsidRPr="00644F20">
        <w:rPr>
          <w:rFonts w:ascii="Times New Roman" w:eastAsia="Calibri" w:hAnsi="Times New Roman" w:cs="Times New Roman"/>
          <w:sz w:val="24"/>
          <w:szCs w:val="24"/>
          <w:vertAlign w:val="superscript"/>
          <w:lang w:val="sr-Cyrl-CS"/>
        </w:rPr>
        <w:footnoteReference w:id="17"/>
      </w:r>
      <w:r w:rsidRPr="00644F20">
        <w:rPr>
          <w:rFonts w:ascii="Times New Roman" w:eastAsia="Calibri" w:hAnsi="Times New Roman" w:cs="Times New Roman"/>
          <w:sz w:val="24"/>
          <w:szCs w:val="24"/>
          <w:lang w:val="sr-Cyrl-CS"/>
        </w:rPr>
        <w:t>.</w:t>
      </w:r>
    </w:p>
    <w:p w14:paraId="46C738AD" w14:textId="77777777" w:rsidR="00497092" w:rsidRPr="00644F20" w:rsidRDefault="002F45E1" w:rsidP="00CE45C6">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b/>
          <w:sz w:val="24"/>
          <w:szCs w:val="24"/>
          <w:lang w:val="sr-Cyrl-CS"/>
        </w:rPr>
        <w:t>Саобраћај (транспорт)</w:t>
      </w:r>
      <w:r w:rsidRPr="00644F20">
        <w:rPr>
          <w:rFonts w:ascii="Times New Roman" w:hAnsi="Times New Roman" w:cs="Times New Roman"/>
          <w:sz w:val="24"/>
          <w:szCs w:val="24"/>
          <w:lang w:val="sr-Cyrl-CS"/>
        </w:rPr>
        <w:t xml:space="preserve"> </w:t>
      </w:r>
      <w:r w:rsidRPr="00644F20">
        <w:rPr>
          <w:rFonts w:ascii="Times New Roman" w:hAnsi="Times New Roman" w:cs="Times New Roman"/>
          <w:sz w:val="24"/>
          <w:szCs w:val="24"/>
          <w:lang w:val="sr-Cyrl-CS" w:eastAsia="ja-JP"/>
        </w:rPr>
        <w:t>представља изузетно важан сектор привреде Републике Србије због врло значајног утицаја на раст и конкурентност привреде, регионални развој и демографске токове.</w:t>
      </w:r>
      <w:r w:rsidRPr="00644F20">
        <w:rPr>
          <w:rFonts w:ascii="Times New Roman" w:hAnsi="Times New Roman" w:cs="Times New Roman"/>
          <w:sz w:val="24"/>
          <w:szCs w:val="24"/>
          <w:lang w:val="sr-Cyrl-CS"/>
        </w:rPr>
        <w:t xml:space="preserve"> </w:t>
      </w:r>
    </w:p>
    <w:p w14:paraId="63D620EF" w14:textId="77777777" w:rsidR="00497092" w:rsidRPr="00644F20" w:rsidRDefault="002F45E1" w:rsidP="00CE45C6">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hAnsi="Times New Roman" w:cs="Times New Roman"/>
          <w:sz w:val="24"/>
          <w:szCs w:val="24"/>
          <w:lang w:val="sr-Cyrl-CS" w:eastAsia="ja-JP"/>
        </w:rPr>
        <w:t xml:space="preserve">Република Србија има раширену транспортну инфраструктурну мрежу, али је инфраструктура свих видова саобраћаја генерално на незадовољавајућем нивоу. </w:t>
      </w:r>
      <w:r w:rsidRPr="00644F20">
        <w:rPr>
          <w:rFonts w:ascii="Times New Roman" w:hAnsi="Times New Roman" w:cs="Times New Roman"/>
          <w:sz w:val="24"/>
          <w:szCs w:val="24"/>
          <w:lang w:val="sr-Cyrl-CS"/>
        </w:rPr>
        <w:t>Друмски транспорт у Републици Србији представља динамичан и доминантан вид саобраћаја који учествује са око 80% у укупном обиму превезеног терета, односно са око 74% у укупном броју превезених путника</w:t>
      </w:r>
      <w:r w:rsidRPr="00644F20">
        <w:rPr>
          <w:rFonts w:ascii="Times New Roman" w:hAnsi="Times New Roman" w:cs="Times New Roman"/>
          <w:sz w:val="24"/>
          <w:szCs w:val="24"/>
          <w:vertAlign w:val="superscript"/>
          <w:lang w:val="sr-Cyrl-CS"/>
        </w:rPr>
        <w:footnoteReference w:id="18"/>
      </w:r>
      <w:r w:rsidRPr="00644F20">
        <w:rPr>
          <w:rFonts w:ascii="Times New Roman" w:hAnsi="Times New Roman" w:cs="Times New Roman"/>
          <w:sz w:val="24"/>
          <w:szCs w:val="24"/>
          <w:lang w:val="sr-Cyrl-CS"/>
        </w:rPr>
        <w:t>. Такође, д</w:t>
      </w:r>
      <w:r w:rsidRPr="00644F20">
        <w:rPr>
          <w:rFonts w:ascii="Times New Roman" w:hAnsi="Times New Roman" w:cs="Times New Roman"/>
          <w:sz w:val="24"/>
          <w:szCs w:val="24"/>
          <w:lang w:val="sr-Cyrl-CS" w:eastAsia="ja-JP"/>
        </w:rPr>
        <w:t xml:space="preserve">румска возила су један од главних извора емисија загађујућих материја у ваздух у Републици Србији, посебно у већим градовима. </w:t>
      </w:r>
      <w:r w:rsidRPr="00644F20">
        <w:rPr>
          <w:rFonts w:ascii="Times New Roman" w:hAnsi="Times New Roman" w:cs="Times New Roman"/>
          <w:sz w:val="24"/>
          <w:szCs w:val="24"/>
          <w:lang w:val="sr-Cyrl-CS"/>
        </w:rPr>
        <w:t xml:space="preserve">Бициклистички саобраћај је скоро искључиво резервисан за </w:t>
      </w:r>
      <w:r w:rsidR="00831F3F" w:rsidRPr="00644F20">
        <w:rPr>
          <w:rFonts w:ascii="Times New Roman" w:hAnsi="Times New Roman" w:cs="Times New Roman"/>
          <w:sz w:val="24"/>
          <w:szCs w:val="24"/>
          <w:lang w:val="sr-Cyrl-CS"/>
        </w:rPr>
        <w:t>АП</w:t>
      </w:r>
      <w:r w:rsidRPr="00644F20">
        <w:rPr>
          <w:rFonts w:ascii="Times New Roman" w:hAnsi="Times New Roman" w:cs="Times New Roman"/>
          <w:sz w:val="24"/>
          <w:szCs w:val="24"/>
          <w:lang w:val="sr-Cyrl-CS"/>
        </w:rPr>
        <w:t xml:space="preserve"> Војводину, док се у осталом делу државе углавном своди на вид рекреације. Улога пешачких кретања варира у зависности од величине урбаног насеља и постојања јавног градског превоза.</w:t>
      </w:r>
    </w:p>
    <w:p w14:paraId="28BA53BB" w14:textId="77777777" w:rsidR="00497092" w:rsidRPr="00644F20" w:rsidRDefault="002F45E1">
      <w:pPr>
        <w:keepNext/>
        <w:keepLines/>
        <w:spacing w:before="120" w:after="120" w:line="276" w:lineRule="auto"/>
        <w:outlineLvl w:val="3"/>
        <w:rPr>
          <w:rFonts w:ascii="Times New Roman" w:eastAsiaTheme="majorEastAsia" w:hAnsi="Times New Roman" w:cstheme="majorBidi"/>
          <w:b/>
          <w:bCs/>
          <w:iCs/>
          <w:sz w:val="24"/>
          <w:szCs w:val="24"/>
          <w:lang w:val="sr-Cyrl-CS"/>
        </w:rPr>
      </w:pPr>
      <w:r w:rsidRPr="00644F20">
        <w:rPr>
          <w:rFonts w:ascii="Times New Roman" w:eastAsiaTheme="majorEastAsia" w:hAnsi="Times New Roman" w:cstheme="majorBidi"/>
          <w:b/>
          <w:bCs/>
          <w:iCs/>
          <w:sz w:val="24"/>
          <w:szCs w:val="24"/>
          <w:lang w:val="sr-Cyrl-CS"/>
        </w:rPr>
        <w:t>3.1.2.1. Актуелни проблеми и потенцијали за увођење циркуларне економије</w:t>
      </w:r>
    </w:p>
    <w:p w14:paraId="0F2AFDC9" w14:textId="77777777" w:rsidR="00497092" w:rsidRPr="00644F20" w:rsidRDefault="002F45E1" w:rsidP="00CE45C6">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Бројни проблеми дефинисани претходном стратегијом и политиком развоја индустрије Републике Србије</w:t>
      </w:r>
      <w:r w:rsidRPr="00644F20">
        <w:rPr>
          <w:rFonts w:ascii="Times New Roman" w:eastAsia="Calibri" w:hAnsi="Times New Roman" w:cs="Times New Roman"/>
          <w:sz w:val="24"/>
          <w:szCs w:val="24"/>
          <w:vertAlign w:val="superscript"/>
          <w:lang w:val="sr-Cyrl-CS"/>
        </w:rPr>
        <w:footnoteReference w:id="19"/>
      </w:r>
      <w:r w:rsidRPr="00644F20">
        <w:rPr>
          <w:rFonts w:ascii="Times New Roman" w:eastAsia="Calibri" w:hAnsi="Times New Roman" w:cs="Times New Roman"/>
          <w:sz w:val="24"/>
          <w:szCs w:val="24"/>
          <w:lang w:val="sr-Cyrl-CS"/>
        </w:rPr>
        <w:t xml:space="preserve"> присутни су и данас, као што су: нерационално коришћење ресурса, примена застарелих технологија, ниска енергетска ефикасност, висок ниво генерисања отпада по јединици готовог производа, недовољно коришћење секундарних сировина и сировина из рециклажног процеса, као и неадекватно управљање индустријским отпадом. Велики број индустријских постројења је генерално у лошем техничком стању. </w:t>
      </w:r>
      <w:r w:rsidRPr="00644F20">
        <w:rPr>
          <w:rFonts w:ascii="Times New Roman" w:hAnsi="Times New Roman" w:cs="Times New Roman"/>
          <w:sz w:val="24"/>
          <w:szCs w:val="24"/>
          <w:lang w:val="sr-Cyrl-CS"/>
        </w:rPr>
        <w:t xml:space="preserve">Недостатак постројења и опреме за смањење загађења (нпр. постројења за третман отпадних вода, електрофилтера и постројења за одсумпоравање димних гасова) </w:t>
      </w:r>
      <w:r w:rsidRPr="00644F20">
        <w:rPr>
          <w:rFonts w:ascii="Times New Roman" w:eastAsia="Calibri" w:hAnsi="Times New Roman" w:cs="Times New Roman"/>
          <w:sz w:val="24"/>
          <w:szCs w:val="24"/>
          <w:lang w:val="sr-Cyrl-CS"/>
        </w:rPr>
        <w:t xml:space="preserve">има за последицу емисије загађујућих материја у ваздух, воду и земљиште, генерисање значајних количина и неадекватно одлагање отпада односно </w:t>
      </w:r>
      <w:r w:rsidRPr="00644F20">
        <w:rPr>
          <w:rFonts w:ascii="Times New Roman" w:eastAsia="Calibri" w:hAnsi="Times New Roman" w:cs="Times New Roman"/>
          <w:bCs/>
          <w:sz w:val="24"/>
          <w:szCs w:val="24"/>
          <w:lang w:val="sr-Cyrl-CS"/>
        </w:rPr>
        <w:t>негативан утицај на здравље људи и животну средину.</w:t>
      </w:r>
    </w:p>
    <w:p w14:paraId="7F56BB1E" w14:textId="77777777" w:rsidR="00497092" w:rsidRPr="00644F20" w:rsidRDefault="002F45E1" w:rsidP="00CE45C6">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основу података Р</w:t>
      </w:r>
      <w:r w:rsidR="00CE45C6" w:rsidRPr="00644F20">
        <w:rPr>
          <w:rFonts w:ascii="Times New Roman" w:hAnsi="Times New Roman" w:cs="Times New Roman"/>
          <w:sz w:val="24"/>
          <w:szCs w:val="24"/>
          <w:lang w:val="sr-Cyrl-CS"/>
        </w:rPr>
        <w:t>ЗС</w:t>
      </w:r>
      <w:r w:rsidRPr="00644F20">
        <w:rPr>
          <w:rFonts w:ascii="Times New Roman" w:hAnsi="Times New Roman" w:cs="Times New Roman"/>
          <w:sz w:val="24"/>
          <w:szCs w:val="24"/>
          <w:lang w:val="sr-Cyrl-CS"/>
        </w:rPr>
        <w:t xml:space="preserve"> у 2019. години је за потребе индустријске производње у Србији потрошено око 4,2 милијарде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 xml:space="preserve"> воде  и то пре свега у области снабдевања електричном енергијом, гасом и паром (97,6%), од чега највећи део чине воде за хлађење (98-100%). Остале значајније потрошаче представљају прерађивачка индустрија (2%) и рударство (0,3%). </w:t>
      </w:r>
    </w:p>
    <w:p w14:paraId="3D556975" w14:textId="77777777" w:rsidR="00497092" w:rsidRPr="00644F20" w:rsidRDefault="002F45E1" w:rsidP="00CE45C6">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Републици Србији је у 2019. години испуштено 119 милиона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 xml:space="preserve"> отпадних вода насталих у индустрији, које највећим делом чине отпадне воде из сектора прерађивачке индустрије и сектора снабдевања електричном енергијом, гасом и паром. Укупно је пречишћено 46 од испуштених 119 милиона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 xml:space="preserve"> воде, а од тога примарним третманом 38,3%, секундарним третманом 12,5% и терцијарним третманом 49,2%. Воде које се користе за хлађење испуштају се без додатног пречишћавања. Највећи удео у пречишћеним водама сектора индустрије има област производње основних метала, а потом производња хемикалија </w:t>
      </w:r>
      <w:r w:rsidRPr="00644F20">
        <w:rPr>
          <w:rFonts w:ascii="Times New Roman" w:hAnsi="Times New Roman" w:cs="Times New Roman"/>
          <w:sz w:val="24"/>
          <w:szCs w:val="24"/>
          <w:lang w:val="sr-Cyrl-CS"/>
        </w:rPr>
        <w:lastRenderedPageBreak/>
        <w:t>и хемијских производа, производња прехрамбених производа и сектор снабдевања електричном енергијом, гасом, паром и климатизација</w:t>
      </w:r>
      <w:r w:rsidRPr="00644F20">
        <w:rPr>
          <w:rFonts w:ascii="Times New Roman" w:hAnsi="Times New Roman"/>
          <w:sz w:val="24"/>
          <w:vertAlign w:val="superscript"/>
          <w:lang w:val="sr-Cyrl-CS"/>
        </w:rPr>
        <w:footnoteReference w:id="20"/>
      </w:r>
      <w:r w:rsidRPr="00644F20">
        <w:rPr>
          <w:rFonts w:ascii="Times New Roman" w:hAnsi="Times New Roman" w:cs="Times New Roman"/>
          <w:sz w:val="24"/>
          <w:szCs w:val="24"/>
          <w:lang w:val="sr-Cyrl-CS"/>
        </w:rPr>
        <w:t xml:space="preserve">. </w:t>
      </w:r>
    </w:p>
    <w:tbl>
      <w:tblPr>
        <w:tblW w:w="0" w:type="auto"/>
        <w:jc w:val="center"/>
        <w:tblLook w:val="04A0" w:firstRow="1" w:lastRow="0" w:firstColumn="1" w:lastColumn="0" w:noHBand="0" w:noVBand="1"/>
      </w:tblPr>
      <w:tblGrid>
        <w:gridCol w:w="4623"/>
        <w:gridCol w:w="5016"/>
      </w:tblGrid>
      <w:tr w:rsidR="00497092" w:rsidRPr="00644F20" w14:paraId="6015AF6D" w14:textId="77777777">
        <w:trPr>
          <w:jc w:val="center"/>
        </w:trPr>
        <w:tc>
          <w:tcPr>
            <w:tcW w:w="4072" w:type="dxa"/>
          </w:tcPr>
          <w:p w14:paraId="10BB7537" w14:textId="77777777" w:rsidR="00497092" w:rsidRPr="00644F20" w:rsidRDefault="002F45E1">
            <w:pPr>
              <w:spacing w:after="60" w:line="276" w:lineRule="auto"/>
              <w:jc w:val="center"/>
              <w:rPr>
                <w:rFonts w:ascii="Times New Roman" w:hAnsi="Times New Roman" w:cs="Times New Roman"/>
                <w:sz w:val="24"/>
                <w:szCs w:val="24"/>
                <w:lang w:val="sr-Cyrl-CS"/>
              </w:rPr>
            </w:pPr>
            <w:r w:rsidRPr="00644F20">
              <w:rPr>
                <w:noProof/>
              </w:rPr>
              <w:drawing>
                <wp:inline distT="0" distB="0" distL="0" distR="0" wp14:anchorId="315E3B12" wp14:editId="070CE7C0">
                  <wp:extent cx="2990850" cy="1973580"/>
                  <wp:effectExtent l="0" t="0" r="0" b="762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5783" w:type="dxa"/>
          </w:tcPr>
          <w:p w14:paraId="028C6BF1" w14:textId="77777777" w:rsidR="00497092" w:rsidRPr="00644F20" w:rsidRDefault="002F45E1">
            <w:pPr>
              <w:spacing w:after="60" w:line="276" w:lineRule="auto"/>
              <w:jc w:val="center"/>
              <w:rPr>
                <w:rFonts w:ascii="Times New Roman" w:hAnsi="Times New Roman" w:cs="Times New Roman"/>
                <w:sz w:val="24"/>
                <w:szCs w:val="24"/>
                <w:lang w:val="sr-Cyrl-CS"/>
              </w:rPr>
            </w:pPr>
            <w:r w:rsidRPr="00644F20">
              <w:rPr>
                <w:noProof/>
              </w:rPr>
              <w:drawing>
                <wp:inline distT="0" distB="0" distL="0" distR="0" wp14:anchorId="15236BCC" wp14:editId="0AEB29AF">
                  <wp:extent cx="3257550" cy="2015490"/>
                  <wp:effectExtent l="0" t="0" r="0" b="381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97092" w:rsidRPr="00644F20" w14:paraId="7AF41A69" w14:textId="77777777">
        <w:trPr>
          <w:jc w:val="center"/>
        </w:trPr>
        <w:tc>
          <w:tcPr>
            <w:tcW w:w="4072" w:type="dxa"/>
          </w:tcPr>
          <w:p w14:paraId="3AF7CF41" w14:textId="77777777" w:rsidR="00497092" w:rsidRPr="00644F20" w:rsidRDefault="002F45E1">
            <w:pPr>
              <w:spacing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 xml:space="preserve">Слика 3.4 </w:t>
            </w:r>
            <w:r w:rsidRPr="00644F20">
              <w:rPr>
                <w:rFonts w:ascii="Times New Roman" w:hAnsi="Times New Roman" w:cs="Times New Roman"/>
                <w:lang w:val="sr-Cyrl-CS"/>
              </w:rPr>
              <w:t>Допринос појединих сектора привреде укупној количини насталих отпадних вода</w:t>
            </w:r>
            <w:r w:rsidRPr="00644F20">
              <w:rPr>
                <w:rFonts w:ascii="Times New Roman" w:hAnsi="Times New Roman" w:cs="Times New Roman"/>
                <w:vertAlign w:val="superscript"/>
                <w:lang w:val="sr-Cyrl-CS"/>
              </w:rPr>
              <w:footnoteReference w:id="21"/>
            </w:r>
          </w:p>
        </w:tc>
        <w:tc>
          <w:tcPr>
            <w:tcW w:w="5783" w:type="dxa"/>
          </w:tcPr>
          <w:p w14:paraId="4FD6B53F" w14:textId="77777777" w:rsidR="00497092" w:rsidRPr="00644F20" w:rsidRDefault="002F45E1">
            <w:pPr>
              <w:spacing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 xml:space="preserve">Слика 3.5 </w:t>
            </w:r>
            <w:r w:rsidRPr="00644F20">
              <w:rPr>
                <w:rFonts w:ascii="Times New Roman" w:hAnsi="Times New Roman" w:cs="Times New Roman"/>
                <w:lang w:val="sr-Cyrl-CS"/>
              </w:rPr>
              <w:t>Удео по областима сектора индустрије у пречишћеним водама</w:t>
            </w:r>
            <w:r w:rsidRPr="00644F20">
              <w:rPr>
                <w:rFonts w:ascii="Times New Roman" w:hAnsi="Times New Roman" w:cs="Times New Roman"/>
                <w:vertAlign w:val="superscript"/>
                <w:lang w:val="sr-Cyrl-CS"/>
              </w:rPr>
              <w:t>17</w:t>
            </w:r>
          </w:p>
        </w:tc>
      </w:tr>
    </w:tbl>
    <w:p w14:paraId="01A616E6" w14:textId="77777777" w:rsidR="00497092" w:rsidRPr="00644F20" w:rsidRDefault="002F45E1" w:rsidP="00CE45C6">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Релативно мали удео вода које се пречишћавају јасно указује на потребу за већим улагањима у постројења за пречишћавање отпадних вода, посебно у сектору прерађивачке индустрије, где се генерише највећа количина отпадних вода које захтевају пречишћавање. </w:t>
      </w:r>
    </w:p>
    <w:p w14:paraId="5BC926A2" w14:textId="77777777" w:rsidR="00497092" w:rsidRPr="00644F20" w:rsidRDefault="002F45E1" w:rsidP="00CE45C6">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Оптимизација потрошње воде и смањење оптерећења отпадних токова воде допринела би смањењу иначе високих капиталних и оперативних трошкова постројења за третман отпадних вода чиме би се третман учинио доступнијим за већи број компанија. То подразумева мерење потрошње, раздвајање запрљаних од чистих токова воде, поновну употребу и рециклирање воде, као и боље управљање отпадом и споредним производима. Досадашња искуства на увођењу мера чистије производње у области прерађивачке индустрије у Републици Србији су показала да се на тај начин у просеку може уштедети око 15%  воде</w:t>
      </w:r>
      <w:r w:rsidRPr="00644F20">
        <w:rPr>
          <w:rFonts w:ascii="Times New Roman" w:hAnsi="Times New Roman"/>
          <w:sz w:val="24"/>
          <w:vertAlign w:val="superscript"/>
          <w:lang w:val="sr-Cyrl-CS"/>
        </w:rPr>
        <w:footnoteReference w:id="22"/>
      </w:r>
      <w:r w:rsidRPr="00644F20">
        <w:rPr>
          <w:rFonts w:ascii="Times New Roman" w:hAnsi="Times New Roman" w:cs="Times New Roman"/>
          <w:sz w:val="24"/>
          <w:szCs w:val="24"/>
          <w:lang w:val="sr-Cyrl-CS"/>
        </w:rPr>
        <w:t>. Рециклирање и поновна употреба воде имаће посебно велики значај у наредном периоду, с обзиром да се процењује да ће са очекиваним порастом индустријске производње расти и потребе за водом у прерађивачкој индустрији са садашњих приближно 90 милиона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/год. на 146,6 милиона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/год. у 2024. години, односно 288,4 милиона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 xml:space="preserve"> у 2034. години</w:t>
      </w:r>
      <w:r w:rsidRPr="00644F20">
        <w:rPr>
          <w:rFonts w:ascii="Times New Roman" w:hAnsi="Times New Roman"/>
          <w:sz w:val="24"/>
          <w:vertAlign w:val="superscript"/>
          <w:lang w:val="sr-Cyrl-CS"/>
        </w:rPr>
        <w:t>17</w:t>
      </w:r>
      <w:r w:rsidRPr="00644F20">
        <w:rPr>
          <w:rFonts w:ascii="Times New Roman" w:hAnsi="Times New Roman" w:cs="Times New Roman"/>
          <w:sz w:val="24"/>
          <w:szCs w:val="24"/>
          <w:lang w:val="sr-Cyrl-CS"/>
        </w:rPr>
        <w:t>.</w:t>
      </w:r>
    </w:p>
    <w:p w14:paraId="4EDBEDB8" w14:textId="77777777" w:rsidR="00497092" w:rsidRPr="00644F20" w:rsidRDefault="002F45E1" w:rsidP="00CE45C6">
      <w:pPr>
        <w:autoSpaceDE w:val="0"/>
        <w:autoSpaceDN w:val="0"/>
        <w:adjustRightInd w:val="0"/>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Cs/>
          <w:sz w:val="24"/>
          <w:szCs w:val="24"/>
          <w:lang w:val="sr-Cyrl-CS"/>
        </w:rPr>
        <w:t xml:space="preserve">Према Годишњем извештају </w:t>
      </w:r>
      <w:r w:rsidR="00CE45C6" w:rsidRPr="00644F20">
        <w:rPr>
          <w:rFonts w:ascii="Times New Roman" w:eastAsia="Calibri" w:hAnsi="Times New Roman" w:cs="Times New Roman"/>
          <w:bCs/>
          <w:sz w:val="24"/>
          <w:szCs w:val="24"/>
          <w:lang w:val="sr-Cyrl-CS"/>
        </w:rPr>
        <w:t xml:space="preserve"> АЗЖС</w:t>
      </w:r>
      <w:r w:rsidRPr="00644F20">
        <w:rPr>
          <w:rFonts w:ascii="Times New Roman" w:eastAsia="Calibri" w:hAnsi="Times New Roman" w:cs="Times New Roman"/>
          <w:bCs/>
          <w:sz w:val="24"/>
          <w:szCs w:val="24"/>
          <w:lang w:val="sr-Cyrl-CS"/>
        </w:rPr>
        <w:t>, највеће емитоване количине оксида сумпора, оксида азота и суспендованих честица у атмосферу у 2019. години потичу из термоенергетских постројења, хемијске, минералне и прехрамбене индустрије. Највећа количина гасова у 2018. години емитована је из сектора производње и дистрибуције енергије (NO</w:t>
      </w:r>
      <w:r w:rsidRPr="00644F20">
        <w:rPr>
          <w:rFonts w:ascii="Times New Roman" w:eastAsia="Calibri" w:hAnsi="Times New Roman" w:cs="Times New Roman"/>
          <w:bCs/>
          <w:sz w:val="24"/>
          <w:szCs w:val="24"/>
          <w:vertAlign w:val="subscript"/>
          <w:lang w:val="sr-Cyrl-CS"/>
        </w:rPr>
        <w:t>x</w:t>
      </w:r>
      <w:r w:rsidRPr="00644F20">
        <w:rPr>
          <w:rFonts w:ascii="Times New Roman" w:eastAsia="Calibri" w:hAnsi="Times New Roman" w:cs="Times New Roman"/>
          <w:bCs/>
          <w:sz w:val="24"/>
          <w:szCs w:val="24"/>
          <w:lang w:val="sr-Cyrl-CS"/>
        </w:rPr>
        <w:t xml:space="preserve"> – 53,52%, SO</w:t>
      </w:r>
      <w:r w:rsidRPr="00644F20">
        <w:rPr>
          <w:rFonts w:ascii="Times New Roman" w:eastAsia="Calibri" w:hAnsi="Times New Roman" w:cs="Times New Roman"/>
          <w:bCs/>
          <w:sz w:val="24"/>
          <w:szCs w:val="24"/>
          <w:vertAlign w:val="subscript"/>
          <w:lang w:val="sr-Cyrl-CS"/>
        </w:rPr>
        <w:t>2</w:t>
      </w:r>
      <w:r w:rsidRPr="00644F20">
        <w:rPr>
          <w:rFonts w:ascii="Times New Roman" w:eastAsia="Calibri" w:hAnsi="Times New Roman" w:cs="Times New Roman"/>
          <w:bCs/>
          <w:sz w:val="24"/>
          <w:szCs w:val="24"/>
          <w:lang w:val="sr-Cyrl-CS"/>
        </w:rPr>
        <w:t xml:space="preserve"> - 89,56%), сектора друмског саобраћаја (NO</w:t>
      </w:r>
      <w:r w:rsidRPr="00644F20">
        <w:rPr>
          <w:rFonts w:ascii="Times New Roman" w:eastAsia="Calibri" w:hAnsi="Times New Roman" w:cs="Times New Roman"/>
          <w:bCs/>
          <w:sz w:val="24"/>
          <w:szCs w:val="24"/>
          <w:vertAlign w:val="subscript"/>
          <w:lang w:val="sr-Cyrl-CS"/>
        </w:rPr>
        <w:t>x</w:t>
      </w:r>
      <w:r w:rsidRPr="00644F20">
        <w:rPr>
          <w:rFonts w:ascii="Times New Roman" w:eastAsia="Calibri" w:hAnsi="Times New Roman" w:cs="Times New Roman"/>
          <w:bCs/>
          <w:sz w:val="24"/>
          <w:szCs w:val="24"/>
          <w:lang w:val="sr-Cyrl-CS"/>
        </w:rPr>
        <w:t xml:space="preserve"> – 19,09%) и пољопривреде (NH</w:t>
      </w:r>
      <w:r w:rsidRPr="00644F20">
        <w:rPr>
          <w:rFonts w:ascii="Times New Roman" w:eastAsia="Calibri" w:hAnsi="Times New Roman" w:cs="Times New Roman"/>
          <w:bCs/>
          <w:sz w:val="24"/>
          <w:szCs w:val="24"/>
          <w:vertAlign w:val="subscript"/>
          <w:lang w:val="sr-Cyrl-CS"/>
        </w:rPr>
        <w:t>3</w:t>
      </w:r>
      <w:r w:rsidRPr="00644F20">
        <w:rPr>
          <w:rFonts w:ascii="Times New Roman" w:eastAsia="Calibri" w:hAnsi="Times New Roman" w:cs="Times New Roman"/>
          <w:bCs/>
          <w:sz w:val="24"/>
          <w:szCs w:val="24"/>
          <w:lang w:val="sr-Cyrl-CS"/>
        </w:rPr>
        <w:t xml:space="preserve"> - 85,30%). Највеће емитоване количине азота и фосфора у отпадним индустријским водама потичу из постројења у оквиру енергетског сектора и од </w:t>
      </w:r>
      <w:r w:rsidR="00256587" w:rsidRPr="00644F20">
        <w:rPr>
          <w:rFonts w:ascii="Times New Roman" w:eastAsia="Calibri" w:hAnsi="Times New Roman" w:cs="Times New Roman"/>
          <w:bCs/>
          <w:sz w:val="24"/>
          <w:szCs w:val="24"/>
          <w:lang w:val="sr-Cyrl-CS"/>
        </w:rPr>
        <w:t>јавних комуналних предузећа</w:t>
      </w:r>
      <w:r w:rsidRPr="00644F20">
        <w:rPr>
          <w:rFonts w:ascii="Times New Roman" w:eastAsia="Calibri" w:hAnsi="Times New Roman" w:cs="Times New Roman"/>
          <w:bCs/>
          <w:sz w:val="24"/>
          <w:szCs w:val="24"/>
          <w:lang w:val="sr-Cyrl-CS"/>
        </w:rPr>
        <w:t xml:space="preserve"> која управљају отпадом и отпадним водама, затим хемијске и минералне индустрије. </w:t>
      </w:r>
      <w:r w:rsidRPr="00644F20">
        <w:rPr>
          <w:rFonts w:ascii="Times New Roman" w:eastAsia="Calibri" w:hAnsi="Times New Roman" w:cs="Times New Roman"/>
          <w:sz w:val="24"/>
          <w:szCs w:val="24"/>
          <w:lang w:val="sr-Cyrl-CS"/>
        </w:rPr>
        <w:t>Летећи пепео од угља је генерисан у количини од 7,47 милиона тона, што указује да су термоенергетски објекти највећи произвођачи отпада</w:t>
      </w:r>
      <w:r w:rsidRPr="00644F20">
        <w:rPr>
          <w:rFonts w:ascii="Times New Roman" w:eastAsia="Calibri" w:hAnsi="Times New Roman" w:cs="Times New Roman"/>
          <w:sz w:val="24"/>
          <w:szCs w:val="24"/>
          <w:vertAlign w:val="superscript"/>
          <w:lang w:val="sr-Cyrl-CS"/>
        </w:rPr>
        <w:footnoteReference w:id="23"/>
      </w:r>
      <w:r w:rsidRPr="00644F20">
        <w:rPr>
          <w:rFonts w:ascii="Times New Roman" w:eastAsia="Calibri" w:hAnsi="Times New Roman" w:cs="Times New Roman"/>
          <w:sz w:val="24"/>
          <w:szCs w:val="24"/>
          <w:lang w:val="sr-Cyrl-CS"/>
        </w:rPr>
        <w:t>. Према подацима А</w:t>
      </w:r>
      <w:r w:rsidR="00CE45C6" w:rsidRPr="00644F20">
        <w:rPr>
          <w:rFonts w:ascii="Times New Roman" w:eastAsia="Calibri" w:hAnsi="Times New Roman" w:cs="Times New Roman"/>
          <w:sz w:val="24"/>
          <w:szCs w:val="24"/>
          <w:lang w:val="sr-Cyrl-CS"/>
        </w:rPr>
        <w:t>ЗЖС</w:t>
      </w:r>
      <w:r w:rsidRPr="00644F20">
        <w:rPr>
          <w:rFonts w:ascii="Times New Roman" w:eastAsia="Calibri" w:hAnsi="Times New Roman" w:cs="Times New Roman"/>
          <w:sz w:val="24"/>
          <w:szCs w:val="24"/>
          <w:vertAlign w:val="superscript"/>
          <w:lang w:val="sr-Cyrl-CS"/>
        </w:rPr>
        <w:footnoteReference w:id="24"/>
      </w:r>
      <w:r w:rsidRPr="00644F20">
        <w:rPr>
          <w:rFonts w:ascii="Times New Roman" w:eastAsia="Calibri" w:hAnsi="Times New Roman" w:cs="Times New Roman"/>
          <w:sz w:val="24"/>
          <w:szCs w:val="24"/>
          <w:lang w:val="sr-Cyrl-CS"/>
        </w:rPr>
        <w:t xml:space="preserve">, удео индустрије је 2018. године у производњи </w:t>
      </w:r>
      <w:r w:rsidRPr="00644F20">
        <w:rPr>
          <w:rFonts w:ascii="Times New Roman" w:eastAsia="Calibri" w:hAnsi="Times New Roman" w:cs="Times New Roman"/>
          <w:sz w:val="24"/>
          <w:szCs w:val="24"/>
          <w:lang w:val="sr-Cyrl-CS"/>
        </w:rPr>
        <w:lastRenderedPageBreak/>
        <w:t>неопасног отпада износио је 1,3%, удео у производњи опасног отпада био је 10,3%, док у потрошњи финалне енергије, сектор индустрије просечно учествује са 28,6%.</w:t>
      </w:r>
    </w:p>
    <w:p w14:paraId="663B7B1E" w14:textId="77777777" w:rsidR="00497092" w:rsidRPr="00644F20" w:rsidRDefault="002F45E1" w:rsidP="00E930C6">
      <w:pPr>
        <w:spacing w:after="12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Циљеви који су постављени у Акционим плановима за енергетску ефикасност (АПЕЕ) нису остварени у индустрији. Застарела технологија, висока специфична потрошња енергије и недостатак мониторинга потрошње енергената у производним процесима, само су неки од проблема који је карактеришу. Ефикасно коришћење енергије је један од предуслова за развој циркуларне економије. Остваривање циркуларности преласком на обновљиве изворе енергије има смисао само ако су постојећи системи оптимизовани и ако се ресурси ефикасно користе, без разлике да ли су обновљиви или не. Због тога су даљи развој система управљања енергијом и смањење губитака, једни од праваца за унапређење постојећег стања у привреди. Такође, веће економско искоришћење енергије може се остварити и повећањем степена финализације производа, у чему циркуларни дизајн производа може да има велику улогу.</w:t>
      </w:r>
    </w:p>
    <w:p w14:paraId="12EF0E7C" w14:textId="77777777" w:rsidR="00497092" w:rsidRPr="00644F20" w:rsidRDefault="002F45E1" w:rsidP="00E930C6">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Посебну пажњу треба посветити производњи хемикалија, коришћењу хемикалија као сировина и потрошњи хемикалија. Хемикалије су у свакодневној употреби и саставни су део бројних производа који се употребљавају у најразличитијим сферама приватног и пословног живота. Међутим, неке од њих имају веома опасна својства, а нарочито оне које спадају у супстанце које изазивају забринутост-SVHC (</w:t>
      </w:r>
      <w:r w:rsidRPr="00644F20">
        <w:rPr>
          <w:rFonts w:ascii="Times New Roman" w:eastAsia="Calibri" w:hAnsi="Times New Roman" w:cs="Times New Roman"/>
          <w:i/>
          <w:sz w:val="24"/>
          <w:szCs w:val="24"/>
          <w:lang w:val="sr-Cyrl-CS"/>
        </w:rPr>
        <w:t>Substances of Very High Concern - SVHC</w:t>
      </w:r>
      <w:r w:rsidRPr="00644F20">
        <w:rPr>
          <w:rFonts w:ascii="Times New Roman" w:eastAsia="Calibri" w:hAnsi="Times New Roman" w:cs="Times New Roman"/>
          <w:sz w:val="24"/>
          <w:szCs w:val="24"/>
          <w:lang w:val="sr-Cyrl-CS"/>
        </w:rPr>
        <w:t>) и/или дуготрајне органске загађујуће супстанце-POPs (</w:t>
      </w:r>
      <w:r w:rsidRPr="00644F20">
        <w:rPr>
          <w:rFonts w:ascii="Times New Roman" w:eastAsia="Calibri" w:hAnsi="Times New Roman" w:cs="Times New Roman"/>
          <w:i/>
          <w:sz w:val="24"/>
          <w:szCs w:val="24"/>
          <w:lang w:val="sr-Cyrl-CS"/>
        </w:rPr>
        <w:t>Persistant Organic Polutants - POPs</w:t>
      </w:r>
      <w:r w:rsidRPr="00644F20">
        <w:rPr>
          <w:rFonts w:ascii="Times New Roman" w:eastAsia="Calibri" w:hAnsi="Times New Roman" w:cs="Times New Roman"/>
          <w:sz w:val="24"/>
          <w:szCs w:val="24"/>
          <w:lang w:val="sr-Cyrl-CS"/>
        </w:rPr>
        <w:t>), те потенцијално излагање оваквим хемикалијама треба свести на минимум.</w:t>
      </w:r>
    </w:p>
    <w:p w14:paraId="780B63B1" w14:textId="77777777" w:rsidR="00497092" w:rsidRPr="00644F20" w:rsidRDefault="002F45E1" w:rsidP="00E930C6">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Према подацима из Регистра хемикалија</w:t>
      </w:r>
      <w:r w:rsidRPr="00644F20">
        <w:rPr>
          <w:rFonts w:ascii="Times New Roman" w:eastAsia="Calibri" w:hAnsi="Times New Roman" w:cs="Times New Roman"/>
          <w:sz w:val="24"/>
          <w:szCs w:val="24"/>
          <w:vertAlign w:val="superscript"/>
          <w:lang w:val="sr-Cyrl-CS"/>
        </w:rPr>
        <w:footnoteReference w:id="25"/>
      </w:r>
      <w:r w:rsidRPr="00644F20">
        <w:rPr>
          <w:rFonts w:ascii="Times New Roman" w:eastAsia="Calibri" w:hAnsi="Times New Roman" w:cs="Times New Roman"/>
          <w:sz w:val="24"/>
          <w:szCs w:val="24"/>
          <w:lang w:val="sr-Cyrl-CS"/>
        </w:rPr>
        <w:t>, у 2019. години пријаве за упис хемикалија у регистар поднело је 1525 предузећа, и то за 41,8 хиљада хемикалија (супстанце и смеше) које су стављене на тржиште Републике Србије у укупној количини од 16,37 милиона тона, од чега је око  8,76 милиона тона произведено у Републици Србији (53%), а око 7,62 милиона тона је увезено (47%). Поред претходно наведених количина хемикалија које су стављене на домаће тржиште, додатних 2,35 милиона тона хемикалија је произведено и извезено (</w:t>
      </w:r>
      <w:r w:rsidR="002D3E67" w:rsidRPr="00644F20">
        <w:rPr>
          <w:rFonts w:ascii="Times New Roman" w:eastAsia="Calibri" w:hAnsi="Times New Roman" w:cs="Times New Roman"/>
          <w:sz w:val="24"/>
          <w:szCs w:val="24"/>
          <w:lang w:val="sr-Cyrl-CS"/>
        </w:rPr>
        <w:t xml:space="preserve">Табела </w:t>
      </w:r>
      <w:r w:rsidRPr="00644F20">
        <w:rPr>
          <w:rFonts w:ascii="Times New Roman" w:eastAsia="Calibri" w:hAnsi="Times New Roman" w:cs="Times New Roman"/>
          <w:sz w:val="24"/>
          <w:szCs w:val="24"/>
          <w:lang w:val="sr-Cyrl-CS"/>
        </w:rPr>
        <w:t>3.1). У погледу класификације опасности, 84%</w:t>
      </w:r>
      <w:r w:rsidRPr="00644F20">
        <w:rPr>
          <w:rFonts w:ascii="Times New Roman" w:eastAsia="Calibri" w:hAnsi="Times New Roman" w:cs="Times New Roman"/>
          <w:sz w:val="16"/>
          <w:szCs w:val="16"/>
          <w:lang w:val="sr-Cyrl-CS"/>
        </w:rPr>
        <w:t xml:space="preserve"> </w:t>
      </w:r>
      <w:r w:rsidRPr="00644F20">
        <w:rPr>
          <w:rFonts w:ascii="Times New Roman" w:eastAsia="Calibri" w:hAnsi="Times New Roman" w:cs="Times New Roman"/>
          <w:sz w:val="24"/>
          <w:szCs w:val="24"/>
          <w:lang w:val="sr-Cyrl-CS"/>
        </w:rPr>
        <w:t>од укупне к</w:t>
      </w:r>
      <w:r w:rsidR="004D210E" w:rsidRPr="00644F20">
        <w:rPr>
          <w:rFonts w:ascii="Times New Roman" w:eastAsia="Calibri" w:hAnsi="Times New Roman" w:cs="Times New Roman"/>
          <w:sz w:val="24"/>
          <w:szCs w:val="24"/>
          <w:lang w:val="sr-Cyrl-CS"/>
        </w:rPr>
        <w:t>оличине хемикалија на тржишту Републике Србије</w:t>
      </w:r>
      <w:r w:rsidRPr="00644F20">
        <w:rPr>
          <w:rFonts w:ascii="Times New Roman" w:eastAsia="Calibri" w:hAnsi="Times New Roman" w:cs="Times New Roman"/>
          <w:sz w:val="24"/>
          <w:szCs w:val="24"/>
          <w:lang w:val="sr-Cyrl-CS"/>
        </w:rPr>
        <w:t xml:space="preserve"> је класификовано као опасно, док 16% не испуњава критеријуме за класификацију ни у једну од класа опасности. Према категорији коришћења се превасходно истичу нафтни деривати и гасови (B55) са уделом од 43% у укупној к</w:t>
      </w:r>
      <w:r w:rsidR="004D210E" w:rsidRPr="00644F20">
        <w:rPr>
          <w:rFonts w:ascii="Times New Roman" w:eastAsia="Calibri" w:hAnsi="Times New Roman" w:cs="Times New Roman"/>
          <w:sz w:val="24"/>
          <w:szCs w:val="24"/>
          <w:lang w:val="sr-Cyrl-CS"/>
        </w:rPr>
        <w:t>оличини хемикалија на тржишту Републике Србије</w:t>
      </w:r>
      <w:r w:rsidRPr="00644F20">
        <w:rPr>
          <w:rFonts w:ascii="Times New Roman" w:eastAsia="Calibri" w:hAnsi="Times New Roman" w:cs="Times New Roman"/>
          <w:sz w:val="24"/>
          <w:szCs w:val="24"/>
          <w:lang w:val="sr-Cyrl-CS"/>
        </w:rPr>
        <w:t>, (</w:t>
      </w:r>
      <w:r w:rsidR="0000022A" w:rsidRPr="00644F20">
        <w:rPr>
          <w:rFonts w:ascii="Times New Roman" w:eastAsia="Calibri" w:hAnsi="Times New Roman" w:cs="Times New Roman"/>
          <w:sz w:val="24"/>
          <w:szCs w:val="24"/>
          <w:lang w:val="sr-Cyrl-CS"/>
        </w:rPr>
        <w:t xml:space="preserve">Дијаграм </w:t>
      </w:r>
      <w:r w:rsidRPr="00644F20">
        <w:rPr>
          <w:rFonts w:ascii="Times New Roman" w:eastAsia="Calibri" w:hAnsi="Times New Roman" w:cs="Times New Roman"/>
          <w:sz w:val="24"/>
          <w:szCs w:val="24"/>
          <w:lang w:val="sr-Cyrl-CS"/>
        </w:rPr>
        <w:t xml:space="preserve">3.6). </w:t>
      </w:r>
    </w:p>
    <w:p w14:paraId="67FC636D" w14:textId="77777777" w:rsidR="00497092" w:rsidRPr="00644F20" w:rsidRDefault="002F45E1" w:rsidP="00E930C6">
      <w:pPr>
        <w:spacing w:after="60" w:line="276" w:lineRule="auto"/>
        <w:ind w:firstLine="720"/>
        <w:jc w:val="both"/>
        <w:rPr>
          <w:rFonts w:ascii="Times New Roman" w:eastAsia="Calibri" w:hAnsi="Times New Roman" w:cs="Times New Roman"/>
          <w:lang w:val="sr-Cyrl-CS"/>
        </w:rPr>
      </w:pPr>
      <w:r w:rsidRPr="00644F20">
        <w:rPr>
          <w:rFonts w:ascii="Times New Roman" w:eastAsia="Calibri" w:hAnsi="Times New Roman" w:cs="Times New Roman"/>
          <w:b/>
          <w:lang w:val="sr-Cyrl-CS"/>
        </w:rPr>
        <w:t xml:space="preserve">Табела 3.1 </w:t>
      </w:r>
      <w:r w:rsidRPr="00644F20">
        <w:rPr>
          <w:rFonts w:ascii="Times New Roman" w:eastAsia="Calibri" w:hAnsi="Times New Roman" w:cs="Times New Roman"/>
          <w:lang w:val="sr-Cyrl-CS"/>
        </w:rPr>
        <w:t>Количина хемикалија на тржишту Р</w:t>
      </w:r>
      <w:r w:rsidR="004D210E" w:rsidRPr="00644F20">
        <w:rPr>
          <w:rFonts w:ascii="Times New Roman" w:eastAsia="Calibri" w:hAnsi="Times New Roman" w:cs="Times New Roman"/>
          <w:lang w:val="sr-Cyrl-CS"/>
        </w:rPr>
        <w:t xml:space="preserve">епублике </w:t>
      </w:r>
      <w:r w:rsidRPr="00644F20">
        <w:rPr>
          <w:rFonts w:ascii="Times New Roman" w:eastAsia="Calibri" w:hAnsi="Times New Roman" w:cs="Times New Roman"/>
          <w:lang w:val="sr-Cyrl-CS"/>
        </w:rPr>
        <w:t>С</w:t>
      </w:r>
      <w:r w:rsidR="004D210E" w:rsidRPr="00644F20">
        <w:rPr>
          <w:rFonts w:ascii="Times New Roman" w:eastAsia="Calibri" w:hAnsi="Times New Roman" w:cs="Times New Roman"/>
          <w:lang w:val="sr-Cyrl-CS"/>
        </w:rPr>
        <w:t>рбије</w:t>
      </w:r>
      <w:r w:rsidRPr="00644F20">
        <w:rPr>
          <w:rFonts w:ascii="Times New Roman" w:eastAsia="Calibri" w:hAnsi="Times New Roman" w:cs="Times New Roman"/>
          <w:lang w:val="sr-Cyrl-CS"/>
        </w:rPr>
        <w:t xml:space="preserve"> према подацима из Регистра хемикалија за 2019. годину</w:t>
      </w:r>
    </w:p>
    <w:tbl>
      <w:tblPr>
        <w:tblW w:w="9355" w:type="dxa"/>
        <w:jc w:val="center"/>
        <w:tblLayout w:type="fixed"/>
        <w:tblCellMar>
          <w:left w:w="28" w:type="dxa"/>
          <w:right w:w="28" w:type="dxa"/>
        </w:tblCellMar>
        <w:tblLook w:val="04A0" w:firstRow="1" w:lastRow="0" w:firstColumn="1" w:lastColumn="0" w:noHBand="0" w:noVBand="1"/>
      </w:tblPr>
      <w:tblGrid>
        <w:gridCol w:w="720"/>
        <w:gridCol w:w="4765"/>
        <w:gridCol w:w="1440"/>
        <w:gridCol w:w="1260"/>
        <w:gridCol w:w="1170"/>
      </w:tblGrid>
      <w:tr w:rsidR="00497092" w:rsidRPr="00644F20" w14:paraId="253D37CF" w14:textId="77777777">
        <w:trPr>
          <w:trHeight w:val="152"/>
          <w:jc w:val="center"/>
        </w:trPr>
        <w:tc>
          <w:tcPr>
            <w:tcW w:w="720" w:type="dxa"/>
            <w:vMerge w:val="restart"/>
            <w:tcBorders>
              <w:top w:val="single" w:sz="4" w:space="0" w:color="auto"/>
              <w:left w:val="single" w:sz="4" w:space="0" w:color="auto"/>
              <w:right w:val="single" w:sz="4" w:space="0" w:color="auto"/>
            </w:tcBorders>
            <w:shd w:val="clear" w:color="auto" w:fill="E2EFD9" w:themeFill="accent6" w:themeFillTint="33"/>
            <w:vAlign w:val="center"/>
          </w:tcPr>
          <w:p w14:paraId="587F3C9D" w14:textId="77777777" w:rsidR="00497092" w:rsidRPr="00644F20" w:rsidRDefault="002F45E1">
            <w:pPr>
              <w:spacing w:after="0" w:line="276" w:lineRule="auto"/>
              <w:jc w:val="center"/>
              <w:rPr>
                <w:rFonts w:ascii="Times New Roman" w:eastAsia="Calibri" w:hAnsi="Times New Roman" w:cs="Times New Roman"/>
                <w:b/>
                <w:lang w:val="sr-Cyrl-CS"/>
              </w:rPr>
            </w:pPr>
            <w:r w:rsidRPr="00644F20">
              <w:rPr>
                <w:rFonts w:ascii="Times New Roman" w:eastAsia="Calibri" w:hAnsi="Times New Roman" w:cs="Times New Roman"/>
                <w:b/>
                <w:lang w:val="sr-Cyrl-CS"/>
              </w:rPr>
              <w:t>Редни број</w:t>
            </w:r>
          </w:p>
        </w:tc>
        <w:tc>
          <w:tcPr>
            <w:tcW w:w="4765" w:type="dxa"/>
            <w:vMerge w:val="restart"/>
            <w:tcBorders>
              <w:top w:val="single" w:sz="4" w:space="0" w:color="auto"/>
              <w:left w:val="single" w:sz="4" w:space="0" w:color="auto"/>
              <w:right w:val="single" w:sz="4" w:space="0" w:color="auto"/>
            </w:tcBorders>
            <w:shd w:val="clear" w:color="auto" w:fill="E2EFD9" w:themeFill="accent6" w:themeFillTint="33"/>
            <w:vAlign w:val="center"/>
          </w:tcPr>
          <w:p w14:paraId="24454215" w14:textId="77777777" w:rsidR="00497092" w:rsidRPr="00644F20" w:rsidRDefault="002F45E1">
            <w:pPr>
              <w:spacing w:after="0" w:line="276" w:lineRule="auto"/>
              <w:jc w:val="center"/>
              <w:rPr>
                <w:rFonts w:ascii="Times New Roman" w:eastAsia="Calibri" w:hAnsi="Times New Roman" w:cs="Times New Roman"/>
                <w:b/>
                <w:lang w:val="sr-Cyrl-CS"/>
              </w:rPr>
            </w:pPr>
            <w:r w:rsidRPr="00644F20">
              <w:rPr>
                <w:rFonts w:ascii="Times New Roman" w:eastAsia="Calibri" w:hAnsi="Times New Roman" w:cs="Times New Roman"/>
                <w:b/>
                <w:lang w:val="sr-Cyrl-CS"/>
              </w:rPr>
              <w:t>Промет хемикалија-2019. година</w:t>
            </w:r>
          </w:p>
        </w:tc>
        <w:tc>
          <w:tcPr>
            <w:tcW w:w="3870" w:type="dxa"/>
            <w:gridSpan w:val="3"/>
            <w:tcBorders>
              <w:top w:val="single" w:sz="4" w:space="0" w:color="auto"/>
              <w:left w:val="single" w:sz="4" w:space="0" w:color="808080"/>
              <w:bottom w:val="single" w:sz="4" w:space="0" w:color="auto"/>
              <w:right w:val="single" w:sz="4" w:space="0" w:color="auto"/>
            </w:tcBorders>
            <w:shd w:val="clear" w:color="auto" w:fill="E2EFD9" w:themeFill="accent6" w:themeFillTint="33"/>
            <w:vAlign w:val="center"/>
          </w:tcPr>
          <w:p w14:paraId="1004DA73" w14:textId="77777777" w:rsidR="00497092" w:rsidRPr="00644F20" w:rsidRDefault="002F45E1">
            <w:pPr>
              <w:spacing w:after="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Количина (милиона тона)</w:t>
            </w:r>
          </w:p>
        </w:tc>
      </w:tr>
      <w:tr w:rsidR="00497092" w:rsidRPr="00644F20" w14:paraId="32416FFA" w14:textId="77777777">
        <w:trPr>
          <w:trHeight w:val="242"/>
          <w:jc w:val="center"/>
        </w:trPr>
        <w:tc>
          <w:tcPr>
            <w:tcW w:w="720" w:type="dxa"/>
            <w:vMerge/>
            <w:tcBorders>
              <w:left w:val="single" w:sz="4" w:space="0" w:color="auto"/>
              <w:bottom w:val="single" w:sz="4" w:space="0" w:color="auto"/>
              <w:right w:val="single" w:sz="4" w:space="0" w:color="auto"/>
            </w:tcBorders>
            <w:shd w:val="clear" w:color="auto" w:fill="E2EFD9" w:themeFill="accent6" w:themeFillTint="33"/>
            <w:vAlign w:val="center"/>
          </w:tcPr>
          <w:p w14:paraId="3892C55C" w14:textId="77777777" w:rsidR="00497092" w:rsidRPr="00644F20" w:rsidRDefault="00497092">
            <w:pPr>
              <w:spacing w:after="0" w:line="276" w:lineRule="auto"/>
              <w:jc w:val="center"/>
              <w:rPr>
                <w:rFonts w:ascii="Times New Roman" w:eastAsia="Calibri" w:hAnsi="Times New Roman" w:cs="Times New Roman"/>
                <w:b/>
                <w:lang w:val="sr-Cyrl-CS"/>
              </w:rPr>
            </w:pPr>
          </w:p>
        </w:tc>
        <w:tc>
          <w:tcPr>
            <w:tcW w:w="4765" w:type="dxa"/>
            <w:vMerge/>
            <w:tcBorders>
              <w:left w:val="single" w:sz="4" w:space="0" w:color="auto"/>
              <w:bottom w:val="single" w:sz="4" w:space="0" w:color="auto"/>
              <w:right w:val="single" w:sz="4" w:space="0" w:color="auto"/>
            </w:tcBorders>
            <w:shd w:val="clear" w:color="auto" w:fill="E2EFD9" w:themeFill="accent6" w:themeFillTint="33"/>
            <w:vAlign w:val="center"/>
          </w:tcPr>
          <w:p w14:paraId="71AA26FF" w14:textId="77777777" w:rsidR="00497092" w:rsidRPr="00644F20" w:rsidRDefault="00497092">
            <w:pPr>
              <w:spacing w:after="0" w:line="276" w:lineRule="auto"/>
              <w:ind w:firstLine="720"/>
              <w:jc w:val="center"/>
              <w:rPr>
                <w:rFonts w:ascii="Times New Roman" w:eastAsia="Calibri" w:hAnsi="Times New Roman" w:cs="Times New Roman"/>
                <w:b/>
                <w:lang w:val="sr-Cyrl-CS"/>
              </w:rPr>
            </w:pPr>
          </w:p>
        </w:tc>
        <w:tc>
          <w:tcPr>
            <w:tcW w:w="1440" w:type="dxa"/>
            <w:tcBorders>
              <w:left w:val="single" w:sz="4" w:space="0" w:color="808080"/>
              <w:bottom w:val="single" w:sz="4" w:space="0" w:color="auto"/>
              <w:right w:val="single" w:sz="4" w:space="0" w:color="auto"/>
            </w:tcBorders>
            <w:shd w:val="clear" w:color="auto" w:fill="E2EFD9" w:themeFill="accent6" w:themeFillTint="33"/>
            <w:vAlign w:val="center"/>
          </w:tcPr>
          <w:p w14:paraId="27A6F6E7" w14:textId="77777777" w:rsidR="00497092" w:rsidRPr="00644F20" w:rsidRDefault="002F45E1">
            <w:pPr>
              <w:spacing w:after="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Опасне</w:t>
            </w:r>
          </w:p>
        </w:tc>
        <w:tc>
          <w:tcPr>
            <w:tcW w:w="1260" w:type="dxa"/>
            <w:tcBorders>
              <w:left w:val="single" w:sz="4" w:space="0" w:color="808080"/>
              <w:bottom w:val="single" w:sz="4" w:space="0" w:color="auto"/>
              <w:right w:val="single" w:sz="4" w:space="0" w:color="auto"/>
            </w:tcBorders>
            <w:shd w:val="clear" w:color="auto" w:fill="E2EFD9" w:themeFill="accent6" w:themeFillTint="33"/>
            <w:vAlign w:val="center"/>
          </w:tcPr>
          <w:p w14:paraId="4B5AD5E8" w14:textId="77777777" w:rsidR="00497092" w:rsidRPr="00644F20" w:rsidRDefault="002F45E1">
            <w:pPr>
              <w:spacing w:after="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Неопасне</w:t>
            </w:r>
          </w:p>
        </w:tc>
        <w:tc>
          <w:tcPr>
            <w:tcW w:w="1170" w:type="dxa"/>
            <w:tcBorders>
              <w:left w:val="single" w:sz="4" w:space="0" w:color="808080"/>
              <w:bottom w:val="single" w:sz="4" w:space="0" w:color="auto"/>
              <w:right w:val="single" w:sz="4" w:space="0" w:color="auto"/>
            </w:tcBorders>
            <w:shd w:val="clear" w:color="auto" w:fill="E2EFD9" w:themeFill="accent6" w:themeFillTint="33"/>
            <w:vAlign w:val="center"/>
          </w:tcPr>
          <w:p w14:paraId="76CD04E3" w14:textId="77777777" w:rsidR="00497092" w:rsidRPr="00644F20" w:rsidRDefault="002F45E1">
            <w:pPr>
              <w:spacing w:after="0" w:line="276" w:lineRule="auto"/>
              <w:jc w:val="center"/>
              <w:rPr>
                <w:rFonts w:ascii="Times New Roman" w:eastAsia="Calibri" w:hAnsi="Times New Roman" w:cs="Times New Roman"/>
                <w:b/>
                <w:lang w:val="sr-Cyrl-CS"/>
              </w:rPr>
            </w:pPr>
            <w:r w:rsidRPr="00644F20">
              <w:rPr>
                <w:rFonts w:ascii="Times New Roman" w:eastAsia="Calibri" w:hAnsi="Times New Roman" w:cs="Times New Roman"/>
                <w:b/>
                <w:lang w:val="sr-Cyrl-CS"/>
              </w:rPr>
              <w:t>Укупно</w:t>
            </w:r>
          </w:p>
        </w:tc>
      </w:tr>
      <w:tr w:rsidR="00497092" w:rsidRPr="00644F20" w14:paraId="3E18F202" w14:textId="77777777">
        <w:trPr>
          <w:trHeight w:val="288"/>
          <w:jc w:val="center"/>
        </w:trPr>
        <w:tc>
          <w:tcPr>
            <w:tcW w:w="720" w:type="dxa"/>
            <w:tcBorders>
              <w:top w:val="single" w:sz="4" w:space="0" w:color="auto"/>
              <w:left w:val="single" w:sz="4" w:space="0" w:color="auto"/>
              <w:bottom w:val="single" w:sz="4" w:space="0" w:color="auto"/>
              <w:right w:val="single" w:sz="4" w:space="0" w:color="808080"/>
            </w:tcBorders>
            <w:shd w:val="clear" w:color="auto" w:fill="auto"/>
            <w:vAlign w:val="center"/>
          </w:tcPr>
          <w:p w14:paraId="137198DF"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w:t>
            </w:r>
          </w:p>
        </w:tc>
        <w:tc>
          <w:tcPr>
            <w:tcW w:w="4765" w:type="dxa"/>
            <w:tcBorders>
              <w:top w:val="single" w:sz="4" w:space="0" w:color="auto"/>
              <w:left w:val="single" w:sz="4" w:space="0" w:color="auto"/>
              <w:bottom w:val="single" w:sz="4" w:space="0" w:color="auto"/>
              <w:right w:val="single" w:sz="4" w:space="0" w:color="808080"/>
            </w:tcBorders>
            <w:shd w:val="clear" w:color="auto" w:fill="auto"/>
            <w:vAlign w:val="center"/>
          </w:tcPr>
          <w:p w14:paraId="08026EB1" w14:textId="77777777" w:rsidR="00497092" w:rsidRPr="00644F20" w:rsidRDefault="002F45E1">
            <w:pPr>
              <w:spacing w:after="0" w:line="276" w:lineRule="auto"/>
              <w:rPr>
                <w:rFonts w:ascii="Times New Roman" w:eastAsia="Calibri" w:hAnsi="Times New Roman" w:cs="Times New Roman"/>
                <w:lang w:val="sr-Cyrl-CS"/>
              </w:rPr>
            </w:pPr>
            <w:r w:rsidRPr="00644F20">
              <w:rPr>
                <w:rFonts w:ascii="Times New Roman" w:eastAsia="Calibri" w:hAnsi="Times New Roman" w:cs="Times New Roman"/>
                <w:b/>
                <w:bCs/>
                <w:lang w:val="sr-Cyrl-CS"/>
              </w:rPr>
              <w:t>Производња</w:t>
            </w:r>
            <w:r w:rsidR="00E930C6" w:rsidRPr="00644F20">
              <w:rPr>
                <w:rFonts w:ascii="Times New Roman" w:eastAsia="Calibri" w:hAnsi="Times New Roman" w:cs="Times New Roman"/>
                <w:lang w:val="sr-Cyrl-CS"/>
              </w:rPr>
              <w:t xml:space="preserve"> ради стављања на тржиште Републике Србије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05D414F"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7,64</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49F58B3"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1,12</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201AC58A" w14:textId="77777777" w:rsidR="00497092" w:rsidRPr="00644F20" w:rsidRDefault="002F45E1">
            <w:pPr>
              <w:spacing w:after="0" w:line="276" w:lineRule="auto"/>
              <w:jc w:val="center"/>
              <w:rPr>
                <w:rFonts w:ascii="Times New Roman" w:eastAsia="Calibri" w:hAnsi="Times New Roman" w:cs="Times New Roman"/>
                <w:bCs/>
                <w:lang w:val="sr-Cyrl-CS"/>
              </w:rPr>
            </w:pPr>
            <w:r w:rsidRPr="00644F20">
              <w:rPr>
                <w:rFonts w:ascii="Times New Roman" w:eastAsia="Calibri" w:hAnsi="Times New Roman" w:cs="Times New Roman"/>
                <w:bCs/>
                <w:lang w:val="sr-Cyrl-CS"/>
              </w:rPr>
              <w:t>8,76</w:t>
            </w:r>
          </w:p>
        </w:tc>
      </w:tr>
      <w:tr w:rsidR="00497092" w:rsidRPr="00644F20" w14:paraId="03C77840" w14:textId="77777777">
        <w:trPr>
          <w:trHeight w:val="252"/>
          <w:jc w:val="center"/>
        </w:trPr>
        <w:tc>
          <w:tcPr>
            <w:tcW w:w="720" w:type="dxa"/>
            <w:tcBorders>
              <w:top w:val="single" w:sz="4" w:space="0" w:color="auto"/>
              <w:left w:val="single" w:sz="4" w:space="0" w:color="auto"/>
              <w:bottom w:val="single" w:sz="4" w:space="0" w:color="auto"/>
              <w:right w:val="single" w:sz="4" w:space="0" w:color="808080"/>
            </w:tcBorders>
            <w:shd w:val="clear" w:color="auto" w:fill="auto"/>
            <w:vAlign w:val="center"/>
          </w:tcPr>
          <w:p w14:paraId="5E091D60"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w:t>
            </w:r>
          </w:p>
        </w:tc>
        <w:tc>
          <w:tcPr>
            <w:tcW w:w="4765" w:type="dxa"/>
            <w:tcBorders>
              <w:top w:val="single" w:sz="4" w:space="0" w:color="auto"/>
              <w:left w:val="single" w:sz="4" w:space="0" w:color="auto"/>
              <w:bottom w:val="single" w:sz="4" w:space="0" w:color="auto"/>
              <w:right w:val="single" w:sz="4" w:space="0" w:color="auto"/>
            </w:tcBorders>
            <w:shd w:val="clear" w:color="auto" w:fill="auto"/>
            <w:vAlign w:val="center"/>
          </w:tcPr>
          <w:p w14:paraId="1EB8E63C" w14:textId="77777777" w:rsidR="00497092" w:rsidRPr="00644F20" w:rsidRDefault="002F45E1">
            <w:pPr>
              <w:spacing w:after="0" w:line="276" w:lineRule="auto"/>
              <w:rPr>
                <w:rFonts w:ascii="Times New Roman" w:eastAsia="Calibri" w:hAnsi="Times New Roman" w:cs="Times New Roman"/>
                <w:b/>
                <w:bCs/>
                <w:lang w:val="sr-Cyrl-CS"/>
              </w:rPr>
            </w:pPr>
            <w:r w:rsidRPr="00644F20">
              <w:rPr>
                <w:rFonts w:ascii="Times New Roman" w:eastAsia="Calibri" w:hAnsi="Times New Roman" w:cs="Times New Roman"/>
                <w:b/>
                <w:bCs/>
                <w:lang w:val="sr-Cyrl-CS"/>
              </w:rPr>
              <w:t>Увоз</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6655707"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6,20</w:t>
            </w:r>
          </w:p>
        </w:tc>
        <w:tc>
          <w:tcPr>
            <w:tcW w:w="1260" w:type="dxa"/>
            <w:tcBorders>
              <w:top w:val="single" w:sz="4" w:space="0" w:color="auto"/>
              <w:left w:val="single" w:sz="4" w:space="0" w:color="808080"/>
              <w:bottom w:val="single" w:sz="4" w:space="0" w:color="auto"/>
              <w:right w:val="single" w:sz="4" w:space="0" w:color="auto"/>
            </w:tcBorders>
            <w:shd w:val="clear" w:color="auto" w:fill="auto"/>
            <w:vAlign w:val="center"/>
          </w:tcPr>
          <w:p w14:paraId="68C8691A"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1,42</w:t>
            </w:r>
          </w:p>
        </w:tc>
        <w:tc>
          <w:tcPr>
            <w:tcW w:w="1170" w:type="dxa"/>
            <w:tcBorders>
              <w:top w:val="single" w:sz="4" w:space="0" w:color="auto"/>
              <w:left w:val="single" w:sz="4" w:space="0" w:color="808080"/>
              <w:bottom w:val="single" w:sz="4" w:space="0" w:color="auto"/>
              <w:right w:val="single" w:sz="4" w:space="0" w:color="auto"/>
            </w:tcBorders>
            <w:shd w:val="clear" w:color="auto" w:fill="auto"/>
            <w:vAlign w:val="center"/>
          </w:tcPr>
          <w:p w14:paraId="6B75082C" w14:textId="77777777" w:rsidR="00497092" w:rsidRPr="00644F20" w:rsidRDefault="002F45E1">
            <w:pPr>
              <w:spacing w:after="0" w:line="276" w:lineRule="auto"/>
              <w:jc w:val="center"/>
              <w:rPr>
                <w:rFonts w:ascii="Times New Roman" w:eastAsia="Calibri" w:hAnsi="Times New Roman" w:cs="Times New Roman"/>
                <w:bCs/>
                <w:lang w:val="sr-Cyrl-CS"/>
              </w:rPr>
            </w:pPr>
            <w:r w:rsidRPr="00644F20">
              <w:rPr>
                <w:rFonts w:ascii="Times New Roman" w:eastAsia="Calibri" w:hAnsi="Times New Roman" w:cs="Times New Roman"/>
                <w:bCs/>
                <w:lang w:val="sr-Cyrl-CS"/>
              </w:rPr>
              <w:t>7,62</w:t>
            </w:r>
          </w:p>
        </w:tc>
      </w:tr>
      <w:tr w:rsidR="00497092" w:rsidRPr="00644F20" w14:paraId="3C1A1BBB" w14:textId="77777777">
        <w:trPr>
          <w:trHeight w:val="252"/>
          <w:jc w:val="center"/>
        </w:trPr>
        <w:tc>
          <w:tcPr>
            <w:tcW w:w="5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5CD0E5" w14:textId="77777777" w:rsidR="00497092" w:rsidRPr="00644F20" w:rsidRDefault="00E930C6">
            <w:pPr>
              <w:spacing w:after="0" w:line="276" w:lineRule="auto"/>
              <w:rPr>
                <w:rFonts w:ascii="Times New Roman" w:eastAsia="Calibri" w:hAnsi="Times New Roman" w:cs="Times New Roman"/>
                <w:b/>
                <w:bCs/>
                <w:lang w:val="sr-Cyrl-CS"/>
              </w:rPr>
            </w:pPr>
            <w:r w:rsidRPr="00644F20">
              <w:rPr>
                <w:rFonts w:ascii="Times New Roman" w:eastAsia="Calibri" w:hAnsi="Times New Roman" w:cs="Times New Roman"/>
                <w:b/>
                <w:bCs/>
                <w:lang w:val="sr-Cyrl-CS"/>
              </w:rPr>
              <w:t>Стављено на тржиште</w:t>
            </w:r>
            <w:r w:rsidRPr="00644F20">
              <w:rPr>
                <w:rFonts w:ascii="Times New Roman" w:eastAsia="Calibri" w:hAnsi="Times New Roman" w:cs="Times New Roman"/>
                <w:b/>
                <w:lang w:val="sr-Cyrl-CS"/>
              </w:rPr>
              <w:t xml:space="preserve"> Републике Србије</w:t>
            </w:r>
            <w:r w:rsidRPr="00644F20">
              <w:rPr>
                <w:rFonts w:ascii="Times New Roman" w:eastAsia="Calibri" w:hAnsi="Times New Roman" w:cs="Times New Roman"/>
                <w:b/>
                <w:bCs/>
                <w:lang w:val="sr-Cyrl-CS"/>
              </w:rPr>
              <w:t xml:space="preserve"> </w:t>
            </w:r>
            <w:r w:rsidR="002F45E1" w:rsidRPr="00644F20">
              <w:rPr>
                <w:rFonts w:ascii="Times New Roman" w:eastAsia="Calibri" w:hAnsi="Times New Roman" w:cs="Times New Roman"/>
                <w:b/>
                <w:bCs/>
                <w:lang w:val="sr-Cyrl-CS"/>
              </w:rPr>
              <w:t xml:space="preserve"> </w:t>
            </w:r>
            <w:r w:rsidR="002F45E1" w:rsidRPr="00644F20">
              <w:rPr>
                <w:rFonts w:ascii="Times New Roman" w:eastAsia="Calibri" w:hAnsi="Times New Roman" w:cs="Times New Roman"/>
                <w:lang w:val="sr-Cyrl-CS"/>
              </w:rPr>
              <w:t>(1+2)</w:t>
            </w:r>
            <w:r w:rsidR="002F45E1" w:rsidRPr="00644F20">
              <w:rPr>
                <w:rFonts w:ascii="Times New Roman" w:eastAsia="Calibri" w:hAnsi="Times New Roman" w:cs="Times New Roman"/>
                <w:b/>
                <w:bCs/>
                <w:lang w:val="sr-Cyrl-CS"/>
              </w:rPr>
              <w: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1C6AA07"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b/>
                <w:bCs/>
                <w:lang w:val="sr-Cyrl-CS"/>
              </w:rPr>
              <w:t>13,84</w:t>
            </w:r>
          </w:p>
        </w:tc>
        <w:tc>
          <w:tcPr>
            <w:tcW w:w="1260" w:type="dxa"/>
            <w:tcBorders>
              <w:top w:val="single" w:sz="4" w:space="0" w:color="auto"/>
              <w:left w:val="single" w:sz="4" w:space="0" w:color="808080"/>
              <w:bottom w:val="single" w:sz="4" w:space="0" w:color="auto"/>
              <w:right w:val="single" w:sz="4" w:space="0" w:color="auto"/>
            </w:tcBorders>
            <w:shd w:val="clear" w:color="auto" w:fill="auto"/>
            <w:vAlign w:val="center"/>
          </w:tcPr>
          <w:p w14:paraId="3D7570EF"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b/>
                <w:bCs/>
                <w:lang w:val="sr-Cyrl-CS"/>
              </w:rPr>
              <w:t>2,54</w:t>
            </w:r>
          </w:p>
        </w:tc>
        <w:tc>
          <w:tcPr>
            <w:tcW w:w="1170" w:type="dxa"/>
            <w:tcBorders>
              <w:top w:val="single" w:sz="4" w:space="0" w:color="auto"/>
              <w:left w:val="single" w:sz="4" w:space="0" w:color="808080"/>
              <w:bottom w:val="single" w:sz="4" w:space="0" w:color="auto"/>
              <w:right w:val="single" w:sz="4" w:space="0" w:color="auto"/>
            </w:tcBorders>
            <w:shd w:val="clear" w:color="auto" w:fill="auto"/>
            <w:vAlign w:val="center"/>
          </w:tcPr>
          <w:p w14:paraId="5D7A68FA" w14:textId="77777777" w:rsidR="00497092" w:rsidRPr="00644F20" w:rsidRDefault="002F45E1">
            <w:pPr>
              <w:spacing w:after="0" w:line="276" w:lineRule="auto"/>
              <w:jc w:val="center"/>
              <w:rPr>
                <w:rFonts w:ascii="Times New Roman" w:eastAsia="Calibri" w:hAnsi="Times New Roman" w:cs="Times New Roman"/>
                <w:bCs/>
                <w:lang w:val="sr-Cyrl-CS"/>
              </w:rPr>
            </w:pPr>
            <w:r w:rsidRPr="00644F20">
              <w:rPr>
                <w:rFonts w:ascii="Times New Roman" w:eastAsia="Calibri" w:hAnsi="Times New Roman" w:cs="Times New Roman"/>
                <w:b/>
                <w:lang w:val="sr-Cyrl-CS"/>
              </w:rPr>
              <w:t>16,38</w:t>
            </w:r>
          </w:p>
        </w:tc>
      </w:tr>
      <w:tr w:rsidR="00497092" w:rsidRPr="00644F20" w14:paraId="6FDF9CA0" w14:textId="77777777">
        <w:trPr>
          <w:trHeight w:val="288"/>
          <w:jc w:val="center"/>
        </w:trPr>
        <w:tc>
          <w:tcPr>
            <w:tcW w:w="5485" w:type="dxa"/>
            <w:gridSpan w:val="2"/>
            <w:tcBorders>
              <w:top w:val="single" w:sz="4" w:space="0" w:color="auto"/>
              <w:left w:val="single" w:sz="4" w:space="0" w:color="auto"/>
              <w:bottom w:val="single" w:sz="4" w:space="0" w:color="auto"/>
              <w:right w:val="single" w:sz="4" w:space="0" w:color="808080"/>
            </w:tcBorders>
            <w:shd w:val="clear" w:color="auto" w:fill="auto"/>
            <w:vAlign w:val="center"/>
          </w:tcPr>
          <w:p w14:paraId="50A6B7C3" w14:textId="77777777" w:rsidR="00497092" w:rsidRPr="00644F20" w:rsidRDefault="002F45E1">
            <w:pPr>
              <w:spacing w:after="0" w:line="276" w:lineRule="auto"/>
              <w:rPr>
                <w:rFonts w:ascii="Times New Roman" w:eastAsia="Calibri" w:hAnsi="Times New Roman" w:cs="Times New Roman"/>
                <w:b/>
                <w:bCs/>
                <w:lang w:val="sr-Cyrl-CS"/>
              </w:rPr>
            </w:pPr>
            <w:r w:rsidRPr="00644F20">
              <w:rPr>
                <w:rFonts w:ascii="Times New Roman" w:eastAsia="Calibri" w:hAnsi="Times New Roman" w:cs="Times New Roman"/>
                <w:b/>
                <w:bCs/>
                <w:lang w:val="sr-Cyrl-CS"/>
              </w:rPr>
              <w:t xml:space="preserve">Извоз </w:t>
            </w:r>
            <w:r w:rsidRPr="00644F20">
              <w:rPr>
                <w:rFonts w:ascii="Times New Roman" w:eastAsia="Calibri" w:hAnsi="Times New Roman" w:cs="Times New Roman"/>
                <w:lang w:val="sr-Cyrl-CS"/>
              </w:rPr>
              <w:t>(производња ради извоза-није укључено у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6E4A416"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1,80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C779737"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0,55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2F0EDCE" w14:textId="77777777" w:rsidR="00497092" w:rsidRPr="00644F20" w:rsidRDefault="002F45E1">
            <w:pPr>
              <w:spacing w:after="0" w:line="276" w:lineRule="auto"/>
              <w:jc w:val="center"/>
              <w:rPr>
                <w:rFonts w:ascii="Times New Roman" w:eastAsia="Calibri" w:hAnsi="Times New Roman" w:cs="Times New Roman"/>
                <w:bCs/>
                <w:lang w:val="sr-Cyrl-CS"/>
              </w:rPr>
            </w:pPr>
            <w:r w:rsidRPr="00644F20">
              <w:rPr>
                <w:rFonts w:ascii="Times New Roman" w:eastAsia="Calibri" w:hAnsi="Times New Roman" w:cs="Times New Roman"/>
                <w:bCs/>
                <w:lang w:val="sr-Cyrl-CS"/>
              </w:rPr>
              <w:t>2,35</w:t>
            </w:r>
          </w:p>
        </w:tc>
      </w:tr>
    </w:tbl>
    <w:p w14:paraId="70888715" w14:textId="77777777" w:rsidR="00497092" w:rsidRPr="00644F20" w:rsidRDefault="002F45E1">
      <w:pPr>
        <w:spacing w:after="60" w:line="276" w:lineRule="auto"/>
        <w:jc w:val="center"/>
        <w:rPr>
          <w:rFonts w:ascii="Times New Roman" w:eastAsia="Times New Roman" w:hAnsi="Times New Roman" w:cs="Times New Roman"/>
          <w:iCs/>
          <w:sz w:val="20"/>
          <w:szCs w:val="20"/>
          <w:lang w:val="sr-Cyrl-CS" w:eastAsia="sr-Latn-RS"/>
        </w:rPr>
      </w:pPr>
      <w:r w:rsidRPr="00644F20">
        <w:rPr>
          <w:rFonts w:ascii="Times New Roman" w:eastAsia="Times New Roman" w:hAnsi="Times New Roman" w:cs="Times New Roman"/>
          <w:iCs/>
          <w:sz w:val="20"/>
          <w:szCs w:val="20"/>
          <w:lang w:val="sr-Cyrl-CS"/>
        </w:rPr>
        <w:t xml:space="preserve">        </w:t>
      </w:r>
    </w:p>
    <w:p w14:paraId="40B32332" w14:textId="77777777" w:rsidR="00497092" w:rsidRPr="00644F20" w:rsidRDefault="00497092">
      <w:pPr>
        <w:spacing w:after="60" w:line="276" w:lineRule="auto"/>
        <w:jc w:val="center"/>
        <w:rPr>
          <w:rFonts w:ascii="Times New Roman" w:eastAsia="Times New Roman" w:hAnsi="Times New Roman" w:cs="Times New Roman"/>
          <w:iCs/>
          <w:sz w:val="20"/>
          <w:szCs w:val="20"/>
          <w:lang w:val="sr-Cyrl-CS"/>
        </w:rPr>
      </w:pPr>
    </w:p>
    <w:p w14:paraId="335A04AA" w14:textId="77777777" w:rsidR="00497092" w:rsidRPr="00644F20" w:rsidRDefault="002F45E1">
      <w:pPr>
        <w:spacing w:after="60" w:line="276" w:lineRule="auto"/>
        <w:jc w:val="center"/>
        <w:rPr>
          <w:rFonts w:ascii="Times New Roman" w:eastAsia="Times New Roman" w:hAnsi="Times New Roman" w:cs="Times New Roman"/>
          <w:iCs/>
          <w:sz w:val="20"/>
          <w:szCs w:val="20"/>
          <w:lang w:val="sr-Cyrl-CS"/>
        </w:rPr>
      </w:pPr>
      <w:r w:rsidRPr="00644F20">
        <w:rPr>
          <w:noProof/>
        </w:rPr>
        <w:lastRenderedPageBreak/>
        <w:drawing>
          <wp:inline distT="0" distB="0" distL="0" distR="0" wp14:anchorId="7AAAD75E" wp14:editId="07152537">
            <wp:extent cx="1799590" cy="160528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644F20">
        <w:rPr>
          <w:noProof/>
        </w:rPr>
        <w:drawing>
          <wp:inline distT="0" distB="0" distL="0" distR="0" wp14:anchorId="51417064" wp14:editId="56819C1F">
            <wp:extent cx="1979930" cy="1821180"/>
            <wp:effectExtent l="0" t="0" r="1270" b="762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644F20">
        <w:rPr>
          <w:noProof/>
        </w:rPr>
        <w:drawing>
          <wp:inline distT="0" distB="0" distL="0" distR="0" wp14:anchorId="454F2B67" wp14:editId="0940D59A">
            <wp:extent cx="1965325" cy="1677035"/>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F71BCE2" w14:textId="77777777" w:rsidR="00497092" w:rsidRPr="00644F20" w:rsidRDefault="002F45E1">
      <w:pPr>
        <w:tabs>
          <w:tab w:val="left" w:pos="3060"/>
        </w:tabs>
        <w:spacing w:after="60" w:line="240" w:lineRule="auto"/>
        <w:ind w:left="-994" w:right="-720"/>
        <w:jc w:val="center"/>
        <w:rPr>
          <w:rFonts w:ascii="Times New Roman" w:eastAsia="Calibri" w:hAnsi="Times New Roman" w:cs="Times New Roman"/>
          <w:lang w:val="sr-Cyrl-CS"/>
        </w:rPr>
      </w:pPr>
      <w:r w:rsidRPr="00644F20">
        <w:rPr>
          <w:rFonts w:ascii="Times New Roman" w:eastAsia="Calibri" w:hAnsi="Times New Roman" w:cs="Times New Roman"/>
          <w:b/>
          <w:lang w:val="sr-Cyrl-CS"/>
        </w:rPr>
        <w:t xml:space="preserve">Слика 3.6 </w:t>
      </w:r>
      <w:r w:rsidRPr="00644F20">
        <w:rPr>
          <w:rFonts w:ascii="Times New Roman" w:eastAsia="Calibri" w:hAnsi="Times New Roman" w:cs="Times New Roman"/>
          <w:lang w:val="sr-Cyrl-CS"/>
        </w:rPr>
        <w:t xml:space="preserve">Порекло, класификација опасности и намена хемикалија на тржишту РС </w:t>
      </w:r>
    </w:p>
    <w:p w14:paraId="6967FCBF" w14:textId="77777777" w:rsidR="00497092" w:rsidRPr="00644F20" w:rsidRDefault="002F45E1">
      <w:pPr>
        <w:tabs>
          <w:tab w:val="left" w:pos="3060"/>
        </w:tabs>
        <w:spacing w:after="120" w:line="276" w:lineRule="auto"/>
        <w:ind w:left="-992" w:right="-720"/>
        <w:jc w:val="center"/>
        <w:rPr>
          <w:rFonts w:ascii="Times New Roman" w:eastAsia="Calibri" w:hAnsi="Times New Roman" w:cs="Times New Roman"/>
          <w:lang w:val="sr-Cyrl-CS"/>
        </w:rPr>
      </w:pPr>
      <w:r w:rsidRPr="00644F20">
        <w:rPr>
          <w:rFonts w:ascii="Times New Roman" w:eastAsia="Calibri" w:hAnsi="Times New Roman" w:cs="Times New Roman"/>
          <w:lang w:val="sr-Cyrl-CS"/>
        </w:rPr>
        <w:t>према подацима из Регистра хемикалија за 2019. годину</w:t>
      </w:r>
    </w:p>
    <w:p w14:paraId="555812A3" w14:textId="77777777" w:rsidR="00497092" w:rsidRPr="00644F20" w:rsidRDefault="002F45E1" w:rsidP="00024FD1">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У погледу супстанци са Листе супстанци које изазивају забринутост (SVHC)</w:t>
      </w:r>
      <w:r w:rsidRPr="00644F20">
        <w:rPr>
          <w:rFonts w:ascii="Times New Roman" w:eastAsia="Calibri" w:hAnsi="Times New Roman" w:cs="Times New Roman"/>
          <w:sz w:val="24"/>
          <w:szCs w:val="24"/>
          <w:vertAlign w:val="superscript"/>
          <w:lang w:val="sr-Cyrl-CS"/>
        </w:rPr>
        <w:footnoteReference w:id="26"/>
      </w:r>
      <w:r w:rsidRPr="00644F20">
        <w:rPr>
          <w:rFonts w:ascii="Times New Roman" w:eastAsia="Calibri" w:hAnsi="Times New Roman" w:cs="Times New Roman"/>
          <w:sz w:val="24"/>
          <w:szCs w:val="24"/>
          <w:lang w:val="sr-Cyrl-CS"/>
        </w:rPr>
        <w:t>, било да су стављене у промет као супстанце или као састојак смеше, у 2019. години на тржиште Републике Србије стављено је укупно 681,30 тона што чини 0,004% од укупне количине хемикалија на домаћем тржишту (</w:t>
      </w:r>
      <w:r w:rsidR="00376703" w:rsidRPr="00644F20">
        <w:rPr>
          <w:rFonts w:ascii="Times New Roman" w:eastAsia="Calibri" w:hAnsi="Times New Roman" w:cs="Times New Roman"/>
          <w:sz w:val="24"/>
          <w:szCs w:val="24"/>
          <w:lang w:val="sr-Cyrl-CS"/>
        </w:rPr>
        <w:t xml:space="preserve">Табела </w:t>
      </w:r>
      <w:r w:rsidRPr="00644F20">
        <w:rPr>
          <w:rFonts w:ascii="Times New Roman" w:eastAsia="Calibri" w:hAnsi="Times New Roman" w:cs="Times New Roman"/>
          <w:sz w:val="24"/>
          <w:szCs w:val="24"/>
          <w:lang w:val="sr-Cyrl-CS"/>
        </w:rPr>
        <w:t>3.2). Од укупне количине SVH</w:t>
      </w:r>
      <w:r w:rsidR="00E930C6" w:rsidRPr="00644F20">
        <w:rPr>
          <w:rFonts w:ascii="Times New Roman" w:eastAsia="Calibri" w:hAnsi="Times New Roman" w:cs="Times New Roman"/>
          <w:sz w:val="24"/>
          <w:szCs w:val="24"/>
          <w:lang w:val="sr-Cyrl-CS"/>
        </w:rPr>
        <w:t xml:space="preserve">C које су стављене на тржиште </w:t>
      </w:r>
      <w:r w:rsidR="00E930C6" w:rsidRPr="00644F20">
        <w:rPr>
          <w:rFonts w:ascii="Times New Roman" w:eastAsia="Calibri" w:hAnsi="Times New Roman" w:cs="Times New Roman"/>
          <w:sz w:val="24"/>
          <w:lang w:val="sr-Cyrl-CS"/>
        </w:rPr>
        <w:t>Републике Србије</w:t>
      </w:r>
      <w:r w:rsidRPr="00644F20">
        <w:rPr>
          <w:rFonts w:ascii="Times New Roman" w:eastAsia="Calibri" w:hAnsi="Times New Roman" w:cs="Times New Roman"/>
          <w:sz w:val="24"/>
          <w:szCs w:val="24"/>
          <w:lang w:val="sr-Cyrl-CS"/>
        </w:rPr>
        <w:t>, 94% је у саставу хемикалија из увоза, а преосталих 6% је у хемикалијама домаће производње. Највећи уд</w:t>
      </w:r>
      <w:r w:rsidR="00E930C6" w:rsidRPr="00644F20">
        <w:rPr>
          <w:rFonts w:ascii="Times New Roman" w:eastAsia="Calibri" w:hAnsi="Times New Roman" w:cs="Times New Roman"/>
          <w:sz w:val="24"/>
          <w:szCs w:val="24"/>
          <w:lang w:val="sr-Cyrl-CS"/>
        </w:rPr>
        <w:t xml:space="preserve">ео SVHC хемикалија на тржишту </w:t>
      </w:r>
      <w:r w:rsidR="00E930C6" w:rsidRPr="00644F20">
        <w:rPr>
          <w:rFonts w:ascii="Times New Roman" w:eastAsia="Calibri" w:hAnsi="Times New Roman" w:cs="Times New Roman"/>
          <w:lang w:val="sr-Cyrl-CS"/>
        </w:rPr>
        <w:t>Републике Србије</w:t>
      </w:r>
      <w:r w:rsidRPr="00644F20">
        <w:rPr>
          <w:rFonts w:ascii="Times New Roman" w:eastAsia="Calibri" w:hAnsi="Times New Roman" w:cs="Times New Roman"/>
          <w:sz w:val="24"/>
          <w:szCs w:val="24"/>
          <w:lang w:val="sr-Cyrl-CS"/>
        </w:rPr>
        <w:t xml:space="preserve"> чини трихлоретилен (51%) који се користи као растварач и средство за одмашћивање, а затим следе различити фталати (29%) који се користе као пластификатори за пластику, гуму, боје и лепкове, као и једињења хрома (8%), бромовани успоривачи горења (2%) и остале SVHC хемикалије (</w:t>
      </w:r>
      <w:r w:rsidR="00376703" w:rsidRPr="00644F20">
        <w:rPr>
          <w:rFonts w:ascii="Times New Roman" w:eastAsia="Calibri" w:hAnsi="Times New Roman" w:cs="Times New Roman"/>
          <w:sz w:val="24"/>
          <w:szCs w:val="24"/>
          <w:lang w:val="sr-Cyrl-CS"/>
        </w:rPr>
        <w:t xml:space="preserve">Дијаграм </w:t>
      </w:r>
      <w:r w:rsidRPr="00644F20">
        <w:rPr>
          <w:rFonts w:ascii="Times New Roman" w:eastAsia="Calibri" w:hAnsi="Times New Roman" w:cs="Times New Roman"/>
          <w:sz w:val="24"/>
          <w:szCs w:val="24"/>
          <w:lang w:val="sr-Cyrl-CS"/>
        </w:rPr>
        <w:t>3.7). Иако је процентуални удео SVHC у укупној количини хемикалија на домаћем тржишту релативно мали, њихова количина није занемарљива с обзиром да услед излагања и малим количинама оваквих супстанци може доћи до испољавања најопаснијих ефеката по здравље људи и/или до дуготрајних штетних ефекатa по животну средину. Такође, њихова намена је често таква да се могу наћи у различитим производима (нпр. фталати и бромовани успоривачи горења), што указује да овим супстанцама могу бити изложени и професионални корисници и општа популација. Поред тога, треба имати у виду да се Листа супстанци које изазивају забринутост периодично допуњује додатним супстанцама са најопаснијим својствима, као и да се за дуготрајне органске загађујуће супстанце на глобалном нивоу утврђују забране и ограничења у складу са Стокхолмском конвенцијом које се, измећу осталог, односе и на бромоване успориваче горења из групе бромдифенил етара који нису укључени у Листу супстанци које изазивају забринутост (SVHC), али су на Листи забрањених и ограничених РОРѕ супстанци</w:t>
      </w:r>
      <w:r w:rsidRPr="00644F20">
        <w:rPr>
          <w:rFonts w:ascii="Times New Roman" w:eastAsia="Calibri" w:hAnsi="Times New Roman" w:cs="Times New Roman"/>
          <w:sz w:val="24"/>
          <w:szCs w:val="24"/>
          <w:vertAlign w:val="superscript"/>
          <w:lang w:val="sr-Cyrl-CS"/>
        </w:rPr>
        <w:footnoteReference w:id="27"/>
      </w:r>
      <w:r w:rsidRPr="00644F20">
        <w:rPr>
          <w:rFonts w:ascii="Times New Roman" w:eastAsia="Calibri" w:hAnsi="Times New Roman" w:cs="Times New Roman"/>
          <w:sz w:val="24"/>
          <w:szCs w:val="24"/>
          <w:lang w:val="sr-Cyrl-CS"/>
        </w:rPr>
        <w:t>. Стога, треба настојати да се употреба оваквих најопаснијих хемикалија минимизује и замени безбеднијим алтернативама, што је од значаја како за заштиту здравља људи и животне средине, тако и за функционисање по принципима циркуларне економије.</w:t>
      </w:r>
    </w:p>
    <w:p w14:paraId="2ECFDC98" w14:textId="77777777" w:rsidR="00497092" w:rsidRPr="00644F20" w:rsidRDefault="002F45E1" w:rsidP="00024FD1">
      <w:pPr>
        <w:spacing w:after="60" w:line="276" w:lineRule="auto"/>
        <w:ind w:firstLine="720"/>
        <w:jc w:val="both"/>
        <w:rPr>
          <w:rFonts w:ascii="Times New Roman" w:eastAsia="Calibri" w:hAnsi="Times New Roman" w:cs="Times New Roman"/>
          <w:b/>
          <w:lang w:val="sr-Cyrl-CS"/>
        </w:rPr>
      </w:pPr>
      <w:r w:rsidRPr="00644F20">
        <w:rPr>
          <w:rFonts w:ascii="Times New Roman" w:eastAsia="Calibri" w:hAnsi="Times New Roman" w:cs="Times New Roman"/>
          <w:b/>
          <w:lang w:val="sr-Cyrl-CS"/>
        </w:rPr>
        <w:t xml:space="preserve">Табела 3.2 </w:t>
      </w:r>
      <w:r w:rsidRPr="00644F20">
        <w:rPr>
          <w:rFonts w:ascii="Times New Roman" w:eastAsia="Calibri" w:hAnsi="Times New Roman" w:cs="Times New Roman"/>
          <w:lang w:val="sr-Cyrl-CS"/>
        </w:rPr>
        <w:t>Количина супстанци које изазивају забринутост на тржишту РС према подацима из Регистра хемикалија за 2019. годину</w:t>
      </w:r>
    </w:p>
    <w:tbl>
      <w:tblPr>
        <w:tblW w:w="9409" w:type="dxa"/>
        <w:jc w:val="center"/>
        <w:tblCellMar>
          <w:left w:w="28" w:type="dxa"/>
          <w:right w:w="28" w:type="dxa"/>
        </w:tblCellMar>
        <w:tblLook w:val="04A0" w:firstRow="1" w:lastRow="0" w:firstColumn="1" w:lastColumn="0" w:noHBand="0" w:noVBand="1"/>
      </w:tblPr>
      <w:tblGrid>
        <w:gridCol w:w="789"/>
        <w:gridCol w:w="6984"/>
        <w:gridCol w:w="1636"/>
      </w:tblGrid>
      <w:tr w:rsidR="00497092" w:rsidRPr="00644F20" w14:paraId="6A9F0BD2" w14:textId="77777777">
        <w:trPr>
          <w:trHeight w:val="314"/>
          <w:jc w:val="center"/>
        </w:trPr>
        <w:tc>
          <w:tcPr>
            <w:tcW w:w="78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4E83D7" w14:textId="77777777" w:rsidR="00497092" w:rsidRPr="00644F20" w:rsidRDefault="002F45E1">
            <w:pPr>
              <w:spacing w:after="6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Редни број</w:t>
            </w:r>
          </w:p>
        </w:tc>
        <w:tc>
          <w:tcPr>
            <w:tcW w:w="69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24BA08" w14:textId="77777777" w:rsidR="00497092" w:rsidRPr="00644F20" w:rsidRDefault="002F45E1">
            <w:pPr>
              <w:spacing w:after="60" w:line="276" w:lineRule="auto"/>
              <w:jc w:val="center"/>
              <w:rPr>
                <w:rFonts w:ascii="Times New Roman" w:eastAsia="Calibri" w:hAnsi="Times New Roman" w:cs="Times New Roman"/>
                <w:b/>
                <w:lang w:val="sr-Cyrl-CS"/>
              </w:rPr>
            </w:pPr>
            <w:r w:rsidRPr="00644F20">
              <w:rPr>
                <w:rFonts w:ascii="Times New Roman" w:eastAsia="Calibri" w:hAnsi="Times New Roman" w:cs="Times New Roman"/>
                <w:b/>
                <w:lang w:val="sr-Cyrl-CS"/>
              </w:rPr>
              <w:t>Промет SVHC у 2019. години</w:t>
            </w:r>
          </w:p>
        </w:tc>
        <w:tc>
          <w:tcPr>
            <w:tcW w:w="1636" w:type="dxa"/>
            <w:tcBorders>
              <w:top w:val="single" w:sz="4" w:space="0" w:color="auto"/>
              <w:left w:val="single" w:sz="4" w:space="0" w:color="808080"/>
              <w:bottom w:val="single" w:sz="4" w:space="0" w:color="auto"/>
              <w:right w:val="single" w:sz="4" w:space="0" w:color="auto"/>
            </w:tcBorders>
            <w:shd w:val="clear" w:color="auto" w:fill="E2EFD9" w:themeFill="accent6" w:themeFillTint="33"/>
            <w:vAlign w:val="center"/>
          </w:tcPr>
          <w:p w14:paraId="0E01802E" w14:textId="77777777" w:rsidR="00497092" w:rsidRPr="00644F20" w:rsidRDefault="002F45E1">
            <w:pPr>
              <w:spacing w:after="6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 xml:space="preserve">Количина (тона) </w:t>
            </w:r>
          </w:p>
        </w:tc>
      </w:tr>
      <w:tr w:rsidR="00497092" w:rsidRPr="00644F20" w14:paraId="07478E01" w14:textId="77777777">
        <w:trPr>
          <w:trHeight w:val="288"/>
          <w:jc w:val="center"/>
        </w:trPr>
        <w:tc>
          <w:tcPr>
            <w:tcW w:w="789" w:type="dxa"/>
            <w:tcBorders>
              <w:top w:val="single" w:sz="4" w:space="0" w:color="auto"/>
              <w:left w:val="single" w:sz="4" w:space="0" w:color="auto"/>
              <w:bottom w:val="single" w:sz="4" w:space="0" w:color="auto"/>
              <w:right w:val="single" w:sz="4" w:space="0" w:color="808080"/>
            </w:tcBorders>
            <w:shd w:val="clear" w:color="auto" w:fill="FFFFFF"/>
            <w:vAlign w:val="center"/>
          </w:tcPr>
          <w:p w14:paraId="72957072"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w:t>
            </w:r>
          </w:p>
        </w:tc>
        <w:tc>
          <w:tcPr>
            <w:tcW w:w="6984" w:type="dxa"/>
            <w:tcBorders>
              <w:top w:val="single" w:sz="4" w:space="0" w:color="auto"/>
              <w:left w:val="single" w:sz="4" w:space="0" w:color="auto"/>
              <w:bottom w:val="single" w:sz="4" w:space="0" w:color="auto"/>
              <w:right w:val="single" w:sz="4" w:space="0" w:color="808080"/>
            </w:tcBorders>
            <w:shd w:val="clear" w:color="auto" w:fill="FFFFFF"/>
            <w:vAlign w:val="center"/>
          </w:tcPr>
          <w:p w14:paraId="6A07BA9A" w14:textId="77777777" w:rsidR="00497092" w:rsidRPr="00644F20" w:rsidRDefault="002F45E1">
            <w:pPr>
              <w:spacing w:after="0" w:line="276" w:lineRule="auto"/>
              <w:rPr>
                <w:rFonts w:ascii="Times New Roman" w:eastAsia="Calibri" w:hAnsi="Times New Roman" w:cs="Times New Roman"/>
                <w:lang w:val="sr-Cyrl-CS"/>
              </w:rPr>
            </w:pPr>
            <w:r w:rsidRPr="00644F20">
              <w:rPr>
                <w:rFonts w:ascii="Times New Roman" w:eastAsia="Calibri" w:hAnsi="Times New Roman" w:cs="Times New Roman"/>
                <w:b/>
                <w:bCs/>
                <w:lang w:val="sr-Cyrl-CS"/>
              </w:rPr>
              <w:t>Производња</w:t>
            </w:r>
            <w:r w:rsidRPr="00644F20">
              <w:rPr>
                <w:rFonts w:ascii="Times New Roman" w:eastAsia="Calibri" w:hAnsi="Times New Roman" w:cs="Times New Roman"/>
                <w:lang w:val="sr-Cyrl-CS"/>
              </w:rPr>
              <w:t xml:space="preserve"> ради стављања на тржиште РС</w:t>
            </w:r>
          </w:p>
        </w:tc>
        <w:tc>
          <w:tcPr>
            <w:tcW w:w="1636" w:type="dxa"/>
            <w:tcBorders>
              <w:top w:val="single" w:sz="4" w:space="0" w:color="auto"/>
              <w:left w:val="single" w:sz="4" w:space="0" w:color="auto"/>
              <w:bottom w:val="single" w:sz="4" w:space="0" w:color="auto"/>
              <w:right w:val="single" w:sz="4" w:space="0" w:color="auto"/>
            </w:tcBorders>
            <w:shd w:val="clear" w:color="auto" w:fill="FFFFFF"/>
            <w:vAlign w:val="center"/>
          </w:tcPr>
          <w:p w14:paraId="458E8315"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43,70</w:t>
            </w:r>
          </w:p>
        </w:tc>
      </w:tr>
      <w:tr w:rsidR="00497092" w:rsidRPr="00644F20" w14:paraId="3D515DF8" w14:textId="77777777">
        <w:trPr>
          <w:trHeight w:val="252"/>
          <w:jc w:val="center"/>
        </w:trPr>
        <w:tc>
          <w:tcPr>
            <w:tcW w:w="789" w:type="dxa"/>
            <w:tcBorders>
              <w:top w:val="single" w:sz="4" w:space="0" w:color="auto"/>
              <w:left w:val="single" w:sz="4" w:space="0" w:color="auto"/>
              <w:right w:val="single" w:sz="4" w:space="0" w:color="808080"/>
            </w:tcBorders>
            <w:vAlign w:val="center"/>
          </w:tcPr>
          <w:p w14:paraId="5F1F79E1"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lastRenderedPageBreak/>
              <w:t>2.</w:t>
            </w:r>
          </w:p>
        </w:tc>
        <w:tc>
          <w:tcPr>
            <w:tcW w:w="6984" w:type="dxa"/>
            <w:tcBorders>
              <w:top w:val="single" w:sz="4" w:space="0" w:color="auto"/>
              <w:left w:val="single" w:sz="4" w:space="0" w:color="auto"/>
              <w:right w:val="single" w:sz="4" w:space="0" w:color="auto"/>
            </w:tcBorders>
            <w:shd w:val="clear" w:color="auto" w:fill="auto"/>
            <w:vAlign w:val="center"/>
          </w:tcPr>
          <w:p w14:paraId="55938B72" w14:textId="77777777" w:rsidR="00497092" w:rsidRPr="00644F20" w:rsidRDefault="002F45E1">
            <w:pPr>
              <w:spacing w:after="0" w:line="276" w:lineRule="auto"/>
              <w:rPr>
                <w:rFonts w:ascii="Times New Roman" w:eastAsia="Calibri" w:hAnsi="Times New Roman" w:cs="Times New Roman"/>
                <w:b/>
                <w:bCs/>
                <w:lang w:val="sr-Cyrl-CS"/>
              </w:rPr>
            </w:pPr>
            <w:r w:rsidRPr="00644F20">
              <w:rPr>
                <w:rFonts w:ascii="Times New Roman" w:eastAsia="Calibri" w:hAnsi="Times New Roman" w:cs="Times New Roman"/>
                <w:b/>
                <w:bCs/>
                <w:lang w:val="sr-Cyrl-CS"/>
              </w:rPr>
              <w:t>Увоз</w:t>
            </w:r>
          </w:p>
        </w:tc>
        <w:tc>
          <w:tcPr>
            <w:tcW w:w="1636" w:type="dxa"/>
            <w:tcBorders>
              <w:top w:val="single" w:sz="4" w:space="0" w:color="auto"/>
              <w:left w:val="single" w:sz="4" w:space="0" w:color="auto"/>
              <w:right w:val="single" w:sz="4" w:space="0" w:color="auto"/>
            </w:tcBorders>
            <w:vAlign w:val="center"/>
          </w:tcPr>
          <w:p w14:paraId="18598509"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637,60</w:t>
            </w:r>
          </w:p>
        </w:tc>
      </w:tr>
      <w:tr w:rsidR="00497092" w:rsidRPr="00644F20" w14:paraId="5C5338F0" w14:textId="77777777">
        <w:trPr>
          <w:trHeight w:val="252"/>
          <w:jc w:val="center"/>
        </w:trPr>
        <w:tc>
          <w:tcPr>
            <w:tcW w:w="7773" w:type="dxa"/>
            <w:gridSpan w:val="2"/>
            <w:tcBorders>
              <w:top w:val="single" w:sz="4" w:space="0" w:color="auto"/>
              <w:left w:val="single" w:sz="4" w:space="0" w:color="auto"/>
              <w:right w:val="single" w:sz="4" w:space="0" w:color="auto"/>
            </w:tcBorders>
            <w:vAlign w:val="center"/>
          </w:tcPr>
          <w:p w14:paraId="758ED9AB" w14:textId="77777777" w:rsidR="00497092" w:rsidRPr="00644F20" w:rsidRDefault="00E930C6">
            <w:pPr>
              <w:spacing w:after="0" w:line="276" w:lineRule="auto"/>
              <w:rPr>
                <w:rFonts w:ascii="Times New Roman" w:eastAsia="Calibri" w:hAnsi="Times New Roman" w:cs="Times New Roman"/>
                <w:b/>
                <w:bCs/>
                <w:lang w:val="sr-Cyrl-CS"/>
              </w:rPr>
            </w:pPr>
            <w:r w:rsidRPr="00644F20">
              <w:rPr>
                <w:rFonts w:ascii="Times New Roman" w:eastAsia="Calibri" w:hAnsi="Times New Roman" w:cs="Times New Roman"/>
                <w:b/>
                <w:bCs/>
                <w:lang w:val="sr-Cyrl-CS"/>
              </w:rPr>
              <w:t xml:space="preserve">Стављено на тржиште </w:t>
            </w:r>
            <w:r w:rsidRPr="00644F20">
              <w:rPr>
                <w:rFonts w:ascii="Times New Roman" w:eastAsia="Calibri" w:hAnsi="Times New Roman" w:cs="Times New Roman"/>
                <w:lang w:val="sr-Cyrl-CS"/>
              </w:rPr>
              <w:t>Републике Србије</w:t>
            </w:r>
            <w:r w:rsidR="002F45E1" w:rsidRPr="00644F20">
              <w:rPr>
                <w:rFonts w:ascii="Times New Roman" w:eastAsia="Calibri" w:hAnsi="Times New Roman" w:cs="Times New Roman"/>
                <w:b/>
                <w:bCs/>
                <w:lang w:val="sr-Cyrl-CS"/>
              </w:rPr>
              <w:t xml:space="preserve"> </w:t>
            </w:r>
            <w:r w:rsidR="002F45E1" w:rsidRPr="00644F20">
              <w:rPr>
                <w:rFonts w:ascii="Times New Roman" w:eastAsia="Calibri" w:hAnsi="Times New Roman" w:cs="Times New Roman"/>
                <w:lang w:val="sr-Cyrl-CS"/>
              </w:rPr>
              <w:t>(1+2)</w:t>
            </w:r>
            <w:r w:rsidR="002F45E1" w:rsidRPr="00644F20">
              <w:rPr>
                <w:rFonts w:ascii="Times New Roman" w:eastAsia="Calibri" w:hAnsi="Times New Roman" w:cs="Times New Roman"/>
                <w:bCs/>
                <w:lang w:val="sr-Cyrl-CS"/>
              </w:rPr>
              <w:t>:</w:t>
            </w:r>
          </w:p>
        </w:tc>
        <w:tc>
          <w:tcPr>
            <w:tcW w:w="1636" w:type="dxa"/>
            <w:tcBorders>
              <w:top w:val="single" w:sz="4" w:space="0" w:color="auto"/>
              <w:left w:val="single" w:sz="4" w:space="0" w:color="auto"/>
              <w:right w:val="single" w:sz="4" w:space="0" w:color="auto"/>
            </w:tcBorders>
            <w:vAlign w:val="center"/>
          </w:tcPr>
          <w:p w14:paraId="04416884"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b/>
                <w:bCs/>
                <w:lang w:val="sr-Cyrl-CS"/>
              </w:rPr>
              <w:t>683,30</w:t>
            </w:r>
          </w:p>
        </w:tc>
      </w:tr>
      <w:tr w:rsidR="00497092" w:rsidRPr="00644F20" w14:paraId="1E69A070" w14:textId="77777777">
        <w:trPr>
          <w:trHeight w:val="288"/>
          <w:jc w:val="center"/>
        </w:trPr>
        <w:tc>
          <w:tcPr>
            <w:tcW w:w="7773" w:type="dxa"/>
            <w:gridSpan w:val="2"/>
            <w:tcBorders>
              <w:top w:val="single" w:sz="4" w:space="0" w:color="auto"/>
              <w:left w:val="single" w:sz="4" w:space="0" w:color="auto"/>
              <w:bottom w:val="single" w:sz="4" w:space="0" w:color="auto"/>
              <w:right w:val="single" w:sz="4" w:space="0" w:color="808080"/>
            </w:tcBorders>
            <w:shd w:val="clear" w:color="auto" w:fill="FFFFFF"/>
            <w:vAlign w:val="center"/>
          </w:tcPr>
          <w:p w14:paraId="7FBC36BC" w14:textId="77777777" w:rsidR="00497092" w:rsidRPr="00644F20" w:rsidRDefault="002F45E1">
            <w:pPr>
              <w:spacing w:after="0" w:line="276" w:lineRule="auto"/>
              <w:rPr>
                <w:rFonts w:ascii="Times New Roman" w:eastAsia="Calibri" w:hAnsi="Times New Roman" w:cs="Times New Roman"/>
                <w:b/>
                <w:bCs/>
                <w:lang w:val="sr-Cyrl-CS"/>
              </w:rPr>
            </w:pPr>
            <w:r w:rsidRPr="00644F20">
              <w:rPr>
                <w:rFonts w:ascii="Times New Roman" w:eastAsia="Calibri" w:hAnsi="Times New Roman" w:cs="Times New Roman"/>
                <w:b/>
                <w:bCs/>
                <w:lang w:val="sr-Cyrl-CS"/>
              </w:rPr>
              <w:t xml:space="preserve">Извоз </w:t>
            </w:r>
            <w:r w:rsidRPr="00644F20">
              <w:rPr>
                <w:rFonts w:ascii="Times New Roman" w:eastAsia="Calibri" w:hAnsi="Times New Roman" w:cs="Times New Roman"/>
                <w:lang w:val="sr-Cyrl-CS"/>
              </w:rPr>
              <w:t>(производња ради извоза-није укључено у 1):</w:t>
            </w:r>
          </w:p>
        </w:tc>
        <w:tc>
          <w:tcPr>
            <w:tcW w:w="1636" w:type="dxa"/>
            <w:tcBorders>
              <w:top w:val="single" w:sz="4" w:space="0" w:color="auto"/>
              <w:left w:val="single" w:sz="4" w:space="0" w:color="auto"/>
              <w:bottom w:val="single" w:sz="4" w:space="0" w:color="auto"/>
              <w:right w:val="single" w:sz="4" w:space="0" w:color="auto"/>
            </w:tcBorders>
            <w:shd w:val="clear" w:color="auto" w:fill="FFFFFF"/>
            <w:vAlign w:val="center"/>
          </w:tcPr>
          <w:p w14:paraId="728CCB8C" w14:textId="77777777" w:rsidR="00497092" w:rsidRPr="00644F20" w:rsidRDefault="002F45E1">
            <w:pPr>
              <w:spacing w:after="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13,46</w:t>
            </w:r>
          </w:p>
        </w:tc>
      </w:tr>
    </w:tbl>
    <w:p w14:paraId="553CB5CA" w14:textId="77777777" w:rsidR="00497092" w:rsidRPr="00644F20" w:rsidRDefault="00497092">
      <w:pPr>
        <w:spacing w:after="60" w:line="276" w:lineRule="auto"/>
        <w:jc w:val="center"/>
        <w:rPr>
          <w:rFonts w:ascii="Times New Roman" w:eastAsia="Calibri" w:hAnsi="Times New Roman" w:cs="Times New Roman"/>
          <w:sz w:val="24"/>
          <w:szCs w:val="24"/>
          <w:lang w:val="sr-Cyrl-CS"/>
        </w:rPr>
      </w:pPr>
    </w:p>
    <w:p w14:paraId="1516DCB4" w14:textId="77777777" w:rsidR="00497092" w:rsidRPr="00644F20" w:rsidRDefault="002F45E1">
      <w:pPr>
        <w:spacing w:after="60" w:line="276" w:lineRule="auto"/>
        <w:jc w:val="center"/>
        <w:rPr>
          <w:rFonts w:ascii="Times New Roman" w:eastAsia="Calibri" w:hAnsi="Times New Roman" w:cs="Times New Roman"/>
          <w:sz w:val="24"/>
          <w:szCs w:val="24"/>
          <w:lang w:val="sr-Cyrl-CS"/>
        </w:rPr>
      </w:pPr>
      <w:r w:rsidRPr="00644F20">
        <w:rPr>
          <w:noProof/>
        </w:rPr>
        <w:drawing>
          <wp:inline distT="0" distB="0" distL="0" distR="0" wp14:anchorId="174F3DDA" wp14:editId="5604A3EB">
            <wp:extent cx="2649220" cy="17780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644F20">
        <w:rPr>
          <w:noProof/>
        </w:rPr>
        <w:drawing>
          <wp:inline distT="0" distB="0" distL="0" distR="0" wp14:anchorId="0B115267" wp14:editId="3292FFB4">
            <wp:extent cx="3002280" cy="1778000"/>
            <wp:effectExtent l="0" t="0" r="762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644F20">
        <w:rPr>
          <w:rFonts w:ascii="Times New Roman" w:eastAsia="Calibri" w:hAnsi="Times New Roman" w:cs="Times New Roman"/>
          <w:sz w:val="24"/>
          <w:szCs w:val="24"/>
          <w:lang w:val="sr-Cyrl-CS"/>
        </w:rPr>
        <w:t xml:space="preserve">                     </w:t>
      </w:r>
    </w:p>
    <w:p w14:paraId="291DA275" w14:textId="77777777" w:rsidR="00497092" w:rsidRPr="00644F20" w:rsidRDefault="002F45E1">
      <w:pPr>
        <w:spacing w:after="60" w:line="276" w:lineRule="auto"/>
        <w:jc w:val="center"/>
        <w:rPr>
          <w:rFonts w:ascii="Times New Roman" w:eastAsia="Calibri" w:hAnsi="Times New Roman" w:cs="Times New Roman"/>
          <w:b/>
          <w:lang w:val="sr-Cyrl-CS"/>
        </w:rPr>
      </w:pPr>
      <w:r w:rsidRPr="00644F20">
        <w:rPr>
          <w:rFonts w:ascii="Times New Roman" w:eastAsia="Calibri" w:hAnsi="Times New Roman" w:cs="Times New Roman"/>
          <w:b/>
          <w:lang w:val="sr-Cyrl-CS"/>
        </w:rPr>
        <w:t xml:space="preserve">Слика 3.7. </w:t>
      </w:r>
      <w:r w:rsidRPr="00644F20">
        <w:rPr>
          <w:rFonts w:ascii="Times New Roman" w:eastAsia="Calibri" w:hAnsi="Times New Roman" w:cs="Times New Roman"/>
          <w:lang w:val="sr-Cyrl-CS"/>
        </w:rPr>
        <w:t>Порекло и врста супстанци које изазивају забринутост према подацима из Регистра хемикалија за 2019. годину</w:t>
      </w:r>
    </w:p>
    <w:p w14:paraId="70EE3DC4" w14:textId="77777777" w:rsidR="00497092" w:rsidRPr="00644F20" w:rsidRDefault="002F45E1" w:rsidP="00024FD1">
      <w:pPr>
        <w:spacing w:after="60" w:line="276" w:lineRule="auto"/>
        <w:ind w:firstLine="720"/>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Према подацима Р</w:t>
      </w:r>
      <w:r w:rsidR="00024FD1" w:rsidRPr="00644F20">
        <w:rPr>
          <w:rFonts w:ascii="Times New Roman" w:eastAsia="Times New Roman" w:hAnsi="Times New Roman" w:cs="Times New Roman"/>
          <w:sz w:val="24"/>
          <w:szCs w:val="24"/>
          <w:lang w:val="sr-Cyrl-CS"/>
        </w:rPr>
        <w:t>ЗС</w:t>
      </w:r>
      <w:r w:rsidRPr="00644F20">
        <w:rPr>
          <w:rFonts w:ascii="Times New Roman" w:eastAsia="Times New Roman" w:hAnsi="Times New Roman" w:cs="Times New Roman"/>
          <w:sz w:val="24"/>
          <w:szCs w:val="24"/>
          <w:vertAlign w:val="superscript"/>
          <w:lang w:val="sr-Cyrl-CS"/>
        </w:rPr>
        <w:footnoteReference w:id="28"/>
      </w:r>
      <w:r w:rsidRPr="00644F20">
        <w:rPr>
          <w:rFonts w:ascii="Times New Roman" w:eastAsia="Times New Roman" w:hAnsi="Times New Roman" w:cs="Times New Roman"/>
          <w:sz w:val="24"/>
          <w:szCs w:val="24"/>
          <w:lang w:val="sr-Cyrl-CS"/>
        </w:rPr>
        <w:t>, потрошња опасних хемикалија</w:t>
      </w:r>
      <w:r w:rsidRPr="00644F20">
        <w:rPr>
          <w:rFonts w:ascii="Times New Roman" w:eastAsia="Times New Roman" w:hAnsi="Times New Roman" w:cs="Times New Roman"/>
          <w:sz w:val="24"/>
          <w:szCs w:val="24"/>
          <w:vertAlign w:val="superscript"/>
          <w:lang w:val="sr-Cyrl-CS"/>
        </w:rPr>
        <w:footnoteReference w:id="29"/>
      </w:r>
      <w:r w:rsidRPr="00644F20">
        <w:rPr>
          <w:rFonts w:ascii="Times New Roman" w:eastAsia="Times New Roman" w:hAnsi="Times New Roman" w:cs="Times New Roman"/>
          <w:sz w:val="24"/>
          <w:szCs w:val="24"/>
          <w:lang w:val="sr-Cyrl-CS"/>
        </w:rPr>
        <w:t xml:space="preserve"> у привреди Републике Србије у 2019. години износила је 1,04 милион тона, што је за око 38 % више у односу на 2018. годину (751 хиљада тона), али за 15% мање него у 2017. години (1,21 милион тона). Највећа потрошња опасних хемикалија је у сектору прерађивачке индустрије, и то 98,1% (2017), 97,2% (2018) и 97,4% у 2019. години, од укупне годишње потрошње. Остали сектори код којих је такође забележена потрошња опасних хемикалија, али у много мањем обиму су рударство, снабдевање електричном енергијом, гасом и паром и снабдевање водом и управљање отпадним водама (</w:t>
      </w:r>
      <w:r w:rsidR="0051392E" w:rsidRPr="00644F20">
        <w:rPr>
          <w:rFonts w:ascii="Times New Roman" w:eastAsia="Times New Roman" w:hAnsi="Times New Roman" w:cs="Times New Roman"/>
          <w:sz w:val="24"/>
          <w:szCs w:val="24"/>
          <w:lang w:val="sr-Cyrl-CS"/>
        </w:rPr>
        <w:t xml:space="preserve">Табела </w:t>
      </w:r>
      <w:r w:rsidRPr="00644F20">
        <w:rPr>
          <w:rFonts w:ascii="Times New Roman" w:eastAsia="Times New Roman" w:hAnsi="Times New Roman" w:cs="Times New Roman"/>
          <w:sz w:val="24"/>
          <w:szCs w:val="24"/>
          <w:lang w:val="sr-Cyrl-CS"/>
        </w:rPr>
        <w:t>3.3). У оквиру сектора прерађивачке индустрије убедљиво највеће учешће у потрошњи опасних хемикалија има област производње хемикалија и хемијских производа (92,4%</w:t>
      </w:r>
      <w:r w:rsidRPr="00644F20">
        <w:rPr>
          <w:rFonts w:ascii="Times New Roman" w:eastAsia="Times New Roman" w:hAnsi="Times New Roman" w:cs="Times New Roman"/>
          <w:sz w:val="24"/>
          <w:szCs w:val="24"/>
          <w:vertAlign w:val="superscript"/>
          <w:lang w:val="sr-Cyrl-CS"/>
        </w:rPr>
        <w:footnoteReference w:id="30"/>
      </w:r>
      <w:r w:rsidRPr="00644F20">
        <w:rPr>
          <w:rFonts w:ascii="Times New Roman" w:eastAsia="Times New Roman" w:hAnsi="Times New Roman" w:cs="Times New Roman"/>
          <w:sz w:val="24"/>
          <w:szCs w:val="24"/>
          <w:lang w:val="sr-Cyrl-CS"/>
        </w:rPr>
        <w:t xml:space="preserve"> у 2019. години). </w:t>
      </w:r>
    </w:p>
    <w:p w14:paraId="7EC46B2E" w14:textId="77777777" w:rsidR="00497092" w:rsidRPr="00644F20" w:rsidRDefault="002F45E1">
      <w:pPr>
        <w:spacing w:after="60" w:line="276" w:lineRule="auto"/>
        <w:rPr>
          <w:rFonts w:ascii="Times New Roman" w:eastAsia="Times New Roman" w:hAnsi="Times New Roman" w:cs="Times New Roman"/>
          <w:b/>
          <w:bCs/>
          <w:lang w:val="sr-Cyrl-CS"/>
        </w:rPr>
      </w:pPr>
      <w:r w:rsidRPr="00644F20">
        <w:rPr>
          <w:rFonts w:ascii="Times New Roman" w:eastAsia="Times New Roman" w:hAnsi="Times New Roman" w:cs="Times New Roman"/>
          <w:b/>
          <w:bCs/>
          <w:lang w:val="sr-Cyrl-CS"/>
        </w:rPr>
        <w:t xml:space="preserve">Табела 3.3 </w:t>
      </w:r>
      <w:r w:rsidRPr="00644F20">
        <w:rPr>
          <w:rFonts w:ascii="Times New Roman" w:eastAsia="Times New Roman" w:hAnsi="Times New Roman" w:cs="Times New Roman"/>
          <w:bCs/>
          <w:lang w:val="sr-Cyrl-CS"/>
        </w:rPr>
        <w:t>Потрошња опасних хемикалија према секторима класификације делатности</w:t>
      </w:r>
    </w:p>
    <w:tbl>
      <w:tblPr>
        <w:tblW w:w="0" w:type="auto"/>
        <w:jc w:val="center"/>
        <w:tblCellMar>
          <w:left w:w="28" w:type="dxa"/>
          <w:right w:w="28" w:type="dxa"/>
        </w:tblCellMar>
        <w:tblLook w:val="04A0" w:firstRow="1" w:lastRow="0" w:firstColumn="1" w:lastColumn="0" w:noHBand="0" w:noVBand="1"/>
      </w:tblPr>
      <w:tblGrid>
        <w:gridCol w:w="5395"/>
        <w:gridCol w:w="1440"/>
        <w:gridCol w:w="1440"/>
        <w:gridCol w:w="1354"/>
      </w:tblGrid>
      <w:tr w:rsidR="00497092" w:rsidRPr="00644F20" w14:paraId="10544051" w14:textId="77777777">
        <w:trPr>
          <w:trHeight w:val="317"/>
          <w:jc w:val="center"/>
        </w:trPr>
        <w:tc>
          <w:tcPr>
            <w:tcW w:w="5395"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50C1F7" w14:textId="77777777" w:rsidR="00497092" w:rsidRPr="00644F20" w:rsidRDefault="002F45E1">
            <w:pPr>
              <w:spacing w:after="60" w:line="276" w:lineRule="auto"/>
              <w:rPr>
                <w:rFonts w:ascii="Times New Roman" w:eastAsia="Times New Roman" w:hAnsi="Times New Roman" w:cs="Times New Roman"/>
                <w:b/>
                <w:bCs/>
                <w:lang w:val="sr-Cyrl-CS"/>
              </w:rPr>
            </w:pPr>
            <w:r w:rsidRPr="00644F20">
              <w:rPr>
                <w:rFonts w:ascii="Times New Roman" w:eastAsia="Times New Roman" w:hAnsi="Times New Roman" w:cs="Times New Roman"/>
                <w:b/>
                <w:bCs/>
                <w:lang w:val="sr-Cyrl-CS"/>
              </w:rPr>
              <w:t>Привредни сектор</w:t>
            </w:r>
          </w:p>
        </w:tc>
        <w:tc>
          <w:tcPr>
            <w:tcW w:w="4234"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52DFD1E" w14:textId="77777777" w:rsidR="00497092" w:rsidRPr="00644F20" w:rsidRDefault="002F45E1">
            <w:pPr>
              <w:spacing w:after="60" w:line="276" w:lineRule="auto"/>
              <w:jc w:val="center"/>
              <w:rPr>
                <w:rFonts w:ascii="Times New Roman" w:eastAsia="Times New Roman" w:hAnsi="Times New Roman" w:cs="Times New Roman"/>
                <w:b/>
                <w:bCs/>
                <w:lang w:val="sr-Cyrl-CS"/>
              </w:rPr>
            </w:pPr>
            <w:r w:rsidRPr="00644F20">
              <w:rPr>
                <w:rFonts w:ascii="Times New Roman" w:eastAsia="Times New Roman" w:hAnsi="Times New Roman" w:cs="Times New Roman"/>
                <w:b/>
                <w:bCs/>
                <w:lang w:val="sr-Cyrl-CS"/>
              </w:rPr>
              <w:t>Количина (тона)</w:t>
            </w:r>
          </w:p>
        </w:tc>
      </w:tr>
      <w:tr w:rsidR="00497092" w:rsidRPr="00644F20" w14:paraId="2782A5C2" w14:textId="77777777">
        <w:trPr>
          <w:trHeight w:val="288"/>
          <w:jc w:val="center"/>
        </w:trPr>
        <w:tc>
          <w:tcPr>
            <w:tcW w:w="5395"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0B3423CB" w14:textId="77777777" w:rsidR="00497092" w:rsidRPr="00644F20" w:rsidRDefault="00497092">
            <w:pPr>
              <w:spacing w:after="60" w:line="276" w:lineRule="auto"/>
              <w:ind w:hanging="30"/>
              <w:jc w:val="center"/>
              <w:rPr>
                <w:rFonts w:ascii="Times New Roman" w:eastAsia="Times New Roman" w:hAnsi="Times New Roman" w:cs="Times New Roman"/>
                <w:b/>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A4DD758" w14:textId="77777777" w:rsidR="00497092" w:rsidRPr="00644F20" w:rsidRDefault="002F45E1">
            <w:pPr>
              <w:spacing w:after="6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2017.</w:t>
            </w:r>
          </w:p>
        </w:tc>
        <w:tc>
          <w:tcPr>
            <w:tcW w:w="1440" w:type="dxa"/>
            <w:tcBorders>
              <w:left w:val="single" w:sz="4" w:space="0" w:color="auto"/>
              <w:bottom w:val="single" w:sz="4" w:space="0" w:color="auto"/>
              <w:right w:val="single" w:sz="4" w:space="0" w:color="808080"/>
            </w:tcBorders>
            <w:shd w:val="clear" w:color="auto" w:fill="E2EFD9" w:themeFill="accent6" w:themeFillTint="33"/>
          </w:tcPr>
          <w:p w14:paraId="474B3870" w14:textId="77777777" w:rsidR="00497092" w:rsidRPr="00644F20" w:rsidRDefault="002F45E1">
            <w:pPr>
              <w:spacing w:after="6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2018.</w:t>
            </w:r>
          </w:p>
        </w:tc>
        <w:tc>
          <w:tcPr>
            <w:tcW w:w="1354" w:type="dxa"/>
            <w:tcBorders>
              <w:left w:val="single" w:sz="4" w:space="0" w:color="808080"/>
              <w:bottom w:val="single" w:sz="4" w:space="0" w:color="auto"/>
              <w:right w:val="single" w:sz="4" w:space="0" w:color="auto"/>
            </w:tcBorders>
            <w:shd w:val="clear" w:color="auto" w:fill="E2EFD9" w:themeFill="accent6" w:themeFillTint="33"/>
            <w:noWrap/>
            <w:vAlign w:val="bottom"/>
          </w:tcPr>
          <w:p w14:paraId="2BC108FD" w14:textId="77777777" w:rsidR="00497092" w:rsidRPr="00644F20" w:rsidRDefault="002F45E1">
            <w:pPr>
              <w:spacing w:after="60" w:line="276" w:lineRule="auto"/>
              <w:jc w:val="center"/>
              <w:rPr>
                <w:rFonts w:ascii="Times New Roman" w:eastAsia="Times New Roman" w:hAnsi="Times New Roman" w:cs="Times New Roman"/>
                <w:b/>
                <w:lang w:val="sr-Cyrl-CS"/>
              </w:rPr>
            </w:pPr>
            <w:r w:rsidRPr="00644F20">
              <w:rPr>
                <w:rFonts w:ascii="Times New Roman" w:eastAsia="Times New Roman" w:hAnsi="Times New Roman" w:cs="Times New Roman"/>
                <w:b/>
                <w:lang w:val="sr-Cyrl-CS"/>
              </w:rPr>
              <w:t>2019.</w:t>
            </w:r>
          </w:p>
        </w:tc>
      </w:tr>
      <w:tr w:rsidR="00497092" w:rsidRPr="00644F20" w14:paraId="44010D3D" w14:textId="77777777">
        <w:trPr>
          <w:trHeight w:val="242"/>
          <w:jc w:val="center"/>
        </w:trPr>
        <w:tc>
          <w:tcPr>
            <w:tcW w:w="5395" w:type="dxa"/>
            <w:tcBorders>
              <w:top w:val="single" w:sz="4" w:space="0" w:color="auto"/>
              <w:left w:val="single" w:sz="4" w:space="0" w:color="auto"/>
              <w:bottom w:val="single" w:sz="4" w:space="0" w:color="auto"/>
              <w:right w:val="single" w:sz="4" w:space="0" w:color="auto"/>
            </w:tcBorders>
            <w:shd w:val="clear" w:color="auto" w:fill="auto"/>
            <w:vAlign w:val="bottom"/>
          </w:tcPr>
          <w:p w14:paraId="5A1DC0C4" w14:textId="77777777" w:rsidR="00497092" w:rsidRPr="00644F20" w:rsidRDefault="002F45E1">
            <w:pPr>
              <w:spacing w:after="60" w:line="276" w:lineRule="auto"/>
              <w:ind w:hanging="30"/>
              <w:rPr>
                <w:rFonts w:ascii="Times New Roman" w:eastAsia="Times New Roman" w:hAnsi="Times New Roman" w:cs="Times New Roman"/>
                <w:lang w:val="sr-Cyrl-CS"/>
              </w:rPr>
            </w:pPr>
            <w:r w:rsidRPr="00644F20">
              <w:rPr>
                <w:rFonts w:ascii="Times New Roman" w:eastAsia="Times New Roman" w:hAnsi="Times New Roman" w:cs="Times New Roman"/>
                <w:lang w:val="sr-Cyrl-CS"/>
              </w:rPr>
              <w:t>Рударство</w:t>
            </w:r>
          </w:p>
        </w:tc>
        <w:tc>
          <w:tcPr>
            <w:tcW w:w="1440" w:type="dxa"/>
            <w:tcBorders>
              <w:top w:val="single" w:sz="4" w:space="0" w:color="auto"/>
              <w:left w:val="single" w:sz="4" w:space="0" w:color="auto"/>
              <w:bottom w:val="single" w:sz="4" w:space="0" w:color="auto"/>
              <w:right w:val="single" w:sz="4" w:space="0" w:color="auto"/>
            </w:tcBorders>
          </w:tcPr>
          <w:p w14:paraId="42790F5F" w14:textId="77777777" w:rsidR="00497092" w:rsidRPr="00644F20" w:rsidRDefault="002F45E1">
            <w:pPr>
              <w:spacing w:after="6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1 107</w:t>
            </w:r>
          </w:p>
        </w:tc>
        <w:tc>
          <w:tcPr>
            <w:tcW w:w="1440" w:type="dxa"/>
            <w:tcBorders>
              <w:top w:val="single" w:sz="4" w:space="0" w:color="auto"/>
              <w:left w:val="single" w:sz="4" w:space="0" w:color="auto"/>
              <w:bottom w:val="single" w:sz="4" w:space="0" w:color="auto"/>
              <w:right w:val="single" w:sz="4" w:space="0" w:color="auto"/>
            </w:tcBorders>
          </w:tcPr>
          <w:p w14:paraId="394F8621" w14:textId="77777777" w:rsidR="00497092" w:rsidRPr="00644F20" w:rsidRDefault="002F45E1">
            <w:pPr>
              <w:spacing w:after="6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1 893</w:t>
            </w:r>
          </w:p>
        </w:tc>
        <w:tc>
          <w:tcPr>
            <w:tcW w:w="1354" w:type="dxa"/>
            <w:tcBorders>
              <w:top w:val="single" w:sz="4" w:space="0" w:color="auto"/>
              <w:left w:val="single" w:sz="4" w:space="0" w:color="auto"/>
              <w:bottom w:val="single" w:sz="4" w:space="0" w:color="auto"/>
              <w:right w:val="single" w:sz="4" w:space="0" w:color="auto"/>
            </w:tcBorders>
            <w:shd w:val="clear" w:color="auto" w:fill="auto"/>
            <w:noWrap/>
          </w:tcPr>
          <w:p w14:paraId="3AD978EE" w14:textId="77777777" w:rsidR="00497092" w:rsidRPr="00644F20" w:rsidRDefault="002F45E1">
            <w:pPr>
              <w:spacing w:after="6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7 375</w:t>
            </w:r>
          </w:p>
        </w:tc>
      </w:tr>
      <w:tr w:rsidR="00497092" w:rsidRPr="00644F20" w14:paraId="14372C19" w14:textId="77777777">
        <w:trPr>
          <w:trHeight w:val="288"/>
          <w:jc w:val="center"/>
        </w:trPr>
        <w:tc>
          <w:tcPr>
            <w:tcW w:w="5395" w:type="dxa"/>
            <w:tcBorders>
              <w:top w:val="single" w:sz="4" w:space="0" w:color="auto"/>
              <w:left w:val="single" w:sz="4" w:space="0" w:color="auto"/>
              <w:bottom w:val="single" w:sz="4" w:space="0" w:color="auto"/>
              <w:right w:val="single" w:sz="4" w:space="0" w:color="auto"/>
            </w:tcBorders>
            <w:shd w:val="clear" w:color="auto" w:fill="FFFFFF"/>
            <w:vAlign w:val="bottom"/>
          </w:tcPr>
          <w:p w14:paraId="7765C1A3" w14:textId="77777777" w:rsidR="00497092" w:rsidRPr="00644F20" w:rsidRDefault="002F45E1">
            <w:pPr>
              <w:spacing w:after="60" w:line="276" w:lineRule="auto"/>
              <w:ind w:hanging="30"/>
              <w:rPr>
                <w:rFonts w:ascii="Times New Roman" w:eastAsia="Times New Roman" w:hAnsi="Times New Roman" w:cs="Times New Roman"/>
                <w:b/>
                <w:bCs/>
                <w:lang w:val="sr-Cyrl-CS"/>
              </w:rPr>
            </w:pPr>
            <w:r w:rsidRPr="00644F20">
              <w:rPr>
                <w:rFonts w:ascii="Times New Roman" w:eastAsia="Times New Roman" w:hAnsi="Times New Roman" w:cs="Times New Roman"/>
                <w:b/>
                <w:bCs/>
                <w:lang w:val="sr-Cyrl-CS"/>
              </w:rPr>
              <w:t>Прерађивачка индустрија</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15C27A4F" w14:textId="77777777" w:rsidR="00497092" w:rsidRPr="00644F20" w:rsidRDefault="002F45E1">
            <w:pPr>
              <w:spacing w:after="6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1 189 077</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60DAF859" w14:textId="77777777" w:rsidR="00497092" w:rsidRPr="00644F20" w:rsidRDefault="002F45E1">
            <w:pPr>
              <w:spacing w:after="60" w:line="276" w:lineRule="auto"/>
              <w:jc w:val="center"/>
              <w:rPr>
                <w:rFonts w:ascii="Times New Roman" w:eastAsia="Times New Roman" w:hAnsi="Times New Roman" w:cs="Times New Roman"/>
                <w:b/>
                <w:bCs/>
                <w:lang w:val="sr-Cyrl-CS"/>
              </w:rPr>
            </w:pPr>
            <w:r w:rsidRPr="00644F20">
              <w:rPr>
                <w:rFonts w:ascii="Times New Roman" w:eastAsia="Calibri" w:hAnsi="Times New Roman" w:cs="Times New Roman"/>
                <w:b/>
                <w:bCs/>
                <w:lang w:val="sr-Cyrl-CS"/>
              </w:rPr>
              <w:t>729 720</w:t>
            </w:r>
          </w:p>
        </w:tc>
        <w:tc>
          <w:tcPr>
            <w:tcW w:w="135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764B65" w14:textId="77777777" w:rsidR="00497092" w:rsidRPr="00644F20" w:rsidRDefault="002F45E1">
            <w:pPr>
              <w:spacing w:after="60" w:line="276" w:lineRule="auto"/>
              <w:jc w:val="center"/>
              <w:rPr>
                <w:rFonts w:ascii="Times New Roman" w:eastAsia="Times New Roman" w:hAnsi="Times New Roman" w:cs="Times New Roman"/>
                <w:b/>
                <w:bCs/>
                <w:lang w:val="sr-Cyrl-CS"/>
              </w:rPr>
            </w:pPr>
            <w:r w:rsidRPr="00644F20">
              <w:rPr>
                <w:rFonts w:ascii="Times New Roman" w:eastAsia="Times New Roman" w:hAnsi="Times New Roman" w:cs="Times New Roman"/>
                <w:b/>
                <w:bCs/>
                <w:lang w:val="sr-Cyrl-CS"/>
              </w:rPr>
              <w:t>1 012 696</w:t>
            </w:r>
          </w:p>
        </w:tc>
      </w:tr>
      <w:tr w:rsidR="00497092" w:rsidRPr="00644F20" w14:paraId="605C1B2F" w14:textId="77777777">
        <w:trPr>
          <w:trHeight w:val="288"/>
          <w:jc w:val="center"/>
        </w:trPr>
        <w:tc>
          <w:tcPr>
            <w:tcW w:w="5395" w:type="dxa"/>
            <w:tcBorders>
              <w:top w:val="single" w:sz="4" w:space="0" w:color="auto"/>
              <w:left w:val="single" w:sz="4" w:space="0" w:color="auto"/>
              <w:bottom w:val="single" w:sz="4" w:space="0" w:color="auto"/>
              <w:right w:val="single" w:sz="4" w:space="0" w:color="auto"/>
            </w:tcBorders>
            <w:shd w:val="clear" w:color="auto" w:fill="auto"/>
            <w:vAlign w:val="bottom"/>
          </w:tcPr>
          <w:p w14:paraId="23A37CB9" w14:textId="77777777" w:rsidR="00497092" w:rsidRPr="00644F20" w:rsidRDefault="002F45E1">
            <w:pPr>
              <w:spacing w:after="60" w:line="276" w:lineRule="auto"/>
              <w:ind w:hanging="30"/>
              <w:rPr>
                <w:rFonts w:ascii="Times New Roman" w:eastAsia="Times New Roman" w:hAnsi="Times New Roman" w:cs="Times New Roman"/>
                <w:lang w:val="sr-Cyrl-CS"/>
              </w:rPr>
            </w:pPr>
            <w:r w:rsidRPr="00644F20">
              <w:rPr>
                <w:rFonts w:ascii="Times New Roman" w:eastAsia="Times New Roman" w:hAnsi="Times New Roman" w:cs="Times New Roman"/>
                <w:lang w:val="sr-Cyrl-CS"/>
              </w:rPr>
              <w:t>Снабдевање електричном енергијом, гасом и паром</w:t>
            </w:r>
          </w:p>
        </w:tc>
        <w:tc>
          <w:tcPr>
            <w:tcW w:w="1440" w:type="dxa"/>
            <w:tcBorders>
              <w:top w:val="single" w:sz="4" w:space="0" w:color="auto"/>
              <w:left w:val="single" w:sz="4" w:space="0" w:color="auto"/>
              <w:bottom w:val="single" w:sz="4" w:space="0" w:color="auto"/>
              <w:right w:val="single" w:sz="4" w:space="0" w:color="auto"/>
            </w:tcBorders>
            <w:vAlign w:val="center"/>
          </w:tcPr>
          <w:p w14:paraId="51F47D2D" w14:textId="77777777" w:rsidR="00497092" w:rsidRPr="00644F20" w:rsidRDefault="002F45E1">
            <w:pPr>
              <w:spacing w:after="6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7 203</w:t>
            </w:r>
          </w:p>
        </w:tc>
        <w:tc>
          <w:tcPr>
            <w:tcW w:w="1440" w:type="dxa"/>
            <w:tcBorders>
              <w:top w:val="single" w:sz="4" w:space="0" w:color="auto"/>
              <w:left w:val="single" w:sz="4" w:space="0" w:color="auto"/>
              <w:bottom w:val="single" w:sz="4" w:space="0" w:color="auto"/>
              <w:right w:val="single" w:sz="4" w:space="0" w:color="auto"/>
            </w:tcBorders>
            <w:vAlign w:val="center"/>
          </w:tcPr>
          <w:p w14:paraId="2B731B7D"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Calibri" w:hAnsi="Times New Roman" w:cs="Times New Roman"/>
                <w:lang w:val="sr-Cyrl-CS"/>
              </w:rPr>
              <w:t>5 468</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252B6"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Times New Roman" w:hAnsi="Times New Roman" w:cs="Times New Roman"/>
                <w:lang w:val="sr-Cyrl-CS"/>
              </w:rPr>
              <w:t>5 341</w:t>
            </w:r>
          </w:p>
        </w:tc>
      </w:tr>
      <w:tr w:rsidR="00497092" w:rsidRPr="00644F20" w14:paraId="1A3B2E5B" w14:textId="77777777">
        <w:trPr>
          <w:trHeight w:val="288"/>
          <w:jc w:val="center"/>
        </w:trPr>
        <w:tc>
          <w:tcPr>
            <w:tcW w:w="5395" w:type="dxa"/>
            <w:tcBorders>
              <w:top w:val="single" w:sz="4" w:space="0" w:color="auto"/>
              <w:left w:val="single" w:sz="4" w:space="0" w:color="auto"/>
              <w:bottom w:val="single" w:sz="4" w:space="0" w:color="auto"/>
              <w:right w:val="single" w:sz="4" w:space="0" w:color="auto"/>
            </w:tcBorders>
            <w:shd w:val="clear" w:color="auto" w:fill="auto"/>
            <w:vAlign w:val="bottom"/>
          </w:tcPr>
          <w:p w14:paraId="488BB8B5" w14:textId="77777777" w:rsidR="00497092" w:rsidRPr="00644F20" w:rsidRDefault="002F45E1">
            <w:pPr>
              <w:spacing w:after="60" w:line="276" w:lineRule="auto"/>
              <w:ind w:hanging="30"/>
              <w:rPr>
                <w:rFonts w:ascii="Times New Roman" w:eastAsia="Times New Roman" w:hAnsi="Times New Roman" w:cs="Times New Roman"/>
                <w:lang w:val="sr-Cyrl-CS"/>
              </w:rPr>
            </w:pPr>
            <w:r w:rsidRPr="00644F20">
              <w:rPr>
                <w:rFonts w:ascii="Times New Roman" w:eastAsia="Times New Roman" w:hAnsi="Times New Roman" w:cs="Times New Roman"/>
                <w:lang w:val="sr-Cyrl-CS"/>
              </w:rPr>
              <w:t>Снабдевање водом и управљање отпадним водама</w:t>
            </w:r>
          </w:p>
        </w:tc>
        <w:tc>
          <w:tcPr>
            <w:tcW w:w="1440" w:type="dxa"/>
            <w:tcBorders>
              <w:top w:val="single" w:sz="4" w:space="0" w:color="auto"/>
              <w:left w:val="single" w:sz="4" w:space="0" w:color="auto"/>
              <w:bottom w:val="single" w:sz="4" w:space="0" w:color="auto"/>
              <w:right w:val="single" w:sz="4" w:space="0" w:color="auto"/>
            </w:tcBorders>
            <w:vAlign w:val="center"/>
          </w:tcPr>
          <w:p w14:paraId="3339E167" w14:textId="77777777" w:rsidR="00497092" w:rsidRPr="00644F20" w:rsidRDefault="002F45E1">
            <w:pPr>
              <w:spacing w:after="60" w:line="276"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14 848</w:t>
            </w:r>
          </w:p>
        </w:tc>
        <w:tc>
          <w:tcPr>
            <w:tcW w:w="1440" w:type="dxa"/>
            <w:tcBorders>
              <w:top w:val="single" w:sz="4" w:space="0" w:color="auto"/>
              <w:left w:val="single" w:sz="4" w:space="0" w:color="auto"/>
              <w:bottom w:val="single" w:sz="4" w:space="0" w:color="auto"/>
              <w:right w:val="single" w:sz="4" w:space="0" w:color="auto"/>
            </w:tcBorders>
            <w:vAlign w:val="center"/>
          </w:tcPr>
          <w:p w14:paraId="4E890A9A"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Calibri" w:hAnsi="Times New Roman" w:cs="Times New Roman"/>
                <w:lang w:val="sr-Cyrl-CS"/>
              </w:rPr>
              <w:t>13 640</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89C25"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Times New Roman" w:hAnsi="Times New Roman" w:cs="Times New Roman"/>
                <w:lang w:val="sr-Cyrl-CS"/>
              </w:rPr>
              <w:t>13 931</w:t>
            </w:r>
          </w:p>
        </w:tc>
      </w:tr>
      <w:tr w:rsidR="00497092" w:rsidRPr="00644F20" w14:paraId="2BD9C762" w14:textId="77777777">
        <w:trPr>
          <w:trHeight w:val="288"/>
          <w:jc w:val="center"/>
        </w:trPr>
        <w:tc>
          <w:tcPr>
            <w:tcW w:w="5395" w:type="dxa"/>
            <w:tcBorders>
              <w:top w:val="single" w:sz="4" w:space="0" w:color="auto"/>
              <w:left w:val="single" w:sz="4" w:space="0" w:color="auto"/>
              <w:bottom w:val="single" w:sz="4" w:space="0" w:color="auto"/>
              <w:right w:val="single" w:sz="4" w:space="0" w:color="auto"/>
            </w:tcBorders>
            <w:shd w:val="clear" w:color="auto" w:fill="FFFFFF"/>
            <w:vAlign w:val="bottom"/>
          </w:tcPr>
          <w:p w14:paraId="6B6E16B9" w14:textId="77777777" w:rsidR="00497092" w:rsidRPr="00644F20" w:rsidRDefault="002F45E1">
            <w:pPr>
              <w:spacing w:after="60" w:line="276" w:lineRule="auto"/>
              <w:ind w:hanging="30"/>
              <w:jc w:val="right"/>
              <w:rPr>
                <w:rFonts w:ascii="Times New Roman" w:eastAsia="Times New Roman" w:hAnsi="Times New Roman" w:cs="Times New Roman"/>
                <w:b/>
                <w:lang w:val="sr-Cyrl-CS"/>
              </w:rPr>
            </w:pPr>
            <w:r w:rsidRPr="00644F20">
              <w:rPr>
                <w:rFonts w:ascii="Times New Roman" w:eastAsia="Times New Roman" w:hAnsi="Times New Roman" w:cs="Times New Roman"/>
                <w:b/>
                <w:lang w:val="sr-Cyrl-CS"/>
              </w:rPr>
              <w:t>Укупно</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796AA3DA" w14:textId="77777777" w:rsidR="00497092" w:rsidRPr="00644F20" w:rsidRDefault="002F45E1">
            <w:pPr>
              <w:spacing w:after="6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1 212 236</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0B1CCAB9" w14:textId="77777777" w:rsidR="00497092" w:rsidRPr="00644F20" w:rsidRDefault="002F45E1">
            <w:pPr>
              <w:spacing w:after="60" w:line="276" w:lineRule="auto"/>
              <w:jc w:val="center"/>
              <w:rPr>
                <w:rFonts w:ascii="Times New Roman" w:eastAsia="Calibri" w:hAnsi="Times New Roman" w:cs="Times New Roman"/>
                <w:b/>
                <w:bCs/>
                <w:lang w:val="sr-Cyrl-CS"/>
              </w:rPr>
            </w:pPr>
            <w:r w:rsidRPr="00644F20">
              <w:rPr>
                <w:rFonts w:ascii="Times New Roman" w:eastAsia="Calibri" w:hAnsi="Times New Roman" w:cs="Times New Roman"/>
                <w:b/>
                <w:bCs/>
                <w:lang w:val="sr-Cyrl-CS"/>
              </w:rPr>
              <w:t>750 721</w:t>
            </w:r>
          </w:p>
        </w:tc>
        <w:tc>
          <w:tcPr>
            <w:tcW w:w="135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A99DDAB" w14:textId="77777777" w:rsidR="00497092" w:rsidRPr="00644F20" w:rsidRDefault="002F45E1">
            <w:pPr>
              <w:spacing w:after="60" w:line="276" w:lineRule="auto"/>
              <w:jc w:val="center"/>
              <w:rPr>
                <w:rFonts w:ascii="Times New Roman" w:eastAsia="Times New Roman" w:hAnsi="Times New Roman" w:cs="Times New Roman"/>
                <w:b/>
                <w:bCs/>
                <w:lang w:val="sr-Cyrl-CS"/>
              </w:rPr>
            </w:pPr>
            <w:r w:rsidRPr="00644F20">
              <w:rPr>
                <w:rFonts w:ascii="Times New Roman" w:eastAsia="Times New Roman" w:hAnsi="Times New Roman" w:cs="Times New Roman"/>
                <w:b/>
                <w:bCs/>
                <w:lang w:val="sr-Cyrl-CS"/>
              </w:rPr>
              <w:t>1 039 343</w:t>
            </w:r>
          </w:p>
        </w:tc>
      </w:tr>
    </w:tbl>
    <w:p w14:paraId="5CC2C168" w14:textId="77777777" w:rsidR="00497092" w:rsidRPr="00644F20" w:rsidRDefault="00497092">
      <w:pPr>
        <w:spacing w:after="60" w:line="276" w:lineRule="auto"/>
        <w:jc w:val="both"/>
        <w:rPr>
          <w:rFonts w:ascii="Times New Roman" w:eastAsia="Times New Roman" w:hAnsi="Times New Roman" w:cs="Times New Roman"/>
          <w:sz w:val="24"/>
          <w:szCs w:val="24"/>
          <w:lang w:val="sr-Cyrl-CS"/>
        </w:rPr>
      </w:pPr>
    </w:p>
    <w:p w14:paraId="3682A593" w14:textId="77777777" w:rsidR="00497092" w:rsidRPr="00644F20" w:rsidRDefault="002F45E1" w:rsidP="00024FD1">
      <w:pPr>
        <w:spacing w:after="60" w:line="276" w:lineRule="auto"/>
        <w:ind w:firstLine="720"/>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У контексту области прерађивачке индустрије које спадају у хемијску индустрију у ширем смислу, треба истаћи и производњу основних фармацеутских производа и препарата, производњу производа од гуме и пластике и производњу кокса и деривата нафте. Међу осталим областима прерађивачке индустрије у којима се такође користе опасне хемикалије (односно сировине и делови које их садрже) треба поменути и производњу текстила, производњу коже и предмета од коже, производњу рачунара, електронских и оптичких </w:t>
      </w:r>
      <w:r w:rsidRPr="00644F20">
        <w:rPr>
          <w:rFonts w:ascii="Times New Roman" w:eastAsia="Times New Roman" w:hAnsi="Times New Roman" w:cs="Times New Roman"/>
          <w:sz w:val="24"/>
          <w:szCs w:val="24"/>
          <w:lang w:val="sr-Cyrl-CS"/>
        </w:rPr>
        <w:lastRenderedPageBreak/>
        <w:t>производа,</w:t>
      </w:r>
      <w:r w:rsidRPr="00644F20">
        <w:rPr>
          <w:rFonts w:ascii="Calibri" w:eastAsia="Calibri" w:hAnsi="Calibri" w:cs="Times New Roman"/>
          <w:lang w:val="sr-Cyrl-CS"/>
        </w:rPr>
        <w:t xml:space="preserve"> </w:t>
      </w:r>
      <w:r w:rsidRPr="00644F20">
        <w:rPr>
          <w:rFonts w:ascii="Times New Roman" w:eastAsia="Calibri" w:hAnsi="Times New Roman" w:cs="Times New Roman"/>
          <w:sz w:val="24"/>
          <w:szCs w:val="24"/>
          <w:lang w:val="sr-Cyrl-CS"/>
        </w:rPr>
        <w:t xml:space="preserve">производњу електричне </w:t>
      </w:r>
      <w:r w:rsidRPr="00644F20">
        <w:rPr>
          <w:rFonts w:ascii="Times New Roman" w:eastAsia="Times New Roman" w:hAnsi="Times New Roman" w:cs="Times New Roman"/>
          <w:sz w:val="24"/>
          <w:szCs w:val="24"/>
          <w:lang w:val="sr-Cyrl-CS"/>
        </w:rPr>
        <w:t>опреме, производњу моторних возила, приколица и полуприколица, као и производњу намештаја. Благи, али континуирани раст промета, као и раст броја запослених који се из године у годину бележи код прерађивачке индустрије, показује потенцијал за унапређење пословања у овом сектору, нарочито уколико се рационализује потрошња односно коришћење ресурса, у чему увођење циркуларне економије може дати значајан допринос, али уз обраћање посебне пажње на производне области чији производи могу садржати најопасније хемикалије које треба уклонити из циркуларних токова.</w:t>
      </w:r>
    </w:p>
    <w:p w14:paraId="4D16B65E" w14:textId="77777777" w:rsidR="00024FD1" w:rsidRPr="00644F20" w:rsidRDefault="002F45E1" w:rsidP="00024FD1">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Times New Roman" w:hAnsi="Times New Roman" w:cs="Times New Roman"/>
          <w:sz w:val="24"/>
          <w:szCs w:val="24"/>
          <w:lang w:val="sr-Cyrl-CS"/>
        </w:rPr>
        <w:t>С обзиром да прерађивачка индустрија остварује убедљиво највећу потрошњу опасних хемикалија у поређењу са другим привредним секторима (</w:t>
      </w:r>
      <w:r w:rsidRPr="00644F20">
        <w:rPr>
          <w:rFonts w:ascii="Times New Roman" w:eastAsia="Times New Roman" w:hAnsi="Times New Roman" w:cs="Times New Roman"/>
          <w:sz w:val="24"/>
          <w:szCs w:val="24"/>
          <w:lang w:val="sr-Cyrl-CS"/>
        </w:rPr>
        <w:sym w:font="Symbol" w:char="F03E"/>
      </w:r>
      <w:r w:rsidRPr="00644F20">
        <w:rPr>
          <w:rFonts w:ascii="Times New Roman" w:eastAsia="Times New Roman" w:hAnsi="Times New Roman" w:cs="Times New Roman"/>
          <w:sz w:val="24"/>
          <w:szCs w:val="24"/>
          <w:lang w:val="sr-Cyrl-CS"/>
        </w:rPr>
        <w:t>97%), коришћење најопаснијих хемикалија и њихов потенцијални садржај у производима прерађивачке индустрије представља околност на коју треба обратити пажњу када се разматра увођење циркуларности у овом сектору. Стога, пројектовање циркуларних производа и набавка хемијских сировина за њихову производњу треба да укључи и критеријум да сировине треба да представљају што мање опасности и ризика како у процесу производње, тако и у току коришћења производа, као и да производ треба да буде такав да по завршетку животног века може што лакше да уђе у циркуларне токове, укључујући и рециклажу, са тенденцијом да се додатна вредност оствари управо захваљујући циркуларности. С тим у вези, треба посебно истаћи потребу уклањања најопаснијих хемикалија (SVHC и POPs) из циркуларних производа и процеса, односно њихову замену безбеднијим алтернативама, чиме ће се</w:t>
      </w:r>
      <w:r w:rsidRPr="00644F20">
        <w:rPr>
          <w:rFonts w:ascii="Times New Roman" w:eastAsia="Calibri" w:hAnsi="Times New Roman" w:cs="Times New Roman"/>
          <w:sz w:val="24"/>
          <w:szCs w:val="24"/>
          <w:lang w:val="sr-Cyrl-CS"/>
        </w:rPr>
        <w:t xml:space="preserve"> већ од фазе пројектовања производа осигурати висок ниво заштите здравља људи и животне средине, a по искоришћењу производа омогућити његово безбедно рециклирање или поновно коришћење по циркуларном моделу. </w:t>
      </w:r>
    </w:p>
    <w:p w14:paraId="7B5F164D" w14:textId="77777777" w:rsidR="00497092" w:rsidRPr="00644F20" w:rsidRDefault="002F45E1" w:rsidP="00024FD1">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Поред тога, потребно је пре увођења искоришћеног производа у наредне циклусе обезбедити контролу присуства најопаснијих хемикалија које могу да контаминирају циркуларне токове и осигурати њихово уклањање из циркуларних материјала и производа, нарочито у случају рециклаже где постојеће рециклажне процесе треба додатно унапредити тако да се спречи појава најопаснијих хемикалија у производима од рециклата. Такође, унапређење производних процеса у циркуларном контексту треба да узме у обзир и могућности за рационализацију потрошње хемикалија, а посебно уз примену пословних модела попут хемијског лизинга који подразумева прелазак са концепта традиционалне производње и потрошње хемикалија на остварење додатне вредности кроз пружање и коришћење функције хемикалија. Овакви пословни модели, кроз редефинисање пословног односа између корисника хемикалије и снабдевача, обезбеђују ефикаснију употребу хемикалија, као и смањење ризика повезаног са коришћењем хемикалија. Иновативни пословни модели као што је хемијски лизинг могу значајно допринети прела</w:t>
      </w:r>
      <w:r w:rsidR="00644F20">
        <w:rPr>
          <w:rFonts w:ascii="Times New Roman" w:eastAsia="Calibri" w:hAnsi="Times New Roman" w:cs="Times New Roman"/>
          <w:sz w:val="24"/>
          <w:szCs w:val="24"/>
          <w:lang w:val="sr-Cyrl-CS"/>
        </w:rPr>
        <w:t>с</w:t>
      </w:r>
      <w:r w:rsidRPr="00644F20">
        <w:rPr>
          <w:rFonts w:ascii="Times New Roman" w:eastAsia="Calibri" w:hAnsi="Times New Roman" w:cs="Times New Roman"/>
          <w:sz w:val="24"/>
          <w:szCs w:val="24"/>
          <w:lang w:val="sr-Cyrl-CS"/>
        </w:rPr>
        <w:t xml:space="preserve">ку на циркуларну економију, јер их карактерише размишљање о хемикалијама из перспективе нултог отпада и свеобухватног сагледавања њихове функционалности и животног циклуса. Стога, увођење нових пословних модела може бити важан покретач циркуларне транзиције хемијског сектора и повезаних ланаца.  </w:t>
      </w:r>
    </w:p>
    <w:p w14:paraId="09E7863B" w14:textId="77777777" w:rsidR="00497092" w:rsidRPr="00644F20" w:rsidRDefault="002F45E1" w:rsidP="00024FD1">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Иако је циркуларна економија последњих година постала предмет интересовања појединих привредних субјеката и заинтересованих страна, још увек је недовољна информисаност o концепту и предностима циркуларног модела, као и релевантна подршка и подстицаји који ће привреди помоћи да надогради постојећа знања и вештине и обезбеди средства за развој циркуларних производа и процеса. Имајући у виду одредбе прописа у области управљања хемикалијама, а нарочито оне које се односе на супстанце које изазивају забринутост и забране и ограничења, постојеће национално законодавство подстиче замену </w:t>
      </w:r>
      <w:r w:rsidRPr="00644F20">
        <w:rPr>
          <w:rFonts w:ascii="Times New Roman" w:eastAsia="Calibri" w:hAnsi="Times New Roman" w:cs="Times New Roman"/>
          <w:sz w:val="24"/>
          <w:szCs w:val="24"/>
          <w:lang w:val="sr-Cyrl-CS"/>
        </w:rPr>
        <w:lastRenderedPageBreak/>
        <w:t>најопаснијих хемикалија безбеднијим алтернативама и даје добру полазну основу за разматрање хемикалија у контексту циркуларне економије. Увођење принципа циркуларности у пословање прерађивачке индустрије и других привредних сектора уз адекватно управљање хемикалијама, њихово рационално и ефикасно коришћење и спречавање контаминације циркуларних токова производа и материјала, може да обезбедити додатну вредност и одрживо пословање, уз рационално коришћење ресурса, смањење емисија опасних хемикалија у животну средину и заштиту здравља људи.</w:t>
      </w:r>
    </w:p>
    <w:p w14:paraId="12153B76" w14:textId="77777777" w:rsidR="00497092" w:rsidRPr="00644F20" w:rsidRDefault="002F45E1" w:rsidP="002B261C">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До данас се није много урадило на плану примене најбољих доступних техника и добрих пракси у производним процесима, а предузећа се недовољно подстичу за увођење чистије технологије и савремене опрем</w:t>
      </w:r>
      <w:r w:rsidRPr="00644F20">
        <w:rPr>
          <w:rFonts w:ascii="Times New Roman" w:eastAsia="Calibri" w:hAnsi="Times New Roman" w:cs="Times New Roman"/>
          <w:bCs/>
          <w:sz w:val="24"/>
          <w:szCs w:val="24"/>
          <w:lang w:val="sr-Cyrl-CS"/>
        </w:rPr>
        <w:t>е</w:t>
      </w:r>
      <w:r w:rsidRPr="00644F20">
        <w:rPr>
          <w:rFonts w:ascii="Times New Roman" w:eastAsia="Calibri" w:hAnsi="Times New Roman" w:cs="Times New Roman"/>
          <w:sz w:val="24"/>
          <w:szCs w:val="24"/>
          <w:lang w:val="sr-Cyrl-CS"/>
        </w:rPr>
        <w:t xml:space="preserve"> која је енергетски и ресурсно ефикасна. </w:t>
      </w:r>
    </w:p>
    <w:p w14:paraId="5396CFEB" w14:textId="77777777" w:rsidR="00497092" w:rsidRPr="00644F20" w:rsidRDefault="002F45E1" w:rsidP="002B261C">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Такође, </w:t>
      </w:r>
      <w:r w:rsidRPr="00644F20">
        <w:rPr>
          <w:rFonts w:ascii="Times New Roman" w:eastAsia="Calibri" w:hAnsi="Times New Roman" w:cs="Times New Roman"/>
          <w:bCs/>
          <w:sz w:val="24"/>
          <w:szCs w:val="24"/>
          <w:lang w:val="sr-Cyrl-CS"/>
        </w:rPr>
        <w:t xml:space="preserve">окружење за раст привреде је неповољно са аспеката финансијске подршке - </w:t>
      </w:r>
      <w:r w:rsidRPr="00644F20">
        <w:rPr>
          <w:rFonts w:ascii="Times New Roman" w:eastAsia="Calibri" w:hAnsi="Times New Roman" w:cs="Times New Roman"/>
          <w:b/>
          <w:bCs/>
          <w:sz w:val="24"/>
          <w:szCs w:val="24"/>
          <w:lang w:val="sr-Cyrl-CS"/>
        </w:rPr>
        <w:t>не постоје ефикасни механизми подршке нити системске подстицајне мере</w:t>
      </w:r>
      <w:r w:rsidRPr="00644F20">
        <w:rPr>
          <w:rFonts w:ascii="Times New Roman" w:eastAsia="Calibri" w:hAnsi="Times New Roman" w:cs="Times New Roman"/>
          <w:bCs/>
          <w:sz w:val="24"/>
          <w:szCs w:val="24"/>
          <w:lang w:val="sr-Cyrl-CS"/>
        </w:rPr>
        <w:t xml:space="preserve">. </w:t>
      </w:r>
      <w:r w:rsidRPr="00644F20">
        <w:rPr>
          <w:rFonts w:ascii="Times New Roman" w:eastAsia="Calibri" w:hAnsi="Times New Roman" w:cs="Times New Roman"/>
          <w:sz w:val="24"/>
          <w:szCs w:val="24"/>
          <w:lang w:val="sr-Cyrl-CS"/>
        </w:rPr>
        <w:t>Доступност домаћих кредита приватном сектору у процентима БДП-а Републику Србију сврстава на 80. место, док ниско финансирање малих и средњих предузећа ставља Републику Србију на 95. место од 140 земаља</w:t>
      </w:r>
      <w:r w:rsidRPr="00644F20">
        <w:rPr>
          <w:rFonts w:ascii="Times New Roman" w:eastAsia="Calibri" w:hAnsi="Times New Roman" w:cs="Times New Roman"/>
          <w:sz w:val="24"/>
          <w:szCs w:val="24"/>
          <w:vertAlign w:val="superscript"/>
          <w:lang w:val="sr-Cyrl-CS"/>
        </w:rPr>
        <w:footnoteReference w:id="31"/>
      </w:r>
      <w:r w:rsidRPr="00644F20">
        <w:rPr>
          <w:rFonts w:ascii="Times New Roman" w:eastAsia="Calibri" w:hAnsi="Times New Roman" w:cs="Times New Roman"/>
          <w:sz w:val="24"/>
          <w:szCs w:val="24"/>
          <w:lang w:val="sr-Cyrl-CS"/>
        </w:rPr>
        <w:t xml:space="preserve">. Недостатак приступачног финансирања спречава домаћа предузећа да модернизују своју производњу и да улажу у иновације и комерцијализацију, што доводи до ниске продуктивности са само 9,2% производње са производима високе и средње високе технологије. На тај начин су шансе малих и средњих предузећа да производе високо квалитетне производе способне да се такмиче на међународним тржиштима на основу квалитета, количине и јединичних трошкова знатно ниже, као и за примену модела циркуларне економије. </w:t>
      </w:r>
    </w:p>
    <w:p w14:paraId="5BB35119" w14:textId="77777777" w:rsidR="00497092" w:rsidRPr="00644F20" w:rsidRDefault="002F45E1" w:rsidP="002B261C">
      <w:pPr>
        <w:autoSpaceDE w:val="0"/>
        <w:autoSpaceDN w:val="0"/>
        <w:adjustRightInd w:val="0"/>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Генерално, ниво конкурентности</w:t>
      </w:r>
      <w:r w:rsidRPr="00644F20">
        <w:rPr>
          <w:rFonts w:ascii="Times New Roman" w:eastAsia="Calibri" w:hAnsi="Times New Roman" w:cs="Times New Roman"/>
          <w:b/>
          <w:sz w:val="24"/>
          <w:szCs w:val="24"/>
          <w:lang w:val="sr-Cyrl-CS"/>
        </w:rPr>
        <w:t xml:space="preserve"> </w:t>
      </w:r>
      <w:r w:rsidRPr="00644F20">
        <w:rPr>
          <w:rFonts w:ascii="Times New Roman" w:eastAsia="Calibri" w:hAnsi="Times New Roman" w:cs="Times New Roman"/>
          <w:sz w:val="24"/>
          <w:szCs w:val="24"/>
          <w:lang w:val="sr-Cyrl-CS"/>
        </w:rPr>
        <w:t xml:space="preserve">сектора </w:t>
      </w:r>
      <w:r w:rsidR="002B5E08" w:rsidRPr="00644F20">
        <w:rPr>
          <w:rFonts w:ascii="Times New Roman" w:eastAsia="Calibri" w:hAnsi="Times New Roman" w:cs="Times New Roman"/>
          <w:sz w:val="24"/>
          <w:szCs w:val="24"/>
          <w:lang w:val="sr-Cyrl-CS"/>
        </w:rPr>
        <w:t>МСПП</w:t>
      </w:r>
      <w:r w:rsidRPr="00644F20">
        <w:rPr>
          <w:rFonts w:ascii="Times New Roman" w:eastAsia="Calibri" w:hAnsi="Times New Roman" w:cs="Times New Roman"/>
          <w:sz w:val="24"/>
          <w:szCs w:val="24"/>
          <w:lang w:val="sr-Cyrl-CS"/>
        </w:rPr>
        <w:t xml:space="preserve"> Републике Србије значајно заостаје у односу на просек ЕУ-27. У сектору МСПП број запослених по предузећу износи 2,4, а у земљама ЕУ-27 тај однос је око 4,0, а продуктивност МСПП сектора у Републици Србији је такође значајно нижа у поређењу са просеком ЕУ-27. </w:t>
      </w:r>
    </w:p>
    <w:p w14:paraId="093B070C" w14:textId="77777777" w:rsidR="00497092" w:rsidRPr="00644F20" w:rsidRDefault="002F45E1" w:rsidP="002B261C">
      <w:pPr>
        <w:autoSpaceDE w:val="0"/>
        <w:autoSpaceDN w:val="0"/>
        <w:adjustRightInd w:val="0"/>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На ниску конкурентност домаће индустрије упућује чињеница да у оквиру сектора прерађивачке индустрије доминирају привредни субјекти ниске и средње ниске технолошке сложености. Ови привредни субјекти стварају производе ниске додате вредности, мале диференцираности, ниже ценовне и профитне маргине и слабе конкурентске позиције на тржишту.</w:t>
      </w:r>
    </w:p>
    <w:p w14:paraId="388A1E78" w14:textId="77777777" w:rsidR="00497092" w:rsidRPr="00644F20" w:rsidRDefault="002F45E1" w:rsidP="00024FD1">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Посматрајући податке о спољнотрговинској размени привредних субјеката, у 2018. години је увоз за 638,8 млрд. динара (5,4 млрд. ЕУР) био већи од извоза. Највеће учешће у оствареној спољнотрговинској размени имала је прерађивачка индустрија (60,5%) која је остварила 76,5% укупног извоза и 48,6% увоза. У структури спољнотрговинске размене прерађивачке индустрије доминирају велика предузећа (70,4%), а посебно у извозу где учествују са 71,6% док у увозу учествују са 69,1%</w:t>
      </w:r>
      <w:r w:rsidRPr="00644F20">
        <w:rPr>
          <w:rFonts w:ascii="Times New Roman" w:eastAsia="Calibri" w:hAnsi="Times New Roman" w:cs="Times New Roman"/>
          <w:sz w:val="24"/>
          <w:szCs w:val="24"/>
          <w:vertAlign w:val="superscript"/>
          <w:lang w:val="sr-Cyrl-CS"/>
        </w:rPr>
        <w:footnoteReference w:id="32"/>
      </w:r>
      <w:r w:rsidRPr="00644F20">
        <w:rPr>
          <w:rFonts w:ascii="Times New Roman" w:eastAsia="Calibri" w:hAnsi="Times New Roman" w:cs="Times New Roman"/>
          <w:sz w:val="24"/>
          <w:szCs w:val="24"/>
          <w:lang w:val="sr-Cyrl-CS"/>
        </w:rPr>
        <w:t xml:space="preserve">. </w:t>
      </w:r>
    </w:p>
    <w:p w14:paraId="25BFA388" w14:textId="77777777" w:rsidR="00497092" w:rsidRPr="00644F20" w:rsidRDefault="002F45E1" w:rsidP="00024FD1">
      <w:pPr>
        <w:autoSpaceDE w:val="0"/>
        <w:autoSpaceDN w:val="0"/>
        <w:adjustRightInd w:val="0"/>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Генерално, привреда Републике Србије значајно зависи од </w:t>
      </w:r>
      <w:r w:rsidRPr="00644F20">
        <w:rPr>
          <w:rFonts w:ascii="Times New Roman" w:hAnsi="Times New Roman" w:cs="Times New Roman"/>
          <w:b/>
          <w:sz w:val="24"/>
          <w:szCs w:val="24"/>
          <w:lang w:val="sr-Cyrl-CS"/>
        </w:rPr>
        <w:t>увоза сировина</w:t>
      </w:r>
      <w:r w:rsidRPr="00644F20">
        <w:rPr>
          <w:rFonts w:ascii="Times New Roman" w:hAnsi="Times New Roman" w:cs="Times New Roman"/>
          <w:sz w:val="24"/>
          <w:szCs w:val="24"/>
          <w:lang w:val="sr-Cyrl-CS"/>
        </w:rPr>
        <w:t xml:space="preserve">. Иако се учешће српских сектора у европским и глобалним ланцима вредности повећава, увоз репроматеријала за производњу финалних производа за извоз значајнији је по обиму од извоза полупроизвода, што доприноси смањењу конкурентности извоза Републике Србије. Тренутно, водеће компаније високо комплексних производа своју производњу базирају великим делом на увозним сировинама и полупроизводима. Примера ради, </w:t>
      </w:r>
      <w:r w:rsidRPr="00644F20">
        <w:rPr>
          <w:rFonts w:ascii="Times New Roman" w:eastAsia="Calibri" w:hAnsi="Times New Roman" w:cs="Times New Roman"/>
          <w:sz w:val="24"/>
          <w:szCs w:val="24"/>
          <w:lang w:val="sr-Cyrl-CS"/>
        </w:rPr>
        <w:t xml:space="preserve">Република Србија не поседује </w:t>
      </w:r>
      <w:r w:rsidRPr="00644F20">
        <w:rPr>
          <w:rFonts w:ascii="Times New Roman" w:eastAsia="Calibri" w:hAnsi="Times New Roman" w:cs="Times New Roman"/>
          <w:sz w:val="24"/>
          <w:szCs w:val="24"/>
          <w:lang w:val="sr-Cyrl-CS"/>
        </w:rPr>
        <w:lastRenderedPageBreak/>
        <w:t>сировинску базу за хемијску индустрију, па је она потпуно увозно зависна. Хемијска индустрија је највећи увозник сировина (посебно производња вештачких ђубрива, производња стакла, производња козметичких препарата). Такође, сировинска база за текстилну индустрију је веома слаба, због чега се више од 90% сировина (тканина и предива) увози.</w:t>
      </w:r>
      <w:r w:rsidRPr="00644F20">
        <w:rPr>
          <w:rFonts w:ascii="Times New Roman" w:hAnsi="Times New Roman" w:cs="Times New Roman"/>
          <w:sz w:val="24"/>
          <w:szCs w:val="24"/>
          <w:lang w:val="sr-Cyrl-CS"/>
        </w:rPr>
        <w:t xml:space="preserve"> </w:t>
      </w:r>
      <w:r w:rsidRPr="00644F20">
        <w:rPr>
          <w:rFonts w:ascii="Times New Roman" w:eastAsia="Calibri" w:hAnsi="Times New Roman" w:cs="Times New Roman"/>
          <w:sz w:val="24"/>
          <w:szCs w:val="24"/>
          <w:lang w:val="sr-Cyrl-CS"/>
        </w:rPr>
        <w:t xml:space="preserve">Око три четвртине потребних пластичних маса и скоро сви адитиви се увозе, као и 50-60% сировина за производњу папира и картона. </w:t>
      </w:r>
      <w:r w:rsidRPr="00644F20">
        <w:rPr>
          <w:rFonts w:ascii="Times New Roman" w:hAnsi="Times New Roman" w:cs="Times New Roman"/>
          <w:sz w:val="24"/>
          <w:szCs w:val="24"/>
          <w:lang w:val="sr-Cyrl-CS"/>
        </w:rPr>
        <w:t xml:space="preserve">У сектору прехрамбене индустрије, увозе се млеко и млеко у праху. </w:t>
      </w:r>
    </w:p>
    <w:p w14:paraId="43F16C40" w14:textId="77777777" w:rsidR="00497092" w:rsidRPr="00644F20" w:rsidRDefault="002F45E1" w:rsidP="002B261C">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Истовремено, део производних потенцијала привреде тренутно није адекватно искоришћен. Типичан пример су производња стакла и дрвопрерађивачка индустрија. Република Србија извози стакло за рециклирање, а стаклену амбалажу увози.</w:t>
      </w:r>
      <w:r w:rsidRPr="00644F20">
        <w:rPr>
          <w:rFonts w:ascii="Times New Roman" w:hAnsi="Times New Roman" w:cs="Times New Roman"/>
          <w:sz w:val="24"/>
          <w:szCs w:val="24"/>
          <w:lang w:val="sr-Cyrl-CS"/>
        </w:rPr>
        <w:t xml:space="preserve"> </w:t>
      </w:r>
      <w:r w:rsidRPr="00644F20">
        <w:rPr>
          <w:rFonts w:ascii="Times New Roman" w:eastAsia="Calibri" w:hAnsi="Times New Roman" w:cs="Times New Roman"/>
          <w:sz w:val="24"/>
          <w:szCs w:val="24"/>
          <w:lang w:val="sr-Cyrl-CS"/>
        </w:rPr>
        <w:t>Већина општина нема средства, капацитете или потребно знање да успостави одговарајућу инфраструктуру за ефикасно управљање сакупљањем, одвајањем и рециклажом стакла. Према Извештају А</w:t>
      </w:r>
      <w:r w:rsidR="00CE45C6" w:rsidRPr="00644F20">
        <w:rPr>
          <w:rFonts w:ascii="Times New Roman" w:eastAsia="Calibri" w:hAnsi="Times New Roman" w:cs="Times New Roman"/>
          <w:sz w:val="24"/>
          <w:szCs w:val="24"/>
          <w:lang w:val="sr-Cyrl-CS"/>
        </w:rPr>
        <w:t xml:space="preserve">ЗЖС </w:t>
      </w:r>
      <w:r w:rsidRPr="00644F20">
        <w:rPr>
          <w:rFonts w:ascii="Times New Roman" w:eastAsia="Calibri" w:hAnsi="Times New Roman" w:cs="Times New Roman"/>
          <w:sz w:val="24"/>
          <w:szCs w:val="24"/>
          <w:lang w:val="sr-Cyrl-CS"/>
        </w:rPr>
        <w:t xml:space="preserve"> за 2020. годину, 44,2 тоне стакла је стављено на тржиште Републике Србије од стране правних лица или предузетника који нису укључени у систем управљања амбалажним отпадом. Само 1,9 тона стакла је у 2020. години третирано ради поновног искоришћења. </w:t>
      </w:r>
    </w:p>
    <w:p w14:paraId="1FD2B6E8" w14:textId="77777777" w:rsidR="00497092" w:rsidRPr="00644F20" w:rsidRDefault="002F45E1" w:rsidP="00024FD1">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b/>
          <w:iCs/>
          <w:sz w:val="24"/>
          <w:szCs w:val="24"/>
          <w:lang w:val="sr-Cyrl-CS"/>
        </w:rPr>
        <w:t>Дрвна индустрија</w:t>
      </w:r>
      <w:r w:rsidRPr="00644F20">
        <w:rPr>
          <w:rFonts w:ascii="Times New Roman" w:eastAsia="Calibri" w:hAnsi="Times New Roman" w:cs="Times New Roman"/>
          <w:iCs/>
          <w:sz w:val="24"/>
          <w:szCs w:val="24"/>
          <w:lang w:val="sr-Cyrl-CS"/>
        </w:rPr>
        <w:t xml:space="preserve">, као део привреде који се ослања на шумарство, има велики потенцијал за примену циркуларне економије. Наиме, производе од дрвета карактерише дуг век трајања. Они се могу рециклирати  и поправљати. </w:t>
      </w:r>
      <w:r w:rsidRPr="00644F20">
        <w:rPr>
          <w:rFonts w:ascii="Times New Roman" w:eastAsia="Calibri" w:hAnsi="Times New Roman" w:cs="Times New Roman"/>
          <w:sz w:val="24"/>
          <w:szCs w:val="24"/>
          <w:lang w:val="sr-Cyrl-CS"/>
        </w:rPr>
        <w:t>С обзиром на удео територије Републике Србије под шумама и чињеницу да су прерађивачки капацитети дрвне индустрије два до три пута већи од сировинске основе којом Република Србија располаже, постоји значајан потенцијал за производ</w:t>
      </w:r>
      <w:r w:rsidR="00644F20">
        <w:rPr>
          <w:rFonts w:ascii="Times New Roman" w:eastAsia="Calibri" w:hAnsi="Times New Roman" w:cs="Times New Roman"/>
          <w:sz w:val="24"/>
          <w:szCs w:val="24"/>
          <w:lang w:val="sr-Cyrl-CS"/>
        </w:rPr>
        <w:t>њу и извоз готових производа. Е</w:t>
      </w:r>
      <w:r w:rsidRPr="00644F20">
        <w:rPr>
          <w:rFonts w:ascii="Times New Roman" w:eastAsia="Calibri" w:hAnsi="Times New Roman" w:cs="Times New Roman"/>
          <w:sz w:val="24"/>
          <w:szCs w:val="24"/>
          <w:lang w:val="sr-Cyrl-CS"/>
        </w:rPr>
        <w:t xml:space="preserve">фикасна употреба сировине тј. њено боље искоришћење у свим фазама прераде значило би мање стварање отпада, чиме би се смањио губитак вредности кроз ланац, док би ефективна употреба значила усмеравање дрвне сировине у оне делове ланца у којима она додаје највећу вредност. </w:t>
      </w:r>
    </w:p>
    <w:p w14:paraId="71BFAC15" w14:textId="77777777" w:rsidR="00497092" w:rsidRPr="00644F20" w:rsidRDefault="002F45E1" w:rsidP="00024FD1">
      <w:pPr>
        <w:spacing w:after="60" w:line="276" w:lineRule="auto"/>
        <w:ind w:firstLine="720"/>
        <w:jc w:val="both"/>
        <w:rPr>
          <w:rFonts w:ascii="Times New Roman" w:eastAsia="Calibri" w:hAnsi="Times New Roman" w:cs="Times New Roman"/>
          <w:iCs/>
          <w:sz w:val="24"/>
          <w:szCs w:val="24"/>
          <w:lang w:val="sr-Cyrl-CS"/>
        </w:rPr>
      </w:pPr>
      <w:r w:rsidRPr="00644F20">
        <w:rPr>
          <w:rFonts w:ascii="Times New Roman" w:eastAsia="Calibri" w:hAnsi="Times New Roman" w:cs="Times New Roman"/>
          <w:iCs/>
          <w:sz w:val="24"/>
          <w:szCs w:val="24"/>
          <w:lang w:val="sr-Cyrl-CS"/>
        </w:rPr>
        <w:t>Из тог разлога, дрвна индустрија је препозната Стратегијом индустријске политике за период од 2021. до 2030. године</w:t>
      </w:r>
      <w:r w:rsidR="00CE45C6" w:rsidRPr="00644F20">
        <w:rPr>
          <w:rFonts w:ascii="Times New Roman" w:eastAsia="Calibri" w:hAnsi="Times New Roman" w:cs="Times New Roman"/>
          <w:iCs/>
          <w:sz w:val="24"/>
          <w:szCs w:val="24"/>
          <w:lang w:val="sr-Cyrl-CS"/>
        </w:rPr>
        <w:t xml:space="preserve"> (,,</w:t>
      </w:r>
      <w:r w:rsidR="00CE45C6" w:rsidRPr="00644F20">
        <w:rPr>
          <w:rFonts w:ascii="Times New Roman" w:hAnsi="Times New Roman" w:cs="Times New Roman"/>
          <w:sz w:val="24"/>
          <w:szCs w:val="24"/>
          <w:shd w:val="clear" w:color="auto" w:fill="FFFFFF"/>
          <w:lang w:val="sr-Cyrl-CS"/>
        </w:rPr>
        <w:t>Службени гласник РС</w:t>
      </w:r>
      <w:r w:rsidR="003B22C4" w:rsidRPr="00644F20">
        <w:rPr>
          <w:rFonts w:ascii="Times New Roman" w:hAnsi="Times New Roman" w:cs="Times New Roman"/>
          <w:sz w:val="24"/>
          <w:szCs w:val="24"/>
          <w:shd w:val="clear" w:color="auto" w:fill="FFFFFF"/>
          <w:lang w:val="sr-Cyrl-CS"/>
        </w:rPr>
        <w:t>”</w:t>
      </w:r>
      <w:r w:rsidR="00CE45C6" w:rsidRPr="00644F20">
        <w:rPr>
          <w:rFonts w:ascii="Times New Roman" w:hAnsi="Times New Roman" w:cs="Times New Roman"/>
          <w:sz w:val="24"/>
          <w:szCs w:val="24"/>
          <w:shd w:val="clear" w:color="auto" w:fill="FFFFFF"/>
          <w:lang w:val="sr-Cyrl-CS"/>
        </w:rPr>
        <w:t>, број 35/20)</w:t>
      </w:r>
      <w:r w:rsidRPr="00644F20">
        <w:rPr>
          <w:rFonts w:ascii="Times New Roman" w:eastAsia="Calibri" w:hAnsi="Times New Roman" w:cs="Times New Roman"/>
          <w:iCs/>
          <w:sz w:val="24"/>
          <w:szCs w:val="24"/>
          <w:lang w:val="sr-Cyrl-CS"/>
        </w:rPr>
        <w:t>, као грана са великим потенцијалом за циркуларну економију</w:t>
      </w:r>
      <w:r w:rsidRPr="00644F20">
        <w:rPr>
          <w:rFonts w:ascii="Times New Roman" w:eastAsia="Calibri" w:hAnsi="Times New Roman" w:cs="Times New Roman"/>
          <w:sz w:val="24"/>
          <w:szCs w:val="24"/>
          <w:lang w:val="sr-Cyrl-CS"/>
        </w:rPr>
        <w:t xml:space="preserve">. Да би се ова ситуација променила неопходно је да се што већа количина дрвних производа са ниском додатом вредношћу усмерава ка финализацији уместо у извоз. </w:t>
      </w:r>
      <w:r w:rsidRPr="00644F20">
        <w:rPr>
          <w:rFonts w:ascii="Times New Roman" w:eastAsia="Calibri" w:hAnsi="Times New Roman" w:cs="Times New Roman"/>
          <w:iCs/>
          <w:sz w:val="24"/>
          <w:szCs w:val="24"/>
          <w:lang w:val="sr-Cyrl-CS"/>
        </w:rPr>
        <w:t>Према Акционом плану подршке дрвној индустрији Републике Србије у циљу повећања њихове финализације, јавна предузећа су планирала да, сходно својим могућностима, подстичу МСП да своје производе из примарне прераде усмеравају ка предузећима која се баве производњом производа са високим степеном финализације, како би се она умрежавала и на тај начин допринела смањењу извоза полупроизвода у корист извоза финалних производа од дрвета.</w:t>
      </w:r>
      <w:r w:rsidRPr="00644F20">
        <w:rPr>
          <w:rFonts w:ascii="Times New Roman" w:eastAsia="Calibri" w:hAnsi="Times New Roman" w:cs="Times New Roman"/>
          <w:iCs/>
          <w:sz w:val="24"/>
          <w:szCs w:val="24"/>
          <w:vertAlign w:val="superscript"/>
          <w:lang w:val="sr-Cyrl-CS"/>
        </w:rPr>
        <w:footnoteReference w:id="33"/>
      </w:r>
    </w:p>
    <w:p w14:paraId="61399E9C" w14:textId="77777777" w:rsidR="00497092" w:rsidRPr="00644F20" w:rsidRDefault="002F45E1" w:rsidP="00024FD1">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Генерално, потребно је утврдити могућности развоја програма директне подршке замени увоза.</w:t>
      </w:r>
      <w:r w:rsidRPr="00644F20">
        <w:rPr>
          <w:rFonts w:ascii="Times New Roman" w:eastAsia="Calibri" w:hAnsi="Times New Roman" w:cs="Times New Roman"/>
          <w:sz w:val="24"/>
          <w:szCs w:val="24"/>
          <w:vertAlign w:val="superscript"/>
          <w:lang w:val="sr-Cyrl-CS"/>
        </w:rPr>
        <w:footnoteReference w:id="34"/>
      </w:r>
      <w:r w:rsidRPr="00644F20">
        <w:rPr>
          <w:rFonts w:ascii="Times New Roman" w:eastAsia="Calibri" w:hAnsi="Times New Roman" w:cs="Times New Roman"/>
          <w:sz w:val="24"/>
          <w:szCs w:val="24"/>
          <w:lang w:val="sr-Cyrl-CS"/>
        </w:rPr>
        <w:t xml:space="preserve"> Заокруживање процеса производње у националној привреди и успостављање циркуларне економије може значајно допринети ослобађању дела привреде од увоза сировина, њиховом заменом рециклираним материјалима. </w:t>
      </w:r>
    </w:p>
    <w:p w14:paraId="7A869F9C" w14:textId="77777777" w:rsidR="00497092" w:rsidRPr="00644F20" w:rsidRDefault="002F45E1" w:rsidP="00024FD1">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b/>
          <w:sz w:val="24"/>
          <w:szCs w:val="24"/>
          <w:lang w:val="sr-Cyrl-CS"/>
        </w:rPr>
        <w:t>Извоз Републике Србије</w:t>
      </w:r>
      <w:r w:rsidRPr="00644F20">
        <w:rPr>
          <w:rFonts w:ascii="Times New Roman" w:hAnsi="Times New Roman" w:cs="Times New Roman"/>
          <w:sz w:val="24"/>
          <w:szCs w:val="24"/>
          <w:lang w:val="sr-Cyrl-CS"/>
        </w:rPr>
        <w:t xml:space="preserve"> карактерише неповољна секторска структура, у чему учествују сировине, полупроизводи и производи ниже фазе прераде </w:t>
      </w:r>
      <w:r w:rsidRPr="00644F20">
        <w:rPr>
          <w:rFonts w:ascii="Times New Roman" w:eastAsia="Calibri" w:hAnsi="Times New Roman" w:cs="Times New Roman"/>
          <w:sz w:val="24"/>
          <w:szCs w:val="24"/>
          <w:lang w:val="sr-Cyrl-CS"/>
        </w:rPr>
        <w:t xml:space="preserve">и мање додате вредности (сировине и радно и ресурсно интензивни производи), што је карактеристично за мање </w:t>
      </w:r>
      <w:r w:rsidRPr="00644F20">
        <w:rPr>
          <w:rFonts w:ascii="Times New Roman" w:eastAsia="Calibri" w:hAnsi="Times New Roman" w:cs="Times New Roman"/>
          <w:sz w:val="24"/>
          <w:szCs w:val="24"/>
          <w:lang w:val="sr-Cyrl-CS"/>
        </w:rPr>
        <w:lastRenderedPageBreak/>
        <w:t>развијене земље. Да би се конкурентност извоза побољшала потребна је промена структуре извоза у корист ценовно и квалитативно конкурентнијих производа вишег степена обраде (финализације), што је могуће једино улагањем у савремене технологије које доводе до раста понуде, смањивања трошкова производње, ефикасније употребе фактора производње, побољшања карактеристика производа и раста извозних прихода.</w:t>
      </w:r>
    </w:p>
    <w:p w14:paraId="19A614D1" w14:textId="77777777" w:rsidR="00497092" w:rsidRPr="00644F20" w:rsidRDefault="002F45E1" w:rsidP="00024FD1">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Оваква ситуација представља потенцијал за развој производа који су пројектовани </w:t>
      </w:r>
      <w:r w:rsidRPr="00644F20">
        <w:rPr>
          <w:rFonts w:ascii="Times New Roman" w:eastAsia="PFDinTextPro-Regular" w:hAnsi="Times New Roman" w:cs="Times New Roman"/>
          <w:sz w:val="24"/>
          <w:szCs w:val="24"/>
          <w:lang w:val="sr-Cyrl-CS"/>
        </w:rPr>
        <w:t xml:space="preserve">на принципима циркуларне економије, узимајући у обзир читав животни век производа. Стварање производа који могу да се поправе или рециклирају након употребе, значи ефикасније коришћење ресурса и смањење загађења животне средине.  </w:t>
      </w:r>
    </w:p>
    <w:p w14:paraId="13795432" w14:textId="77777777" w:rsidR="00497092" w:rsidRPr="00644F20" w:rsidRDefault="002F45E1" w:rsidP="00024FD1">
      <w:pPr>
        <w:spacing w:after="60" w:line="276" w:lineRule="auto"/>
        <w:ind w:firstLine="720"/>
        <w:jc w:val="both"/>
        <w:rPr>
          <w:rFonts w:ascii="Times New Roman" w:eastAsia="Calibri" w:hAnsi="Times New Roman" w:cs="Times New Roman"/>
          <w:b/>
          <w:sz w:val="24"/>
          <w:szCs w:val="24"/>
          <w:lang w:val="sr-Cyrl-CS"/>
        </w:rPr>
      </w:pPr>
      <w:r w:rsidRPr="00644F20">
        <w:rPr>
          <w:rFonts w:ascii="Times New Roman" w:eastAsia="Calibri" w:hAnsi="Times New Roman" w:cs="Times New Roman"/>
          <w:sz w:val="24"/>
          <w:szCs w:val="24"/>
          <w:lang w:val="sr-Cyrl-CS"/>
        </w:rPr>
        <w:t>Јачање извозне конкурентности кроз трансформацију извозне структуре могуће је само значајним растом пословне и инвестиционе активности домаћих и страних предузећа која своје пословање заснивају на високим технологијама, знању и иновацијама. Према последњем извештају Европске комисије о оцени иновација (European Innovation Scoreboard)</w:t>
      </w:r>
      <w:r w:rsidRPr="00644F20">
        <w:rPr>
          <w:rFonts w:ascii="Times New Roman" w:eastAsia="Calibri" w:hAnsi="Times New Roman" w:cs="Times New Roman"/>
          <w:b/>
          <w:sz w:val="24"/>
          <w:szCs w:val="24"/>
          <w:lang w:val="sr-Cyrl-CS"/>
        </w:rPr>
        <w:t xml:space="preserve"> </w:t>
      </w:r>
      <w:r w:rsidRPr="00644F20">
        <w:rPr>
          <w:rFonts w:ascii="Times New Roman" w:eastAsia="Calibri" w:hAnsi="Times New Roman" w:cs="Times New Roman"/>
          <w:sz w:val="24"/>
          <w:szCs w:val="24"/>
          <w:lang w:val="sr-Cyrl-CS"/>
        </w:rPr>
        <w:t>објављено је да је Република Србија остварила значајан раст од скоро 30% у последње три године у области иновација. Према овом извештају у којем се оцењују различите компоненте иновација на основу званичних података, као што су области људског капитала, дигитализација, иновативне привреде и други, раст Републике Србије је дупло бржи од раста држава чланица Е</w:t>
      </w:r>
      <w:r w:rsidR="00A95345"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Оцена извештаја Европске комисије јесте да је Република Србија у свим областима забележила запажен раст, поготово претходне три године. Република Србија ј</w:t>
      </w:r>
      <w:r w:rsidR="00DC7199" w:rsidRPr="00644F20">
        <w:rPr>
          <w:rFonts w:ascii="Times New Roman" w:eastAsia="Calibri" w:hAnsi="Times New Roman" w:cs="Times New Roman"/>
          <w:sz w:val="24"/>
          <w:szCs w:val="24"/>
          <w:lang w:val="sr-Cyrl-CS"/>
        </w:rPr>
        <w:t>е сада на нивоу 66,2% просека Европске уније</w:t>
      </w:r>
      <w:r w:rsidRPr="00644F20">
        <w:rPr>
          <w:rFonts w:ascii="Times New Roman" w:eastAsia="Calibri" w:hAnsi="Times New Roman" w:cs="Times New Roman"/>
          <w:sz w:val="24"/>
          <w:szCs w:val="24"/>
          <w:lang w:val="sr-Cyrl-CS"/>
        </w:rPr>
        <w:t xml:space="preserve"> (2018. године је била на 58%), док је у одређеним областима далеко испред просека Е</w:t>
      </w:r>
      <w:r w:rsidR="00DC7199"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У области креирања иновација у малим и средњим предузећима Република Србија је 65,8% изнад просека Е</w:t>
      </w:r>
      <w:r w:rsidR="00901A42"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xml:space="preserve">, а у области запошљавања у иновативним </w:t>
      </w:r>
      <w:r w:rsidR="00901A42" w:rsidRPr="00644F20">
        <w:rPr>
          <w:rFonts w:ascii="Times New Roman" w:eastAsia="Calibri" w:hAnsi="Times New Roman" w:cs="Times New Roman"/>
          <w:sz w:val="24"/>
          <w:szCs w:val="24"/>
          <w:lang w:val="sr-Cyrl-CS"/>
        </w:rPr>
        <w:t>компанијама 46% изнад просека Европске уније</w:t>
      </w:r>
      <w:r w:rsidRPr="00644F20">
        <w:rPr>
          <w:rFonts w:ascii="Times New Roman" w:eastAsia="Calibri" w:hAnsi="Times New Roman" w:cs="Times New Roman"/>
          <w:sz w:val="24"/>
          <w:szCs w:val="24"/>
          <w:lang w:val="sr-Cyrl-CS"/>
        </w:rPr>
        <w:t xml:space="preserve"> у области. Према извештају Европске комисије, Република Србија је регионални лидер на овој листи, и убедљиво је ис</w:t>
      </w:r>
      <w:r w:rsidR="00901A42" w:rsidRPr="00644F20">
        <w:rPr>
          <w:rFonts w:ascii="Times New Roman" w:eastAsia="Calibri" w:hAnsi="Times New Roman" w:cs="Times New Roman"/>
          <w:sz w:val="24"/>
          <w:szCs w:val="24"/>
          <w:lang w:val="sr-Cyrl-CS"/>
        </w:rPr>
        <w:t>пред појединих држава чланица Европске уније</w:t>
      </w:r>
      <w:r w:rsidRPr="00644F20">
        <w:rPr>
          <w:rFonts w:ascii="Times New Roman" w:eastAsia="Calibri" w:hAnsi="Times New Roman" w:cs="Times New Roman"/>
          <w:sz w:val="24"/>
          <w:szCs w:val="24"/>
          <w:lang w:val="sr-Cyrl-CS"/>
        </w:rPr>
        <w:t>. Овај успех резултат је повећаних улагања државе у иновације, науку и образовање, као и приватног сектора који је препознао будућност привреде у области иновација. Број запослених у ИТ индустрији је дуплиран за мање од четири године на више од 40 хиљада у 2021. години. У Републици Србији све већи број привредних друштава развија своје иновативне производе, што и доказују продаје домаћих ИТ компанија за износе од више стотина милиона евра. Препорука извештаја је да ће додатна улагања, поготово кроз финансијску подршку за развој стартапова, улагања у фондове ризичног капитала и развоја образовања које ће омогућити већи број талентованих кадрова, омогућити даљи раст Републике Србије на овој листи. Извештај Европске комисије о оцени иновација даје компаративну анализу у области иновација за земље чланице Е</w:t>
      </w:r>
      <w:r w:rsidR="00901A42" w:rsidRPr="00644F20">
        <w:rPr>
          <w:rFonts w:ascii="Times New Roman" w:eastAsia="Calibri" w:hAnsi="Times New Roman" w:cs="Times New Roman"/>
          <w:sz w:val="24"/>
          <w:szCs w:val="24"/>
          <w:lang w:val="sr-Cyrl-CS"/>
        </w:rPr>
        <w:t>вропске уније</w:t>
      </w:r>
      <w:r w:rsidRPr="00644F20">
        <w:rPr>
          <w:rFonts w:ascii="Times New Roman" w:eastAsia="Calibri" w:hAnsi="Times New Roman" w:cs="Times New Roman"/>
          <w:sz w:val="24"/>
          <w:szCs w:val="24"/>
          <w:lang w:val="sr-Cyrl-CS"/>
        </w:rPr>
        <w:t xml:space="preserve"> и друге европске земље. </w:t>
      </w:r>
    </w:p>
    <w:p w14:paraId="309FB378" w14:textId="77777777" w:rsidR="00497092" w:rsidRPr="00644F20" w:rsidRDefault="002F45E1" w:rsidP="00024FD1">
      <w:pPr>
        <w:spacing w:after="60" w:line="276" w:lineRule="auto"/>
        <w:ind w:firstLine="720"/>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
          <w:sz w:val="24"/>
          <w:szCs w:val="24"/>
          <w:lang w:val="sr-Cyrl-CS"/>
        </w:rPr>
        <w:t xml:space="preserve">Истраживачки потенцијали </w:t>
      </w:r>
      <w:r w:rsidRPr="00644F20">
        <w:rPr>
          <w:rFonts w:ascii="Times New Roman" w:eastAsia="Calibri" w:hAnsi="Times New Roman" w:cs="Times New Roman"/>
          <w:sz w:val="24"/>
          <w:szCs w:val="24"/>
          <w:lang w:val="sr-Cyrl-CS"/>
        </w:rPr>
        <w:t xml:space="preserve">научне заједнице у Републици Србији се не користе у довољној мери за допринос развоја индустрије и привреде. </w:t>
      </w:r>
      <w:r w:rsidRPr="00644F20">
        <w:rPr>
          <w:rFonts w:ascii="Times New Roman" w:eastAsia="Calibri" w:hAnsi="Times New Roman" w:cs="Times New Roman"/>
          <w:bCs/>
          <w:sz w:val="24"/>
          <w:szCs w:val="24"/>
          <w:lang w:val="sr-Cyrl-CS"/>
        </w:rPr>
        <w:t>Највећи број пословних субјеката који су сврстани у средња предузећа запошљава од 1% до 4% високообразованих, док скоро трећина великих предузећа запошљава од 10% до 24% високообразованих кадрова.</w:t>
      </w:r>
    </w:p>
    <w:p w14:paraId="79B4C9FF" w14:textId="77777777" w:rsidR="00497092" w:rsidRPr="00644F20" w:rsidRDefault="002F45E1" w:rsidP="00024FD1">
      <w:pPr>
        <w:spacing w:after="60" w:line="276" w:lineRule="auto"/>
        <w:ind w:firstLine="720"/>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У 2018. години у Републици Србији је од укупно запослених само 1,08% истраживача. Број истраживачких радова (пројеката и студија) у 2018. години смањио се за 2,13% у односу на 2017. годину, а већину су чинили фундаментални радови (47%). Удео примењених и развојних радова је био мањи, 34% и 19% респективно. </w:t>
      </w:r>
    </w:p>
    <w:p w14:paraId="27B63FD0" w14:textId="77777777" w:rsidR="00497092" w:rsidRPr="00644F20" w:rsidRDefault="002F45E1" w:rsidP="00EC6F5A">
      <w:pPr>
        <w:spacing w:after="60" w:line="276" w:lineRule="auto"/>
        <w:ind w:firstLine="720"/>
        <w:jc w:val="both"/>
        <w:rPr>
          <w:rFonts w:ascii="Calibri" w:eastAsia="Calibri" w:hAnsi="Calibri" w:cs="Times New Roman"/>
          <w:sz w:val="24"/>
          <w:szCs w:val="24"/>
          <w:lang w:val="sr-Cyrl-CS"/>
        </w:rPr>
      </w:pPr>
      <w:r w:rsidRPr="00644F20">
        <w:rPr>
          <w:rFonts w:ascii="Times New Roman" w:eastAsia="Calibri" w:hAnsi="Times New Roman" w:cs="Times New Roman"/>
          <w:bCs/>
          <w:sz w:val="24"/>
          <w:szCs w:val="24"/>
          <w:lang w:val="sr-Cyrl-CS"/>
        </w:rPr>
        <w:lastRenderedPageBreak/>
        <w:t>У уведеним иновацијама, највеће је учешће иновација производа и услуга, 39,7%. У укупним издацима за увођење технолошких иновација удео издатака за научноистраживачке активности износио je преко 27%</w:t>
      </w:r>
      <w:r w:rsidRPr="00644F20">
        <w:rPr>
          <w:rFonts w:ascii="Times New Roman" w:eastAsia="Calibri" w:hAnsi="Times New Roman" w:cs="Times New Roman"/>
          <w:bCs/>
          <w:sz w:val="24"/>
          <w:szCs w:val="24"/>
          <w:vertAlign w:val="superscript"/>
          <w:lang w:val="sr-Cyrl-CS"/>
        </w:rPr>
        <w:footnoteReference w:id="35"/>
      </w:r>
      <w:r w:rsidRPr="00644F20">
        <w:rPr>
          <w:rFonts w:ascii="Times New Roman" w:eastAsia="Calibri" w:hAnsi="Times New Roman" w:cs="Times New Roman"/>
          <w:bCs/>
          <w:sz w:val="24"/>
          <w:szCs w:val="24"/>
          <w:lang w:val="sr-Cyrl-CS"/>
        </w:rPr>
        <w:t>.</w:t>
      </w:r>
      <w:r w:rsidRPr="00644F20">
        <w:rPr>
          <w:rFonts w:ascii="Calibri" w:eastAsia="Calibri" w:hAnsi="Calibri" w:cs="Times New Roman"/>
          <w:sz w:val="24"/>
          <w:szCs w:val="24"/>
          <w:lang w:val="sr-Cyrl-CS"/>
        </w:rPr>
        <w:t xml:space="preserve"> </w:t>
      </w:r>
    </w:p>
    <w:p w14:paraId="15BAD1ED" w14:textId="77777777" w:rsidR="00497092" w:rsidRPr="00644F20" w:rsidRDefault="002F45E1" w:rsidP="00EC6F5A">
      <w:pPr>
        <w:spacing w:after="60" w:line="276" w:lineRule="auto"/>
        <w:ind w:firstLine="720"/>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Међутим, иако је привреда препознала значај улагања у истраживање и развој и иновативност, то је још увек далеко испод европског просека. </w:t>
      </w:r>
    </w:p>
    <w:p w14:paraId="3B142FE3"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Према подацима РЗС-а за период 2019-2020. године, у области пољопривреде годишње се користи око 700 милиона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 xml:space="preserve"> воде, од чега се део користи за наводњавање пољопривредних површина. Наводњава се између 47.000 и 52.000 хектара земљишта (око 1,5%), за шта се на годишњем нивоу искористи 67-69 милиона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 xml:space="preserve"> воде, захваћене махом из водотокова (око 93%)</w:t>
      </w:r>
      <w:r w:rsidRPr="00644F20">
        <w:rPr>
          <w:rFonts w:ascii="Times New Roman" w:hAnsi="Times New Roman"/>
          <w:sz w:val="24"/>
          <w:vertAlign w:val="superscript"/>
          <w:lang w:val="sr-Cyrl-CS"/>
        </w:rPr>
        <w:footnoteReference w:id="36"/>
      </w:r>
      <w:r w:rsidRPr="00644F20">
        <w:rPr>
          <w:rFonts w:ascii="Times New Roman" w:hAnsi="Times New Roman" w:cs="Times New Roman"/>
          <w:sz w:val="24"/>
          <w:szCs w:val="24"/>
          <w:lang w:val="sr-Cyrl-CS"/>
        </w:rPr>
        <w:t xml:space="preserve">. Са аспекта циркуларне економије то представља потенцијал за унапређење, јер би део воде која се захвата за наводњавање обрадивих површина за потребе пољопривредне производње могао да се замени пречишћеним отпадним комуналним водама. То је управо и једна од значајних активности за увођење концепта циркуларне економије у области управљања водама у Европској унији, а могла би да буде важна и за Републику Србију, јер се процењује да ће у периоду до 2034. године, површине за наводњавање повећати за 250.000 - 350.000 хектара, за шта ће бити потребно обезбедити додатне количине воде. </w:t>
      </w:r>
    </w:p>
    <w:p w14:paraId="107DF98D" w14:textId="77777777" w:rsidR="00497092" w:rsidRPr="00644F20" w:rsidRDefault="002F45E1" w:rsidP="00EC6F5A">
      <w:pPr>
        <w:autoSpaceDE w:val="0"/>
        <w:autoSpaceDN w:val="0"/>
        <w:adjustRightInd w:val="0"/>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Такође, сектор пољопривреде је један од највећих извора емисија гасова са ефектом стаклене баште. Пољопривредни сектор је највећи извор емисија азот-субоксида (N</w:t>
      </w:r>
      <w:r w:rsidRPr="00644F20">
        <w:rPr>
          <w:rFonts w:ascii="Times New Roman" w:eastAsia="Calibri" w:hAnsi="Times New Roman" w:cs="Times New Roman"/>
          <w:sz w:val="24"/>
          <w:szCs w:val="24"/>
          <w:vertAlign w:val="subscript"/>
          <w:lang w:val="sr-Cyrl-CS"/>
        </w:rPr>
        <w:t>2</w:t>
      </w:r>
      <w:r w:rsidRPr="00644F20">
        <w:rPr>
          <w:rFonts w:ascii="Times New Roman" w:eastAsia="Calibri" w:hAnsi="Times New Roman" w:cs="Times New Roman"/>
          <w:sz w:val="24"/>
          <w:szCs w:val="24"/>
          <w:lang w:val="sr-Cyrl-CS"/>
        </w:rPr>
        <w:t>O), које настају као последица вештачког додавања азота земљишту, и емисија метана (CH</w:t>
      </w:r>
      <w:r w:rsidRPr="00644F20">
        <w:rPr>
          <w:rFonts w:ascii="Times New Roman" w:eastAsia="Calibri" w:hAnsi="Times New Roman" w:cs="Times New Roman"/>
          <w:sz w:val="24"/>
          <w:szCs w:val="24"/>
          <w:vertAlign w:val="subscript"/>
          <w:lang w:val="sr-Cyrl-CS"/>
        </w:rPr>
        <w:t>4</w:t>
      </w:r>
      <w:r w:rsidRPr="00644F20">
        <w:rPr>
          <w:rFonts w:ascii="Times New Roman" w:eastAsia="Calibri" w:hAnsi="Times New Roman" w:cs="Times New Roman"/>
          <w:sz w:val="24"/>
          <w:szCs w:val="24"/>
          <w:lang w:val="sr-Cyrl-CS"/>
        </w:rPr>
        <w:t xml:space="preserve">), које настају као последица анаеробне разградње биомасе, цревне ферментације и разградње животињског отпада. </w:t>
      </w:r>
    </w:p>
    <w:p w14:paraId="4BDB40C8" w14:textId="77777777" w:rsidR="00497092" w:rsidRPr="00644F20" w:rsidRDefault="002F45E1" w:rsidP="00EC6F5A">
      <w:pPr>
        <w:autoSpaceDE w:val="0"/>
        <w:autoSpaceDN w:val="0"/>
        <w:adjustRightInd w:val="0"/>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Иако један од највећих извора емисија гасова са ефектом стаклене баште, сектор пољопривреде је и значајан извор обновљивих извора енергије (биомаса, биогас). Пољопривредна производња, а посебно ратарство, је велики извор биомасе, од које већи део остаје неискоришћен. </w:t>
      </w:r>
    </w:p>
    <w:p w14:paraId="35511917" w14:textId="77777777" w:rsidR="00497092" w:rsidRPr="00644F20" w:rsidRDefault="00EC6F5A">
      <w:pPr>
        <w:tabs>
          <w:tab w:val="left" w:pos="360"/>
        </w:tabs>
        <w:spacing w:after="60" w:line="276" w:lineRule="auto"/>
        <w:jc w:val="both"/>
        <w:rPr>
          <w:rFonts w:ascii="Times New Roman" w:eastAsia="PFDinTextPro-Regular" w:hAnsi="Times New Roman" w:cs="Times New Roman"/>
          <w:sz w:val="24"/>
          <w:szCs w:val="24"/>
          <w:lang w:val="sr-Cyrl-CS"/>
        </w:rPr>
      </w:pPr>
      <w:r w:rsidRPr="00644F20">
        <w:rPr>
          <w:rFonts w:ascii="Times New Roman" w:eastAsia="PFDinTextPro-Regular" w:hAnsi="Times New Roman" w:cs="Times New Roman"/>
          <w:sz w:val="24"/>
          <w:szCs w:val="24"/>
          <w:lang w:val="sr-Cyrl-CS"/>
        </w:rPr>
        <w:tab/>
      </w:r>
      <w:r w:rsidR="002B5E08" w:rsidRPr="00644F20">
        <w:rPr>
          <w:rFonts w:ascii="Times New Roman" w:eastAsia="PFDinTextPro-Regular" w:hAnsi="Times New Roman" w:cs="Times New Roman"/>
          <w:sz w:val="24"/>
          <w:szCs w:val="24"/>
          <w:lang w:val="sr-Cyrl-CS"/>
        </w:rPr>
        <w:tab/>
      </w:r>
      <w:r w:rsidR="002F45E1" w:rsidRPr="00644F20">
        <w:rPr>
          <w:rFonts w:ascii="Times New Roman" w:eastAsia="PFDinTextPro-Regular" w:hAnsi="Times New Roman" w:cs="Times New Roman"/>
          <w:sz w:val="24"/>
          <w:szCs w:val="24"/>
          <w:lang w:val="sr-Cyrl-CS"/>
        </w:rPr>
        <w:t xml:space="preserve">Нека истраживања у скоријој прошлости показују да се од укупних расположивих потенцијала за </w:t>
      </w:r>
      <w:r w:rsidR="002F45E1" w:rsidRPr="00644F20">
        <w:rPr>
          <w:rFonts w:ascii="Times New Roman" w:eastAsia="PFDinTextPro-Regular" w:hAnsi="Times New Roman" w:cs="Times New Roman"/>
          <w:b/>
          <w:sz w:val="24"/>
          <w:szCs w:val="24"/>
          <w:lang w:val="sr-Cyrl-CS"/>
        </w:rPr>
        <w:t xml:space="preserve">биомасу </w:t>
      </w:r>
      <w:r w:rsidR="002F45E1" w:rsidRPr="00644F20">
        <w:rPr>
          <w:rFonts w:ascii="Times New Roman" w:eastAsia="PFDinTextPro-Regular" w:hAnsi="Times New Roman" w:cs="Times New Roman"/>
          <w:sz w:val="24"/>
          <w:szCs w:val="24"/>
          <w:lang w:val="sr-Cyrl-CS"/>
        </w:rPr>
        <w:t>тренутно користи 30%. Подаци за искоришћеност биомасе као алтернативног извора енергије за производњу електричне енергије у Републици Србији за 2019. годину износи 10,5%.</w:t>
      </w:r>
      <w:r w:rsidR="002F45E1" w:rsidRPr="00644F20">
        <w:rPr>
          <w:rFonts w:ascii="Times New Roman" w:eastAsia="PFDinTextPro-Regular" w:hAnsi="Times New Roman" w:cs="Times New Roman"/>
          <w:sz w:val="24"/>
          <w:szCs w:val="24"/>
          <w:vertAlign w:val="superscript"/>
          <w:lang w:val="sr-Cyrl-CS"/>
        </w:rPr>
        <w:footnoteReference w:id="37"/>
      </w:r>
      <w:r w:rsidR="003B22C4" w:rsidRPr="00644F20">
        <w:rPr>
          <w:rFonts w:ascii="Times New Roman" w:eastAsia="PFDinTextPro-Regular" w:hAnsi="Times New Roman" w:cs="Times New Roman"/>
          <w:sz w:val="24"/>
          <w:szCs w:val="24"/>
          <w:lang w:val="sr-Cyrl-CS"/>
        </w:rPr>
        <w:t xml:space="preserve"> </w:t>
      </w:r>
      <w:r w:rsidR="002F45E1" w:rsidRPr="00644F20">
        <w:rPr>
          <w:rFonts w:ascii="Times New Roman" w:eastAsia="PFDinTextPro-Regular" w:hAnsi="Times New Roman" w:cs="Times New Roman"/>
          <w:sz w:val="24"/>
          <w:szCs w:val="24"/>
          <w:lang w:val="sr-Cyrl-CS"/>
        </w:rPr>
        <w:t xml:space="preserve">Дрвна биомаса (шумска биомаса) је у централној Србији искоришћена са око 66,7%, пољопривредна биомаса у </w:t>
      </w:r>
      <w:r w:rsidR="002B5E08" w:rsidRPr="00644F20">
        <w:rPr>
          <w:rFonts w:ascii="Times New Roman" w:eastAsia="PFDinTextPro-Regular" w:hAnsi="Times New Roman" w:cs="Times New Roman"/>
          <w:sz w:val="24"/>
          <w:szCs w:val="24"/>
          <w:lang w:val="sr-Cyrl-CS"/>
        </w:rPr>
        <w:t>АП</w:t>
      </w:r>
      <w:r w:rsidR="002F45E1" w:rsidRPr="00644F20">
        <w:rPr>
          <w:rFonts w:ascii="Times New Roman" w:eastAsia="PFDinTextPro-Regular" w:hAnsi="Times New Roman" w:cs="Times New Roman"/>
          <w:sz w:val="24"/>
          <w:szCs w:val="24"/>
          <w:lang w:val="sr-Cyrl-CS"/>
        </w:rPr>
        <w:t xml:space="preserve"> Војводини око 2%, док се биоразградиви комунални отпад не користи као извор енергије. Споредни производи животињског порекла</w:t>
      </w:r>
      <w:r w:rsidR="002F45E1" w:rsidRPr="00644F20">
        <w:rPr>
          <w:rFonts w:ascii="Times New Roman" w:eastAsia="PFDinTextPro-Regular" w:hAnsi="Times New Roman" w:cs="Times New Roman"/>
          <w:sz w:val="24"/>
          <w:szCs w:val="24"/>
          <w:vertAlign w:val="superscript"/>
          <w:lang w:val="sr-Cyrl-CS"/>
        </w:rPr>
        <w:t xml:space="preserve"> </w:t>
      </w:r>
      <w:r w:rsidR="002F45E1" w:rsidRPr="00644F20">
        <w:rPr>
          <w:rFonts w:ascii="Times New Roman" w:eastAsia="PFDinTextPro-Regular" w:hAnsi="Times New Roman" w:cs="Times New Roman"/>
          <w:sz w:val="24"/>
          <w:szCs w:val="24"/>
          <w:lang w:val="sr-Cyrl-CS"/>
        </w:rPr>
        <w:t>могу се користити за добијање  биогаса</w:t>
      </w:r>
      <w:r w:rsidR="002F45E1" w:rsidRPr="00644F20">
        <w:rPr>
          <w:rFonts w:ascii="Times New Roman" w:eastAsia="Calibri" w:hAnsi="Times New Roman" w:cs="Times New Roman"/>
          <w:sz w:val="24"/>
          <w:szCs w:val="24"/>
          <w:lang w:val="sr-Cyrl-CS"/>
        </w:rPr>
        <w:t xml:space="preserve"> који  садржи висок проценат метана. </w:t>
      </w:r>
    </w:p>
    <w:p w14:paraId="033C586F" w14:textId="77777777" w:rsidR="00497092" w:rsidRPr="00644F20" w:rsidRDefault="002F45E1" w:rsidP="00EC6F5A">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У том смислу постоји велики потенцијал за примену модела циркуларне економије у погледу искоришћења биомасе и споредних производа животињског порекла за производњу енергије, компоста и других производа. Акценат треба да буде на бољем искоришћењу постојећих биогасних постројења, а посебно на активностима компостирања, које су тренутно ограничене на индивидуалне пољопривреднике и спроводе се без икакве контроле квалитета компоста.</w:t>
      </w:r>
      <w:r w:rsidRPr="00644F20">
        <w:rPr>
          <w:rFonts w:ascii="Times New Roman" w:eastAsia="PFDinTextPro-Regular" w:hAnsi="Times New Roman" w:cs="Times New Roman"/>
          <w:sz w:val="24"/>
          <w:szCs w:val="24"/>
          <w:lang w:val="sr-Cyrl-CS"/>
        </w:rPr>
        <w:t xml:space="preserve"> Међутим, мора се напоменути да поједине санитарне депоније изграђене у блиској прошлости планирају  коришћење биогаса, када његове количине буду задовољавајуће. </w:t>
      </w:r>
      <w:r w:rsidRPr="00644F20">
        <w:rPr>
          <w:rFonts w:ascii="Times New Roman" w:eastAsia="Calibri" w:hAnsi="Times New Roman" w:cs="Times New Roman"/>
          <w:sz w:val="24"/>
          <w:szCs w:val="24"/>
          <w:lang w:val="sr-Cyrl-CS"/>
        </w:rPr>
        <w:t xml:space="preserve">Стога </w:t>
      </w:r>
      <w:r w:rsidRPr="00644F20">
        <w:rPr>
          <w:rFonts w:ascii="Times New Roman" w:eastAsia="Calibri" w:hAnsi="Times New Roman" w:cs="Times New Roman"/>
          <w:sz w:val="24"/>
          <w:szCs w:val="24"/>
          <w:lang w:val="sr-Cyrl-CS"/>
        </w:rPr>
        <w:lastRenderedPageBreak/>
        <w:t>су едукација и успостављен систем примарне селекције отпада неопходни предуслови за коришћење органског отпада за производњу биогаса.</w:t>
      </w:r>
    </w:p>
    <w:p w14:paraId="3D193BF8" w14:textId="77777777" w:rsidR="00497092" w:rsidRPr="00644F20" w:rsidRDefault="002F45E1" w:rsidP="00EC6F5A">
      <w:pPr>
        <w:spacing w:after="120"/>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Даљи развој и </w:t>
      </w:r>
      <w:r w:rsidRPr="00644F20">
        <w:rPr>
          <w:rFonts w:ascii="Times New Roman" w:hAnsi="Times New Roman" w:cs="Times New Roman"/>
          <w:b/>
          <w:sz w:val="24"/>
          <w:szCs w:val="24"/>
          <w:lang w:val="sr-Cyrl-CS"/>
        </w:rPr>
        <w:t xml:space="preserve">шира употреба </w:t>
      </w:r>
      <w:r w:rsidR="003B22C4" w:rsidRPr="00644F20">
        <w:rPr>
          <w:rFonts w:ascii="Times New Roman" w:hAnsi="Times New Roman" w:cs="Times New Roman"/>
          <w:b/>
          <w:sz w:val="24"/>
          <w:szCs w:val="24"/>
          <w:lang w:val="sr-Cyrl-CS"/>
        </w:rPr>
        <w:t>ОИЕ</w:t>
      </w:r>
      <w:r w:rsidRPr="00644F20">
        <w:rPr>
          <w:rFonts w:ascii="Times New Roman" w:hAnsi="Times New Roman" w:cs="Times New Roman"/>
          <w:sz w:val="24"/>
          <w:szCs w:val="24"/>
          <w:lang w:val="sr-Cyrl-CS"/>
        </w:rPr>
        <w:t xml:space="preserve"> су веома важни за Републику Србију, како у погледу повећања конкурентности привреде и енергетске сигурности, тако и у погледу смањења емисија гасова са ефектом стаклене баште, смањења аерозагађења и испуњења међународних обавеза по питању борбе против климатских промена. Такође, за део привреде коришћење ОИЕ ускоро може да постане и начин да смањи износ такси </w:t>
      </w:r>
      <w:r w:rsidR="00901A42" w:rsidRPr="00644F20">
        <w:rPr>
          <w:rFonts w:ascii="Times New Roman" w:hAnsi="Times New Roman" w:cs="Times New Roman"/>
          <w:sz w:val="24"/>
          <w:szCs w:val="24"/>
          <w:lang w:val="sr-Cyrl-CS"/>
        </w:rPr>
        <w:t xml:space="preserve">за извоз производа на тржиште </w:t>
      </w:r>
      <w:r w:rsidR="00901A42" w:rsidRPr="00644F20">
        <w:rPr>
          <w:rFonts w:ascii="Times New Roman" w:eastAsia="Calibri" w:hAnsi="Times New Roman" w:cs="Times New Roman"/>
          <w:sz w:val="24"/>
          <w:szCs w:val="24"/>
          <w:lang w:val="sr-Cyrl-CS"/>
        </w:rPr>
        <w:t>Европске уније</w:t>
      </w:r>
      <w:r w:rsidRPr="00644F20">
        <w:rPr>
          <w:rFonts w:ascii="Times New Roman" w:hAnsi="Times New Roman" w:cs="Times New Roman"/>
          <w:sz w:val="24"/>
          <w:szCs w:val="24"/>
          <w:lang w:val="sr-Cyrl-CS"/>
        </w:rPr>
        <w:t>, које ће се примењивати са увођењем механизма за прекогранично прилагођавање угљеника (CBAM).</w:t>
      </w:r>
    </w:p>
    <w:p w14:paraId="0C1E61EE"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претходном периоду значајно је унапређен пословни амбијент за развијање пројеката у области ОИЕ у земљи, усвајањем низа подзаконских аката, којима се између осталог, по први пут уређује област коришћења биогорива и стварају услови да се биогорива ставе на тржиште Републике Србије. Такође, израђен је и Закон о коришћењу обновљивих извора енергије којим се потенцијално отвара могућност за још динамичнији раст производних капацитета на бази обновљивих извора енергије у Републици Србији. Очекује се да овај закон пре свега буде покретач великих инвестиција у градњу соларних електрана и ветропаркова.  </w:t>
      </w:r>
    </w:p>
    <w:p w14:paraId="049FA0DC"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Између осталог, овим законом уведена је категорија купац-произвођач, односно право на производњу електричне енергије из ОИЕ за сопствену потрошњу, што ће допринети масовнијој примени ОИЕ у области производње електричне енергије, поготово система мањих капацитета. У области коришћења топлотне енергије, значајна подршка примени ОИЕ дата је отварањем могућности за давање подстицајних мера за енергетске субјекте који користе високоефикасну когенерацију, отпадну топлоту или обновљиве изворе енергије, односно њихово прикључење на дистрибутивни систем топлотне енергије. </w:t>
      </w:r>
    </w:p>
    <w:p w14:paraId="7AEAD0A4"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даљи развој области, неопходно је обезбедити сигурност инвестиција и услове за остваривање комерцијално одрживог пословања. За остваривање таквих услова велики значај имаће даља либерализација тржишта електричне енергије, усвајање механизма за остварење нискоугљеничне привреде у Републици Србији, као и улагања у развој нових иноватиних технологија за искоришћење ОИЕ, повећање ефикасности постојећих решења, развој система за складиштење енергије, као и развој и усвајање нових пословних модела. </w:t>
      </w:r>
    </w:p>
    <w:p w14:paraId="1D5310AD"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eastAsia="ja-JP"/>
        </w:rPr>
        <w:t xml:space="preserve">Са аспекта циркуларне економије саобраћај је веома важан сегмент, јер пружа могућност за остваривање значајних резултата на пољу очувања природних ресурса и заштите животне средине. Потенцијали за циркуларну економију огледају се у могућности употребе отпадних материјала за изградњу саобраћајне инфраструктуре, као што су неопасан пепео из термоелектрана и гумени гранулат, унапређењу возила у погледу њихове ефикасности и промене типа горива, унапређења организације јавног превоза, као и рециклаже материјала од расходованих возила и њихових делова (метал, гума). Такође, додатне добробити у урбаним срединама се могу остварити подстицањем коришћења бициклистичког саобраћаја, као и унапређењем функционисања јавног градског превоза како би се применила економија дељења као једна од циркуларних модела која може бити значајна за урбане средине.  </w:t>
      </w:r>
    </w:p>
    <w:p w14:paraId="16B3824F"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11" w:name="_Toc93923064"/>
      <w:r w:rsidRPr="00644F20">
        <w:rPr>
          <w:rFonts w:ascii="Times New Roman" w:eastAsiaTheme="majorEastAsia" w:hAnsi="Times New Roman" w:cstheme="majorBidi"/>
          <w:b/>
          <w:bCs/>
          <w:sz w:val="26"/>
          <w:szCs w:val="26"/>
          <w:lang w:val="sr-Cyrl-CS"/>
        </w:rPr>
        <w:t>3.1.3. Локалне самоуправе</w:t>
      </w:r>
      <w:bookmarkEnd w:id="11"/>
    </w:p>
    <w:p w14:paraId="7F9AD2C8"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Локалне самоуправе представљају један од кључних чинилаца за развој циркуларне економије. У условима све израженије миграције становништва ка урбаним срединама и ограничене техничке и социјалне инфраструктуре, очување ресурса и животне средине постају </w:t>
      </w:r>
      <w:r w:rsidRPr="00644F20">
        <w:rPr>
          <w:rFonts w:ascii="Times New Roman" w:hAnsi="Times New Roman" w:cs="Times New Roman"/>
          <w:sz w:val="24"/>
          <w:szCs w:val="24"/>
          <w:lang w:val="sr-Cyrl-CS"/>
        </w:rPr>
        <w:lastRenderedPageBreak/>
        <w:t>значајни изазови. Као једно од обећавајућих решења намеће се формирање циркуларних заједница, заснованих на циркуларној економији, које применом савремених технологија и концепата „</w:t>
      </w:r>
      <w:r w:rsidR="003B22C4" w:rsidRPr="00644F20">
        <w:rPr>
          <w:rFonts w:ascii="Times New Roman" w:hAnsi="Times New Roman" w:cs="Times New Roman"/>
          <w:sz w:val="24"/>
          <w:szCs w:val="24"/>
          <w:lang w:val="sr-Cyrl-CS"/>
        </w:rPr>
        <w:t>паметних градова”</w:t>
      </w:r>
      <w:r w:rsidRPr="00644F20">
        <w:rPr>
          <w:rFonts w:ascii="Times New Roman" w:hAnsi="Times New Roman" w:cs="Times New Roman"/>
          <w:sz w:val="24"/>
          <w:szCs w:val="24"/>
          <w:lang w:val="sr-Cyrl-CS"/>
        </w:rPr>
        <w:t xml:space="preserve"> могу да обезбеде амбијент за просперитет привреде и грађана на одржив и еколошки прихватљив начин.   </w:t>
      </w:r>
    </w:p>
    <w:p w14:paraId="71954ACC"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Улога </w:t>
      </w:r>
      <w:r w:rsidR="00EC6F5A" w:rsidRPr="00644F20">
        <w:rPr>
          <w:rFonts w:ascii="Times New Roman" w:hAnsi="Times New Roman" w:cs="Times New Roman"/>
          <w:sz w:val="24"/>
          <w:szCs w:val="24"/>
          <w:lang w:val="sr-Cyrl-CS"/>
        </w:rPr>
        <w:t xml:space="preserve">ЈЛС </w:t>
      </w:r>
      <w:r w:rsidRPr="00644F20">
        <w:rPr>
          <w:rFonts w:ascii="Times New Roman" w:hAnsi="Times New Roman" w:cs="Times New Roman"/>
          <w:sz w:val="24"/>
          <w:szCs w:val="24"/>
          <w:lang w:val="sr-Cyrl-CS"/>
        </w:rPr>
        <w:t xml:space="preserve">у процесу развоја циркуларне економије огледа се пре свега у </w:t>
      </w:r>
      <w:r w:rsidRPr="00644F20">
        <w:rPr>
          <w:rFonts w:ascii="Times New Roman" w:hAnsi="Times New Roman" w:cs="Times New Roman"/>
          <w:iCs/>
          <w:sz w:val="24"/>
          <w:szCs w:val="24"/>
          <w:lang w:val="sr-Cyrl-CS"/>
        </w:rPr>
        <w:t>дефинисању одговарајућег регулаторног оквира на локалном нивоу</w:t>
      </w:r>
      <w:r w:rsidRPr="00644F20">
        <w:rPr>
          <w:rFonts w:ascii="Times New Roman" w:hAnsi="Times New Roman" w:cs="Times New Roman"/>
          <w:sz w:val="24"/>
          <w:szCs w:val="24"/>
          <w:lang w:val="sr-Cyrl-CS"/>
        </w:rPr>
        <w:t xml:space="preserve">. Доношење регулативе има најдиректнији утицај на све актере на локалном нивоу и може значајно да допринесе ефикасном и ефективном преласку на циркуларну економију. У том погледу неопходно је </w:t>
      </w:r>
      <w:r w:rsidRPr="00644F20">
        <w:rPr>
          <w:rFonts w:ascii="Times New Roman" w:hAnsi="Times New Roman" w:cs="Times New Roman"/>
          <w:iCs/>
          <w:sz w:val="24"/>
          <w:szCs w:val="24"/>
          <w:lang w:val="sr-Cyrl-CS"/>
        </w:rPr>
        <w:t>успостављање одговарајућих система управљања ресурсима, управљања отпадом</w:t>
      </w:r>
      <w:r w:rsidRPr="00644F20">
        <w:rPr>
          <w:rFonts w:ascii="Times New Roman" w:hAnsi="Times New Roman" w:cs="Times New Roman"/>
          <w:sz w:val="24"/>
          <w:szCs w:val="24"/>
          <w:lang w:val="sr-Cyrl-CS"/>
        </w:rPr>
        <w:t xml:space="preserve"> и</w:t>
      </w:r>
      <w:r w:rsidRPr="00644F20">
        <w:rPr>
          <w:rFonts w:ascii="Times New Roman" w:hAnsi="Times New Roman" w:cs="Times New Roman"/>
          <w:iCs/>
          <w:sz w:val="24"/>
          <w:szCs w:val="24"/>
          <w:lang w:val="sr-Cyrl-CS"/>
        </w:rPr>
        <w:t xml:space="preserve"> урбане мобилности </w:t>
      </w:r>
      <w:r w:rsidRPr="00644F20">
        <w:rPr>
          <w:rFonts w:ascii="Times New Roman" w:hAnsi="Times New Roman" w:cs="Times New Roman"/>
          <w:sz w:val="24"/>
          <w:szCs w:val="24"/>
          <w:lang w:val="sr-Cyrl-CS"/>
        </w:rPr>
        <w:t xml:space="preserve">на територији ЈЛС, </w:t>
      </w:r>
      <w:r w:rsidRPr="00644F20">
        <w:rPr>
          <w:rFonts w:ascii="Times New Roman" w:hAnsi="Times New Roman" w:cs="Times New Roman"/>
          <w:iCs/>
          <w:sz w:val="24"/>
          <w:szCs w:val="24"/>
          <w:lang w:val="sr-Cyrl-CS"/>
        </w:rPr>
        <w:t xml:space="preserve">у складу са принципима циркуларне економије, као и планова урбаног развоја </w:t>
      </w:r>
      <w:r w:rsidRPr="00644F20">
        <w:rPr>
          <w:rFonts w:ascii="Times New Roman" w:hAnsi="Times New Roman" w:cs="Times New Roman"/>
          <w:sz w:val="24"/>
          <w:szCs w:val="24"/>
          <w:lang w:val="sr-Cyrl-CS"/>
        </w:rPr>
        <w:t>и изградње ЈЛС по мери грађана и животне средине</w:t>
      </w:r>
      <w:r w:rsidRPr="00644F20">
        <w:rPr>
          <w:rFonts w:ascii="Times New Roman" w:hAnsi="Times New Roman" w:cs="Times New Roman"/>
          <w:iCs/>
          <w:sz w:val="24"/>
          <w:szCs w:val="24"/>
          <w:lang w:val="sr-Cyrl-CS"/>
        </w:rPr>
        <w:t>.</w:t>
      </w:r>
    </w:p>
    <w:p w14:paraId="076375F7"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Успостављање правног оквира је потребан, али не и довољан услов за развој циркуларне економије. Неопходно је створити и обезбедити окружење у коме привреда и грађани имају интерес и мотивацију да дају допринос том процесу. Улога локалне самоуправе у том смислу је да обезбеди одговарајуће </w:t>
      </w:r>
      <w:r w:rsidRPr="00644F20">
        <w:rPr>
          <w:rFonts w:ascii="Times New Roman" w:hAnsi="Times New Roman" w:cs="Times New Roman"/>
          <w:iCs/>
          <w:sz w:val="24"/>
          <w:szCs w:val="24"/>
          <w:lang w:val="sr-Cyrl-CS"/>
        </w:rPr>
        <w:t>подстицаје за привреду и за грађане, као и да подстакне веће ангажовање грађана у примени и промоцији концепта циркуларне економије.</w:t>
      </w:r>
      <w:r w:rsidRPr="00644F20">
        <w:rPr>
          <w:rFonts w:ascii="Times New Roman" w:hAnsi="Times New Roman" w:cs="Times New Roman"/>
          <w:sz w:val="24"/>
          <w:szCs w:val="24"/>
          <w:lang w:val="sr-Cyrl-CS"/>
        </w:rPr>
        <w:t xml:space="preserve"> Ови подстицаји могу бити финансијске природе у виду одговарајућих субвенција (унапређење енергетске ефикасности, коришћење обновљивих извора енергије, зелени кровови, урбана мобилност), административних растерећења, ослобађања или смањења одређених намета у случају рационалног коришћења ресурса и спровођења активности које доприносе преласку на циркуларну економију.</w:t>
      </w:r>
    </w:p>
    <w:p w14:paraId="0DB12FF8"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циљу поспешивања преласка привреде на модел циркуларне економије један од механизама које локалне самоуправе могу да користе су и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xml:space="preserve">. </w:t>
      </w:r>
      <w:r w:rsidRPr="00644F20">
        <w:rPr>
          <w:rFonts w:ascii="Times New Roman" w:hAnsi="Times New Roman" w:cs="Times New Roman"/>
          <w:iCs/>
          <w:sz w:val="24"/>
          <w:szCs w:val="24"/>
          <w:lang w:val="sr-Cyrl-CS"/>
        </w:rPr>
        <w:t>На овај начин</w:t>
      </w:r>
      <w:r w:rsidRPr="00644F20">
        <w:rPr>
          <w:rFonts w:ascii="Times New Roman" w:hAnsi="Times New Roman" w:cs="Times New Roman"/>
          <w:sz w:val="24"/>
          <w:szCs w:val="24"/>
          <w:lang w:val="sr-Cyrl-CS"/>
        </w:rPr>
        <w:t xml:space="preserve"> подстичу се тражња и коришћење добара, услуга и радова са бољим перформансама по животну средину. На нивоу ЈЛС неке од значајних области примене ЗеЈН су: изградња и реконструкција објеката и инфраструктуре, набавка хране и угоститељских услуга, набавка средстава за чишћење и услуга чишћења, набавка канцеларијског материјала, набавка возила, набавка јавне расвете и других производа и уређаја који троше енергију.</w:t>
      </w:r>
    </w:p>
    <w:p w14:paraId="6189E926"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зависности од тога у којој мери и како се користе наведени механизми ЈЛС, они могу да дају снажан подстицај или да отежају процес развоја циркуларне економије. Стога, да би се обезбедила подршка том процесу, важно је да доносиоци политичких одлука, у оквиру ЈЛС, препознају конкретне користи од преласка на циркуларну економију, а које се огледају као користи за локалну заједницу, привреду и грађане. </w:t>
      </w:r>
    </w:p>
    <w:p w14:paraId="02C24F85"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основу анализе спроведене у претходном периоду у циљу сагледавања капацитета јединица локалне самоуправе у Републици Србији за развој циркуларне економије</w:t>
      </w:r>
      <w:r w:rsidRPr="00644F20">
        <w:rPr>
          <w:rFonts w:ascii="Times New Roman" w:hAnsi="Times New Roman" w:cs="Times New Roman"/>
          <w:sz w:val="24"/>
          <w:szCs w:val="24"/>
          <w:vertAlign w:val="superscript"/>
          <w:lang w:val="sr-Cyrl-CS"/>
        </w:rPr>
        <w:footnoteReference w:id="38"/>
      </w:r>
      <w:r w:rsidRPr="00644F20">
        <w:rPr>
          <w:rFonts w:ascii="Times New Roman" w:hAnsi="Times New Roman" w:cs="Times New Roman"/>
          <w:sz w:val="24"/>
          <w:szCs w:val="24"/>
          <w:lang w:val="sr-Cyrl-CS"/>
        </w:rPr>
        <w:t xml:space="preserve">, у постојећем стању највеће баријере за прелазак на циркуларну економију на локалном нивоу представљају низак ниво свести кључних актера, недостатак регулаторног оквира и недостатак или непостојање финансијских инструмената за пројекте циркуларне економије. </w:t>
      </w:r>
    </w:p>
    <w:p w14:paraId="73714654"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погледу постојећих регулаторних оквира у ЈЛС, принципи циркуларне економије нису у довољној мери укључени у планска документа. Само мањи део јединица локалне самоуправе у </w:t>
      </w:r>
      <w:r w:rsidRPr="00644F20">
        <w:rPr>
          <w:rFonts w:ascii="Times New Roman" w:eastAsia="Calibri" w:hAnsi="Times New Roman" w:cs="Times New Roman"/>
          <w:sz w:val="24"/>
          <w:szCs w:val="24"/>
          <w:lang w:val="sr-Cyrl-CS"/>
        </w:rPr>
        <w:t>Републици</w:t>
      </w:r>
      <w:r w:rsidRPr="00644F20">
        <w:rPr>
          <w:rFonts w:ascii="Times New Roman" w:hAnsi="Times New Roman" w:cs="Times New Roman"/>
          <w:sz w:val="24"/>
          <w:szCs w:val="24"/>
          <w:lang w:val="sr-Cyrl-CS"/>
        </w:rPr>
        <w:t xml:space="preserve"> Србији има у некој форми уграђене принципе циркуларне економије у својим планским документима, и то углавном у области управљања отпадом, енергетске </w:t>
      </w:r>
      <w:r w:rsidRPr="00644F20">
        <w:rPr>
          <w:rFonts w:ascii="Times New Roman" w:hAnsi="Times New Roman" w:cs="Times New Roman"/>
          <w:sz w:val="24"/>
          <w:szCs w:val="24"/>
          <w:lang w:val="sr-Cyrl-CS"/>
        </w:rPr>
        <w:lastRenderedPageBreak/>
        <w:t>ефикасности или коришћења обновљивих извора енергије. У предстојећем периоду биће неопходно систематски радити на увођењу концепта циркуларне економије у планска докумената ЈЛС, како током израде нових, тако и у оквиру ревидирања локалних и регионалних планова управљања отпадом и планова развоја. Том приликом потребно је покрити све аспекте релевантне за циркуларну економију за шта од велике користи могу да буду локалне мапе пута за циркуларну економију.</w:t>
      </w:r>
    </w:p>
    <w:p w14:paraId="5BA3FA61"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Значајан изазов представљаће и ограничени капацитети у оквиру ЈЛС. Процењује се да само око 3% ЈЛС, у својим управама имају организационе јединице које, на директан или индиректан начин, покривају проблематику циркуларне економије, односно препознају потребу да се баве пословима у овој области. Такав податак указује на потребу развоја капацитета на локалном нивоу и пружање одговарајуће стручне и финансијске подршке ЈЛС.</w:t>
      </w:r>
    </w:p>
    <w:p w14:paraId="3CC9415E"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Ниво свести становништва треба подићи на виши ниво и радити на развоју циркуларне културе. У том циљу посебно ће бити важно спровођење едукације и позитивних промотивних кампања на локалном нивоу усмерених на грађане, значајније повезивање и комуникација са привредом, грађанима и цивилним друштвом, остваривање сарадње са образовним институцијама и покретање сарадње између привредних субјеката у јавном и приватном сектору. </w:t>
      </w:r>
    </w:p>
    <w:p w14:paraId="0FDD7CBB" w14:textId="77777777" w:rsidR="00497092" w:rsidRPr="00644F20" w:rsidRDefault="002F45E1" w:rsidP="00EC6F5A">
      <w:pPr>
        <w:autoSpaceDE w:val="0"/>
        <w:autoSpaceDN w:val="0"/>
        <w:adjustRightInd w:val="0"/>
        <w:spacing w:after="60" w:line="276" w:lineRule="auto"/>
        <w:ind w:firstLine="720"/>
        <w:jc w:val="both"/>
        <w:rPr>
          <w:rFonts w:ascii="Times New Roman" w:eastAsiaTheme="minorEastAsia" w:hAnsi="Times New Roman" w:cs="Times New Roman"/>
          <w:sz w:val="24"/>
          <w:szCs w:val="24"/>
          <w:lang w:val="sr-Cyrl-CS"/>
        </w:rPr>
      </w:pPr>
      <w:r w:rsidRPr="00644F20">
        <w:rPr>
          <w:rFonts w:ascii="Times New Roman" w:eastAsiaTheme="minorEastAsia" w:hAnsi="Times New Roman" w:cs="Times New Roman"/>
          <w:sz w:val="24"/>
          <w:szCs w:val="24"/>
          <w:lang w:val="sr-Cyrl-CS"/>
        </w:rPr>
        <w:t xml:space="preserve">Уопштено, ЈЛС имају велику одговорност у креирању свеобухватног амбијента за примену принципа циркуларне економије на локалном нивоу од којег најдиректније зависи и начин понашања и међусобни односи кључних актера. </w:t>
      </w:r>
    </w:p>
    <w:p w14:paraId="3F06D3A5" w14:textId="77777777" w:rsidR="00497092" w:rsidRPr="00644F20" w:rsidRDefault="002F45E1" w:rsidP="00EC6F5A">
      <w:pPr>
        <w:shd w:val="clear" w:color="auto" w:fill="FFFFFF"/>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Као области од посебног значаја за стварање основних предуслова за креирање амбијента који ће подржати активности преласка на циркуларну економију, свакако се могу издвојити: управљање отпадом, менаџмент енергијом (посебно енергетска ефикасност и обновљиви извори енергије), управљање водама и мобилност.  </w:t>
      </w:r>
    </w:p>
    <w:p w14:paraId="03F24640" w14:textId="77777777" w:rsidR="00497092" w:rsidRPr="00644F20" w:rsidRDefault="002F45E1" w:rsidP="00EC6F5A">
      <w:pPr>
        <w:autoSpaceDE w:val="0"/>
        <w:autoSpaceDN w:val="0"/>
        <w:adjustRightInd w:val="0"/>
        <w:spacing w:after="60" w:line="276" w:lineRule="auto"/>
        <w:ind w:firstLine="720"/>
        <w:jc w:val="both"/>
        <w:rPr>
          <w:rFonts w:ascii="Times New Roman" w:eastAsiaTheme="minorEastAsia" w:hAnsi="Times New Roman" w:cs="Times New Roman"/>
          <w:sz w:val="24"/>
          <w:szCs w:val="24"/>
          <w:lang w:val="sr-Cyrl-CS"/>
        </w:rPr>
      </w:pPr>
      <w:r w:rsidRPr="00644F20">
        <w:rPr>
          <w:rFonts w:ascii="Times New Roman" w:eastAsiaTheme="minorEastAsia" w:hAnsi="Times New Roman" w:cs="Times New Roman"/>
          <w:sz w:val="24"/>
          <w:szCs w:val="24"/>
          <w:lang w:val="sr-Cyrl-CS"/>
        </w:rPr>
        <w:t xml:space="preserve">Ефикасан систем управљања отпадом, селекција и рециклажа су важни елементи циркуларне економије, без којих овај модел није остварив. У складу са Законом о управљању отпадом, локалне самоуправе су надлежне за сакупљање и депоновање чврстог комуналног отпада, што је поверено комуналним предузећима. Управљање чврстим комуналним отпадом се углавном заснива на сакупљању мешовитог отпада, а проценат становништва покривеног системом организованог сакупљања у Србији је око 86%, због чега се у последње време интензивира изградња нових система на локалном нивоу. У циљу остваривања обавеза које проистичу из правне регулативе и смањења трошкова управљања комуналним отпадом, на локалном нивоу, примењује се регионално удруживање. </w:t>
      </w:r>
    </w:p>
    <w:p w14:paraId="007DA88C"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Поред модернизације система управљања отпадом, за остваривање циркуларне економије кључни су и повећање стопе рециклирања материјала и енергетско искоришћење фракција комуналног отпада. У том смислу основни проблем за увођење циркуларне економије је то да још увек није успостављен целовит систем примарне селекције, односно разврставања отпада на месту настанка, што је неопходно за даљи развој управљања отпадом, а самим тим и циркуларне економије.</w:t>
      </w:r>
    </w:p>
    <w:p w14:paraId="6FB7A52D"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циркуларну економију подједнако је важна и превенција настајања отпада. ЈЛС имају важну улогу у подизању свести становништва по овом питању, али и стварање интереса за спречавање настајања и одговорно управљање чврстим комуналним отпадом и код привреде и код становништва. Нажалост, томе не иде на руку тренутна политика наплаћивања накнада </w:t>
      </w:r>
      <w:r w:rsidRPr="00644F20">
        <w:rPr>
          <w:rFonts w:ascii="Times New Roman" w:hAnsi="Times New Roman" w:cs="Times New Roman"/>
          <w:sz w:val="24"/>
          <w:szCs w:val="24"/>
          <w:lang w:val="sr-Cyrl-CS"/>
        </w:rPr>
        <w:lastRenderedPageBreak/>
        <w:t>за услуге управљања чврстим комуналним отпадом, по којој се услуге обрачунавају по површини стамбеног/пословног простора или домаћинству, а не по количини предатог отпада.</w:t>
      </w:r>
    </w:p>
    <w:p w14:paraId="73489087"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погледу састава отпада највећи потенцијал за циркуларну економију представља биоразградиви отпад, који у већини локалних самоуправа чини око 50% комуналног отпада</w:t>
      </w:r>
      <w:r w:rsidRPr="00644F20">
        <w:rPr>
          <w:rFonts w:ascii="Times New Roman" w:hAnsi="Times New Roman" w:cs="Times New Roman"/>
          <w:vertAlign w:val="superscript"/>
          <w:lang w:val="sr-Cyrl-CS"/>
        </w:rPr>
        <w:t>37</w:t>
      </w:r>
      <w:r w:rsidRPr="00644F20">
        <w:rPr>
          <w:rFonts w:ascii="Times New Roman" w:hAnsi="Times New Roman" w:cs="Times New Roman"/>
          <w:sz w:val="24"/>
          <w:szCs w:val="24"/>
          <w:lang w:val="sr-Cyrl-CS"/>
        </w:rPr>
        <w:t xml:space="preserve">. Неопходне су даље активности како на превенцији његовог настајања, тако и на његовом бољем искоришћењу у енергетске сврхе (биогас) или у сврху обнављања природних ресурса (компостирање). Амбалажни отпад је веома значајан за циркуларну економију, и то пре свега са аспекта пројектовања и избора материјала за израду амбалаже у циљу спречавања настајања отпада. Такође, врста отпада која представља значајан проблем за већину ЈЛС, а има потенцијал за развој циркуларне економије је отпад од грађења и рушења. Сакупљање и рециклажа ове врсте отпада је спорадично и практично тек у зачетку. Имајући у виду убрзан развој грађевинског сектора последњих година, неопходно је успостављање адекватног система за управљање отпадом од грађења и рушења. </w:t>
      </w:r>
    </w:p>
    <w:p w14:paraId="41DD870D"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Као што је већ напоменуто, ефикасно коришћење енергије (енергената) је један од предуслова за развој циркуларне економије. Кроз Закон о енергетској ефикасности и рационалној употреби енергије даље се развија систем енергетског менаџмента, што значи да обвезници енергетског менаџмента, у које спадају привредна друштва и јавна предузећа који имају велику потрошњу енергије, </w:t>
      </w:r>
      <w:r w:rsidR="00C40C94" w:rsidRPr="00644F20">
        <w:rPr>
          <w:rFonts w:ascii="Times New Roman" w:hAnsi="Times New Roman" w:cs="Times New Roman"/>
          <w:sz w:val="24"/>
          <w:szCs w:val="24"/>
          <w:lang w:val="sr-Cyrl-CS"/>
        </w:rPr>
        <w:t>ЈЛС</w:t>
      </w:r>
      <w:r w:rsidRPr="00644F20">
        <w:rPr>
          <w:rFonts w:ascii="Times New Roman" w:hAnsi="Times New Roman" w:cs="Times New Roman"/>
          <w:sz w:val="24"/>
          <w:szCs w:val="24"/>
          <w:lang w:val="sr-Cyrl-CS"/>
        </w:rPr>
        <w:t xml:space="preserve"> и градске општине са више од 20.000 становника, као и органи и установе јавног сектора, имају обавезу да спроводе мере енергетске ефикасности, да остварују циљеве уштеде енергије које утврђује Влада, као и да спроводе енергетске прегледе да би што боље могли да планирају мере које ће применити. </w:t>
      </w:r>
    </w:p>
    <w:p w14:paraId="6A92C8E0"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Унапређења у системима даљинског грејања обухватају пре свега модернизацију опреме и унапређење управљачких система. За остваривање веће циркуларности у том домену велики значај имаће укључивање ОИЕ у системе даљинског грејања, као и повезивање оваквих система са привредим субјектима, ради бољег искоришћења њихових капацитета ОИЕ, али и искоришћења отпадне топлоте из производних процеса.  </w:t>
      </w:r>
    </w:p>
    <w:p w14:paraId="1C311A56"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Значајан потенцијал за смањење потрошње електричне енергије у ЈЛС предста</w:t>
      </w:r>
      <w:r w:rsidR="00644F20">
        <w:rPr>
          <w:rFonts w:ascii="Times New Roman" w:hAnsi="Times New Roman" w:cs="Times New Roman"/>
          <w:sz w:val="24"/>
          <w:szCs w:val="24"/>
          <w:lang w:val="sr-Cyrl-CS"/>
        </w:rPr>
        <w:t>в</w:t>
      </w:r>
      <w:r w:rsidRPr="00644F20">
        <w:rPr>
          <w:rFonts w:ascii="Times New Roman" w:hAnsi="Times New Roman" w:cs="Times New Roman"/>
          <w:sz w:val="24"/>
          <w:szCs w:val="24"/>
          <w:lang w:val="sr-Cyrl-CS"/>
        </w:rPr>
        <w:t>љају системи јавне расвете, где се заменом светиљки енергетски ефикаснијим и унапређењем система управљања остварене значајне уштеде и у енергији и у новцу, а за шта се у претходном периоду као добар механизам финансирања показао модел јавно-приватног партнерства. Добар подстицај унапређењу енергетске ефикасности јавних зграда, дат је новим Законом о енергетској ефикасности и рационалној употреби енергије, којим је отворена могућност финансирања таквих мера кроз модел енергетске услуге (ESCO).</w:t>
      </w:r>
    </w:p>
    <w:p w14:paraId="22CC0A5E"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погледу потрошње топлотне енергије у оквиру локалних самоуправа, значајан потенцијал за унапређење представљају стамбене зграде, које у </w:t>
      </w:r>
      <w:r w:rsidRPr="00644F20">
        <w:rPr>
          <w:rFonts w:ascii="Times New Roman" w:eastAsia="Calibri" w:hAnsi="Times New Roman" w:cs="Times New Roman"/>
          <w:sz w:val="24"/>
          <w:szCs w:val="24"/>
          <w:lang w:val="sr-Cyrl-CS"/>
        </w:rPr>
        <w:t>Републици</w:t>
      </w:r>
      <w:r w:rsidRPr="00644F20">
        <w:rPr>
          <w:rFonts w:ascii="Times New Roman" w:hAnsi="Times New Roman" w:cs="Times New Roman"/>
          <w:sz w:val="24"/>
          <w:szCs w:val="24"/>
          <w:lang w:val="sr-Cyrl-CS"/>
        </w:rPr>
        <w:t xml:space="preserve"> Србији чине чак 75% објеката. Новим законом предвиђа се масовније субвенционисање замене столарије, термичке изолације зграда, као и модернизација система грејања. Међутим, чињеница да се наплата топлотне енергије за грађане већином и даље врши према површини стамбеног објекта, а не према утрошку испоручене енергије, не доприноси ни свести, а ни мотивацији грађана за уштеду енергије.</w:t>
      </w:r>
    </w:p>
    <w:p w14:paraId="08B689AD"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потребе домаћинстава од расположивих енергената претежно се користе електрична енергија и угаљ, а мањим делом и ОИЕ. Прикљученост на гас је релативно мала, због чега домаћинства имају значајан удео у финалној потрошњи електричне енергије (48%). Учешће домаћинства у укупној финалној потрошњи енергије </w:t>
      </w:r>
      <w:r w:rsidR="00901A42" w:rsidRPr="00644F20">
        <w:rPr>
          <w:rFonts w:ascii="Times New Roman" w:hAnsi="Times New Roman" w:cs="Times New Roman"/>
          <w:sz w:val="24"/>
          <w:szCs w:val="24"/>
          <w:lang w:val="sr-Cyrl-CS"/>
        </w:rPr>
        <w:t xml:space="preserve">у Србији (34%) је веће него у </w:t>
      </w:r>
      <w:r w:rsidR="00901A42" w:rsidRPr="00644F20">
        <w:rPr>
          <w:rFonts w:ascii="Times New Roman" w:eastAsia="Calibri" w:hAnsi="Times New Roman" w:cs="Times New Roman"/>
          <w:sz w:val="24"/>
          <w:szCs w:val="24"/>
          <w:lang w:val="sr-Cyrl-CS"/>
        </w:rPr>
        <w:t xml:space="preserve">Европској  </w:t>
      </w:r>
      <w:r w:rsidR="00901A42" w:rsidRPr="00644F20">
        <w:rPr>
          <w:rFonts w:ascii="Times New Roman" w:eastAsia="Calibri" w:hAnsi="Times New Roman" w:cs="Times New Roman"/>
          <w:sz w:val="24"/>
          <w:szCs w:val="24"/>
          <w:lang w:val="sr-Cyrl-CS"/>
        </w:rPr>
        <w:lastRenderedPageBreak/>
        <w:t>унији</w:t>
      </w:r>
      <w:r w:rsidRPr="00644F20">
        <w:rPr>
          <w:rFonts w:ascii="Times New Roman" w:hAnsi="Times New Roman" w:cs="Times New Roman"/>
          <w:sz w:val="24"/>
          <w:szCs w:val="24"/>
          <w:lang w:val="sr-Cyrl-CS"/>
        </w:rPr>
        <w:t xml:space="preserve"> (27%), што се може објаснити већим степеном индустријализације, али и рационалнијом потрошњом енергије од стране становништва. </w:t>
      </w:r>
    </w:p>
    <w:p w14:paraId="5DCC56F0"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Од укупно утрошене енергије произведене из ОИЕ у Републици Србији чак 83% се троши у домаћинствима</w:t>
      </w:r>
      <w:r w:rsidRPr="00644F20">
        <w:rPr>
          <w:rFonts w:ascii="Times New Roman" w:hAnsi="Times New Roman" w:cs="Times New Roman"/>
          <w:sz w:val="24"/>
          <w:szCs w:val="24"/>
          <w:vertAlign w:val="superscript"/>
          <w:lang w:val="sr-Cyrl-CS"/>
        </w:rPr>
        <w:t>10</w:t>
      </w:r>
      <w:r w:rsidRPr="00644F20">
        <w:rPr>
          <w:rFonts w:ascii="Times New Roman" w:hAnsi="Times New Roman" w:cs="Times New Roman"/>
          <w:sz w:val="24"/>
          <w:szCs w:val="24"/>
          <w:lang w:val="sr-Cyrl-CS"/>
        </w:rPr>
        <w:t>. Нажалост, највећим делом ради се о једноставном сагоревању чврсте биомасе у индивидуалним ложиштима за потребе грејања. Сложенији и технички напреднији системи, као што су соларни колектори, се много мање користе. Велики подстицај за масовније коришћење ОИЕ и остваривање веће циркуларности у домаћинствима у наредном периоду дат је Законом о коришћењу обновљивих извора енергије, којим је уведе</w:t>
      </w:r>
      <w:r w:rsidR="00EC6F5A" w:rsidRPr="00644F20">
        <w:rPr>
          <w:rFonts w:ascii="Times New Roman" w:hAnsi="Times New Roman" w:cs="Times New Roman"/>
          <w:sz w:val="24"/>
          <w:szCs w:val="24"/>
          <w:lang w:val="sr-Cyrl-CS"/>
        </w:rPr>
        <w:t>на категорија „купац-произвођач”</w:t>
      </w:r>
      <w:r w:rsidRPr="00644F20">
        <w:rPr>
          <w:rFonts w:ascii="Times New Roman" w:hAnsi="Times New Roman" w:cs="Times New Roman"/>
          <w:sz w:val="24"/>
          <w:szCs w:val="24"/>
          <w:lang w:val="sr-Cyrl-CS"/>
        </w:rPr>
        <w:t>. На основу тога део становништва ће бити у могућности да производи електричну енергију из ОИЕ за сопствену потрошњу и вишак електричне енергије испоручује у електроенергетски систем и на тај начин умањи рачун за утрошену електричну енергију.</w:t>
      </w:r>
    </w:p>
    <w:p w14:paraId="03300BA9" w14:textId="77777777" w:rsidR="00497092" w:rsidRPr="00644F20" w:rsidRDefault="002F45E1" w:rsidP="00CD5110">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Према подацима РЗС већина становништва у Републици Србији снабдева се водом из водовода (89,4%), а постојеће системе водоснабдевања карактерише ниска стопа искоришћења сирове воде. За санитарне потребе домаћинстава на годишњем нивоу у просеку искористи се око 320 милиона m</w:t>
      </w:r>
      <w:r w:rsidRPr="00644F20">
        <w:rPr>
          <w:rFonts w:ascii="Times New Roman" w:hAnsi="Times New Roman" w:cs="Times New Roman"/>
          <w:sz w:val="24"/>
          <w:szCs w:val="24"/>
          <w:vertAlign w:val="superscript"/>
          <w:lang w:val="sr-Cyrl-CS"/>
        </w:rPr>
        <w:t>3</w:t>
      </w:r>
      <w:r w:rsidRPr="00644F20">
        <w:rPr>
          <w:rFonts w:ascii="Times New Roman" w:hAnsi="Times New Roman" w:cs="Times New Roman"/>
          <w:sz w:val="24"/>
          <w:szCs w:val="24"/>
          <w:lang w:val="sr-Cyrl-CS"/>
        </w:rPr>
        <w:t xml:space="preserve"> воде (2017-2019), што одговара специфичној потрошњи од око 142 l/кориснику/дан. Губици воде у мрежи просечно износе око 35%, а у појединим случајевима прелазе и 50% захваћене воде</w:t>
      </w:r>
      <w:r w:rsidRPr="00644F20">
        <w:rPr>
          <w:rFonts w:ascii="Times New Roman" w:hAnsi="Times New Roman" w:cs="Times New Roman"/>
          <w:sz w:val="24"/>
          <w:szCs w:val="24"/>
          <w:vertAlign w:val="superscript"/>
          <w:lang w:val="sr-Cyrl-CS"/>
        </w:rPr>
        <w:t>1</w:t>
      </w:r>
      <w:r w:rsidRPr="00644F20">
        <w:rPr>
          <w:rFonts w:ascii="Times New Roman" w:hAnsi="Times New Roman" w:cs="Times New Roman"/>
          <w:sz w:val="24"/>
          <w:szCs w:val="24"/>
          <w:lang w:val="sr-Cyrl-CS"/>
        </w:rPr>
        <w:t>. Пор</w:t>
      </w:r>
      <w:r w:rsidR="00901A42" w:rsidRPr="00644F20">
        <w:rPr>
          <w:rFonts w:ascii="Times New Roman" w:hAnsi="Times New Roman" w:cs="Times New Roman"/>
          <w:sz w:val="24"/>
          <w:szCs w:val="24"/>
          <w:lang w:val="sr-Cyrl-CS"/>
        </w:rPr>
        <w:t xml:space="preserve">еђења ради, просечни губици у </w:t>
      </w:r>
      <w:r w:rsidR="00901A42" w:rsidRPr="00644F20">
        <w:rPr>
          <w:rFonts w:ascii="Times New Roman" w:eastAsia="Calibri" w:hAnsi="Times New Roman" w:cs="Times New Roman"/>
          <w:sz w:val="24"/>
          <w:szCs w:val="24"/>
          <w:lang w:val="sr-Cyrl-CS"/>
        </w:rPr>
        <w:t>Европској унији</w:t>
      </w:r>
      <w:r w:rsidRPr="00644F20">
        <w:rPr>
          <w:rFonts w:ascii="Times New Roman" w:hAnsi="Times New Roman" w:cs="Times New Roman"/>
          <w:sz w:val="24"/>
          <w:szCs w:val="24"/>
          <w:lang w:val="sr-Cyrl-CS"/>
        </w:rPr>
        <w:t xml:space="preserve"> износе 23%, а најнижи остварени од 6 до 8% (Немачка, Данска и Холандија)</w:t>
      </w:r>
      <w:r w:rsidRPr="00644F20">
        <w:rPr>
          <w:rFonts w:ascii="Times New Roman" w:hAnsi="Times New Roman" w:cs="Times New Roman"/>
          <w:sz w:val="24"/>
          <w:szCs w:val="24"/>
          <w:vertAlign w:val="superscript"/>
          <w:lang w:val="sr-Cyrl-CS"/>
        </w:rPr>
        <w:footnoteReference w:id="39"/>
      </w:r>
      <w:r w:rsidRPr="00644F20">
        <w:rPr>
          <w:rFonts w:ascii="Times New Roman" w:hAnsi="Times New Roman" w:cs="Times New Roman"/>
          <w:sz w:val="24"/>
          <w:szCs w:val="24"/>
          <w:lang w:val="sr-Cyrl-CS"/>
        </w:rPr>
        <w:t>. Такво стање представља нерационално трошење вредног ресурса које проузрокује и нерационално трошење енергије и хемикалија у процесу захватања, припреме и дистрибуције воде, а ствара и значајне финансијске трошкове. Један од разлога за то је и неадекватна цена воде, која је на неким подручјима мања од трошкова рада система, као и низак степен наплате. Заједно, ова два фактора значајно утичу на пословање јавних предузећа и онемогућавају спровођење адекватног одржавања система и даљи развој делатности.</w:t>
      </w:r>
    </w:p>
    <w:p w14:paraId="653BF708" w14:textId="77777777" w:rsidR="00497092" w:rsidRPr="00644F20" w:rsidRDefault="002F45E1" w:rsidP="00CD5110">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Улагања у изградњу канализационих мрежа су константна, али још увек недовољна у односу на потребе. Проценат становништва које је прикључено на канализацију износи 65,2%, а око 30% становника користи септичке јаме за испуштање отпадних вода. Организована и изграђена канализација постоји углавном у урбаним деловима општина (насеља и градови), а већином је чине системи општег типа, код којих атмосферске воде нису одвојене од санитарних. Такође, удео отпадних вода које се пречишћавају у укупној количини отпадних вода које се прикупе системима јавне канализације је мали. Према расположивим капацитетима у 2018. години 14,1% становништва је било покривено третманом отпадних вода, што је знатно мање него у земља</w:t>
      </w:r>
      <w:r w:rsidR="00CD5110" w:rsidRPr="00644F20">
        <w:rPr>
          <w:rFonts w:ascii="Times New Roman" w:hAnsi="Times New Roman" w:cs="Times New Roman"/>
          <w:sz w:val="24"/>
          <w:szCs w:val="24"/>
          <w:lang w:val="sr-Cyrl-CS"/>
        </w:rPr>
        <w:t xml:space="preserve">ма у окружењу и на територији </w:t>
      </w:r>
      <w:r w:rsidR="00CD5110" w:rsidRPr="00644F20">
        <w:rPr>
          <w:rFonts w:ascii="Times New Roman" w:eastAsia="Calibri" w:hAnsi="Times New Roman" w:cs="Times New Roman"/>
          <w:sz w:val="24"/>
          <w:szCs w:val="24"/>
          <w:lang w:val="sr-Cyrl-CS"/>
        </w:rPr>
        <w:t>Европске уније</w:t>
      </w:r>
      <w:r w:rsidRPr="00644F20">
        <w:rPr>
          <w:rFonts w:ascii="Times New Roman" w:hAnsi="Times New Roman" w:cs="Times New Roman"/>
          <w:sz w:val="24"/>
          <w:szCs w:val="24"/>
          <w:lang w:val="sr-Cyrl-CS"/>
        </w:rPr>
        <w:t xml:space="preserve"> (Хрватска 52,9%, Словенија 67,4%, Мађарска 80,4%</w:t>
      </w:r>
      <w:r w:rsidRPr="00644F20">
        <w:rPr>
          <w:rFonts w:ascii="Times New Roman" w:hAnsi="Times New Roman" w:cs="Times New Roman"/>
          <w:sz w:val="24"/>
          <w:szCs w:val="24"/>
          <w:vertAlign w:val="superscript"/>
          <w:lang w:val="sr-Cyrl-CS"/>
        </w:rPr>
        <w:footnoteReference w:id="40"/>
      </w:r>
      <w:r w:rsidRPr="00644F20">
        <w:rPr>
          <w:rFonts w:ascii="Times New Roman" w:hAnsi="Times New Roman" w:cs="Times New Roman"/>
          <w:sz w:val="24"/>
          <w:szCs w:val="24"/>
          <w:lang w:val="sr-Cyrl-CS"/>
        </w:rPr>
        <w:t xml:space="preserve">) у истом периоду. Поред тога, стварна запремина отпадних комуналних вода које се пречишћавају је мања од могуће, јер већина расположивих постројења за пречишћавање отпадних вода </w:t>
      </w:r>
      <w:r w:rsidR="003B22C4" w:rsidRPr="00644F20">
        <w:rPr>
          <w:rFonts w:ascii="Times New Roman" w:hAnsi="Times New Roman" w:cs="Times New Roman"/>
          <w:sz w:val="24"/>
          <w:szCs w:val="24"/>
          <w:lang w:val="sr-Cyrl-CS"/>
        </w:rPr>
        <w:t>(у даљем тексту: ППОВ)</w:t>
      </w:r>
      <w:r w:rsidRPr="00644F20">
        <w:rPr>
          <w:rFonts w:ascii="Times New Roman" w:hAnsi="Times New Roman" w:cs="Times New Roman"/>
          <w:sz w:val="24"/>
          <w:szCs w:val="24"/>
          <w:lang w:val="sr-Cyrl-CS"/>
        </w:rPr>
        <w:t xml:space="preserve"> ради са ефикасношћу далеко испод пројектоване и део њих није увек у функцији (нпр. у 2020. години од 47 расположивих ППОВ у функцији је било свега 26</w:t>
      </w:r>
      <w:r w:rsidRPr="00644F20">
        <w:rPr>
          <w:rFonts w:ascii="Times New Roman" w:hAnsi="Times New Roman" w:cs="Times New Roman"/>
          <w:sz w:val="24"/>
          <w:szCs w:val="24"/>
          <w:vertAlign w:val="superscript"/>
          <w:lang w:val="sr-Cyrl-CS"/>
        </w:rPr>
        <w:footnoteReference w:id="41"/>
      </w:r>
      <w:r w:rsidRPr="00644F20">
        <w:rPr>
          <w:rFonts w:ascii="Times New Roman" w:hAnsi="Times New Roman" w:cs="Times New Roman"/>
          <w:sz w:val="24"/>
          <w:szCs w:val="24"/>
          <w:lang w:val="sr-Cyrl-CS"/>
        </w:rPr>
        <w:t xml:space="preserve">). Последица тога је да се у актуелном стању не може у значајнијој мери остварити циркуларност у употреби воде. </w:t>
      </w:r>
    </w:p>
    <w:p w14:paraId="4880E74B" w14:textId="77777777" w:rsidR="00497092" w:rsidRPr="00644F20" w:rsidRDefault="002F45E1" w:rsidP="00CD5110">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Проблеми овог типа успоравају увођење циркуларне економије, али је њихово решавање покривено постојећим планским документима и одговарајућим законским и </w:t>
      </w:r>
      <w:r w:rsidRPr="00644F20">
        <w:rPr>
          <w:rFonts w:ascii="Times New Roman" w:hAnsi="Times New Roman" w:cs="Times New Roman"/>
          <w:sz w:val="24"/>
          <w:szCs w:val="24"/>
          <w:lang w:val="sr-Cyrl-CS"/>
        </w:rPr>
        <w:lastRenderedPageBreak/>
        <w:t>подзаконским актима Републике Србије. Додатни допринос њиховом решавању може се остварити јачањем капацитета у локалним самоуправама, јавним и комуналним предузећима у погледу неопходних стручних знања и подизањем свести о значају уштеде воде, праћењу потрошње воде и њеној стварној цени. Такође, посебно ће бити значајно остварити бољу информисаност јавности и радити на образовању становништва о потреби рацион</w:t>
      </w:r>
      <w:r w:rsidR="00644F20">
        <w:rPr>
          <w:rFonts w:ascii="Times New Roman" w:hAnsi="Times New Roman" w:cs="Times New Roman"/>
          <w:sz w:val="24"/>
          <w:szCs w:val="24"/>
          <w:lang w:val="sr-Cyrl-CS"/>
        </w:rPr>
        <w:t>а</w:t>
      </w:r>
      <w:r w:rsidRPr="00644F20">
        <w:rPr>
          <w:rFonts w:ascii="Times New Roman" w:hAnsi="Times New Roman" w:cs="Times New Roman"/>
          <w:sz w:val="24"/>
          <w:szCs w:val="24"/>
          <w:lang w:val="sr-Cyrl-CS"/>
        </w:rPr>
        <w:t xml:space="preserve">лног коришћења воде, као дела циркуларне економије, с обзиром да ће се према постојећим пројекцијама садашње потребе за снабдевање становништва у Републици Србији и више него удвостручити до 2034. године и за чије подмирење ће бити потребно повећати постојеће и отворити нове изворишне капацитете. </w:t>
      </w:r>
    </w:p>
    <w:p w14:paraId="1435FC9E"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складу са концептом циркуларне економије неопходно је предвидети и искоришћење свих споредних производа и отпада који настаје у процесу пречишћавања отпадних вода. Један од проблема у Републици Србији, у вези са тим, је и мало искоришћење муља који настаје у процесима пречишћавања отпадних комуналних вода. Према резултатима анкете спроведене у 2020. години више од половине постројења у Републици Србији настали муљ одлаже на санитарну депонију, а нека га чак по високој цени предају на даљи третман оператерима у иностранству. Према подацима из ЕУРОСТАТ базе, у 2018. години, у процесима пречишћавања отпадних вода у Републици Србији је настало око 9.600 t муља</w:t>
      </w:r>
      <w:r w:rsidRPr="00644F20">
        <w:rPr>
          <w:rFonts w:ascii="Times New Roman" w:hAnsi="Times New Roman" w:cs="Times New Roman"/>
          <w:sz w:val="24"/>
          <w:szCs w:val="24"/>
          <w:vertAlign w:val="superscript"/>
          <w:lang w:val="sr-Cyrl-CS"/>
        </w:rPr>
        <w:footnoteReference w:id="42"/>
      </w:r>
      <w:r w:rsidRPr="00644F20">
        <w:rPr>
          <w:rFonts w:ascii="Times New Roman" w:hAnsi="Times New Roman" w:cs="Times New Roman"/>
          <w:sz w:val="24"/>
          <w:szCs w:val="24"/>
          <w:lang w:val="sr-Cyrl-CS"/>
        </w:rPr>
        <w:t xml:space="preserve">. У циљу усклађивања са одредбама Директиве о пречишћавању отпадних комуналних вода у плану је да се до краја 2044. године број </w:t>
      </w:r>
      <w:r w:rsidR="003B22C4" w:rsidRPr="00644F20">
        <w:rPr>
          <w:rFonts w:ascii="Times New Roman" w:hAnsi="Times New Roman" w:cs="Times New Roman"/>
          <w:sz w:val="24"/>
          <w:szCs w:val="24"/>
          <w:lang w:val="sr-Cyrl-CS"/>
        </w:rPr>
        <w:t xml:space="preserve">ППОВ </w:t>
      </w:r>
      <w:r w:rsidRPr="00644F20">
        <w:rPr>
          <w:rFonts w:ascii="Times New Roman" w:hAnsi="Times New Roman" w:cs="Times New Roman"/>
          <w:sz w:val="24"/>
          <w:szCs w:val="24"/>
          <w:lang w:val="sr-Cyrl-CS"/>
        </w:rPr>
        <w:t>повећа са садашњих 47 на 293</w:t>
      </w:r>
      <w:r w:rsidRPr="00644F20">
        <w:rPr>
          <w:rFonts w:ascii="Times New Roman" w:hAnsi="Times New Roman" w:cs="Times New Roman"/>
          <w:sz w:val="24"/>
          <w:szCs w:val="24"/>
          <w:vertAlign w:val="superscript"/>
          <w:lang w:val="sr-Cyrl-CS"/>
        </w:rPr>
        <w:footnoteReference w:id="43"/>
      </w:r>
      <w:r w:rsidRPr="00644F20">
        <w:rPr>
          <w:rFonts w:ascii="Times New Roman" w:hAnsi="Times New Roman" w:cs="Times New Roman"/>
          <w:sz w:val="24"/>
          <w:szCs w:val="24"/>
          <w:lang w:val="sr-Cyrl-CS"/>
        </w:rPr>
        <w:t xml:space="preserve">, па је за очекивати да ће проблем са даљим збрињавањем муља само расти. У циљу бољег искоришћења овог материјала свакако би било неопходно ускладити постојећу законску регулативу, да би се ближе дефинисали захтеви у погледу састава и безбедног коришћења таквих материјала, али и отворило тржиште за исте. Такође, подстицањем истраживања и иновација на пољу употребе отпадних муљева може се доћи до нових производа и начина за њихово веће искоришћење. </w:t>
      </w:r>
    </w:p>
    <w:p w14:paraId="7629011A"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Уопштено, остваривање циркуларности у сегменту управљања водама у Републици Србији имаће велики значај за очување водотокова, као и обезбеђивање довољне количине воде за потребе привреде и становништва у периоду који долази. Највећи изазов у томе биће свакако изградња нових капацитета за третман отпадних комуналних вода, који су неопходни за остваривање већег степена рециклирања вода. </w:t>
      </w:r>
    </w:p>
    <w:p w14:paraId="1E1C3C22" w14:textId="77777777" w:rsidR="00497092" w:rsidRPr="00644F20" w:rsidRDefault="002F45E1" w:rsidP="00EC6F5A">
      <w:pPr>
        <w:spacing w:after="60" w:line="276"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sz w:val="24"/>
          <w:szCs w:val="24"/>
          <w:lang w:val="sr-Cyrl-CS" w:eastAsia="en-GB"/>
        </w:rPr>
        <w:t>Урбана мобилност подразумева балансиран однос различитих видова саобраћаја и основ је за одрживе начине транспорта у градовима</w:t>
      </w:r>
      <w:r w:rsidRPr="00644F20">
        <w:rPr>
          <w:rFonts w:ascii="Times New Roman" w:eastAsia="Times New Roman" w:hAnsi="Times New Roman" w:cs="Times New Roman"/>
          <w:sz w:val="24"/>
          <w:szCs w:val="24"/>
          <w:vertAlign w:val="superscript"/>
          <w:lang w:val="sr-Cyrl-CS" w:eastAsia="en-GB"/>
        </w:rPr>
        <w:footnoteReference w:id="44"/>
      </w:r>
      <w:r w:rsidRPr="00644F20">
        <w:rPr>
          <w:rFonts w:ascii="Times New Roman" w:eastAsia="Times New Roman" w:hAnsi="Times New Roman" w:cs="Times New Roman"/>
          <w:sz w:val="24"/>
          <w:szCs w:val="24"/>
          <w:lang w:val="sr-Cyrl-CS" w:eastAsia="en-GB"/>
        </w:rPr>
        <w:t xml:space="preserve">. При томе, под урбаном мобилношћу се подразумевају, сем аутомобилског саобраћаја и јавног превоза и други видови кретања људи као што су пешачење, превоз бициклом и сл. </w:t>
      </w:r>
    </w:p>
    <w:p w14:paraId="3C3B973A" w14:textId="77777777" w:rsidR="00497092" w:rsidRPr="00644F20" w:rsidRDefault="002F45E1" w:rsidP="00EC6F5A">
      <w:pPr>
        <w:spacing w:after="60" w:line="276"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sz w:val="24"/>
          <w:szCs w:val="24"/>
          <w:lang w:val="sr-Cyrl-CS" w:eastAsia="en-GB"/>
        </w:rPr>
        <w:t>Један од начина како ЈЛС могу да стратешки приступе унапређењу урбане мобилности на локалном нивоу је кроз успостављање планова одрживе урбане мобилности, што је препознато и подстакнуто и кроз Стратегију одрживог урбаног развоја до 2030. године (,,</w:t>
      </w:r>
      <w:r w:rsidR="00D8092C" w:rsidRPr="00644F20">
        <w:rPr>
          <w:rFonts w:ascii="Times New Roman" w:eastAsia="Times New Roman" w:hAnsi="Times New Roman" w:cs="Times New Roman"/>
          <w:sz w:val="24"/>
          <w:szCs w:val="24"/>
          <w:lang w:val="sr-Cyrl-CS" w:eastAsia="en-GB"/>
        </w:rPr>
        <w:t>Службени гласник РС”, број 47/</w:t>
      </w:r>
      <w:r w:rsidRPr="00644F20">
        <w:rPr>
          <w:rFonts w:ascii="Times New Roman" w:eastAsia="Times New Roman" w:hAnsi="Times New Roman" w:cs="Times New Roman"/>
          <w:sz w:val="24"/>
          <w:szCs w:val="24"/>
          <w:lang w:val="sr-Cyrl-CS" w:eastAsia="en-GB"/>
        </w:rPr>
        <w:t xml:space="preserve">19). Мере за унапређење урбане мобилности подразумевају, сем израде планских докумената, мере за: унапређење јавног превоза, немоторизована кретања, обезбеђивање одговарајућих капацитета и нивоа услуга за кориснике (пешаци, бициклисти, особе са инвалидитетом, возила за хитне интервенције, мирујући саобраћај), увођење нових технологија у транспорту (модуларни јавни превоз, дељење превоза), </w:t>
      </w:r>
      <w:r w:rsidRPr="00644F20">
        <w:rPr>
          <w:rFonts w:ascii="Times New Roman" w:eastAsia="Times New Roman" w:hAnsi="Times New Roman" w:cs="Times New Roman"/>
          <w:sz w:val="24"/>
          <w:szCs w:val="24"/>
          <w:lang w:val="sr-Cyrl-CS" w:eastAsia="en-GB"/>
        </w:rPr>
        <w:lastRenderedPageBreak/>
        <w:t>унапређење интермодалних капацитета и увођење у праксу стандарда за пројектовање саобраћајница у урбаним насељима. Иако то још увек није законска обавеза, неки од градова у Републици Србији су приступили изради Планова одрживе урбане мобилности (Крушевац, Београд, Шабац, Пирот)</w:t>
      </w:r>
      <w:r w:rsidRPr="00644F20">
        <w:rPr>
          <w:rFonts w:ascii="Times New Roman" w:hAnsi="Times New Roman" w:cs="Times New Roman"/>
          <w:sz w:val="24"/>
          <w:szCs w:val="24"/>
          <w:vertAlign w:val="superscript"/>
          <w:lang w:val="sr-Cyrl-CS"/>
        </w:rPr>
        <w:footnoteReference w:id="45"/>
      </w:r>
      <w:r w:rsidRPr="00644F20">
        <w:rPr>
          <w:rFonts w:ascii="Times New Roman" w:eastAsia="Times New Roman" w:hAnsi="Times New Roman" w:cs="Times New Roman"/>
          <w:sz w:val="24"/>
          <w:szCs w:val="24"/>
          <w:lang w:val="sr-Cyrl-CS" w:eastAsia="en-GB"/>
        </w:rPr>
        <w:t>.</w:t>
      </w:r>
    </w:p>
    <w:p w14:paraId="552572B9" w14:textId="77777777" w:rsidR="00497092" w:rsidRPr="00644F20" w:rsidRDefault="002F45E1" w:rsidP="00EC6F5A">
      <w:pPr>
        <w:spacing w:after="60" w:line="276" w:lineRule="auto"/>
        <w:ind w:firstLine="720"/>
        <w:jc w:val="both"/>
        <w:rPr>
          <w:rFonts w:ascii="Times New Roman" w:eastAsia="Times New Roman" w:hAnsi="Times New Roman" w:cs="Times New Roman"/>
          <w:sz w:val="24"/>
          <w:szCs w:val="24"/>
          <w:lang w:val="sr-Cyrl-CS" w:eastAsia="en-GB"/>
        </w:rPr>
      </w:pPr>
      <w:r w:rsidRPr="00644F20">
        <w:rPr>
          <w:rFonts w:ascii="Times New Roman" w:eastAsia="Times New Roman" w:hAnsi="Times New Roman" w:cs="Times New Roman"/>
          <w:sz w:val="24"/>
          <w:szCs w:val="24"/>
          <w:lang w:val="sr-Cyrl-CS" w:eastAsia="en-GB"/>
        </w:rPr>
        <w:t xml:space="preserve">Применом мера које се прописују кроз Планове одрживе урбане мобилности унапређује се квалитет живота грађана, смањује загађење животне средине, чувају ресурси и повећава целокупна ефикасност функционисања активности на локалном нивоу. Узимајући у обзир да је мобилност становништва у Републици Србији чак два до три пута мања у односу на развијене европске државе, као и да је бициклистички саобраћај недовољно развијен, проточност саобраћаја ограничена, праћење свеукупног стања нередовно, или веома ограничено, може се закључити да постоји значајан потенцијал за унапређења у области одрживе урбане мобилности. </w:t>
      </w:r>
    </w:p>
    <w:p w14:paraId="18AEF734"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12" w:name="_Toc93923065"/>
      <w:r w:rsidRPr="00644F20">
        <w:rPr>
          <w:rFonts w:ascii="Times New Roman" w:eastAsiaTheme="majorEastAsia" w:hAnsi="Times New Roman" w:cstheme="majorBidi"/>
          <w:b/>
          <w:bCs/>
          <w:sz w:val="26"/>
          <w:szCs w:val="26"/>
          <w:lang w:val="sr-Cyrl-CS"/>
        </w:rPr>
        <w:t>3.1.4. Управљање отпадом</w:t>
      </w:r>
      <w:bookmarkEnd w:id="12"/>
    </w:p>
    <w:p w14:paraId="0B4E511F"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Управљање отпадом је кључни елемент циркуларне економије, али не само у смислу рециклаже, него пре свега превенције настајања отпада кроз пројектовање производа по принципима циркуларне економије, којим се штеде материјали, продужава век трајања производа и пројектују модуларни производи. Како би се процес транзиције са линеарне на циркул</w:t>
      </w:r>
      <w:r w:rsidR="00644F20">
        <w:rPr>
          <w:rFonts w:ascii="Times New Roman" w:hAnsi="Times New Roman" w:cs="Times New Roman"/>
          <w:sz w:val="24"/>
          <w:szCs w:val="24"/>
          <w:lang w:val="sr-Cyrl-CS"/>
        </w:rPr>
        <w:t>а</w:t>
      </w:r>
      <w:r w:rsidRPr="00644F20">
        <w:rPr>
          <w:rFonts w:ascii="Times New Roman" w:hAnsi="Times New Roman" w:cs="Times New Roman"/>
          <w:sz w:val="24"/>
          <w:szCs w:val="24"/>
          <w:lang w:val="sr-Cyrl-CS"/>
        </w:rPr>
        <w:t>рну економију спровео, неопходно је уредити систем управљања отпадом кроз измену законодавног оквира, анализу фискалне политике у овој области (накнаде и субвенције), успостављање система за размену података о отпаду између привредних субјеката, подизање свести о превенцији настајања отпада кроз све структуре друштва.</w:t>
      </w:r>
    </w:p>
    <w:p w14:paraId="568AD3D3"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eastAsia="Calibri" w:hAnsi="Times New Roman" w:cs="Times New Roman"/>
          <w:sz w:val="24"/>
          <w:szCs w:val="24"/>
          <w:lang w:val="sr-Cyrl-CS"/>
        </w:rPr>
        <w:t xml:space="preserve">Подаци о управљању отпадом у Републици Србији се прикупљају у складу са Законом о управљању отпадом и Законом о амбалажи и амбалажном отпаду, који прописују обавезе  достављања података/извештавања ка </w:t>
      </w:r>
      <w:r w:rsidR="00EC6F5A" w:rsidRPr="00644F20">
        <w:rPr>
          <w:rFonts w:ascii="Times New Roman" w:eastAsia="Calibri" w:hAnsi="Times New Roman" w:cs="Times New Roman"/>
          <w:sz w:val="24"/>
          <w:szCs w:val="24"/>
          <w:lang w:val="sr-Cyrl-CS"/>
        </w:rPr>
        <w:t>АЗЖС</w:t>
      </w:r>
      <w:r w:rsidRPr="00644F20">
        <w:rPr>
          <w:rFonts w:ascii="Times New Roman" w:eastAsia="Calibri" w:hAnsi="Times New Roman" w:cs="Times New Roman"/>
          <w:sz w:val="24"/>
          <w:szCs w:val="24"/>
          <w:lang w:val="sr-Cyrl-CS"/>
        </w:rPr>
        <w:t xml:space="preserve">, а којима су обухваћене све врсте отпада изузев отпада који представља изузетке за примене наведених закона. </w:t>
      </w:r>
      <w:r w:rsidRPr="00644F20">
        <w:rPr>
          <w:rFonts w:ascii="Times New Roman" w:hAnsi="Times New Roman" w:cs="Times New Roman"/>
          <w:sz w:val="24"/>
          <w:szCs w:val="24"/>
          <w:lang w:val="sr-Cyrl-CS"/>
        </w:rPr>
        <w:t xml:space="preserve">На основу прикупљених података Агенција израђује одговарајуће извештаје који су били основ за сагледавање стања у области управљања отпадом. </w:t>
      </w:r>
    </w:p>
    <w:p w14:paraId="26ED1D05" w14:textId="77777777" w:rsidR="00497092" w:rsidRPr="00644F20" w:rsidRDefault="002F45E1">
      <w:pPr>
        <w:keepNext/>
        <w:keepLines/>
        <w:spacing w:before="120" w:after="120" w:line="276" w:lineRule="auto"/>
        <w:outlineLvl w:val="3"/>
        <w:rPr>
          <w:rFonts w:ascii="Times New Roman" w:eastAsiaTheme="majorEastAsia" w:hAnsi="Times New Roman" w:cstheme="majorBidi"/>
          <w:b/>
          <w:bCs/>
          <w:iCs/>
          <w:sz w:val="24"/>
          <w:szCs w:val="24"/>
          <w:lang w:val="sr-Cyrl-CS"/>
        </w:rPr>
      </w:pPr>
      <w:r w:rsidRPr="00644F20">
        <w:rPr>
          <w:rFonts w:ascii="Times New Roman" w:eastAsiaTheme="majorEastAsia" w:hAnsi="Times New Roman" w:cstheme="majorBidi"/>
          <w:b/>
          <w:bCs/>
          <w:iCs/>
          <w:sz w:val="24"/>
          <w:szCs w:val="24"/>
          <w:lang w:val="sr-Cyrl-CS"/>
        </w:rPr>
        <w:t>3.1.4.1. Општи подаци</w:t>
      </w:r>
    </w:p>
    <w:p w14:paraId="717F1AB6"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основу података који су достављени у Национални регистар извора загађивања током 2020. године (Извештај о стању животне средине у Републици Србији за 2020. годину), укупна количина генерисаног отпада у 2020. години је износила приближно 12,5 м</w:t>
      </w:r>
      <w:r w:rsidR="00EE58FE">
        <w:rPr>
          <w:rFonts w:ascii="Times New Roman" w:hAnsi="Times New Roman" w:cs="Times New Roman"/>
          <w:sz w:val="24"/>
          <w:szCs w:val="24"/>
          <w:lang w:val="sr-Cyrl-CS"/>
        </w:rPr>
        <w:t>илиона тона односно око 1,8 t</w:t>
      </w:r>
      <w:r w:rsidRPr="00644F20">
        <w:rPr>
          <w:rFonts w:ascii="Times New Roman" w:hAnsi="Times New Roman" w:cs="Times New Roman"/>
          <w:sz w:val="24"/>
          <w:szCs w:val="24"/>
          <w:lang w:val="sr-Cyrl-CS"/>
        </w:rPr>
        <w:t xml:space="preserve"> по становнику годишње (oвим подацима није обухваћен отпад из групе 01 – Отпади који настају у истраживањима, ископавањима из рудника или каменолома и физичком и хемијском третману).</w:t>
      </w:r>
    </w:p>
    <w:p w14:paraId="3430A66A"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основу података достављених од стране 320 оператера који имају дозволу за поновно искоришћење отпада, у току 2020</w:t>
      </w:r>
      <w:r w:rsidR="004B5894" w:rsidRPr="00644F20">
        <w:rPr>
          <w:rFonts w:ascii="Times New Roman" w:hAnsi="Times New Roman" w:cs="Times New Roman"/>
          <w:sz w:val="24"/>
          <w:szCs w:val="24"/>
          <w:lang w:val="sr-Cyrl-CS"/>
        </w:rPr>
        <w:t>. године прерађено је 2,34 милион</w:t>
      </w:r>
      <w:r w:rsidRPr="00644F20">
        <w:rPr>
          <w:rFonts w:ascii="Times New Roman" w:hAnsi="Times New Roman" w:cs="Times New Roman"/>
          <w:sz w:val="24"/>
          <w:szCs w:val="24"/>
          <w:lang w:val="sr-Cyrl-CS"/>
        </w:rPr>
        <w:t xml:space="preserve"> </w:t>
      </w:r>
      <w:r w:rsidR="004B5894" w:rsidRPr="00644F20">
        <w:rPr>
          <w:rFonts w:ascii="Times New Roman" w:hAnsi="Times New Roman" w:cs="Times New Roman"/>
          <w:sz w:val="24"/>
          <w:szCs w:val="24"/>
          <w:lang w:val="sr-Cyrl-CS"/>
        </w:rPr>
        <w:t>тона</w:t>
      </w:r>
      <w:r w:rsidRPr="00644F20">
        <w:rPr>
          <w:rFonts w:ascii="Times New Roman" w:hAnsi="Times New Roman" w:cs="Times New Roman"/>
          <w:sz w:val="24"/>
          <w:szCs w:val="24"/>
          <w:lang w:val="sr-Cyrl-CS"/>
        </w:rPr>
        <w:t xml:space="preserve"> отпада. У истој години у Републици Србији је произведено 9,57 милиона </w:t>
      </w:r>
      <w:r w:rsidR="004B5894" w:rsidRPr="00644F20">
        <w:rPr>
          <w:rFonts w:ascii="Times New Roman" w:hAnsi="Times New Roman" w:cs="Times New Roman"/>
          <w:sz w:val="24"/>
          <w:szCs w:val="24"/>
          <w:lang w:val="sr-Cyrl-CS"/>
        </w:rPr>
        <w:t>тона</w:t>
      </w:r>
      <w:r w:rsidRPr="00644F20">
        <w:rPr>
          <w:rFonts w:ascii="Times New Roman" w:hAnsi="Times New Roman" w:cs="Times New Roman"/>
          <w:sz w:val="24"/>
          <w:szCs w:val="24"/>
          <w:lang w:val="sr-Cyrl-CS"/>
        </w:rPr>
        <w:t xml:space="preserve"> индустријског отпада, од чега је 68.000 </w:t>
      </w:r>
      <w:r w:rsidR="00EE58FE">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опасан отпад.</w:t>
      </w:r>
      <w:r w:rsidRPr="00644F20">
        <w:rPr>
          <w:rFonts w:ascii="Times New Roman" w:hAnsi="Times New Roman" w:cs="Times New Roman"/>
          <w:sz w:val="24"/>
          <w:szCs w:val="24"/>
          <w:vertAlign w:val="superscript"/>
          <w:lang w:val="sr-Cyrl-CS"/>
        </w:rPr>
        <w:t xml:space="preserve">. </w:t>
      </w:r>
      <w:r w:rsidRPr="00644F20">
        <w:rPr>
          <w:rFonts w:ascii="Times New Roman" w:hAnsi="Times New Roman" w:cs="Times New Roman"/>
          <w:sz w:val="24"/>
          <w:szCs w:val="24"/>
          <w:lang w:val="sr-Cyrl-CS"/>
        </w:rPr>
        <w:t xml:space="preserve">Од укупне количине прерађеног отпада највише су били заступљени метали, затим шљака из термичких процеса, отпадни папир и папирна и картонска амбалажа. Од отпада који је по карактеру опасан значајне количине представљају електрична </w:t>
      </w:r>
      <w:r w:rsidRPr="00644F20">
        <w:rPr>
          <w:rFonts w:ascii="Times New Roman" w:hAnsi="Times New Roman" w:cs="Times New Roman"/>
          <w:sz w:val="24"/>
          <w:szCs w:val="24"/>
          <w:lang w:val="sr-Cyrl-CS"/>
        </w:rPr>
        <w:lastRenderedPageBreak/>
        <w:t>и електронска опрема, оловне батерије и муљеви са дна резервоара из процеса рафинације нафте.</w:t>
      </w:r>
    </w:p>
    <w:p w14:paraId="496CF25F"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току 2020. године одложено је приближно два милиона тона отпада, од чега је 11,6 хиљада тона опасног отпада. Опасан отпад је претежно одложен на депонију за одлагање индустријског отпада, </w:t>
      </w:r>
      <w:r w:rsidR="004B5894" w:rsidRPr="00644F20">
        <w:rPr>
          <w:rFonts w:ascii="Times New Roman" w:hAnsi="Times New Roman" w:cs="Times New Roman"/>
          <w:sz w:val="24"/>
          <w:szCs w:val="24"/>
          <w:lang w:val="sr-Cyrl-CS"/>
        </w:rPr>
        <w:t>на којој је одложено 11.389 t</w:t>
      </w:r>
      <w:r w:rsidRPr="00644F20">
        <w:rPr>
          <w:rFonts w:ascii="Times New Roman" w:hAnsi="Times New Roman" w:cs="Times New Roman"/>
          <w:sz w:val="24"/>
          <w:szCs w:val="24"/>
          <w:lang w:val="sr-Cyrl-CS"/>
        </w:rPr>
        <w:t xml:space="preserve"> опасног отпада (претежно муљеви и филтер-погаче), а 269 </w:t>
      </w:r>
      <w:r w:rsidR="004B5894"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је одложено на депонију регионалног карактера која има дозволу за одлагање опасног отпада. </w:t>
      </w:r>
    </w:p>
    <w:p w14:paraId="739AF363" w14:textId="77777777" w:rsidR="00497092" w:rsidRPr="00644F20" w:rsidRDefault="002F45E1" w:rsidP="00EC6F5A">
      <w:pPr>
        <w:autoSpaceDE w:val="0"/>
        <w:autoSpaceDN w:val="0"/>
        <w:adjustRightInd w:val="0"/>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Од извезених количина отпада који није опасан највише су заступљени метали који садрже гвожђе. Опасне компоненте уклоњене из одбачене опреме, киселине за чишћење и шљаке из термичке металургије олова представљају највеће количине опасног отпада који је извезен.</w:t>
      </w:r>
    </w:p>
    <w:p w14:paraId="1A7804BE" w14:textId="77777777" w:rsidR="00497092" w:rsidRPr="00644F20" w:rsidRDefault="002F45E1">
      <w:pPr>
        <w:keepNext/>
        <w:keepLines/>
        <w:spacing w:after="60" w:line="276" w:lineRule="auto"/>
        <w:outlineLvl w:val="3"/>
        <w:rPr>
          <w:rFonts w:ascii="Times New Roman" w:eastAsiaTheme="majorEastAsia" w:hAnsi="Times New Roman" w:cs="Times New Roman"/>
          <w:b/>
          <w:bCs/>
          <w:iCs/>
          <w:sz w:val="24"/>
          <w:szCs w:val="24"/>
          <w:lang w:val="sr-Cyrl-CS"/>
        </w:rPr>
      </w:pPr>
      <w:r w:rsidRPr="00644F20">
        <w:rPr>
          <w:rFonts w:ascii="Times New Roman" w:eastAsiaTheme="majorEastAsia" w:hAnsi="Times New Roman" w:cs="Times New Roman"/>
          <w:b/>
          <w:bCs/>
          <w:iCs/>
          <w:sz w:val="24"/>
          <w:szCs w:val="24"/>
          <w:lang w:val="sr-Cyrl-CS"/>
        </w:rPr>
        <w:t>3.1.4.2. Управљање комуналним отпадом</w:t>
      </w:r>
    </w:p>
    <w:p w14:paraId="095AB688"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Укупна количина генерисаног комуналног отпада према наведеном извештају Агенције у току 2020. године износила је 2,95 милиона тона, на основу 102 извештаја о комуналном отпаду и процењених количина за локалне самоуправе које нису извршиле своју обавезу извештавања. Према подацима ЕУРОСТАТ-а у Србији је у 2019. години генерисано 338 килограма комуналног отпада по становнику (0,95 </w:t>
      </w:r>
      <w:r w:rsidR="004B5894" w:rsidRPr="00644F20">
        <w:rPr>
          <w:rFonts w:ascii="Times New Roman" w:hAnsi="Times New Roman" w:cs="Times New Roman"/>
          <w:sz w:val="24"/>
          <w:szCs w:val="24"/>
          <w:lang w:val="sr-Cyrl-CS"/>
        </w:rPr>
        <w:t>кg</w:t>
      </w:r>
      <w:r w:rsidRPr="00644F20">
        <w:rPr>
          <w:rFonts w:ascii="Times New Roman" w:hAnsi="Times New Roman" w:cs="Times New Roman"/>
          <w:sz w:val="24"/>
          <w:szCs w:val="24"/>
          <w:lang w:val="sr-Cyrl-CS"/>
        </w:rPr>
        <w:t xml:space="preserve"> дневно), док је просек за </w:t>
      </w:r>
      <w:r w:rsidR="00CD5110" w:rsidRPr="00644F20">
        <w:rPr>
          <w:rFonts w:ascii="Times New Roman" w:eastAsia="Calibri" w:hAnsi="Times New Roman" w:cs="Times New Roman"/>
          <w:sz w:val="24"/>
          <w:szCs w:val="24"/>
          <w:lang w:val="sr-Cyrl-CS"/>
        </w:rPr>
        <w:t>Европску унију</w:t>
      </w:r>
      <w:r w:rsidR="00CD5110" w:rsidRPr="00644F20">
        <w:rPr>
          <w:rFonts w:ascii="Times New Roman" w:hAnsi="Times New Roman" w:cs="Times New Roman"/>
          <w:sz w:val="24"/>
          <w:szCs w:val="24"/>
          <w:lang w:val="sr-Cyrl-CS"/>
        </w:rPr>
        <w:t xml:space="preserve"> </w:t>
      </w:r>
      <w:r w:rsidRPr="00644F20">
        <w:rPr>
          <w:rFonts w:ascii="Times New Roman" w:hAnsi="Times New Roman" w:cs="Times New Roman"/>
          <w:sz w:val="24"/>
          <w:szCs w:val="24"/>
          <w:lang w:val="sr-Cyrl-CS"/>
        </w:rPr>
        <w:t xml:space="preserve">(27 земаља) 502 </w:t>
      </w:r>
      <w:r w:rsidR="00EE58FE" w:rsidRPr="00644F20">
        <w:rPr>
          <w:rFonts w:ascii="Times New Roman" w:hAnsi="Times New Roman" w:cs="Times New Roman"/>
          <w:sz w:val="24"/>
          <w:szCs w:val="24"/>
          <w:lang w:val="sr-Cyrl-CS"/>
        </w:rPr>
        <w:t>кg</w:t>
      </w:r>
      <w:r w:rsidR="00EE58FE">
        <w:rPr>
          <w:rFonts w:ascii="Times New Roman" w:hAnsi="Times New Roman" w:cs="Times New Roman"/>
          <w:sz w:val="24"/>
          <w:szCs w:val="24"/>
          <w:lang w:val="sr-Cyrl-CS"/>
        </w:rPr>
        <w:t xml:space="preserve"> </w:t>
      </w:r>
      <w:r w:rsidRPr="00644F20">
        <w:rPr>
          <w:rFonts w:ascii="Times New Roman" w:hAnsi="Times New Roman" w:cs="Times New Roman"/>
          <w:sz w:val="24"/>
          <w:szCs w:val="24"/>
          <w:lang w:val="sr-Cyrl-CS"/>
        </w:rPr>
        <w:t>по становнику (1,4 к</w:t>
      </w:r>
      <w:r w:rsidR="004B5894" w:rsidRPr="00644F20">
        <w:rPr>
          <w:rFonts w:ascii="Times New Roman" w:hAnsi="Times New Roman" w:cs="Times New Roman"/>
          <w:sz w:val="24"/>
          <w:szCs w:val="24"/>
          <w:lang w:val="sr-Cyrl-CS"/>
        </w:rPr>
        <w:t>g</w:t>
      </w:r>
      <w:r w:rsidRPr="00644F20">
        <w:rPr>
          <w:rFonts w:ascii="Times New Roman" w:hAnsi="Times New Roman" w:cs="Times New Roman"/>
          <w:sz w:val="24"/>
          <w:szCs w:val="24"/>
          <w:lang w:val="sr-Cyrl-CS"/>
        </w:rPr>
        <w:t xml:space="preserve"> дневно).</w:t>
      </w:r>
    </w:p>
    <w:p w14:paraId="78193A26"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Морфолошки састав комуналног отпада у 2020. години указује на највећу заступљеност биоразградивог отпада у уделу од 48,4%. Врсте отпада које су знатно мање заступљене су: папир и картон, фини елементи и остало (кожа, пелене, гума итд).</w:t>
      </w:r>
    </w:p>
    <w:p w14:paraId="7AD8AD3A" w14:textId="77777777" w:rsidR="00497092" w:rsidRPr="00644F20" w:rsidRDefault="002F45E1">
      <w:pPr>
        <w:spacing w:after="60" w:line="276" w:lineRule="auto"/>
        <w:jc w:val="center"/>
        <w:rPr>
          <w:rFonts w:ascii="Times New Roman" w:hAnsi="Times New Roman" w:cs="Times New Roman"/>
          <w:sz w:val="24"/>
          <w:szCs w:val="24"/>
          <w:lang w:val="sr-Cyrl-CS"/>
        </w:rPr>
      </w:pPr>
      <w:r w:rsidRPr="00644F20">
        <w:rPr>
          <w:noProof/>
        </w:rPr>
        <w:drawing>
          <wp:inline distT="0" distB="0" distL="0" distR="0" wp14:anchorId="4C685E67" wp14:editId="5AFA703B">
            <wp:extent cx="5318760" cy="3245485"/>
            <wp:effectExtent l="0" t="0" r="2540" b="571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57A79C9" w14:textId="77777777" w:rsidR="00497092" w:rsidRPr="00644F20" w:rsidRDefault="002F45E1">
      <w:pPr>
        <w:spacing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 xml:space="preserve">Слика 3.8 </w:t>
      </w:r>
      <w:r w:rsidRPr="00644F20">
        <w:rPr>
          <w:rFonts w:ascii="Times New Roman" w:hAnsi="Times New Roman" w:cs="Times New Roman"/>
          <w:lang w:val="sr-Cyrl-CS"/>
        </w:rPr>
        <w:t>Морфолошки састав комуналног отпада у 2020. години (Извештај о стању животне средине у Републици Србији за 2020. годину)</w:t>
      </w:r>
    </w:p>
    <w:p w14:paraId="269F0DA1" w14:textId="77777777" w:rsidR="00497092" w:rsidRPr="00644F20" w:rsidRDefault="002F45E1" w:rsidP="00EC6F5A">
      <w:pPr>
        <w:autoSpaceDE w:val="0"/>
        <w:autoSpaceDN w:val="0"/>
        <w:adjustRightInd w:val="0"/>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Методологија за прорачун укупне количине комуналног отпада и степена рециклаже у Републици Србији је усклађена са захтевима Имплементационе одлуке Комисије </w:t>
      </w:r>
      <w:r w:rsidR="002B45E7" w:rsidRPr="00644F20">
        <w:rPr>
          <w:rFonts w:ascii="Times New Roman" w:hAnsi="Times New Roman" w:cs="Times New Roman"/>
          <w:sz w:val="24"/>
          <w:szCs w:val="24"/>
          <w:lang w:val="sr-Cyrl-CS"/>
        </w:rPr>
        <w:t>Европске уније</w:t>
      </w:r>
      <w:r w:rsidRPr="00644F20">
        <w:rPr>
          <w:rFonts w:ascii="Times New Roman" w:hAnsi="Times New Roman" w:cs="Times New Roman"/>
          <w:sz w:val="24"/>
          <w:szCs w:val="24"/>
          <w:lang w:val="sr-Cyrl-CS"/>
        </w:rPr>
        <w:t xml:space="preserve"> 2019/1004 о утврђивању правила за прорачун, верификацију и извештавање података о отпаду у складу са Директивом 2008/98/ЕС, као и за извештавања за Еуростат. Овом </w:t>
      </w:r>
      <w:r w:rsidRPr="00644F20">
        <w:rPr>
          <w:rFonts w:ascii="Times New Roman" w:hAnsi="Times New Roman" w:cs="Times New Roman"/>
          <w:sz w:val="24"/>
          <w:szCs w:val="24"/>
          <w:lang w:val="sr-Cyrl-CS"/>
        </w:rPr>
        <w:lastRenderedPageBreak/>
        <w:t>методологијом утврђују се потпуно нова правила извештавања о комуналном отпаду ради јасног доказа испуњености циљева управљања овом врстом отпада.</w:t>
      </w:r>
    </w:p>
    <w:p w14:paraId="3EDAABC3" w14:textId="77777777" w:rsidR="00497092" w:rsidRPr="00644F20" w:rsidRDefault="002F45E1" w:rsidP="00EC6F5A">
      <w:pPr>
        <w:autoSpaceDE w:val="0"/>
        <w:autoSpaceDN w:val="0"/>
        <w:adjustRightInd w:val="0"/>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наведеној методологији примењени су и индексни бројеви из Европског каталога отпада који представљају фракције комуналног отпада. У складу са тим прорачунат је степен рециклаже комуналног отпада за период 2017 – 2020. године, као што је приказано у табели 3.4. (Управљање отпадом у Републици Србији у периоду 2011-2019. године, </w:t>
      </w:r>
      <w:r w:rsidR="001B6E66" w:rsidRPr="00644F20">
        <w:rPr>
          <w:rFonts w:ascii="Times New Roman" w:hAnsi="Times New Roman" w:cs="Times New Roman"/>
          <w:sz w:val="24"/>
          <w:szCs w:val="24"/>
          <w:lang w:val="sr-Cyrl-CS"/>
        </w:rPr>
        <w:t>АЗЖС</w:t>
      </w:r>
      <w:r w:rsidRPr="00644F20">
        <w:rPr>
          <w:rFonts w:ascii="Times New Roman" w:hAnsi="Times New Roman" w:cs="Times New Roman"/>
          <w:sz w:val="24"/>
          <w:szCs w:val="24"/>
          <w:lang w:val="sr-Cyrl-CS"/>
        </w:rPr>
        <w:t>, 2020.</w:t>
      </w:r>
      <w:r w:rsidR="002B45E7" w:rsidRPr="00644F20">
        <w:rPr>
          <w:rFonts w:ascii="Times New Roman" w:hAnsi="Times New Roman" w:cs="Times New Roman"/>
          <w:sz w:val="24"/>
          <w:szCs w:val="24"/>
          <w:lang w:val="sr-Cyrl-CS"/>
        </w:rPr>
        <w:t xml:space="preserve"> године</w:t>
      </w:r>
      <w:r w:rsidRPr="00644F20">
        <w:rPr>
          <w:rFonts w:ascii="Times New Roman" w:hAnsi="Times New Roman" w:cs="Times New Roman"/>
          <w:sz w:val="24"/>
          <w:szCs w:val="24"/>
          <w:lang w:val="sr-Cyrl-CS"/>
        </w:rPr>
        <w:t>)</w:t>
      </w:r>
    </w:p>
    <w:p w14:paraId="65FC1C3F" w14:textId="77777777" w:rsidR="00497092" w:rsidRPr="00644F20" w:rsidRDefault="002F45E1">
      <w:pPr>
        <w:autoSpaceDE w:val="0"/>
        <w:autoSpaceDN w:val="0"/>
        <w:adjustRightInd w:val="0"/>
        <w:spacing w:after="60" w:line="276" w:lineRule="auto"/>
        <w:jc w:val="both"/>
        <w:rPr>
          <w:rFonts w:ascii="Times New Roman" w:hAnsi="Times New Roman" w:cs="Times New Roman"/>
          <w:lang w:val="sr-Cyrl-CS"/>
        </w:rPr>
      </w:pPr>
      <w:r w:rsidRPr="00644F20">
        <w:rPr>
          <w:rFonts w:ascii="Times New Roman" w:hAnsi="Times New Roman" w:cs="Times New Roman"/>
          <w:b/>
          <w:lang w:val="sr-Cyrl-CS"/>
        </w:rPr>
        <w:t xml:space="preserve">Табела 3.4 </w:t>
      </w:r>
      <w:r w:rsidRPr="00644F20">
        <w:rPr>
          <w:rFonts w:ascii="Times New Roman" w:hAnsi="Times New Roman" w:cs="Times New Roman"/>
          <w:lang w:val="sr-Cyrl-CS"/>
        </w:rPr>
        <w:t>Индикатори у вези са комуналним отпадом *</w:t>
      </w:r>
    </w:p>
    <w:tbl>
      <w:tblPr>
        <w:tblW w:w="0" w:type="auto"/>
        <w:jc w:val="center"/>
        <w:tblLook w:val="04A0" w:firstRow="1" w:lastRow="0" w:firstColumn="1" w:lastColumn="0" w:noHBand="0" w:noVBand="1"/>
      </w:tblPr>
      <w:tblGrid>
        <w:gridCol w:w="3709"/>
        <w:gridCol w:w="1344"/>
        <w:gridCol w:w="1344"/>
        <w:gridCol w:w="1344"/>
        <w:gridCol w:w="1348"/>
      </w:tblGrid>
      <w:tr w:rsidR="00497092" w:rsidRPr="00644F20" w14:paraId="00089611" w14:textId="77777777">
        <w:trPr>
          <w:jc w:val="center"/>
        </w:trPr>
        <w:tc>
          <w:tcPr>
            <w:tcW w:w="3709" w:type="dxa"/>
            <w:shd w:val="clear" w:color="auto" w:fill="E2EFD9" w:themeFill="accent6" w:themeFillTint="33"/>
            <w:vAlign w:val="center"/>
          </w:tcPr>
          <w:p w14:paraId="13D496DF" w14:textId="77777777" w:rsidR="00497092" w:rsidRPr="00644F20" w:rsidRDefault="002F45E1">
            <w:pPr>
              <w:spacing w:line="276" w:lineRule="auto"/>
              <w:rPr>
                <w:rFonts w:ascii="Times New Roman" w:hAnsi="Times New Roman" w:cs="Times New Roman"/>
                <w:b/>
                <w:lang w:val="sr-Cyrl-CS"/>
              </w:rPr>
            </w:pPr>
            <w:r w:rsidRPr="00644F20">
              <w:rPr>
                <w:rFonts w:ascii="Times New Roman" w:hAnsi="Times New Roman" w:cs="Times New Roman"/>
                <w:b/>
                <w:lang w:val="sr-Cyrl-CS"/>
              </w:rPr>
              <w:t>Индикатор</w:t>
            </w:r>
          </w:p>
        </w:tc>
        <w:tc>
          <w:tcPr>
            <w:tcW w:w="1344" w:type="dxa"/>
            <w:shd w:val="clear" w:color="auto" w:fill="E2EFD9" w:themeFill="accent6" w:themeFillTint="33"/>
            <w:vAlign w:val="center"/>
          </w:tcPr>
          <w:p w14:paraId="5DACB7C3" w14:textId="77777777" w:rsidR="00497092" w:rsidRPr="00644F20" w:rsidRDefault="002F45E1">
            <w:pPr>
              <w:spacing w:before="60"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2017.</w:t>
            </w:r>
          </w:p>
        </w:tc>
        <w:tc>
          <w:tcPr>
            <w:tcW w:w="1344" w:type="dxa"/>
            <w:shd w:val="clear" w:color="auto" w:fill="E2EFD9" w:themeFill="accent6" w:themeFillTint="33"/>
            <w:vAlign w:val="center"/>
          </w:tcPr>
          <w:p w14:paraId="46128A02" w14:textId="77777777" w:rsidR="00497092" w:rsidRPr="00644F20" w:rsidRDefault="002F45E1">
            <w:pPr>
              <w:spacing w:before="60"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2018.</w:t>
            </w:r>
          </w:p>
        </w:tc>
        <w:tc>
          <w:tcPr>
            <w:tcW w:w="1344" w:type="dxa"/>
            <w:shd w:val="clear" w:color="auto" w:fill="E2EFD9" w:themeFill="accent6" w:themeFillTint="33"/>
            <w:vAlign w:val="center"/>
          </w:tcPr>
          <w:p w14:paraId="50454438" w14:textId="77777777" w:rsidR="00497092" w:rsidRPr="00644F20" w:rsidRDefault="002F45E1">
            <w:pPr>
              <w:spacing w:before="60"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2019.</w:t>
            </w:r>
          </w:p>
        </w:tc>
        <w:tc>
          <w:tcPr>
            <w:tcW w:w="1348" w:type="dxa"/>
            <w:shd w:val="clear" w:color="auto" w:fill="E2EFD9" w:themeFill="accent6" w:themeFillTint="33"/>
            <w:vAlign w:val="center"/>
          </w:tcPr>
          <w:p w14:paraId="0C56FBDA" w14:textId="77777777" w:rsidR="00497092" w:rsidRPr="00644F20" w:rsidRDefault="002F45E1">
            <w:pPr>
              <w:spacing w:before="60"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2020.*</w:t>
            </w:r>
          </w:p>
        </w:tc>
      </w:tr>
      <w:tr w:rsidR="00497092" w:rsidRPr="00644F20" w14:paraId="58028806" w14:textId="77777777">
        <w:trPr>
          <w:jc w:val="center"/>
        </w:trPr>
        <w:tc>
          <w:tcPr>
            <w:tcW w:w="3709" w:type="dxa"/>
            <w:vAlign w:val="center"/>
          </w:tcPr>
          <w:p w14:paraId="6471C2AB" w14:textId="77777777" w:rsidR="00497092" w:rsidRPr="00644F20" w:rsidRDefault="002F45E1">
            <w:pPr>
              <w:spacing w:after="60" w:line="276" w:lineRule="auto"/>
              <w:rPr>
                <w:rFonts w:ascii="Times New Roman" w:hAnsi="Times New Roman" w:cs="Times New Roman"/>
                <w:lang w:val="sr-Cyrl-CS"/>
              </w:rPr>
            </w:pPr>
            <w:r w:rsidRPr="00644F20">
              <w:rPr>
                <w:rFonts w:ascii="Times New Roman" w:hAnsi="Times New Roman" w:cs="Times New Roman"/>
                <w:b/>
                <w:lang w:val="sr-Cyrl-CS"/>
              </w:rPr>
              <w:t>Укупна количина генерисаног комуналног отпада</w:t>
            </w:r>
            <w:r w:rsidRPr="00644F20">
              <w:rPr>
                <w:rFonts w:ascii="Times New Roman" w:hAnsi="Times New Roman" w:cs="Times New Roman"/>
                <w:lang w:val="sr-Cyrl-CS"/>
              </w:rPr>
              <w:t xml:space="preserve"> (милиона тона)</w:t>
            </w:r>
          </w:p>
        </w:tc>
        <w:tc>
          <w:tcPr>
            <w:tcW w:w="1344" w:type="dxa"/>
            <w:vAlign w:val="center"/>
          </w:tcPr>
          <w:p w14:paraId="7B4618AC"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2,71</w:t>
            </w:r>
          </w:p>
        </w:tc>
        <w:tc>
          <w:tcPr>
            <w:tcW w:w="1344" w:type="dxa"/>
            <w:vAlign w:val="center"/>
          </w:tcPr>
          <w:p w14:paraId="4B2D844E"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2,77</w:t>
            </w:r>
          </w:p>
        </w:tc>
        <w:tc>
          <w:tcPr>
            <w:tcW w:w="1344" w:type="dxa"/>
            <w:vAlign w:val="center"/>
          </w:tcPr>
          <w:p w14:paraId="2C398E10"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2,80</w:t>
            </w:r>
          </w:p>
        </w:tc>
        <w:tc>
          <w:tcPr>
            <w:tcW w:w="1348" w:type="dxa"/>
            <w:vAlign w:val="center"/>
          </w:tcPr>
          <w:p w14:paraId="370BBA9A"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2,95</w:t>
            </w:r>
          </w:p>
        </w:tc>
      </w:tr>
      <w:tr w:rsidR="00497092" w:rsidRPr="00644F20" w14:paraId="2FCF1DF6" w14:textId="77777777">
        <w:trPr>
          <w:jc w:val="center"/>
        </w:trPr>
        <w:tc>
          <w:tcPr>
            <w:tcW w:w="3709" w:type="dxa"/>
            <w:vAlign w:val="center"/>
          </w:tcPr>
          <w:p w14:paraId="74294576" w14:textId="77777777" w:rsidR="00497092" w:rsidRPr="00644F20" w:rsidRDefault="002F45E1">
            <w:pPr>
              <w:spacing w:after="60" w:line="276" w:lineRule="auto"/>
              <w:rPr>
                <w:rFonts w:ascii="Times New Roman" w:hAnsi="Times New Roman" w:cs="Times New Roman"/>
                <w:lang w:val="sr-Cyrl-CS"/>
              </w:rPr>
            </w:pPr>
            <w:r w:rsidRPr="00644F20">
              <w:rPr>
                <w:rFonts w:ascii="Times New Roman" w:hAnsi="Times New Roman" w:cs="Times New Roman"/>
                <w:b/>
                <w:lang w:val="sr-Cyrl-CS"/>
              </w:rPr>
              <w:t>Рециклиране фракције комуналног отпада</w:t>
            </w:r>
            <w:r w:rsidRPr="00644F20">
              <w:rPr>
                <w:rFonts w:ascii="Times New Roman" w:hAnsi="Times New Roman" w:cs="Times New Roman"/>
                <w:lang w:val="sr-Cyrl-CS"/>
              </w:rPr>
              <w:t xml:space="preserve"> (милиона тона)</w:t>
            </w:r>
          </w:p>
        </w:tc>
        <w:tc>
          <w:tcPr>
            <w:tcW w:w="1344" w:type="dxa"/>
            <w:vAlign w:val="center"/>
          </w:tcPr>
          <w:p w14:paraId="6E5AC6A9"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0,283</w:t>
            </w:r>
          </w:p>
        </w:tc>
        <w:tc>
          <w:tcPr>
            <w:tcW w:w="1344" w:type="dxa"/>
            <w:vAlign w:val="center"/>
          </w:tcPr>
          <w:p w14:paraId="2B8438E8"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0,330</w:t>
            </w:r>
          </w:p>
        </w:tc>
        <w:tc>
          <w:tcPr>
            <w:tcW w:w="1344" w:type="dxa"/>
            <w:vAlign w:val="center"/>
          </w:tcPr>
          <w:p w14:paraId="0A87EB56"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0,334</w:t>
            </w:r>
          </w:p>
        </w:tc>
        <w:tc>
          <w:tcPr>
            <w:tcW w:w="1348" w:type="dxa"/>
            <w:vAlign w:val="center"/>
          </w:tcPr>
          <w:p w14:paraId="1B5BE78F"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0,343</w:t>
            </w:r>
          </w:p>
        </w:tc>
      </w:tr>
      <w:tr w:rsidR="00497092" w:rsidRPr="00644F20" w14:paraId="3F4946D1" w14:textId="77777777">
        <w:trPr>
          <w:jc w:val="center"/>
        </w:trPr>
        <w:tc>
          <w:tcPr>
            <w:tcW w:w="3709" w:type="dxa"/>
            <w:vAlign w:val="center"/>
          </w:tcPr>
          <w:p w14:paraId="37BD2502" w14:textId="77777777" w:rsidR="00497092" w:rsidRPr="00644F20" w:rsidRDefault="002F45E1">
            <w:pPr>
              <w:spacing w:after="60" w:line="276" w:lineRule="auto"/>
              <w:rPr>
                <w:rFonts w:ascii="Times New Roman" w:hAnsi="Times New Roman" w:cs="Times New Roman"/>
                <w:lang w:val="sr-Cyrl-CS"/>
              </w:rPr>
            </w:pPr>
            <w:r w:rsidRPr="00644F20">
              <w:rPr>
                <w:rFonts w:ascii="Times New Roman" w:hAnsi="Times New Roman" w:cs="Times New Roman"/>
                <w:b/>
                <w:lang w:val="sr-Cyrl-CS"/>
              </w:rPr>
              <w:t>Извезене фракције комуналног отпада</w:t>
            </w:r>
            <w:r w:rsidRPr="00644F20">
              <w:rPr>
                <w:rFonts w:ascii="Times New Roman" w:hAnsi="Times New Roman" w:cs="Times New Roman"/>
                <w:lang w:val="sr-Cyrl-CS"/>
              </w:rPr>
              <w:t xml:space="preserve"> (милиона тона)</w:t>
            </w:r>
          </w:p>
        </w:tc>
        <w:tc>
          <w:tcPr>
            <w:tcW w:w="1344" w:type="dxa"/>
            <w:vAlign w:val="center"/>
          </w:tcPr>
          <w:p w14:paraId="6E4191DE"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0,098</w:t>
            </w:r>
          </w:p>
        </w:tc>
        <w:tc>
          <w:tcPr>
            <w:tcW w:w="1344" w:type="dxa"/>
            <w:vAlign w:val="center"/>
          </w:tcPr>
          <w:p w14:paraId="6485F12D"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0,096</w:t>
            </w:r>
          </w:p>
        </w:tc>
        <w:tc>
          <w:tcPr>
            <w:tcW w:w="1344" w:type="dxa"/>
            <w:vAlign w:val="center"/>
          </w:tcPr>
          <w:p w14:paraId="01822B2F"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0,109</w:t>
            </w:r>
          </w:p>
        </w:tc>
        <w:tc>
          <w:tcPr>
            <w:tcW w:w="1348" w:type="dxa"/>
            <w:vAlign w:val="center"/>
          </w:tcPr>
          <w:p w14:paraId="79BF69C3"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0,114</w:t>
            </w:r>
          </w:p>
        </w:tc>
      </w:tr>
      <w:tr w:rsidR="00497092" w:rsidRPr="00644F20" w14:paraId="677F9A57" w14:textId="77777777">
        <w:trPr>
          <w:jc w:val="center"/>
        </w:trPr>
        <w:tc>
          <w:tcPr>
            <w:tcW w:w="3709" w:type="dxa"/>
            <w:vAlign w:val="center"/>
          </w:tcPr>
          <w:p w14:paraId="792E915F" w14:textId="77777777" w:rsidR="00497092" w:rsidRPr="00644F20" w:rsidRDefault="002F45E1">
            <w:pPr>
              <w:spacing w:after="60" w:line="276" w:lineRule="auto"/>
              <w:rPr>
                <w:rFonts w:ascii="Times New Roman" w:hAnsi="Times New Roman" w:cs="Times New Roman"/>
                <w:lang w:val="sr-Cyrl-CS"/>
              </w:rPr>
            </w:pPr>
            <w:r w:rsidRPr="00644F20">
              <w:rPr>
                <w:rFonts w:ascii="Times New Roman" w:hAnsi="Times New Roman" w:cs="Times New Roman"/>
                <w:b/>
                <w:lang w:val="sr-Cyrl-CS"/>
              </w:rPr>
              <w:t>Количина прикупљеног и депонованог отпада</w:t>
            </w:r>
            <w:r w:rsidRPr="00644F20">
              <w:rPr>
                <w:rFonts w:ascii="Times New Roman" w:hAnsi="Times New Roman" w:cs="Times New Roman"/>
                <w:lang w:val="sr-Cyrl-CS"/>
              </w:rPr>
              <w:t xml:space="preserve"> (милиона тона)</w:t>
            </w:r>
          </w:p>
        </w:tc>
        <w:tc>
          <w:tcPr>
            <w:tcW w:w="1344" w:type="dxa"/>
            <w:vAlign w:val="center"/>
          </w:tcPr>
          <w:p w14:paraId="0A8BD45D"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2,33</w:t>
            </w:r>
          </w:p>
        </w:tc>
        <w:tc>
          <w:tcPr>
            <w:tcW w:w="1344" w:type="dxa"/>
            <w:vAlign w:val="center"/>
          </w:tcPr>
          <w:p w14:paraId="315EA829"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2,34</w:t>
            </w:r>
          </w:p>
        </w:tc>
        <w:tc>
          <w:tcPr>
            <w:tcW w:w="1344" w:type="dxa"/>
            <w:vAlign w:val="center"/>
          </w:tcPr>
          <w:p w14:paraId="17660576"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2,36</w:t>
            </w:r>
          </w:p>
        </w:tc>
        <w:tc>
          <w:tcPr>
            <w:tcW w:w="1348" w:type="dxa"/>
            <w:vAlign w:val="center"/>
          </w:tcPr>
          <w:p w14:paraId="3FEC4E2B"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2,46</w:t>
            </w:r>
          </w:p>
        </w:tc>
      </w:tr>
      <w:tr w:rsidR="00497092" w:rsidRPr="00644F20" w14:paraId="38145E2C" w14:textId="77777777">
        <w:trPr>
          <w:jc w:val="center"/>
        </w:trPr>
        <w:tc>
          <w:tcPr>
            <w:tcW w:w="3709" w:type="dxa"/>
            <w:vAlign w:val="center"/>
          </w:tcPr>
          <w:p w14:paraId="2550E9D4" w14:textId="77777777" w:rsidR="00497092" w:rsidRPr="00644F20" w:rsidRDefault="002F45E1">
            <w:pPr>
              <w:spacing w:after="60" w:line="276" w:lineRule="auto"/>
              <w:rPr>
                <w:rFonts w:ascii="Times New Roman" w:hAnsi="Times New Roman" w:cs="Times New Roman"/>
                <w:lang w:val="sr-Cyrl-CS"/>
              </w:rPr>
            </w:pPr>
            <w:r w:rsidRPr="00644F20">
              <w:rPr>
                <w:rFonts w:ascii="Times New Roman" w:hAnsi="Times New Roman" w:cs="Times New Roman"/>
                <w:b/>
                <w:lang w:val="sr-Cyrl-CS"/>
              </w:rPr>
              <w:t>Просечни обухват прикупљања отпада</w:t>
            </w:r>
            <w:r w:rsidRPr="00644F20">
              <w:rPr>
                <w:rFonts w:ascii="Times New Roman" w:hAnsi="Times New Roman" w:cs="Times New Roman"/>
                <w:lang w:val="sr-Cyrl-CS"/>
              </w:rPr>
              <w:t xml:space="preserve"> (%)</w:t>
            </w:r>
          </w:p>
        </w:tc>
        <w:tc>
          <w:tcPr>
            <w:tcW w:w="1344" w:type="dxa"/>
            <w:vAlign w:val="center"/>
          </w:tcPr>
          <w:p w14:paraId="2C2724E9"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83,7</w:t>
            </w:r>
          </w:p>
        </w:tc>
        <w:tc>
          <w:tcPr>
            <w:tcW w:w="1344" w:type="dxa"/>
            <w:vAlign w:val="center"/>
          </w:tcPr>
          <w:p w14:paraId="74BFCFA4"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87,2</w:t>
            </w:r>
          </w:p>
        </w:tc>
        <w:tc>
          <w:tcPr>
            <w:tcW w:w="1344" w:type="dxa"/>
            <w:vAlign w:val="center"/>
          </w:tcPr>
          <w:p w14:paraId="7D8DADFA"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86,2</w:t>
            </w:r>
          </w:p>
        </w:tc>
        <w:tc>
          <w:tcPr>
            <w:tcW w:w="1348" w:type="dxa"/>
            <w:vAlign w:val="center"/>
          </w:tcPr>
          <w:p w14:paraId="3F584323"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86,4</w:t>
            </w:r>
          </w:p>
        </w:tc>
      </w:tr>
      <w:tr w:rsidR="00497092" w:rsidRPr="00644F20" w14:paraId="6AC157E2" w14:textId="77777777">
        <w:trPr>
          <w:jc w:val="center"/>
        </w:trPr>
        <w:tc>
          <w:tcPr>
            <w:tcW w:w="3709" w:type="dxa"/>
            <w:vAlign w:val="center"/>
          </w:tcPr>
          <w:p w14:paraId="006D8A44" w14:textId="77777777" w:rsidR="00497092" w:rsidRPr="00644F20" w:rsidRDefault="002F45E1">
            <w:pPr>
              <w:spacing w:after="60" w:line="276" w:lineRule="auto"/>
              <w:rPr>
                <w:rFonts w:ascii="Times New Roman" w:hAnsi="Times New Roman" w:cs="Times New Roman"/>
                <w:lang w:val="sr-Cyrl-CS"/>
              </w:rPr>
            </w:pPr>
            <w:r w:rsidRPr="00644F20">
              <w:rPr>
                <w:rFonts w:ascii="Times New Roman" w:hAnsi="Times New Roman" w:cs="Times New Roman"/>
                <w:b/>
                <w:lang w:val="sr-Cyrl-CS"/>
              </w:rPr>
              <w:t>Средња дневна количина комуналног отпада по становнику</w:t>
            </w:r>
            <w:r w:rsidRPr="00644F20">
              <w:rPr>
                <w:rFonts w:ascii="Times New Roman" w:hAnsi="Times New Roman" w:cs="Times New Roman"/>
                <w:lang w:val="sr-Cyrl-CS"/>
              </w:rPr>
              <w:t xml:space="preserve"> (килограм)</w:t>
            </w:r>
          </w:p>
        </w:tc>
        <w:tc>
          <w:tcPr>
            <w:tcW w:w="1344" w:type="dxa"/>
            <w:vAlign w:val="center"/>
          </w:tcPr>
          <w:p w14:paraId="055E02BC"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1,07</w:t>
            </w:r>
          </w:p>
        </w:tc>
        <w:tc>
          <w:tcPr>
            <w:tcW w:w="1344" w:type="dxa"/>
            <w:vAlign w:val="center"/>
          </w:tcPr>
          <w:p w14:paraId="029BAA56"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1,10</w:t>
            </w:r>
          </w:p>
        </w:tc>
        <w:tc>
          <w:tcPr>
            <w:tcW w:w="1344" w:type="dxa"/>
            <w:vAlign w:val="center"/>
          </w:tcPr>
          <w:p w14:paraId="28E26185"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1,11</w:t>
            </w:r>
          </w:p>
        </w:tc>
        <w:tc>
          <w:tcPr>
            <w:tcW w:w="1348" w:type="dxa"/>
            <w:vAlign w:val="center"/>
          </w:tcPr>
          <w:p w14:paraId="0FC3EF55"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1,17</w:t>
            </w:r>
          </w:p>
        </w:tc>
      </w:tr>
      <w:tr w:rsidR="00497092" w:rsidRPr="00644F20" w14:paraId="5DE93674" w14:textId="77777777">
        <w:trPr>
          <w:jc w:val="center"/>
        </w:trPr>
        <w:tc>
          <w:tcPr>
            <w:tcW w:w="3709" w:type="dxa"/>
            <w:vAlign w:val="center"/>
          </w:tcPr>
          <w:p w14:paraId="1655684C" w14:textId="77777777" w:rsidR="00497092" w:rsidRPr="00644F20" w:rsidRDefault="002F45E1">
            <w:pPr>
              <w:spacing w:after="60" w:line="276" w:lineRule="auto"/>
              <w:rPr>
                <w:rFonts w:ascii="Times New Roman" w:hAnsi="Times New Roman" w:cs="Times New Roman"/>
                <w:b/>
                <w:lang w:val="sr-Cyrl-CS"/>
              </w:rPr>
            </w:pPr>
            <w:r w:rsidRPr="00644F20">
              <w:rPr>
                <w:rFonts w:ascii="Times New Roman" w:hAnsi="Times New Roman" w:cs="Times New Roman"/>
                <w:b/>
                <w:lang w:val="sr-Cyrl-CS"/>
              </w:rPr>
              <w:t xml:space="preserve">Степен рециклаже комуналног отпада </w:t>
            </w:r>
            <w:r w:rsidRPr="00644F20">
              <w:rPr>
                <w:rFonts w:ascii="Times New Roman" w:hAnsi="Times New Roman" w:cs="Times New Roman"/>
                <w:lang w:val="sr-Cyrl-CS"/>
              </w:rPr>
              <w:t>(%)</w:t>
            </w:r>
          </w:p>
        </w:tc>
        <w:tc>
          <w:tcPr>
            <w:tcW w:w="1344" w:type="dxa"/>
            <w:vAlign w:val="center"/>
          </w:tcPr>
          <w:p w14:paraId="658EF45D"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14,1</w:t>
            </w:r>
          </w:p>
        </w:tc>
        <w:tc>
          <w:tcPr>
            <w:tcW w:w="1344" w:type="dxa"/>
            <w:vAlign w:val="center"/>
          </w:tcPr>
          <w:p w14:paraId="38417BF0"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15,4</w:t>
            </w:r>
          </w:p>
        </w:tc>
        <w:tc>
          <w:tcPr>
            <w:tcW w:w="1344" w:type="dxa"/>
            <w:vAlign w:val="center"/>
          </w:tcPr>
          <w:p w14:paraId="433C6C19"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15,8</w:t>
            </w:r>
          </w:p>
        </w:tc>
        <w:tc>
          <w:tcPr>
            <w:tcW w:w="1348" w:type="dxa"/>
            <w:vAlign w:val="center"/>
          </w:tcPr>
          <w:p w14:paraId="000BC09F" w14:textId="77777777" w:rsidR="00497092" w:rsidRPr="00644F20" w:rsidRDefault="002F45E1">
            <w:pPr>
              <w:spacing w:line="276" w:lineRule="auto"/>
              <w:jc w:val="center"/>
              <w:rPr>
                <w:rFonts w:ascii="Times New Roman" w:hAnsi="Times New Roman" w:cs="Times New Roman"/>
                <w:lang w:val="sr-Cyrl-CS"/>
              </w:rPr>
            </w:pPr>
            <w:r w:rsidRPr="00644F20">
              <w:rPr>
                <w:rFonts w:ascii="Times New Roman" w:hAnsi="Times New Roman" w:cs="Times New Roman"/>
                <w:lang w:val="sr-Cyrl-CS"/>
              </w:rPr>
              <w:t>15,7</w:t>
            </w:r>
          </w:p>
        </w:tc>
      </w:tr>
    </w:tbl>
    <w:p w14:paraId="56DADDCD" w14:textId="77777777" w:rsidR="00497092" w:rsidRPr="00644F20" w:rsidRDefault="002F45E1">
      <w:pPr>
        <w:spacing w:after="60" w:line="276" w:lineRule="auto"/>
        <w:jc w:val="both"/>
        <w:rPr>
          <w:rFonts w:ascii="Times New Roman" w:hAnsi="Times New Roman" w:cs="Times New Roman"/>
          <w:sz w:val="18"/>
          <w:szCs w:val="18"/>
          <w:lang w:val="sr-Cyrl-CS"/>
        </w:rPr>
      </w:pPr>
      <w:r w:rsidRPr="00644F20">
        <w:rPr>
          <w:rFonts w:ascii="Times New Roman" w:hAnsi="Times New Roman" w:cs="Times New Roman"/>
          <w:sz w:val="24"/>
          <w:szCs w:val="24"/>
          <w:lang w:val="sr-Cyrl-CS"/>
        </w:rPr>
        <w:t xml:space="preserve">  </w:t>
      </w:r>
      <w:r w:rsidRPr="00644F20">
        <w:rPr>
          <w:rFonts w:ascii="Times New Roman" w:hAnsi="Times New Roman" w:cs="Times New Roman"/>
          <w:sz w:val="18"/>
          <w:szCs w:val="18"/>
          <w:lang w:val="sr-Cyrl-CS"/>
        </w:rPr>
        <w:t>* Процена извршена на основу броја становника у 2019. години</w:t>
      </w:r>
    </w:p>
    <w:p w14:paraId="257BEAE6"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11 (од укупно 12) постојећих санитарних депонија у 2020. години одложен</w:t>
      </w:r>
      <w:r w:rsidR="00EE58FE">
        <w:rPr>
          <w:rFonts w:ascii="Times New Roman" w:hAnsi="Times New Roman" w:cs="Times New Roman"/>
          <w:sz w:val="24"/>
          <w:szCs w:val="24"/>
          <w:lang w:val="sr-Cyrl-CS"/>
        </w:rPr>
        <w:t xml:space="preserve">о је приближно 19% (558.568 </w:t>
      </w:r>
      <w:r w:rsidR="00EE58FE"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од укупно генерисаног комуналног отпада и присутан је тренд пораста одлагања на ове депоније, за око 60 хиљада тона у односу на 2019. годину. Међутим, и даље се велике количине комуналног отпада одлажу на несанитарним депонијама. </w:t>
      </w:r>
    </w:p>
    <w:p w14:paraId="1DEF42D6" w14:textId="77777777" w:rsidR="00497092" w:rsidRPr="00644F20" w:rsidRDefault="002F45E1" w:rsidP="00EC6F5A">
      <w:pPr>
        <w:spacing w:after="60" w:line="276" w:lineRule="auto"/>
        <w:ind w:firstLine="36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основу прикупљених и објављених  података за 2019. годину,</w:t>
      </w:r>
      <w:r w:rsidRPr="00644F20">
        <w:rPr>
          <w:rFonts w:ascii="Times New Roman" w:hAnsi="Times New Roman" w:cs="Times New Roman"/>
          <w:sz w:val="24"/>
          <w:szCs w:val="24"/>
          <w:vertAlign w:val="superscript"/>
          <w:lang w:val="sr-Cyrl-CS"/>
        </w:rPr>
        <w:footnoteReference w:id="46"/>
      </w:r>
      <w:r w:rsidRPr="00644F20">
        <w:rPr>
          <w:rFonts w:ascii="Times New Roman" w:hAnsi="Times New Roman" w:cs="Times New Roman"/>
          <w:sz w:val="24"/>
          <w:szCs w:val="24"/>
          <w:lang w:val="sr-Cyrl-CS"/>
        </w:rPr>
        <w:t xml:space="preserve"> следећи показатељи додатно приказују постојеће стање:</w:t>
      </w:r>
    </w:p>
    <w:p w14:paraId="7EE3D7F1" w14:textId="77777777" w:rsidR="00CD5110" w:rsidRPr="00644F20" w:rsidRDefault="002B45E7" w:rsidP="00EC6F5A">
      <w:pPr>
        <w:pStyle w:val="ListParagraph"/>
        <w:numPr>
          <w:ilvl w:val="0"/>
          <w:numId w:val="5"/>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на </w:t>
      </w:r>
      <w:r w:rsidR="002F45E1" w:rsidRPr="00644F20">
        <w:rPr>
          <w:rFonts w:ascii="Times New Roman" w:hAnsi="Times New Roman" w:cs="Times New Roman"/>
          <w:sz w:val="24"/>
          <w:szCs w:val="24"/>
          <w:lang w:val="sr-Cyrl-CS"/>
        </w:rPr>
        <w:t xml:space="preserve">територији Републике Србије лоцирано је 15 трансфер станица од којих је 11 у </w:t>
      </w:r>
    </w:p>
    <w:p w14:paraId="05E02E58" w14:textId="77777777" w:rsidR="00497092" w:rsidRPr="00644F20" w:rsidRDefault="002F45E1" w:rsidP="00CD5110">
      <w:p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функцији, а на свега </w:t>
      </w:r>
      <w:r w:rsidR="00EE58FE">
        <w:rPr>
          <w:rFonts w:ascii="Times New Roman" w:hAnsi="Times New Roman" w:cs="Times New Roman"/>
          <w:sz w:val="24"/>
          <w:szCs w:val="24"/>
          <w:lang w:val="sr-Cyrl-CS"/>
        </w:rPr>
        <w:t>пет</w:t>
      </w:r>
      <w:r w:rsidRPr="00644F20">
        <w:rPr>
          <w:rFonts w:ascii="Times New Roman" w:hAnsi="Times New Roman" w:cs="Times New Roman"/>
          <w:sz w:val="24"/>
          <w:szCs w:val="24"/>
          <w:lang w:val="sr-Cyrl-CS"/>
        </w:rPr>
        <w:t xml:space="preserve"> се врши одвајање поједи</w:t>
      </w:r>
      <w:r w:rsidR="002B45E7" w:rsidRPr="00644F20">
        <w:rPr>
          <w:rFonts w:ascii="Times New Roman" w:hAnsi="Times New Roman" w:cs="Times New Roman"/>
          <w:sz w:val="24"/>
          <w:szCs w:val="24"/>
          <w:lang w:val="sr-Cyrl-CS"/>
        </w:rPr>
        <w:t>них фракција комуналног отпада;</w:t>
      </w:r>
    </w:p>
    <w:p w14:paraId="045E87C4" w14:textId="77777777" w:rsidR="00CD5110" w:rsidRPr="00644F20" w:rsidRDefault="002B45E7">
      <w:pPr>
        <w:numPr>
          <w:ilvl w:val="0"/>
          <w:numId w:val="5"/>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од </w:t>
      </w:r>
      <w:r w:rsidR="002F45E1" w:rsidRPr="00644F20">
        <w:rPr>
          <w:rFonts w:ascii="Times New Roman" w:hAnsi="Times New Roman" w:cs="Times New Roman"/>
          <w:sz w:val="24"/>
          <w:szCs w:val="24"/>
          <w:lang w:val="sr-Cyrl-CS"/>
        </w:rPr>
        <w:t xml:space="preserve">36 рециклажних центара 28 је у функцији, од којих се у 27 врши одвајање појединих </w:t>
      </w:r>
    </w:p>
    <w:p w14:paraId="398B1A9C" w14:textId="77777777" w:rsidR="00497092" w:rsidRPr="00644F20" w:rsidRDefault="002F45E1" w:rsidP="00CD5110">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фракција комуналног отпада;</w:t>
      </w:r>
    </w:p>
    <w:p w14:paraId="28889330" w14:textId="77777777" w:rsidR="00CD5110" w:rsidRPr="00644F20" w:rsidRDefault="002B45E7">
      <w:pPr>
        <w:numPr>
          <w:ilvl w:val="0"/>
          <w:numId w:val="5"/>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на </w:t>
      </w:r>
      <w:r w:rsidR="002F45E1" w:rsidRPr="00644F20">
        <w:rPr>
          <w:rFonts w:ascii="Times New Roman" w:hAnsi="Times New Roman" w:cs="Times New Roman"/>
          <w:sz w:val="24"/>
          <w:szCs w:val="24"/>
          <w:lang w:val="sr-Cyrl-CS"/>
        </w:rPr>
        <w:t xml:space="preserve">основу података достављеним од 131 </w:t>
      </w:r>
      <w:r w:rsidR="00C40C94" w:rsidRPr="00644F20">
        <w:rPr>
          <w:rFonts w:ascii="Times New Roman" w:hAnsi="Times New Roman" w:cs="Times New Roman"/>
          <w:sz w:val="24"/>
          <w:szCs w:val="24"/>
          <w:lang w:val="sr-Cyrl-CS"/>
        </w:rPr>
        <w:t>ЈЛС</w:t>
      </w:r>
      <w:r w:rsidR="002F45E1" w:rsidRPr="00644F20">
        <w:rPr>
          <w:rFonts w:ascii="Times New Roman" w:hAnsi="Times New Roman" w:cs="Times New Roman"/>
          <w:sz w:val="24"/>
          <w:szCs w:val="24"/>
          <w:lang w:val="sr-Cyrl-CS"/>
        </w:rPr>
        <w:t xml:space="preserve">, постоји укупно 2305 дивљих депонија у </w:t>
      </w:r>
    </w:p>
    <w:p w14:paraId="1A835AFA" w14:textId="77777777" w:rsidR="00497092" w:rsidRPr="00644F20" w:rsidRDefault="002F45E1" w:rsidP="00CD5110">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Републици Србији.</w:t>
      </w:r>
    </w:p>
    <w:p w14:paraId="3C45E7B0" w14:textId="77777777" w:rsidR="00497092" w:rsidRPr="00644F20" w:rsidRDefault="002F45E1" w:rsidP="00EC6F5A">
      <w:pPr>
        <w:spacing w:after="60" w:line="276" w:lineRule="auto"/>
        <w:ind w:firstLine="36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Према последњим ажурир</w:t>
      </w:r>
      <w:r w:rsidR="00EC6F5A" w:rsidRPr="00644F20">
        <w:rPr>
          <w:rFonts w:ascii="Times New Roman" w:hAnsi="Times New Roman" w:cs="Times New Roman"/>
          <w:sz w:val="24"/>
          <w:szCs w:val="24"/>
          <w:lang w:val="sr-Cyrl-CS"/>
        </w:rPr>
        <w:t xml:space="preserve">аним подацима </w:t>
      </w:r>
      <w:r w:rsidR="00432893" w:rsidRPr="00644F20">
        <w:rPr>
          <w:rFonts w:ascii="Times New Roman" w:hAnsi="Times New Roman" w:cs="Times New Roman"/>
          <w:sz w:val="24"/>
          <w:szCs w:val="24"/>
          <w:lang w:val="sr-Cyrl-CS"/>
        </w:rPr>
        <w:t>АЖЗС</w:t>
      </w:r>
      <w:r w:rsidR="00EC6F5A" w:rsidRPr="00644F20">
        <w:rPr>
          <w:rFonts w:ascii="Times New Roman" w:hAnsi="Times New Roman" w:cs="Times New Roman"/>
          <w:sz w:val="24"/>
          <w:szCs w:val="24"/>
          <w:lang w:val="sr-Cyrl-CS"/>
        </w:rPr>
        <w:t xml:space="preserve"> од 29. новембра </w:t>
      </w:r>
      <w:r w:rsidRPr="00644F20">
        <w:rPr>
          <w:rFonts w:ascii="Times New Roman" w:hAnsi="Times New Roman" w:cs="Times New Roman"/>
          <w:sz w:val="24"/>
          <w:szCs w:val="24"/>
          <w:lang w:val="sr-Cyrl-CS"/>
        </w:rPr>
        <w:t xml:space="preserve">2021. године у Републици Србији је укупно издато 2509 дозвола за управљање отпадом на свим нивоима. На основу анализе издатих дозвола може се закључити да постоји 1745 оператера који поседују једну или више дозвола (интегралних). Број оператера који поседују дозволе за третман отпада је 695, док дозволе за одлагање има 41 оператер. На основу ових података може се закључити да у </w:t>
      </w:r>
      <w:r w:rsidRPr="00644F20">
        <w:rPr>
          <w:rFonts w:ascii="Times New Roman" w:hAnsi="Times New Roman" w:cs="Times New Roman"/>
          <w:sz w:val="24"/>
          <w:szCs w:val="24"/>
          <w:lang w:val="sr-Cyrl-CS"/>
        </w:rPr>
        <w:lastRenderedPageBreak/>
        <w:t>нашој земљи постоји веома разграната мрежа оператера у управљању отпадом, али се на основу напред наведених података о броју достављених извештаја закључује да велики проценат оператера који поседује дозволе није активно на тржишту у овој области, или не поступа у складу са законским захтевима у погледу извештавања.</w:t>
      </w:r>
    </w:p>
    <w:p w14:paraId="60D60D9F" w14:textId="77777777" w:rsidR="00497092" w:rsidRPr="00644F20" w:rsidRDefault="002F45E1" w:rsidP="00EC6F5A">
      <w:pPr>
        <w:spacing w:after="60" w:line="276" w:lineRule="auto"/>
        <w:ind w:firstLine="81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На основу наведених података може се закључити да је за даљи развој циркуларне економије у Републици Србији у области управљања отпадом неопходно успостављање адекватног и ефикасног система примарне селекције комуналног отпада барем за папир и картон, пластику, стакло, метал и текстил, како би се достигли циљеви Директиве 2018/851 о измени директиве 2008/98/ЕЗ о отпаду. Поред тога, треба имати у виду да постојећи систем наплате одношења и збрињавања комуналног отпада по квадратном метру стамбене површине треба детаљно анализирати и унапредити како би се створили услови да се успостави модел којим би становништво и правна лица били стимулисани да разврставају комунални отпад и врше примарну селекцију.  </w:t>
      </w:r>
    </w:p>
    <w:p w14:paraId="0ED57FEE"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Такође, одредбе и циљеви ове директиве постављају високе захтеве које треба испунити у погледу степена рециклаже неопасног грађевинског отпада. У нашој земљи још увек није успостављен систем за одвојено сакупљање и рециклажу ове врсте отпада који има велики потенцијал за циркуларну економију. Уређење ове области представља посебан изазов с обзиром да је коришћење отпада од грађења и рушења значајан за циркуларну економију јер се према искуствима развијен земаља овај отпад може рециклирати до 80%. </w:t>
      </w:r>
    </w:p>
    <w:p w14:paraId="2F9987E8"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Имајући у виду одредбе Директиве 2018/850 о одлагању отпада и захтева да се количина комуналног отпада одложеног на депоније почев од 2035. године смањи на 10% укупне количине насталог комуналног отпада, а посебно из разлога високог удела биодеградабилног отпада у комуналном отпаду у нашој земљи, потребно је планирати и развити систем превенције настајања ове врсте отпада као и адекватног третмана којим ће се обезбедити поновно искоришћење и валоризација биодеградабилног отпада. Опције аеробног и анаеробног третмана (компостирање и биогасна постројења) су најповољније опције за смањење одлагања биодеградабилног отпада и имплементацију концепта циркуларне економије.</w:t>
      </w:r>
    </w:p>
    <w:p w14:paraId="2FFF9CD5"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нашој земљи се према проценама годишње баци око 247.000 тона хране, што је између 30 и 40 килограма по становнику годишње</w:t>
      </w:r>
      <w:r w:rsidRPr="00644F20">
        <w:rPr>
          <w:rFonts w:ascii="Times New Roman" w:hAnsi="Times New Roman" w:cs="Times New Roman"/>
          <w:sz w:val="24"/>
          <w:szCs w:val="24"/>
          <w:vertAlign w:val="superscript"/>
          <w:lang w:val="sr-Cyrl-CS"/>
        </w:rPr>
        <w:footnoteReference w:id="47"/>
      </w:r>
      <w:r w:rsidRPr="00644F20">
        <w:rPr>
          <w:rFonts w:ascii="Times New Roman" w:hAnsi="Times New Roman" w:cs="Times New Roman"/>
          <w:sz w:val="24"/>
          <w:szCs w:val="24"/>
          <w:lang w:val="sr-Cyrl-CS"/>
        </w:rPr>
        <w:t>. У просеку угоститељски објекти припреме 137 оброка дневно, од којих настаје приближно 8 kg отпада од хране, а највеће здравствене установе у просеку припреме и до 1000 оброка дневно од којих настаје око 28 kg отпада од хране. Само 21% објеката масовне исхране има знање о правилном управљању отпадом од хране, о томе шта подразумева овај отпад, као и које су конкретне процедуре за одговорно управљање овим отпадом. Кључна ствар за примену циркуларне економије у области угоститељства и припреме хране је превенција настајања отпада од хране, која се може постићи применом модела и алата за правилну примену хране који већ постоје у Е</w:t>
      </w:r>
      <w:r w:rsidR="00C130AF" w:rsidRPr="00644F20">
        <w:rPr>
          <w:rFonts w:ascii="Times New Roman" w:hAnsi="Times New Roman" w:cs="Times New Roman"/>
          <w:sz w:val="24"/>
          <w:szCs w:val="24"/>
          <w:lang w:val="sr-Cyrl-CS"/>
        </w:rPr>
        <w:t>вропској  унији</w:t>
      </w:r>
      <w:r w:rsidRPr="00644F20">
        <w:rPr>
          <w:rFonts w:ascii="Times New Roman" w:hAnsi="Times New Roman" w:cs="Times New Roman"/>
          <w:sz w:val="24"/>
          <w:szCs w:val="24"/>
          <w:lang w:val="sr-Cyrl-CS"/>
        </w:rPr>
        <w:t>.</w:t>
      </w:r>
    </w:p>
    <w:p w14:paraId="7C307124"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Као један од проблема за боље управљање отпадом је и </w:t>
      </w:r>
      <w:r w:rsidRPr="00644F20">
        <w:rPr>
          <w:rFonts w:ascii="Times New Roman" w:eastAsia="Times New Roman" w:hAnsi="Times New Roman" w:cs="Times New Roman"/>
          <w:sz w:val="24"/>
          <w:szCs w:val="24"/>
          <w:lang w:val="sr-Cyrl-CS"/>
        </w:rPr>
        <w:t>ниска искоришћеност остатака из процеса производње и слаба размена информација о њиховом могућем поновном коришћењу међу привредним субјектима. Постоји процедура за регистровање нуспроизвода и материјала којима је престао статус отпада али је процес доста успорен.</w:t>
      </w:r>
    </w:p>
    <w:p w14:paraId="69716325" w14:textId="77777777" w:rsidR="00497092" w:rsidRPr="00644F20" w:rsidRDefault="002F45E1" w:rsidP="00EC6F5A">
      <w:pPr>
        <w:spacing w:after="60" w:line="276" w:lineRule="auto"/>
        <w:ind w:firstLine="720"/>
        <w:jc w:val="both"/>
        <w:rPr>
          <w:rFonts w:ascii="Times New Roman" w:eastAsia="Times New Roman" w:hAnsi="Times New Roman" w:cs="Times New Roman"/>
          <w:sz w:val="24"/>
          <w:szCs w:val="24"/>
          <w:lang w:val="sr-Cyrl-CS"/>
        </w:rPr>
      </w:pPr>
      <w:r w:rsidRPr="00644F20">
        <w:rPr>
          <w:rFonts w:ascii="Times New Roman" w:hAnsi="Times New Roman" w:cs="Times New Roman"/>
          <w:sz w:val="24"/>
          <w:szCs w:val="24"/>
          <w:lang w:val="sr-Cyrl-CS"/>
        </w:rPr>
        <w:lastRenderedPageBreak/>
        <w:t xml:space="preserve">У овом тренутку за упис у регистар нус производа поднето је 17 захтева, од којих је </w:t>
      </w:r>
      <w:r w:rsidR="00206C28" w:rsidRPr="00644F20">
        <w:rPr>
          <w:rFonts w:ascii="Times New Roman" w:hAnsi="Times New Roman" w:cs="Times New Roman"/>
          <w:sz w:val="24"/>
          <w:szCs w:val="24"/>
          <w:lang w:val="sr-Cyrl-CS"/>
        </w:rPr>
        <w:t>четири</w:t>
      </w:r>
      <w:r w:rsidRPr="00644F20">
        <w:rPr>
          <w:rFonts w:ascii="Times New Roman" w:hAnsi="Times New Roman" w:cs="Times New Roman"/>
          <w:sz w:val="24"/>
          <w:szCs w:val="24"/>
          <w:lang w:val="sr-Cyrl-CS"/>
        </w:rPr>
        <w:t xml:space="preserve"> оператера добило потврду о упису у регистар, а једно решење је у поступку поништења. Три оператера су поднела захтев за престанак статуса одређених врста отпада, а за два оператера је поступак завршен. Овај процес је од великог значаја за повећање конкурентности домаће индустрије и доследну примену концепта циркуларне економије, али је још увек у почетној фази. За циркуларну економију је од великог значаја да се унапреди постојећи систем како би се  повећало </w:t>
      </w:r>
      <w:r w:rsidRPr="00644F20">
        <w:rPr>
          <w:rFonts w:ascii="Times New Roman" w:eastAsia="Times New Roman" w:hAnsi="Times New Roman" w:cs="Times New Roman"/>
          <w:sz w:val="24"/>
          <w:szCs w:val="24"/>
          <w:lang w:val="sr-Cyrl-CS"/>
        </w:rPr>
        <w:t xml:space="preserve">искоришћење остатака из производних процеса, и кроз ефикаснију размену информацијама привредни субјекти боље повезали. </w:t>
      </w:r>
    </w:p>
    <w:p w14:paraId="3DF56007" w14:textId="77777777" w:rsidR="00497092" w:rsidRPr="00644F20" w:rsidRDefault="002F45E1">
      <w:pPr>
        <w:keepNext/>
        <w:keepLines/>
        <w:spacing w:after="60" w:line="276" w:lineRule="auto"/>
        <w:outlineLvl w:val="3"/>
        <w:rPr>
          <w:rFonts w:ascii="Times New Roman" w:eastAsiaTheme="majorEastAsia" w:hAnsi="Times New Roman" w:cs="Times New Roman"/>
          <w:b/>
          <w:bCs/>
          <w:iCs/>
          <w:sz w:val="24"/>
          <w:szCs w:val="24"/>
          <w:lang w:val="sr-Cyrl-CS"/>
        </w:rPr>
      </w:pPr>
      <w:r w:rsidRPr="00644F20">
        <w:rPr>
          <w:rFonts w:ascii="Times New Roman" w:eastAsiaTheme="majorEastAsia" w:hAnsi="Times New Roman" w:cs="Times New Roman"/>
          <w:b/>
          <w:bCs/>
          <w:iCs/>
          <w:sz w:val="24"/>
          <w:szCs w:val="24"/>
          <w:lang w:val="sr-Cyrl-CS"/>
        </w:rPr>
        <w:t xml:space="preserve">3.1.4.3. Управљање амбалажом и амбалажним отпадом </w:t>
      </w:r>
    </w:p>
    <w:p w14:paraId="0971C15E" w14:textId="77777777" w:rsidR="00497092" w:rsidRPr="00644F20" w:rsidRDefault="002F45E1" w:rsidP="00EC6F5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На основу извештаја Агенције о управљању амбалажом и амбалажним отпадом у Републици Србији у 2020. години, укупна количина амбалаже стављене на тржиште Републике Србије износила је 362.236,7 </w:t>
      </w:r>
      <w:r w:rsidR="007D514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Дозволе за управљање амбалажом и амбалажним отпадом поседује 7 националних оператера који су управљали амбалажом и амбалажним отпадом за 1918 правних лица која стављају производе у амбалажи на тржиште Републике Србије. Количина амбалаже која је стављена на тржиште Републике Србије од стране правних лица или предузетника који су своје обавезе пренели на оператере износила је  360.942,8 </w:t>
      </w:r>
      <w:r w:rsidR="007D514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у 2020. години.</w:t>
      </w:r>
    </w:p>
    <w:p w14:paraId="6C13D7F0" w14:textId="77777777" w:rsidR="00497092" w:rsidRPr="00644F20" w:rsidRDefault="002F45E1" w:rsidP="00EC6F5A">
      <w:pPr>
        <w:autoSpaceDE w:val="0"/>
        <w:autoSpaceDN w:val="0"/>
        <w:adjustRightInd w:val="0"/>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Количина амбалаже која је стављена на тржиште Републике Србије од стране 248 правних лица или предузетника који нису пренели своју обавезу на оператера за управљање амбалажним отпадом износила је 1.293,9 </w:t>
      </w:r>
      <w:r w:rsidR="007D514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Овим правним лицима или предузетницима који су на тржиште пласирали више од једне тоне амбалаже, наплаћује се накнада за управљање отпадом. </w:t>
      </w:r>
    </w:p>
    <w:p w14:paraId="504FF325" w14:textId="77777777" w:rsidR="00497092" w:rsidRPr="00644F20" w:rsidRDefault="002F45E1" w:rsidP="00EC6F5A">
      <w:pPr>
        <w:autoSpaceDE w:val="0"/>
        <w:autoSpaceDN w:val="0"/>
        <w:adjustRightInd w:val="0"/>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2020. години Влада је донела Уредбу о утврђивању Плана смањења амбалажног отпада за период од 2020</w:t>
      </w:r>
      <w:r w:rsidR="007D5146" w:rsidRPr="00644F20">
        <w:rPr>
          <w:rFonts w:ascii="Times New Roman" w:hAnsi="Times New Roman" w:cs="Times New Roman"/>
          <w:sz w:val="24"/>
          <w:szCs w:val="24"/>
          <w:lang w:val="sr-Cyrl-CS"/>
        </w:rPr>
        <w:t xml:space="preserve">. до </w:t>
      </w:r>
      <w:r w:rsidRPr="00644F20">
        <w:rPr>
          <w:rFonts w:ascii="Times New Roman" w:hAnsi="Times New Roman" w:cs="Times New Roman"/>
          <w:sz w:val="24"/>
          <w:szCs w:val="24"/>
          <w:lang w:val="sr-Cyrl-CS"/>
        </w:rPr>
        <w:t>2024. године (,,Службени гласник РС”</w:t>
      </w:r>
      <w:r w:rsidR="00CD5110"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xml:space="preserve"> број 81/20). Прописани општи циљеви за 2020. годину износили су 61% за поновно искоришћење и 56% за рециклажу. Од стране оператера пријављена је количина од 226.020,8 </w:t>
      </w:r>
      <w:r w:rsidR="007D514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поновно искоришћеног амбалажног отпада, од чега је 216.711,2 </w:t>
      </w:r>
      <w:r w:rsidR="007D514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предато на рециклажу. Дакле, општи национални циљеви за Републику Србију у 2020. години су испуњени, за поновно искоришћење отпада остварена је вредност од 62,6%, а за рециклажу отпада 60,0%. Поред општих националних циљева, испуњени су и специфични циљеви за 2020. годину у погледу рециклаже амбалажног отпада, као што се може видети у </w:t>
      </w:r>
      <w:r w:rsidR="007D5146" w:rsidRPr="00644F20">
        <w:rPr>
          <w:rFonts w:ascii="Times New Roman" w:hAnsi="Times New Roman" w:cs="Times New Roman"/>
          <w:sz w:val="24"/>
          <w:szCs w:val="24"/>
          <w:lang w:val="sr-Cyrl-CS"/>
        </w:rPr>
        <w:t xml:space="preserve">Табели </w:t>
      </w:r>
      <w:r w:rsidRPr="00644F20">
        <w:rPr>
          <w:rFonts w:ascii="Times New Roman" w:hAnsi="Times New Roman" w:cs="Times New Roman"/>
          <w:sz w:val="24"/>
          <w:szCs w:val="24"/>
          <w:lang w:val="sr-Cyrl-CS"/>
        </w:rPr>
        <w:t>3.5.</w:t>
      </w:r>
    </w:p>
    <w:p w14:paraId="262FAE15" w14:textId="77777777" w:rsidR="00497092" w:rsidRPr="00644F20" w:rsidRDefault="002F45E1">
      <w:pPr>
        <w:spacing w:after="60" w:line="276" w:lineRule="auto"/>
        <w:rPr>
          <w:rFonts w:ascii="Times New Roman" w:hAnsi="Times New Roman" w:cs="Times New Roman"/>
          <w:b/>
          <w:lang w:val="sr-Cyrl-CS"/>
        </w:rPr>
      </w:pPr>
      <w:r w:rsidRPr="00644F20">
        <w:rPr>
          <w:rFonts w:ascii="Times New Roman" w:hAnsi="Times New Roman" w:cs="Times New Roman"/>
          <w:b/>
          <w:lang w:val="sr-Cyrl-CS"/>
        </w:rPr>
        <w:t xml:space="preserve">Табела 3.5 </w:t>
      </w:r>
      <w:r w:rsidRPr="00644F20">
        <w:rPr>
          <w:rFonts w:ascii="Times New Roman" w:hAnsi="Times New Roman" w:cs="Times New Roman"/>
          <w:lang w:val="sr-Cyrl-CS"/>
        </w:rPr>
        <w:t>Испуњеност специфичних циљева за амбалажни отпад за 2020. годину</w:t>
      </w:r>
    </w:p>
    <w:tbl>
      <w:tblPr>
        <w:tblW w:w="8222" w:type="dxa"/>
        <w:tblInd w:w="250" w:type="dxa"/>
        <w:tblLook w:val="04A0" w:firstRow="1" w:lastRow="0" w:firstColumn="1" w:lastColumn="0" w:noHBand="0" w:noVBand="1"/>
      </w:tblPr>
      <w:tblGrid>
        <w:gridCol w:w="2835"/>
        <w:gridCol w:w="2693"/>
        <w:gridCol w:w="2694"/>
      </w:tblGrid>
      <w:tr w:rsidR="00497092" w:rsidRPr="00644F20" w14:paraId="07A51E57" w14:textId="77777777">
        <w:trPr>
          <w:trHeight w:val="743"/>
        </w:trPr>
        <w:tc>
          <w:tcPr>
            <w:tcW w:w="2835" w:type="dxa"/>
            <w:shd w:val="clear" w:color="auto" w:fill="E2EFD9" w:themeFill="accent6" w:themeFillTint="33"/>
            <w:vAlign w:val="center"/>
          </w:tcPr>
          <w:p w14:paraId="0E3614BA" w14:textId="77777777" w:rsidR="00497092" w:rsidRPr="00644F20" w:rsidRDefault="002F45E1">
            <w:pPr>
              <w:spacing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Врста амбалажног отпада</w:t>
            </w:r>
          </w:p>
        </w:tc>
        <w:tc>
          <w:tcPr>
            <w:tcW w:w="2693" w:type="dxa"/>
            <w:shd w:val="clear" w:color="auto" w:fill="E2EFD9" w:themeFill="accent6" w:themeFillTint="33"/>
            <w:vAlign w:val="center"/>
          </w:tcPr>
          <w:p w14:paraId="4BC5E6C8" w14:textId="77777777" w:rsidR="00497092" w:rsidRPr="00644F20" w:rsidRDefault="002F45E1">
            <w:pPr>
              <w:spacing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Прописани специфични циљеви (%)</w:t>
            </w:r>
          </w:p>
        </w:tc>
        <w:tc>
          <w:tcPr>
            <w:tcW w:w="2694" w:type="dxa"/>
            <w:shd w:val="clear" w:color="auto" w:fill="E2EFD9" w:themeFill="accent6" w:themeFillTint="33"/>
            <w:vAlign w:val="center"/>
          </w:tcPr>
          <w:p w14:paraId="02335DE0" w14:textId="77777777" w:rsidR="00497092" w:rsidRPr="00644F20" w:rsidRDefault="002F45E1">
            <w:pPr>
              <w:spacing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Остварени специфични циљеви (%)</w:t>
            </w:r>
          </w:p>
        </w:tc>
      </w:tr>
      <w:tr w:rsidR="00497092" w:rsidRPr="00644F20" w14:paraId="41C78419" w14:textId="77777777">
        <w:trPr>
          <w:trHeight w:val="324"/>
        </w:trPr>
        <w:tc>
          <w:tcPr>
            <w:tcW w:w="2835" w:type="dxa"/>
            <w:vAlign w:val="center"/>
          </w:tcPr>
          <w:p w14:paraId="6489996A" w14:textId="77777777" w:rsidR="00497092" w:rsidRPr="00644F20" w:rsidRDefault="002F45E1">
            <w:pPr>
              <w:spacing w:after="60" w:line="276" w:lineRule="auto"/>
              <w:rPr>
                <w:rFonts w:ascii="Times New Roman" w:eastAsia="Times New Roman" w:hAnsi="Times New Roman" w:cs="Times New Roman"/>
                <w:lang w:val="sr-Cyrl-CS"/>
              </w:rPr>
            </w:pPr>
            <w:r w:rsidRPr="00644F20">
              <w:rPr>
                <w:rFonts w:ascii="Times New Roman" w:eastAsia="Times New Roman" w:hAnsi="Times New Roman" w:cs="Times New Roman"/>
                <w:lang w:val="sr-Cyrl-CS"/>
              </w:rPr>
              <w:t>Папир/картон</w:t>
            </w:r>
          </w:p>
        </w:tc>
        <w:tc>
          <w:tcPr>
            <w:tcW w:w="2693" w:type="dxa"/>
            <w:vAlign w:val="center"/>
          </w:tcPr>
          <w:p w14:paraId="0DCF75FB"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Times New Roman" w:hAnsi="Times New Roman" w:cs="Times New Roman"/>
                <w:lang w:val="sr-Cyrl-CS"/>
              </w:rPr>
              <w:t>62</w:t>
            </w:r>
          </w:p>
        </w:tc>
        <w:tc>
          <w:tcPr>
            <w:tcW w:w="2694" w:type="dxa"/>
            <w:vAlign w:val="center"/>
          </w:tcPr>
          <w:p w14:paraId="6AEDD9C0"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hAnsi="Times New Roman" w:cs="Times New Roman"/>
                <w:bCs/>
                <w:iCs/>
                <w:lang w:val="sr-Cyrl-CS"/>
              </w:rPr>
              <w:t>95,1</w:t>
            </w:r>
          </w:p>
        </w:tc>
      </w:tr>
      <w:tr w:rsidR="00497092" w:rsidRPr="00644F20" w14:paraId="7D1A04C2" w14:textId="77777777">
        <w:trPr>
          <w:trHeight w:val="324"/>
        </w:trPr>
        <w:tc>
          <w:tcPr>
            <w:tcW w:w="2835" w:type="dxa"/>
            <w:vAlign w:val="center"/>
          </w:tcPr>
          <w:p w14:paraId="1E239BE9" w14:textId="77777777" w:rsidR="00497092" w:rsidRPr="00644F20" w:rsidRDefault="002F45E1">
            <w:pPr>
              <w:spacing w:after="60" w:line="276" w:lineRule="auto"/>
              <w:rPr>
                <w:rFonts w:ascii="Times New Roman" w:eastAsia="Times New Roman" w:hAnsi="Times New Roman" w:cs="Times New Roman"/>
                <w:lang w:val="sr-Cyrl-CS"/>
              </w:rPr>
            </w:pPr>
            <w:r w:rsidRPr="00644F20">
              <w:rPr>
                <w:rFonts w:ascii="Times New Roman" w:eastAsia="Times New Roman" w:hAnsi="Times New Roman" w:cs="Times New Roman"/>
                <w:lang w:val="sr-Cyrl-CS"/>
              </w:rPr>
              <w:t>Пластика</w:t>
            </w:r>
          </w:p>
        </w:tc>
        <w:tc>
          <w:tcPr>
            <w:tcW w:w="2693" w:type="dxa"/>
            <w:vAlign w:val="center"/>
          </w:tcPr>
          <w:p w14:paraId="5720F18A"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Times New Roman" w:hAnsi="Times New Roman" w:cs="Times New Roman"/>
                <w:lang w:val="sr-Cyrl-CS"/>
              </w:rPr>
              <w:t>26</w:t>
            </w:r>
          </w:p>
        </w:tc>
        <w:tc>
          <w:tcPr>
            <w:tcW w:w="2694" w:type="dxa"/>
            <w:vAlign w:val="center"/>
          </w:tcPr>
          <w:p w14:paraId="25DF284E"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hAnsi="Times New Roman" w:cs="Times New Roman"/>
                <w:bCs/>
                <w:iCs/>
                <w:lang w:val="sr-Cyrl-CS"/>
              </w:rPr>
              <w:t>33,8</w:t>
            </w:r>
          </w:p>
        </w:tc>
      </w:tr>
      <w:tr w:rsidR="00497092" w:rsidRPr="00644F20" w14:paraId="1FDD1347" w14:textId="77777777">
        <w:trPr>
          <w:trHeight w:val="337"/>
        </w:trPr>
        <w:tc>
          <w:tcPr>
            <w:tcW w:w="2835" w:type="dxa"/>
            <w:vAlign w:val="center"/>
          </w:tcPr>
          <w:p w14:paraId="6A35912B" w14:textId="77777777" w:rsidR="00497092" w:rsidRPr="00644F20" w:rsidRDefault="002F45E1">
            <w:pPr>
              <w:spacing w:after="60" w:line="276" w:lineRule="auto"/>
              <w:rPr>
                <w:rFonts w:ascii="Times New Roman" w:eastAsia="Times New Roman" w:hAnsi="Times New Roman" w:cs="Times New Roman"/>
                <w:lang w:val="sr-Cyrl-CS"/>
              </w:rPr>
            </w:pPr>
            <w:r w:rsidRPr="00644F20">
              <w:rPr>
                <w:rFonts w:ascii="Times New Roman" w:eastAsia="Times New Roman" w:hAnsi="Times New Roman" w:cs="Times New Roman"/>
                <w:lang w:val="sr-Cyrl-CS"/>
              </w:rPr>
              <w:t>Стакло</w:t>
            </w:r>
          </w:p>
        </w:tc>
        <w:tc>
          <w:tcPr>
            <w:tcW w:w="2693" w:type="dxa"/>
            <w:vAlign w:val="center"/>
          </w:tcPr>
          <w:p w14:paraId="240F00DB"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Times New Roman" w:hAnsi="Times New Roman" w:cs="Times New Roman"/>
                <w:lang w:val="sr-Cyrl-CS"/>
              </w:rPr>
              <w:t>44</w:t>
            </w:r>
          </w:p>
        </w:tc>
        <w:tc>
          <w:tcPr>
            <w:tcW w:w="2694" w:type="dxa"/>
            <w:vAlign w:val="center"/>
          </w:tcPr>
          <w:p w14:paraId="6EA08A0D"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hAnsi="Times New Roman" w:cs="Times New Roman"/>
                <w:bCs/>
                <w:iCs/>
                <w:lang w:val="sr-Cyrl-CS"/>
              </w:rPr>
              <w:t>48,1</w:t>
            </w:r>
          </w:p>
        </w:tc>
      </w:tr>
      <w:tr w:rsidR="00497092" w:rsidRPr="00644F20" w14:paraId="54D78D45" w14:textId="77777777">
        <w:trPr>
          <w:trHeight w:val="324"/>
        </w:trPr>
        <w:tc>
          <w:tcPr>
            <w:tcW w:w="2835" w:type="dxa"/>
            <w:vAlign w:val="center"/>
          </w:tcPr>
          <w:p w14:paraId="7F395CB0" w14:textId="77777777" w:rsidR="00497092" w:rsidRPr="00644F20" w:rsidRDefault="002F45E1">
            <w:pPr>
              <w:spacing w:after="60" w:line="276" w:lineRule="auto"/>
              <w:rPr>
                <w:rFonts w:ascii="Times New Roman" w:eastAsia="Times New Roman" w:hAnsi="Times New Roman" w:cs="Times New Roman"/>
                <w:lang w:val="sr-Cyrl-CS"/>
              </w:rPr>
            </w:pPr>
            <w:r w:rsidRPr="00644F20">
              <w:rPr>
                <w:rFonts w:ascii="Times New Roman" w:eastAsia="Times New Roman" w:hAnsi="Times New Roman" w:cs="Times New Roman"/>
                <w:lang w:val="sr-Cyrl-CS"/>
              </w:rPr>
              <w:t>Метал</w:t>
            </w:r>
          </w:p>
        </w:tc>
        <w:tc>
          <w:tcPr>
            <w:tcW w:w="2693" w:type="dxa"/>
            <w:vAlign w:val="center"/>
          </w:tcPr>
          <w:p w14:paraId="56A5BA3B"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Times New Roman" w:hAnsi="Times New Roman" w:cs="Times New Roman"/>
                <w:lang w:val="sr-Cyrl-CS"/>
              </w:rPr>
              <w:t>45</w:t>
            </w:r>
          </w:p>
        </w:tc>
        <w:tc>
          <w:tcPr>
            <w:tcW w:w="2694" w:type="dxa"/>
            <w:vAlign w:val="center"/>
          </w:tcPr>
          <w:p w14:paraId="2EE651A9"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hAnsi="Times New Roman" w:cs="Times New Roman"/>
                <w:bCs/>
                <w:iCs/>
                <w:lang w:val="sr-Cyrl-CS"/>
              </w:rPr>
              <w:t>78,0</w:t>
            </w:r>
          </w:p>
        </w:tc>
      </w:tr>
      <w:tr w:rsidR="00497092" w:rsidRPr="00644F20" w14:paraId="2E35D2D9" w14:textId="77777777">
        <w:trPr>
          <w:trHeight w:val="324"/>
        </w:trPr>
        <w:tc>
          <w:tcPr>
            <w:tcW w:w="2835" w:type="dxa"/>
            <w:vAlign w:val="center"/>
          </w:tcPr>
          <w:p w14:paraId="6C5377D7" w14:textId="77777777" w:rsidR="00497092" w:rsidRPr="00644F20" w:rsidRDefault="002F45E1">
            <w:pPr>
              <w:spacing w:after="60" w:line="276" w:lineRule="auto"/>
              <w:rPr>
                <w:rFonts w:ascii="Times New Roman" w:eastAsia="Times New Roman" w:hAnsi="Times New Roman" w:cs="Times New Roman"/>
                <w:lang w:val="sr-Cyrl-CS"/>
              </w:rPr>
            </w:pPr>
            <w:r w:rsidRPr="00644F20">
              <w:rPr>
                <w:rFonts w:ascii="Times New Roman" w:eastAsia="Times New Roman" w:hAnsi="Times New Roman" w:cs="Times New Roman"/>
                <w:lang w:val="sr-Cyrl-CS"/>
              </w:rPr>
              <w:t>Дрво</w:t>
            </w:r>
          </w:p>
        </w:tc>
        <w:tc>
          <w:tcPr>
            <w:tcW w:w="2693" w:type="dxa"/>
            <w:vAlign w:val="center"/>
          </w:tcPr>
          <w:p w14:paraId="592962E6"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eastAsia="Times New Roman" w:hAnsi="Times New Roman" w:cs="Times New Roman"/>
                <w:lang w:val="sr-Cyrl-CS"/>
              </w:rPr>
              <w:t>17</w:t>
            </w:r>
          </w:p>
        </w:tc>
        <w:tc>
          <w:tcPr>
            <w:tcW w:w="2694" w:type="dxa"/>
            <w:vAlign w:val="center"/>
          </w:tcPr>
          <w:p w14:paraId="23C3EBB2" w14:textId="77777777" w:rsidR="00497092" w:rsidRPr="00644F20" w:rsidRDefault="002F45E1">
            <w:pPr>
              <w:spacing w:after="60" w:line="276" w:lineRule="auto"/>
              <w:jc w:val="center"/>
              <w:rPr>
                <w:rFonts w:ascii="Times New Roman" w:eastAsia="Times New Roman" w:hAnsi="Times New Roman" w:cs="Times New Roman"/>
                <w:lang w:val="sr-Cyrl-CS"/>
              </w:rPr>
            </w:pPr>
            <w:r w:rsidRPr="00644F20">
              <w:rPr>
                <w:rFonts w:ascii="Times New Roman" w:hAnsi="Times New Roman" w:cs="Times New Roman"/>
                <w:bCs/>
                <w:iCs/>
                <w:lang w:val="sr-Cyrl-CS"/>
              </w:rPr>
              <w:t>39,9</w:t>
            </w:r>
          </w:p>
        </w:tc>
      </w:tr>
    </w:tbl>
    <w:p w14:paraId="61E697BC" w14:textId="77777777" w:rsidR="00497092" w:rsidRPr="00644F20" w:rsidRDefault="002F45E1">
      <w:pPr>
        <w:spacing w:after="60" w:line="276" w:lineRule="auto"/>
        <w:jc w:val="both"/>
        <w:rPr>
          <w:rFonts w:ascii="Times New Roman" w:hAnsi="Times New Roman" w:cs="Times New Roman"/>
          <w:sz w:val="18"/>
          <w:szCs w:val="18"/>
          <w:lang w:val="sr-Cyrl-CS"/>
        </w:rPr>
      </w:pPr>
      <w:r w:rsidRPr="00644F20">
        <w:rPr>
          <w:rFonts w:ascii="Times New Roman" w:hAnsi="Times New Roman" w:cs="Times New Roman"/>
          <w:sz w:val="18"/>
          <w:szCs w:val="18"/>
          <w:lang w:val="sr-Cyrl-CS"/>
        </w:rPr>
        <w:t xml:space="preserve">(Извор: Извештај о управљању амбалажом и амбалажним отпадом у Републици Србији у 2020. години, </w:t>
      </w:r>
      <w:r w:rsidR="001B6E66" w:rsidRPr="00644F20">
        <w:rPr>
          <w:rFonts w:ascii="Times New Roman" w:hAnsi="Times New Roman" w:cs="Times New Roman"/>
          <w:sz w:val="18"/>
          <w:szCs w:val="18"/>
          <w:lang w:val="sr-Cyrl-CS"/>
        </w:rPr>
        <w:t>АЗЖС</w:t>
      </w:r>
      <w:r w:rsidRPr="00644F20">
        <w:rPr>
          <w:rFonts w:ascii="Times New Roman" w:hAnsi="Times New Roman" w:cs="Times New Roman"/>
          <w:sz w:val="18"/>
          <w:szCs w:val="18"/>
          <w:lang w:val="sr-Cyrl-CS"/>
        </w:rPr>
        <w:t>).</w:t>
      </w:r>
    </w:p>
    <w:p w14:paraId="6657FD62" w14:textId="77777777" w:rsidR="00497092" w:rsidRPr="00644F20" w:rsidRDefault="002F45E1" w:rsidP="00EC6F5A">
      <w:pPr>
        <w:spacing w:after="60" w:line="276" w:lineRule="auto"/>
        <w:ind w:firstLine="720"/>
        <w:jc w:val="both"/>
        <w:rPr>
          <w:rFonts w:ascii="Times New Roman" w:hAnsi="Times New Roman" w:cs="Times New Roman"/>
          <w:b/>
          <w:i/>
          <w:sz w:val="24"/>
          <w:szCs w:val="24"/>
          <w:lang w:val="sr-Cyrl-CS"/>
        </w:rPr>
      </w:pPr>
      <w:r w:rsidRPr="00644F20">
        <w:rPr>
          <w:rFonts w:ascii="Times New Roman" w:hAnsi="Times New Roman" w:cs="Times New Roman"/>
          <w:sz w:val="24"/>
          <w:szCs w:val="24"/>
          <w:lang w:val="sr-Cyrl-CS"/>
        </w:rPr>
        <w:t xml:space="preserve">Директива 2018/852 о измени директиве 94/62/ЕЗ о амбалажи и амбалажном отпаду повећала је опште и специфичне циљеве за рециклажу и поновно искоришћење, тако да се без обзира на испуњене националне циљеве мора планирати и инвестирати у системе одвојеног </w:t>
      </w:r>
      <w:r w:rsidRPr="00644F20">
        <w:rPr>
          <w:rFonts w:ascii="Times New Roman" w:hAnsi="Times New Roman" w:cs="Times New Roman"/>
          <w:sz w:val="24"/>
          <w:szCs w:val="24"/>
          <w:lang w:val="sr-Cyrl-CS"/>
        </w:rPr>
        <w:lastRenderedPageBreak/>
        <w:t>сакупљања амбалажног отпада по захтеваним материјалима. Потребно је интензивирати активности на подизању нивоа свести становништва и капацитета правних лица, још интензивнијем укључивању јавно комуналних предузећа у имплементацију система управљања амбалажом и амбалажним отпадом, као и појачати инспекцијски надзор предузећа.</w:t>
      </w:r>
    </w:p>
    <w:p w14:paraId="58A07CA1" w14:textId="77777777" w:rsidR="00497092" w:rsidRPr="00644F20" w:rsidRDefault="002F45E1">
      <w:pPr>
        <w:keepNext/>
        <w:keepLines/>
        <w:spacing w:after="60" w:line="276" w:lineRule="auto"/>
        <w:outlineLvl w:val="3"/>
        <w:rPr>
          <w:rFonts w:ascii="Times New Roman" w:eastAsiaTheme="majorEastAsia" w:hAnsi="Times New Roman" w:cs="Times New Roman"/>
          <w:b/>
          <w:bCs/>
          <w:iCs/>
          <w:sz w:val="24"/>
          <w:szCs w:val="24"/>
          <w:lang w:val="sr-Cyrl-CS"/>
        </w:rPr>
      </w:pPr>
      <w:r w:rsidRPr="00644F20">
        <w:rPr>
          <w:rFonts w:ascii="Times New Roman" w:eastAsiaTheme="majorEastAsia" w:hAnsi="Times New Roman" w:cs="Times New Roman"/>
          <w:b/>
          <w:bCs/>
          <w:iCs/>
          <w:sz w:val="24"/>
          <w:szCs w:val="24"/>
          <w:lang w:val="sr-Cyrl-CS"/>
        </w:rPr>
        <w:t>3.1.4.4. Управљање посебним токовима отпада</w:t>
      </w:r>
    </w:p>
    <w:p w14:paraId="1FDA1923" w14:textId="77777777" w:rsidR="00497092" w:rsidRPr="00644F20" w:rsidRDefault="002F45E1" w:rsidP="00EC6F5A">
      <w:pPr>
        <w:spacing w:after="60" w:line="276" w:lineRule="auto"/>
        <w:ind w:firstLine="357"/>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Производи који после употребе постају посебни токови отпада у складу са Законом</w:t>
      </w:r>
      <w:r w:rsidR="00EC6F5A" w:rsidRPr="00644F20">
        <w:rPr>
          <w:rFonts w:ascii="Times New Roman" w:hAnsi="Times New Roman" w:cs="Times New Roman"/>
          <w:sz w:val="24"/>
          <w:szCs w:val="24"/>
          <w:lang w:val="sr-Cyrl-CS"/>
        </w:rPr>
        <w:t xml:space="preserve"> о</w:t>
      </w:r>
      <w:r w:rsidR="00BD6F13" w:rsidRPr="00644F20">
        <w:rPr>
          <w:rFonts w:ascii="Times New Roman" w:hAnsi="Times New Roman" w:cs="Times New Roman"/>
          <w:sz w:val="24"/>
          <w:szCs w:val="24"/>
          <w:lang w:val="sr-Cyrl-CS"/>
        </w:rPr>
        <w:t xml:space="preserve"> управљању отпадом </w:t>
      </w:r>
      <w:r w:rsidR="00EC6F5A" w:rsidRPr="00644F20">
        <w:rPr>
          <w:rFonts w:ascii="Times New Roman" w:hAnsi="Times New Roman" w:cs="Times New Roman"/>
          <w:sz w:val="24"/>
          <w:szCs w:val="24"/>
          <w:lang w:val="sr-Cyrl-CS"/>
        </w:rPr>
        <w:t xml:space="preserve"> </w:t>
      </w:r>
      <w:r w:rsidRPr="00644F20">
        <w:rPr>
          <w:rFonts w:ascii="Times New Roman" w:hAnsi="Times New Roman" w:cs="Times New Roman"/>
          <w:sz w:val="24"/>
          <w:szCs w:val="24"/>
          <w:lang w:val="sr-Cyrl-CS"/>
        </w:rPr>
        <w:t>су:</w:t>
      </w:r>
    </w:p>
    <w:p w14:paraId="0D0315BB" w14:textId="77777777" w:rsidR="00497092" w:rsidRPr="00644F20" w:rsidRDefault="002F45E1" w:rsidP="00BD6F13">
      <w:pPr>
        <w:pStyle w:val="ListParagraph"/>
        <w:numPr>
          <w:ilvl w:val="0"/>
          <w:numId w:val="6"/>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гуме;</w:t>
      </w:r>
    </w:p>
    <w:p w14:paraId="4A655B62" w14:textId="77777777" w:rsidR="00497092" w:rsidRPr="00644F20" w:rsidRDefault="002F45E1">
      <w:pPr>
        <w:numPr>
          <w:ilvl w:val="0"/>
          <w:numId w:val="6"/>
        </w:numPr>
        <w:spacing w:after="60" w:line="276" w:lineRule="auto"/>
        <w:ind w:left="714" w:hanging="357"/>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батерије или акумулатори;</w:t>
      </w:r>
    </w:p>
    <w:p w14:paraId="2D6F9E23" w14:textId="77777777" w:rsidR="00497092" w:rsidRPr="00644F20" w:rsidRDefault="002F45E1">
      <w:pPr>
        <w:numPr>
          <w:ilvl w:val="0"/>
          <w:numId w:val="6"/>
        </w:numPr>
        <w:spacing w:after="60" w:line="276" w:lineRule="auto"/>
        <w:ind w:left="714" w:hanging="357"/>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уља;</w:t>
      </w:r>
    </w:p>
    <w:p w14:paraId="2E126EE5" w14:textId="77777777" w:rsidR="00497092" w:rsidRPr="00644F20" w:rsidRDefault="002F45E1">
      <w:pPr>
        <w:numPr>
          <w:ilvl w:val="0"/>
          <w:numId w:val="6"/>
        </w:numPr>
        <w:spacing w:after="60" w:line="276" w:lineRule="auto"/>
        <w:ind w:left="714" w:hanging="357"/>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електрични и електронски производи и</w:t>
      </w:r>
    </w:p>
    <w:p w14:paraId="14351A4A" w14:textId="77777777" w:rsidR="00497092" w:rsidRPr="00644F20" w:rsidRDefault="002F45E1">
      <w:pPr>
        <w:numPr>
          <w:ilvl w:val="0"/>
          <w:numId w:val="6"/>
        </w:numPr>
        <w:spacing w:after="60" w:line="276" w:lineRule="auto"/>
        <w:ind w:left="714" w:hanging="357"/>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возила. </w:t>
      </w:r>
    </w:p>
    <w:p w14:paraId="543E4D37" w14:textId="77777777" w:rsidR="00497092" w:rsidRPr="00644F20" w:rsidRDefault="002F45E1" w:rsidP="00BD6F13">
      <w:pPr>
        <w:spacing w:after="60" w:line="276" w:lineRule="auto"/>
        <w:ind w:firstLine="357"/>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Законом о управљању отпадом прописанa је обавеза управљања појединим посебним токовима отпада, као и обавеза извештавања власника ових врста отпада и достављања одговарајућих података Агенцији. Према подацима Агенције у последње три године тренд извештавања у прописаном законском року је варирао, и кретао се од 5743 предузећа у 2018. години, до 5392 предузећа у 2020. години (Производи који после употребе постају посебни токови отпада у Републици Србији у 2</w:t>
      </w:r>
      <w:r w:rsidR="000C2F0E" w:rsidRPr="00644F20">
        <w:rPr>
          <w:rFonts w:ascii="Times New Roman" w:hAnsi="Times New Roman" w:cs="Times New Roman"/>
          <w:sz w:val="24"/>
          <w:szCs w:val="24"/>
          <w:lang w:val="sr-Cyrl-CS"/>
        </w:rPr>
        <w:t>020. години, Агенција, јун 2021</w:t>
      </w:r>
      <w:r w:rsidRPr="00644F20">
        <w:rPr>
          <w:rFonts w:ascii="Times New Roman" w:hAnsi="Times New Roman" w:cs="Times New Roman"/>
          <w:sz w:val="24"/>
          <w:szCs w:val="24"/>
          <w:lang w:val="sr-Cyrl-CS"/>
        </w:rPr>
        <w:t xml:space="preserve">).  </w:t>
      </w:r>
    </w:p>
    <w:p w14:paraId="752529FE" w14:textId="77777777" w:rsidR="00497092" w:rsidRPr="00644F20" w:rsidRDefault="002F45E1" w:rsidP="00BD6F13">
      <w:pPr>
        <w:spacing w:after="60" w:line="276" w:lineRule="auto"/>
        <w:ind w:firstLine="357"/>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Законом о накнадама за коришћење јавних добара (,,Службени гласник РС”, бр. 95/18</w:t>
      </w:r>
      <w:r w:rsidR="00887403" w:rsidRPr="00644F20">
        <w:rPr>
          <w:rFonts w:ascii="Times New Roman" w:hAnsi="Times New Roman" w:cs="Times New Roman"/>
          <w:sz w:val="24"/>
          <w:szCs w:val="24"/>
          <w:lang w:val="sr-Cyrl-CS"/>
        </w:rPr>
        <w:t xml:space="preserve"> и 49/19</w:t>
      </w:r>
      <w:r w:rsidRPr="00644F20">
        <w:rPr>
          <w:rFonts w:ascii="Times New Roman" w:hAnsi="Times New Roman" w:cs="Times New Roman"/>
          <w:sz w:val="24"/>
          <w:szCs w:val="24"/>
          <w:lang w:val="sr-Cyrl-CS"/>
        </w:rPr>
        <w:t>) прописана је висина накнаде за производе који после употребе постају посебни токови отпада.</w:t>
      </w:r>
    </w:p>
    <w:p w14:paraId="2DC8EE82" w14:textId="77777777" w:rsidR="00497092" w:rsidRPr="00644F20" w:rsidRDefault="00F95726">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 xml:space="preserve">Количина гума стављених на тржиште у 2020. години износила је 39.882,3 </w:t>
      </w:r>
      <w:r w:rsidR="00887403" w:rsidRPr="00644F20">
        <w:rPr>
          <w:rFonts w:ascii="Times New Roman" w:hAnsi="Times New Roman" w:cs="Times New Roman"/>
          <w:sz w:val="24"/>
          <w:szCs w:val="24"/>
          <w:lang w:val="sr-Cyrl-CS"/>
        </w:rPr>
        <w:t>t</w:t>
      </w:r>
      <w:r w:rsidR="002F45E1" w:rsidRPr="00644F20">
        <w:rPr>
          <w:rFonts w:ascii="Times New Roman" w:hAnsi="Times New Roman" w:cs="Times New Roman"/>
          <w:sz w:val="24"/>
          <w:szCs w:val="24"/>
          <w:lang w:val="sr-Cyrl-CS"/>
        </w:rPr>
        <w:t xml:space="preserve">. Током исте године поново је искоришћено 49.512 </w:t>
      </w:r>
      <w:r w:rsidR="00887403" w:rsidRPr="00644F20">
        <w:rPr>
          <w:rFonts w:ascii="Times New Roman" w:hAnsi="Times New Roman" w:cs="Times New Roman"/>
          <w:sz w:val="24"/>
          <w:szCs w:val="24"/>
          <w:lang w:val="sr-Cyrl-CS"/>
        </w:rPr>
        <w:t>t</w:t>
      </w:r>
      <w:r w:rsidR="002F45E1" w:rsidRPr="00644F20">
        <w:rPr>
          <w:rFonts w:ascii="Times New Roman" w:hAnsi="Times New Roman" w:cs="Times New Roman"/>
          <w:sz w:val="24"/>
          <w:szCs w:val="24"/>
          <w:lang w:val="sr-Cyrl-CS"/>
        </w:rPr>
        <w:t xml:space="preserve"> отпа</w:t>
      </w:r>
      <w:r w:rsidR="00EE58FE">
        <w:rPr>
          <w:rFonts w:ascii="Times New Roman" w:hAnsi="Times New Roman" w:cs="Times New Roman"/>
          <w:sz w:val="24"/>
          <w:szCs w:val="24"/>
          <w:lang w:val="sr-Cyrl-CS"/>
        </w:rPr>
        <w:t xml:space="preserve">дних гума, увезено је 6.186 </w:t>
      </w:r>
      <w:r w:rsidR="00EE58FE" w:rsidRPr="00644F20">
        <w:rPr>
          <w:rFonts w:ascii="Times New Roman" w:hAnsi="Times New Roman" w:cs="Times New Roman"/>
          <w:sz w:val="24"/>
          <w:szCs w:val="24"/>
          <w:lang w:val="sr-Cyrl-CS"/>
        </w:rPr>
        <w:t>t</w:t>
      </w:r>
      <w:r w:rsidR="002F45E1" w:rsidRPr="00644F20">
        <w:rPr>
          <w:rFonts w:ascii="Times New Roman" w:hAnsi="Times New Roman" w:cs="Times New Roman"/>
          <w:sz w:val="24"/>
          <w:szCs w:val="24"/>
          <w:lang w:val="sr-Cyrl-CS"/>
        </w:rPr>
        <w:t xml:space="preserve"> ове</w:t>
      </w:r>
      <w:r w:rsidR="00EE58FE">
        <w:rPr>
          <w:rFonts w:ascii="Times New Roman" w:hAnsi="Times New Roman" w:cs="Times New Roman"/>
          <w:sz w:val="24"/>
          <w:szCs w:val="24"/>
          <w:lang w:val="sr-Cyrl-CS"/>
        </w:rPr>
        <w:t xml:space="preserve"> врсте отпада и одложено 72 </w:t>
      </w:r>
      <w:r w:rsidR="00EE58FE" w:rsidRPr="00644F20">
        <w:rPr>
          <w:rFonts w:ascii="Times New Roman" w:hAnsi="Times New Roman" w:cs="Times New Roman"/>
          <w:sz w:val="24"/>
          <w:szCs w:val="24"/>
          <w:lang w:val="sr-Cyrl-CS"/>
        </w:rPr>
        <w:t>t</w:t>
      </w:r>
      <w:r w:rsidR="002F45E1" w:rsidRPr="00644F20">
        <w:rPr>
          <w:rFonts w:ascii="Times New Roman" w:hAnsi="Times New Roman" w:cs="Times New Roman"/>
          <w:sz w:val="24"/>
          <w:szCs w:val="24"/>
          <w:lang w:val="sr-Cyrl-CS"/>
        </w:rPr>
        <w:t>.</w:t>
      </w:r>
    </w:p>
    <w:p w14:paraId="1072C72C" w14:textId="77777777" w:rsidR="00497092" w:rsidRPr="00644F20" w:rsidRDefault="002F45E1" w:rsidP="00BD6F13">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Укупна количина акумулатора и батерија (стартери, преносне батерије или акумулатори, индустријске батерије и акумулатори) стављених на тржиште у 2020. години износила је 17.950,7 </w:t>
      </w:r>
      <w:r w:rsidR="00F9572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Према извештајима oператера постројења за поновно искоришћење отпада прерађено је 15.839 </w:t>
      </w:r>
      <w:r w:rsidR="00F9572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ове врсте отпада, извезено је 4.280 </w:t>
      </w:r>
      <w:r w:rsidR="00F9572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док је у истом периоду увезено 4.782 </w:t>
      </w:r>
      <w:r w:rsidR="00F9572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w:t>
      </w:r>
    </w:p>
    <w:p w14:paraId="1E4FA393" w14:textId="77777777" w:rsidR="00497092" w:rsidRPr="00644F20" w:rsidRDefault="002F45E1" w:rsidP="00BD6F13">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Укупна количина уља (минерална и синтетичка) стављенa на тржиште у 2020. години износила је 36.792,9 </w:t>
      </w:r>
      <w:r w:rsidR="00F9572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На основу годишњег извештаја о отпаду оператера постројења за поновно искоришћење отпада добијен је податак да је у 2020. години прерађено 2.178 </w:t>
      </w:r>
      <w:r w:rsidR="00F9572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отпадног уља, док је у истом периоду извезено 730 </w:t>
      </w:r>
      <w:r w:rsidR="00F9572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отпадног уља.</w:t>
      </w:r>
    </w:p>
    <w:p w14:paraId="704307E8" w14:textId="77777777" w:rsidR="00497092" w:rsidRPr="00644F20" w:rsidRDefault="002F45E1" w:rsidP="00BD6F13">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Електрични и електронски производи који се стављају на тржиште разврстани су у десет разреда. Количине се пријављ</w:t>
      </w:r>
      <w:r w:rsidR="00644F20">
        <w:rPr>
          <w:rFonts w:ascii="Times New Roman" w:hAnsi="Times New Roman" w:cs="Times New Roman"/>
          <w:sz w:val="24"/>
          <w:szCs w:val="24"/>
          <w:lang w:val="sr-Cyrl-CS"/>
        </w:rPr>
        <w:t>у</w:t>
      </w:r>
      <w:r w:rsidRPr="00644F20">
        <w:rPr>
          <w:rFonts w:ascii="Times New Roman" w:hAnsi="Times New Roman" w:cs="Times New Roman"/>
          <w:sz w:val="24"/>
          <w:szCs w:val="24"/>
          <w:lang w:val="sr-Cyrl-CS"/>
        </w:rPr>
        <w:t xml:space="preserve">ју у две врсте јединица, односно пријављују се по комаду или у килограмима тако да можемо на основу података закључити да је у току 2020. године на тржиште Републике Србије стављено 23.836.999 комада углавном великих кућних апарата, малих кућних апарата и IT опреме. Истовремено је на тржиште стављено још 19.425,7 </w:t>
      </w:r>
      <w:r w:rsidR="00F95726" w:rsidRPr="00644F20">
        <w:rPr>
          <w:rFonts w:ascii="Times New Roman" w:hAnsi="Times New Roman" w:cs="Times New Roman"/>
          <w:sz w:val="24"/>
          <w:szCs w:val="24"/>
          <w:lang w:val="sr-Cyrl-CS"/>
        </w:rPr>
        <w:t>t</w:t>
      </w:r>
      <w:r w:rsidRPr="00644F20">
        <w:rPr>
          <w:rFonts w:ascii="Times New Roman" w:hAnsi="Times New Roman" w:cs="Times New Roman"/>
          <w:sz w:val="24"/>
          <w:szCs w:val="24"/>
          <w:lang w:val="sr-Cyrl-CS"/>
        </w:rPr>
        <w:t xml:space="preserve"> електричних и електронских производа, који не обухватају IT опрему и опрему за осветљење.</w:t>
      </w:r>
    </w:p>
    <w:p w14:paraId="56933063" w14:textId="77777777" w:rsidR="00497092" w:rsidRPr="00644F20" w:rsidRDefault="00F95726">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У 20</w:t>
      </w:r>
      <w:r w:rsidRPr="00644F20">
        <w:rPr>
          <w:rFonts w:ascii="Times New Roman" w:hAnsi="Times New Roman" w:cs="Times New Roman"/>
          <w:sz w:val="24"/>
          <w:szCs w:val="24"/>
          <w:lang w:val="sr-Cyrl-CS"/>
        </w:rPr>
        <w:t>20. години је прерађено 41.716 t</w:t>
      </w:r>
      <w:r w:rsidR="002F45E1" w:rsidRPr="00644F20">
        <w:rPr>
          <w:rFonts w:ascii="Times New Roman" w:hAnsi="Times New Roman" w:cs="Times New Roman"/>
          <w:sz w:val="24"/>
          <w:szCs w:val="24"/>
          <w:lang w:val="sr-Cyrl-CS"/>
        </w:rPr>
        <w:t xml:space="preserve"> електричног и електронског отпада, претежно одбачене опреме, док је у истој години извезено 4,88 </w:t>
      </w:r>
      <w:r w:rsidRPr="00644F20">
        <w:rPr>
          <w:rFonts w:ascii="Times New Roman" w:hAnsi="Times New Roman" w:cs="Times New Roman"/>
          <w:sz w:val="24"/>
          <w:szCs w:val="24"/>
          <w:lang w:val="sr-Cyrl-CS"/>
        </w:rPr>
        <w:t>t</w:t>
      </w:r>
      <w:r w:rsidR="002F45E1" w:rsidRPr="00644F20">
        <w:rPr>
          <w:rFonts w:ascii="Times New Roman" w:hAnsi="Times New Roman" w:cs="Times New Roman"/>
          <w:sz w:val="24"/>
          <w:szCs w:val="24"/>
          <w:lang w:val="sr-Cyrl-CS"/>
        </w:rPr>
        <w:t xml:space="preserve"> електричног и електронског отпада.</w:t>
      </w:r>
    </w:p>
    <w:p w14:paraId="67B42F63" w14:textId="77777777" w:rsidR="00497092" w:rsidRPr="00644F20" w:rsidRDefault="002F45E1" w:rsidP="00BD6F13">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Највећи изазов за развој циркуларне економије код посебних токова отпада је успостављање система којим се обезбеђује да све вредне компоненте приликом предтретмана и након третмана остају у нашој држави, како би се даље третирале или упућивале у производне процесе, а не извозиле. У том смислу потребно је размотрити могућности развоја система сакупљања и одговарајућих постројења у којима би се вредне компоненте адекватно третирале и које би било могуће даље користити у домаћим производним капацитетима.</w:t>
      </w:r>
    </w:p>
    <w:p w14:paraId="068AD89D" w14:textId="77777777" w:rsidR="00497092" w:rsidRPr="00644F20" w:rsidRDefault="002F45E1" w:rsidP="00BD6F13">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Поред тога, садржај одређених опасних супстанци (нпр. полибромовани дифенил етри тзв. успоривачи горења, олово, фосфорни прах и др) у појединим компонентама отпада од електричних и елект</w:t>
      </w:r>
      <w:r w:rsidR="00644F20">
        <w:rPr>
          <w:rFonts w:ascii="Times New Roman" w:hAnsi="Times New Roman" w:cs="Times New Roman"/>
          <w:sz w:val="24"/>
          <w:szCs w:val="24"/>
          <w:lang w:val="sr-Cyrl-CS"/>
        </w:rPr>
        <w:t>р</w:t>
      </w:r>
      <w:r w:rsidRPr="00644F20">
        <w:rPr>
          <w:rFonts w:ascii="Times New Roman" w:hAnsi="Times New Roman" w:cs="Times New Roman"/>
          <w:sz w:val="24"/>
          <w:szCs w:val="24"/>
          <w:lang w:val="sr-Cyrl-CS"/>
        </w:rPr>
        <w:t>онских уређаја, мора бити испитан на садржај поменутих супстанци, јер од концентрaције зависи да ли се овај отпад може рециклирати. Недостатак знања и инструмената за испитивање може бити проблем који је потребно решити како би се искористиле све предности рециклаже, али и избегле непожељне последице од рециклаже неадекватних материјала.</w:t>
      </w:r>
    </w:p>
    <w:p w14:paraId="17A4A4E0"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13" w:name="_Toc93923066"/>
      <w:r w:rsidRPr="00644F20">
        <w:rPr>
          <w:rFonts w:ascii="Times New Roman" w:eastAsiaTheme="majorEastAsia" w:hAnsi="Times New Roman" w:cstheme="majorBidi"/>
          <w:b/>
          <w:bCs/>
          <w:sz w:val="26"/>
          <w:szCs w:val="26"/>
          <w:lang w:val="sr-Cyrl-CS"/>
        </w:rPr>
        <w:t xml:space="preserve">3.1.5. </w:t>
      </w:r>
      <w:r w:rsidR="00BD6F13" w:rsidRPr="00644F20">
        <w:rPr>
          <w:rFonts w:ascii="Times New Roman" w:eastAsiaTheme="majorEastAsia" w:hAnsi="Times New Roman" w:cstheme="majorBidi"/>
          <w:b/>
          <w:bCs/>
          <w:sz w:val="26"/>
          <w:szCs w:val="26"/>
          <w:lang w:val="sr-Cyrl-CS"/>
        </w:rPr>
        <w:t xml:space="preserve">Зелене јавне набавке </w:t>
      </w:r>
      <w:r w:rsidRPr="00644F20">
        <w:rPr>
          <w:rFonts w:ascii="Times New Roman" w:eastAsiaTheme="majorEastAsia" w:hAnsi="Times New Roman" w:cstheme="majorBidi"/>
          <w:b/>
          <w:bCs/>
          <w:sz w:val="26"/>
          <w:szCs w:val="26"/>
          <w:lang w:val="sr-Cyrl-CS"/>
        </w:rPr>
        <w:t>и добровољни инструменти</w:t>
      </w:r>
      <w:bookmarkEnd w:id="13"/>
    </w:p>
    <w:p w14:paraId="2255F4CD" w14:textId="77777777" w:rsidR="00497092" w:rsidRPr="00644F20" w:rsidRDefault="002F45E1">
      <w:pPr>
        <w:keepNext/>
        <w:keepLines/>
        <w:spacing w:before="120" w:after="120" w:line="276" w:lineRule="auto"/>
        <w:outlineLvl w:val="3"/>
        <w:rPr>
          <w:rFonts w:ascii="Times New Roman" w:eastAsia="Calibri" w:hAnsi="Times New Roman" w:cstheme="majorBidi"/>
          <w:b/>
          <w:bCs/>
          <w:iCs/>
          <w:sz w:val="24"/>
          <w:szCs w:val="24"/>
          <w:lang w:val="sr-Cyrl-CS"/>
        </w:rPr>
      </w:pPr>
      <w:r w:rsidRPr="00644F20">
        <w:rPr>
          <w:rFonts w:ascii="Times New Roman" w:eastAsia="Calibri" w:hAnsi="Times New Roman" w:cstheme="majorBidi"/>
          <w:b/>
          <w:bCs/>
          <w:iCs/>
          <w:sz w:val="24"/>
          <w:szCs w:val="24"/>
          <w:lang w:val="sr-Cyrl-CS"/>
        </w:rPr>
        <w:t xml:space="preserve">3.1.5.1. </w:t>
      </w:r>
      <w:r w:rsidR="00BD6F13" w:rsidRPr="00644F20">
        <w:rPr>
          <w:rFonts w:ascii="Times New Roman" w:eastAsia="Calibri" w:hAnsi="Times New Roman" w:cstheme="majorBidi"/>
          <w:b/>
          <w:bCs/>
          <w:iCs/>
          <w:sz w:val="24"/>
          <w:szCs w:val="24"/>
          <w:lang w:val="sr-Cyrl-CS"/>
        </w:rPr>
        <w:t>Зелене јавне набавке</w:t>
      </w:r>
    </w:p>
    <w:p w14:paraId="569D24A1" w14:textId="77777777" w:rsidR="00BD6F13" w:rsidRPr="00644F20" w:rsidRDefault="005D74AC" w:rsidP="00BD6F13">
      <w:pPr>
        <w:spacing w:after="60" w:line="276" w:lineRule="auto"/>
        <w:ind w:firstLine="720"/>
        <w:contextualSpacing/>
        <w:jc w:val="both"/>
        <w:rPr>
          <w:rFonts w:ascii="Times New Roman" w:eastAsia="Times New Roman" w:hAnsi="Times New Roman" w:cs="Times New Roman"/>
          <w:sz w:val="24"/>
          <w:szCs w:val="24"/>
          <w:shd w:val="clear" w:color="auto" w:fill="FFFFFF"/>
          <w:lang w:val="sr-Cyrl-CS"/>
        </w:rPr>
      </w:pPr>
      <w:r w:rsidRPr="00644F20">
        <w:rPr>
          <w:rFonts w:ascii="Times New Roman" w:eastAsia="Times New Roman" w:hAnsi="Times New Roman" w:cs="Times New Roman"/>
          <w:sz w:val="24"/>
          <w:szCs w:val="24"/>
          <w:shd w:val="clear" w:color="auto" w:fill="FFFFFF"/>
          <w:lang w:val="sr-Cyrl-CS"/>
        </w:rPr>
        <w:t>ЗеЈН</w:t>
      </w:r>
      <w:r w:rsidR="002F45E1" w:rsidRPr="00644F20">
        <w:rPr>
          <w:rFonts w:ascii="Times New Roman" w:eastAsia="Times New Roman" w:hAnsi="Times New Roman" w:cs="Times New Roman"/>
          <w:sz w:val="24"/>
          <w:szCs w:val="24"/>
          <w:shd w:val="clear" w:color="auto" w:fill="FFFFFF"/>
          <w:lang w:val="sr-Cyrl-CS"/>
        </w:rPr>
        <w:t xml:space="preserve"> имају своју значајну улогу у постизању циљева одрживог развоја који су дефинисани у оквиру Агенде за одрживи развој 2030</w:t>
      </w:r>
      <w:r w:rsidR="002F45E1" w:rsidRPr="00644F20">
        <w:rPr>
          <w:rFonts w:ascii="Times New Roman" w:eastAsia="Times New Roman" w:hAnsi="Times New Roman" w:cs="Times New Roman"/>
          <w:sz w:val="24"/>
          <w:szCs w:val="24"/>
          <w:shd w:val="clear" w:color="auto" w:fill="FFFFFF"/>
          <w:vertAlign w:val="superscript"/>
          <w:lang w:val="sr-Cyrl-CS"/>
        </w:rPr>
        <w:footnoteReference w:id="48"/>
      </w:r>
      <w:r w:rsidR="002F45E1" w:rsidRPr="00644F20">
        <w:rPr>
          <w:rFonts w:ascii="Times New Roman" w:eastAsia="Times New Roman" w:hAnsi="Times New Roman" w:cs="Times New Roman"/>
          <w:sz w:val="24"/>
          <w:szCs w:val="24"/>
          <w:shd w:val="clear" w:color="auto" w:fill="FFFFFF"/>
          <w:lang w:val="sr-Cyrl-CS"/>
        </w:rPr>
        <w:t xml:space="preserve">, посебно циља 12 – Одговорна потрошња и производња (12.7 Промовисати праксе јавних набавки које су одрживе, у складу са националним политикама и приоритетима). Такође, </w:t>
      </w:r>
      <w:r w:rsidRPr="00644F20">
        <w:rPr>
          <w:rFonts w:ascii="Times New Roman" w:eastAsia="Times New Roman" w:hAnsi="Times New Roman" w:cs="Times New Roman"/>
          <w:sz w:val="24"/>
          <w:szCs w:val="24"/>
          <w:shd w:val="clear" w:color="auto" w:fill="FFFFFF"/>
          <w:lang w:val="sr-Cyrl-CS"/>
        </w:rPr>
        <w:t>ЗеЈН</w:t>
      </w:r>
      <w:r w:rsidR="002F45E1" w:rsidRPr="00644F20">
        <w:rPr>
          <w:rFonts w:ascii="Times New Roman" w:eastAsia="Times New Roman" w:hAnsi="Times New Roman" w:cs="Times New Roman"/>
          <w:sz w:val="24"/>
          <w:szCs w:val="24"/>
          <w:shd w:val="clear" w:color="auto" w:fill="FFFFFF"/>
          <w:lang w:val="sr-Cyrl-CS"/>
        </w:rPr>
        <w:t xml:space="preserve"> су препознате као једна од приоритетних области и у стратешким документима Е</w:t>
      </w:r>
      <w:r w:rsidR="00675482" w:rsidRPr="00644F20">
        <w:rPr>
          <w:rFonts w:ascii="Times New Roman" w:eastAsia="Times New Roman" w:hAnsi="Times New Roman" w:cs="Times New Roman"/>
          <w:sz w:val="24"/>
          <w:szCs w:val="24"/>
          <w:shd w:val="clear" w:color="auto" w:fill="FFFFFF"/>
          <w:lang w:val="sr-Cyrl-CS"/>
        </w:rPr>
        <w:t xml:space="preserve">вропске уније </w:t>
      </w:r>
      <w:r w:rsidR="002F45E1" w:rsidRPr="00644F20">
        <w:rPr>
          <w:rFonts w:ascii="Times New Roman" w:eastAsia="Times New Roman" w:hAnsi="Times New Roman" w:cs="Times New Roman"/>
          <w:sz w:val="24"/>
          <w:szCs w:val="24"/>
          <w:shd w:val="clear" w:color="auto" w:fill="FFFFFF"/>
          <w:lang w:val="sr-Cyrl-CS"/>
        </w:rPr>
        <w:t xml:space="preserve"> за ц</w:t>
      </w:r>
      <w:r w:rsidR="00675482" w:rsidRPr="00644F20">
        <w:rPr>
          <w:rFonts w:ascii="Times New Roman" w:eastAsia="Times New Roman" w:hAnsi="Times New Roman" w:cs="Times New Roman"/>
          <w:sz w:val="24"/>
          <w:szCs w:val="24"/>
          <w:shd w:val="clear" w:color="auto" w:fill="FFFFFF"/>
          <w:lang w:val="sr-Cyrl-CS"/>
        </w:rPr>
        <w:t xml:space="preserve">иркуларну економију. </w:t>
      </w:r>
      <w:r w:rsidR="00BD6F13" w:rsidRPr="00644F20">
        <w:rPr>
          <w:rFonts w:ascii="Times New Roman" w:eastAsia="Times New Roman" w:hAnsi="Times New Roman" w:cs="Times New Roman"/>
          <w:sz w:val="24"/>
          <w:szCs w:val="24"/>
          <w:shd w:val="clear" w:color="auto" w:fill="FFFFFF"/>
          <w:lang w:val="sr-Cyrl-CS"/>
        </w:rPr>
        <w:t xml:space="preserve">  </w:t>
      </w:r>
    </w:p>
    <w:p w14:paraId="65930B41" w14:textId="77777777" w:rsidR="00497092" w:rsidRPr="00644F20" w:rsidRDefault="00675482" w:rsidP="00BD6F13">
      <w:pPr>
        <w:spacing w:after="60" w:line="276" w:lineRule="auto"/>
        <w:ind w:firstLine="720"/>
        <w:contextualSpacing/>
        <w:jc w:val="both"/>
        <w:rPr>
          <w:rFonts w:ascii="Times New Roman" w:eastAsia="Times New Roman" w:hAnsi="Times New Roman" w:cs="Times New Roman"/>
          <w:sz w:val="24"/>
          <w:szCs w:val="24"/>
          <w:shd w:val="clear" w:color="auto" w:fill="FFFFFF"/>
          <w:lang w:val="sr-Cyrl-CS"/>
        </w:rPr>
      </w:pPr>
      <w:r w:rsidRPr="00644F20">
        <w:rPr>
          <w:rFonts w:ascii="Times New Roman" w:eastAsia="Times New Roman" w:hAnsi="Times New Roman" w:cs="Times New Roman"/>
          <w:sz w:val="24"/>
          <w:szCs w:val="24"/>
          <w:shd w:val="clear" w:color="auto" w:fill="FFFFFF"/>
          <w:lang w:val="sr-Cyrl-CS"/>
        </w:rPr>
        <w:t>У оквиру</w:t>
      </w:r>
      <w:r w:rsidR="002F45E1" w:rsidRPr="00644F20">
        <w:rPr>
          <w:rFonts w:ascii="Times New Roman" w:eastAsia="Times New Roman" w:hAnsi="Times New Roman" w:cs="Times New Roman"/>
          <w:sz w:val="24"/>
          <w:szCs w:val="24"/>
          <w:shd w:val="clear" w:color="auto" w:fill="FFFFFF"/>
          <w:lang w:val="sr-Cyrl-CS"/>
        </w:rPr>
        <w:t xml:space="preserve"> Зеленог договора</w:t>
      </w:r>
      <w:r w:rsidRPr="00644F20">
        <w:rPr>
          <w:rFonts w:ascii="Times New Roman" w:eastAsia="Times New Roman" w:hAnsi="Times New Roman" w:cs="Times New Roman"/>
          <w:sz w:val="24"/>
          <w:szCs w:val="24"/>
          <w:shd w:val="clear" w:color="auto" w:fill="FFFFFF"/>
          <w:lang w:val="sr-Cyrl-CS"/>
        </w:rPr>
        <w:t xml:space="preserve"> Европске уније</w:t>
      </w:r>
      <w:r w:rsidR="002F45E1" w:rsidRPr="00644F20">
        <w:rPr>
          <w:rFonts w:ascii="Times New Roman" w:eastAsia="Times New Roman" w:hAnsi="Times New Roman" w:cs="Times New Roman"/>
          <w:sz w:val="24"/>
          <w:szCs w:val="24"/>
          <w:shd w:val="clear" w:color="auto" w:fill="FFFFFF"/>
          <w:lang w:val="sr-Cyrl-CS"/>
        </w:rPr>
        <w:t xml:space="preserve">, указује се на план Европске комисије да у наредном периоду предложи минимум обавезних критеријума за </w:t>
      </w:r>
      <w:r w:rsidR="005D74AC" w:rsidRPr="00644F20">
        <w:rPr>
          <w:rFonts w:ascii="Times New Roman" w:eastAsia="Times New Roman" w:hAnsi="Times New Roman" w:cs="Times New Roman"/>
          <w:sz w:val="24"/>
          <w:szCs w:val="24"/>
          <w:shd w:val="clear" w:color="auto" w:fill="FFFFFF"/>
          <w:lang w:val="sr-Cyrl-CS"/>
        </w:rPr>
        <w:t>ЗеЈН</w:t>
      </w:r>
      <w:r w:rsidR="002F45E1" w:rsidRPr="00644F20">
        <w:rPr>
          <w:rFonts w:ascii="Times New Roman" w:eastAsia="Times New Roman" w:hAnsi="Times New Roman" w:cs="Times New Roman"/>
          <w:sz w:val="24"/>
          <w:szCs w:val="24"/>
          <w:shd w:val="clear" w:color="auto" w:fill="FFFFFF"/>
          <w:lang w:val="sr-Cyrl-CS"/>
        </w:rPr>
        <w:t xml:space="preserve"> и циљеве у секторском законодавству, као и постепено обавезно извештавање у вези са зеленим јавним набавкама. </w:t>
      </w:r>
    </w:p>
    <w:p w14:paraId="5523A37D" w14:textId="77777777" w:rsidR="00497092" w:rsidRPr="00644F20" w:rsidRDefault="002F45E1">
      <w:pPr>
        <w:spacing w:after="60" w:line="276" w:lineRule="auto"/>
        <w:contextualSpacing/>
        <w:jc w:val="both"/>
        <w:rPr>
          <w:rFonts w:ascii="Times New Roman" w:eastAsia="Times New Roman" w:hAnsi="Times New Roman" w:cs="Times New Roman"/>
          <w:sz w:val="24"/>
          <w:szCs w:val="24"/>
          <w:shd w:val="clear" w:color="auto" w:fill="FFFFFF"/>
          <w:lang w:val="sr-Cyrl-CS"/>
        </w:rPr>
      </w:pPr>
      <w:r w:rsidRPr="00644F20">
        <w:rPr>
          <w:rFonts w:ascii="Times New Roman" w:eastAsia="Times New Roman" w:hAnsi="Times New Roman" w:cs="Times New Roman"/>
          <w:sz w:val="24"/>
          <w:szCs w:val="24"/>
          <w:shd w:val="clear" w:color="auto" w:fill="FFFFFF"/>
          <w:lang w:val="sr-Cyrl-CS"/>
        </w:rPr>
        <w:t>Република Србија се у оквиру усклађивања са правним тековинама Е</w:t>
      </w:r>
      <w:r w:rsidR="00675482" w:rsidRPr="00644F20">
        <w:rPr>
          <w:rFonts w:ascii="Times New Roman" w:eastAsia="Times New Roman" w:hAnsi="Times New Roman" w:cs="Times New Roman"/>
          <w:sz w:val="24"/>
          <w:szCs w:val="24"/>
          <w:shd w:val="clear" w:color="auto" w:fill="FFFFFF"/>
          <w:lang w:val="sr-Cyrl-CS"/>
        </w:rPr>
        <w:t>вропске уније</w:t>
      </w:r>
      <w:r w:rsidRPr="00644F20">
        <w:rPr>
          <w:rFonts w:ascii="Times New Roman" w:eastAsia="Times New Roman" w:hAnsi="Times New Roman" w:cs="Times New Roman"/>
          <w:sz w:val="24"/>
          <w:szCs w:val="24"/>
          <w:shd w:val="clear" w:color="auto" w:fill="FFFFFF"/>
          <w:lang w:val="sr-Cyrl-CS"/>
        </w:rPr>
        <w:t xml:space="preserve">, обавезала да у оквиру Поглавља 5 које се тиче јавних набавки промовише и </w:t>
      </w:r>
      <w:r w:rsidR="005D74AC" w:rsidRPr="00644F20">
        <w:rPr>
          <w:rFonts w:ascii="Times New Roman" w:eastAsia="Times New Roman" w:hAnsi="Times New Roman" w:cs="Times New Roman"/>
          <w:sz w:val="24"/>
          <w:szCs w:val="24"/>
          <w:shd w:val="clear" w:color="auto" w:fill="FFFFFF"/>
          <w:lang w:val="sr-Cyrl-CS"/>
        </w:rPr>
        <w:t>ЗеЈН</w:t>
      </w:r>
      <w:r w:rsidRPr="00644F20">
        <w:rPr>
          <w:rFonts w:ascii="Times New Roman" w:eastAsia="Times New Roman" w:hAnsi="Times New Roman" w:cs="Times New Roman"/>
          <w:sz w:val="24"/>
          <w:szCs w:val="24"/>
          <w:shd w:val="clear" w:color="auto" w:fill="FFFFFF"/>
          <w:lang w:val="sr-Cyrl-CS"/>
        </w:rPr>
        <w:t xml:space="preserve">. </w:t>
      </w:r>
    </w:p>
    <w:p w14:paraId="5343DB4F" w14:textId="77777777" w:rsidR="00497092" w:rsidRPr="00644F20" w:rsidRDefault="002F45E1" w:rsidP="00BD6F13">
      <w:pPr>
        <w:spacing w:after="60" w:line="276" w:lineRule="auto"/>
        <w:ind w:firstLine="720"/>
        <w:contextualSpacing/>
        <w:jc w:val="both"/>
        <w:rPr>
          <w:rFonts w:ascii="Times New Roman" w:eastAsia="Times New Roman" w:hAnsi="Times New Roman" w:cs="Times New Roman"/>
          <w:sz w:val="24"/>
          <w:szCs w:val="24"/>
          <w:shd w:val="clear" w:color="auto" w:fill="FFFFFF"/>
          <w:lang w:val="sr-Cyrl-CS"/>
        </w:rPr>
      </w:pPr>
      <w:r w:rsidRPr="00644F20">
        <w:rPr>
          <w:rFonts w:ascii="Times New Roman" w:eastAsia="Times New Roman" w:hAnsi="Times New Roman" w:cs="Times New Roman"/>
          <w:sz w:val="24"/>
          <w:szCs w:val="24"/>
          <w:shd w:val="clear" w:color="auto" w:fill="FFFFFF"/>
          <w:lang w:val="sr-Cyrl-CS"/>
        </w:rPr>
        <w:t xml:space="preserve">Према подацима из годишњег извештаја </w:t>
      </w:r>
      <w:r w:rsidR="00C40C94" w:rsidRPr="00644F20">
        <w:rPr>
          <w:rFonts w:ascii="Times New Roman" w:eastAsia="Times New Roman" w:hAnsi="Times New Roman" w:cs="Times New Roman"/>
          <w:sz w:val="24"/>
          <w:szCs w:val="24"/>
          <w:shd w:val="clear" w:color="auto" w:fill="FFFFFF"/>
          <w:lang w:val="sr-Cyrl-CS"/>
        </w:rPr>
        <w:t>КЈН</w:t>
      </w:r>
      <w:r w:rsidRPr="00644F20">
        <w:rPr>
          <w:rFonts w:ascii="Times New Roman" w:eastAsia="Times New Roman" w:hAnsi="Times New Roman" w:cs="Times New Roman"/>
          <w:sz w:val="24"/>
          <w:szCs w:val="24"/>
          <w:shd w:val="clear" w:color="auto" w:fill="FFFFFF"/>
          <w:vertAlign w:val="superscript"/>
          <w:lang w:val="sr-Cyrl-CS"/>
        </w:rPr>
        <w:footnoteReference w:id="49"/>
      </w:r>
      <w:r w:rsidRPr="00644F20">
        <w:rPr>
          <w:rFonts w:ascii="Times New Roman" w:eastAsia="Times New Roman" w:hAnsi="Times New Roman" w:cs="Times New Roman"/>
          <w:sz w:val="24"/>
          <w:szCs w:val="24"/>
          <w:shd w:val="clear" w:color="auto" w:fill="FFFFFF"/>
          <w:lang w:val="sr-Cyrl-CS"/>
        </w:rPr>
        <w:t xml:space="preserve">, учешће јавних набавки у </w:t>
      </w:r>
      <w:r w:rsidR="005172F8" w:rsidRPr="00644F20">
        <w:rPr>
          <w:rFonts w:ascii="Times New Roman" w:eastAsia="Times New Roman" w:hAnsi="Times New Roman" w:cs="Times New Roman"/>
          <w:sz w:val="24"/>
          <w:szCs w:val="24"/>
          <w:shd w:val="clear" w:color="auto" w:fill="FFFFFF"/>
          <w:lang w:val="sr-Cyrl-CS"/>
        </w:rPr>
        <w:t>БДП</w:t>
      </w:r>
      <w:r w:rsidRPr="00644F20">
        <w:rPr>
          <w:rFonts w:ascii="Times New Roman" w:eastAsia="Times New Roman" w:hAnsi="Times New Roman" w:cs="Times New Roman"/>
          <w:sz w:val="24"/>
          <w:szCs w:val="24"/>
          <w:shd w:val="clear" w:color="auto" w:fill="FFFFFF"/>
          <w:lang w:val="sr-Cyrl-CS"/>
        </w:rPr>
        <w:t xml:space="preserve"> у Републици Србији је у 2019. години износило 8,14% (440.522 милиона РСД), док је у 2020. години овај износ био 6,88% (376,124 милиона РСД). При томе, треба узети у обзир да у ове проценте не улази део набавки које такође врши јавни сектор, а које су по својој вредности изузете од примене Закона о јавним набавкама (новим Законом о јавним набавкама из 2019. године је повећана вредност на које се Закон о јавним набавкама не примењује тако да је и то једним делом утицало на евидентиране ниже вредности удела јавних набавки у БДП за 2020. годину). </w:t>
      </w:r>
      <w:r w:rsidRPr="00644F20">
        <w:rPr>
          <w:rFonts w:ascii="Times New Roman" w:eastAsia="Times New Roman" w:hAnsi="Times New Roman" w:cs="Times New Roman"/>
          <w:sz w:val="24"/>
          <w:szCs w:val="24"/>
          <w:lang w:val="sr-Cyrl-CS"/>
        </w:rPr>
        <w:t>У оквиру Е</w:t>
      </w:r>
      <w:r w:rsidR="005D74AC" w:rsidRPr="00644F20">
        <w:rPr>
          <w:rFonts w:ascii="Times New Roman" w:eastAsia="Times New Roman" w:hAnsi="Times New Roman" w:cs="Times New Roman"/>
          <w:sz w:val="24"/>
          <w:szCs w:val="24"/>
          <w:lang w:val="sr-Cyrl-CS"/>
        </w:rPr>
        <w:t>вропске уније</w:t>
      </w:r>
      <w:r w:rsidRPr="00644F20">
        <w:rPr>
          <w:rFonts w:ascii="Times New Roman" w:eastAsia="Times New Roman" w:hAnsi="Times New Roman" w:cs="Times New Roman"/>
          <w:sz w:val="24"/>
          <w:szCs w:val="24"/>
          <w:lang w:val="sr-Cyrl-CS"/>
        </w:rPr>
        <w:t xml:space="preserve"> ови проценти су већи, јавне набавке чине у</w:t>
      </w:r>
      <w:r w:rsidR="00675482" w:rsidRPr="00644F20">
        <w:rPr>
          <w:rFonts w:ascii="Times New Roman" w:eastAsia="Times New Roman" w:hAnsi="Times New Roman" w:cs="Times New Roman"/>
          <w:sz w:val="24"/>
          <w:szCs w:val="24"/>
          <w:lang w:val="sr-Cyrl-CS"/>
        </w:rPr>
        <w:t xml:space="preserve"> просеку око 14% БДП на нивоу Европске уније</w:t>
      </w:r>
      <w:r w:rsidRPr="00644F20">
        <w:rPr>
          <w:rFonts w:ascii="Times New Roman" w:eastAsia="Times New Roman" w:hAnsi="Times New Roman" w:cs="Times New Roman"/>
          <w:sz w:val="24"/>
          <w:szCs w:val="24"/>
          <w:shd w:val="clear" w:color="auto" w:fill="FFFFFF"/>
          <w:lang w:val="sr-Cyrl-CS"/>
        </w:rPr>
        <w:t>.</w:t>
      </w:r>
    </w:p>
    <w:p w14:paraId="6D414AED"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претходном периоду је реализовано више активности из области зелених јавних набавки (кроз различите пројекте, као и кроз активности </w:t>
      </w:r>
      <w:r w:rsidR="00C40C94" w:rsidRPr="00644F20">
        <w:rPr>
          <w:rFonts w:ascii="Times New Roman" w:hAnsi="Times New Roman" w:cs="Times New Roman"/>
          <w:sz w:val="24"/>
          <w:szCs w:val="24"/>
          <w:lang w:val="sr-Cyrl-CS"/>
        </w:rPr>
        <w:t>КЈН</w:t>
      </w:r>
      <w:r w:rsidRPr="00644F20">
        <w:rPr>
          <w:rFonts w:ascii="Times New Roman" w:hAnsi="Times New Roman" w:cs="Times New Roman"/>
          <w:sz w:val="24"/>
          <w:szCs w:val="24"/>
          <w:lang w:val="sr-Cyrl-CS"/>
        </w:rPr>
        <w:t xml:space="preserve">). Израђено је и неколико водича и смерница релевантних за област зелених јавних набавки, од којих су два документа са смерницама учињена доступним преко пројектног банера на интернет страници </w:t>
      </w:r>
      <w:r w:rsidR="00C40C94" w:rsidRPr="00644F20">
        <w:rPr>
          <w:rFonts w:ascii="Times New Roman" w:hAnsi="Times New Roman" w:cs="Times New Roman"/>
          <w:sz w:val="24"/>
          <w:szCs w:val="24"/>
          <w:lang w:val="sr-Cyrl-CS"/>
        </w:rPr>
        <w:t>КЈН</w:t>
      </w:r>
      <w:r w:rsidRPr="00644F20">
        <w:rPr>
          <w:rFonts w:ascii="Times New Roman" w:hAnsi="Times New Roman" w:cs="Times New Roman"/>
          <w:sz w:val="24"/>
          <w:szCs w:val="24"/>
          <w:lang w:val="sr-Cyrl-CS"/>
        </w:rPr>
        <w:t xml:space="preserve">: Смернице за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xml:space="preserve"> (2019) и Смернице за обрачун трошкова животног циклуса (2019)</w:t>
      </w:r>
      <w:r w:rsidRPr="00644F20">
        <w:rPr>
          <w:rFonts w:ascii="Times New Roman" w:hAnsi="Times New Roman" w:cs="Times New Roman"/>
          <w:sz w:val="24"/>
          <w:szCs w:val="24"/>
          <w:vertAlign w:val="superscript"/>
          <w:lang w:val="sr-Cyrl-CS"/>
        </w:rPr>
        <w:footnoteReference w:id="50"/>
      </w:r>
      <w:r w:rsidRPr="00644F20">
        <w:rPr>
          <w:rFonts w:ascii="Times New Roman" w:hAnsi="Times New Roman" w:cs="Times New Roman"/>
          <w:sz w:val="24"/>
          <w:szCs w:val="24"/>
          <w:lang w:val="sr-Cyrl-CS"/>
        </w:rPr>
        <w:t xml:space="preserve">. </w:t>
      </w:r>
    </w:p>
    <w:p w14:paraId="7CE44F25" w14:textId="77777777" w:rsidR="00497092" w:rsidRPr="00644F20" w:rsidRDefault="005172F8" w:rsidP="00BD6F13">
      <w:pPr>
        <w:spacing w:after="60" w:line="276" w:lineRule="auto"/>
        <w:ind w:firstLine="720"/>
        <w:contextualSpacing/>
        <w:jc w:val="both"/>
        <w:rPr>
          <w:rFonts w:ascii="Times New Roman" w:eastAsia="Times New Roman" w:hAnsi="Times New Roman" w:cs="Times New Roman"/>
          <w:sz w:val="24"/>
          <w:szCs w:val="24"/>
          <w:lang w:val="sr-Cyrl-CS" w:eastAsia="de-DE"/>
        </w:rPr>
      </w:pPr>
      <w:r w:rsidRPr="00644F20">
        <w:rPr>
          <w:rFonts w:ascii="Times New Roman" w:hAnsi="Times New Roman" w:cs="Times New Roman"/>
          <w:sz w:val="24"/>
          <w:szCs w:val="24"/>
          <w:lang w:val="sr-Cyrl-CS"/>
        </w:rPr>
        <w:lastRenderedPageBreak/>
        <w:t xml:space="preserve">У периоду од 2019. до </w:t>
      </w:r>
      <w:r w:rsidR="002F45E1" w:rsidRPr="00644F20">
        <w:rPr>
          <w:rFonts w:ascii="Times New Roman" w:hAnsi="Times New Roman" w:cs="Times New Roman"/>
          <w:sz w:val="24"/>
          <w:szCs w:val="24"/>
          <w:lang w:val="sr-Cyrl-CS"/>
        </w:rPr>
        <w:t>2021.</w:t>
      </w:r>
      <w:r w:rsidRPr="00644F20">
        <w:rPr>
          <w:rFonts w:ascii="Times New Roman" w:hAnsi="Times New Roman" w:cs="Times New Roman"/>
          <w:sz w:val="24"/>
          <w:szCs w:val="24"/>
          <w:lang w:val="sr-Cyrl-CS"/>
        </w:rPr>
        <w:t xml:space="preserve"> године</w:t>
      </w:r>
      <w:r w:rsidR="002F45E1" w:rsidRPr="00644F20">
        <w:rPr>
          <w:rFonts w:ascii="Times New Roman" w:hAnsi="Times New Roman" w:cs="Times New Roman"/>
          <w:sz w:val="24"/>
          <w:szCs w:val="24"/>
          <w:lang w:val="sr-Cyrl-CS"/>
        </w:rPr>
        <w:t xml:space="preserve"> израђени су одговарајући водичи за примену критеријума за </w:t>
      </w:r>
      <w:r w:rsidR="005D74AC" w:rsidRPr="00644F20">
        <w:rPr>
          <w:rFonts w:ascii="Times New Roman" w:hAnsi="Times New Roman" w:cs="Times New Roman"/>
          <w:sz w:val="24"/>
          <w:szCs w:val="24"/>
          <w:lang w:val="sr-Cyrl-CS"/>
        </w:rPr>
        <w:t>ЗеЈН</w:t>
      </w:r>
      <w:r w:rsidR="002F45E1" w:rsidRPr="00644F20">
        <w:rPr>
          <w:rFonts w:ascii="Times New Roman" w:hAnsi="Times New Roman" w:cs="Times New Roman"/>
          <w:sz w:val="24"/>
          <w:szCs w:val="24"/>
          <w:lang w:val="sr-Cyrl-CS"/>
        </w:rPr>
        <w:t xml:space="preserve"> на српском језику за неколико група добара, услуга и радова, израђен је Извештај о зеленим јавним набавкама у Србији са препорукама за унапређење (2019), одржане су презентације и стручне консултације. Током 2021. године креирана је и виртуелна база знања</w:t>
      </w:r>
      <w:r w:rsidR="002F45E1" w:rsidRPr="00644F20">
        <w:rPr>
          <w:rFonts w:ascii="Times New Roman" w:hAnsi="Times New Roman" w:cs="Times New Roman"/>
          <w:sz w:val="24"/>
          <w:szCs w:val="24"/>
          <w:vertAlign w:val="superscript"/>
          <w:lang w:val="sr-Cyrl-CS"/>
        </w:rPr>
        <w:footnoteReference w:id="51"/>
      </w:r>
      <w:r w:rsidR="002F45E1" w:rsidRPr="00644F20">
        <w:rPr>
          <w:rFonts w:ascii="Times New Roman" w:hAnsi="Times New Roman" w:cs="Times New Roman"/>
          <w:sz w:val="24"/>
          <w:szCs w:val="24"/>
          <w:lang w:val="sr-Cyrl-CS"/>
        </w:rPr>
        <w:t xml:space="preserve"> за </w:t>
      </w:r>
      <w:r w:rsidR="005D74AC" w:rsidRPr="00644F20">
        <w:rPr>
          <w:rFonts w:ascii="Times New Roman" w:hAnsi="Times New Roman" w:cs="Times New Roman"/>
          <w:sz w:val="24"/>
          <w:szCs w:val="24"/>
          <w:lang w:val="sr-Cyrl-CS"/>
        </w:rPr>
        <w:t>ЗеЈН</w:t>
      </w:r>
      <w:r w:rsidR="002F45E1" w:rsidRPr="00644F20">
        <w:rPr>
          <w:rFonts w:ascii="Times New Roman" w:hAnsi="Times New Roman" w:cs="Times New Roman"/>
          <w:sz w:val="24"/>
          <w:szCs w:val="24"/>
          <w:lang w:val="sr-Cyrl-CS"/>
        </w:rPr>
        <w:t xml:space="preserve"> на посебним интернет страницама. Такође, у 2021. години реализовано је истраживање у којем су учествовали грађани, наручиоци и понуђачи, које је укључивало и питања у вези са зеленим јавним набавкама, а у наредном периоду очекује се и објављивање Извештаја о анализи стања зелених јавних набавки са препорукама за унапређење. </w:t>
      </w:r>
    </w:p>
    <w:p w14:paraId="5DBD31C1"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Републици Србији за сада још увек не постоји довољно прикупљених података ни званичних извештаја о спроведеним зеленим јавним набавкама (закључно са годишњим извештајем </w:t>
      </w:r>
      <w:r w:rsidR="00C40C94" w:rsidRPr="00644F20">
        <w:rPr>
          <w:rFonts w:ascii="Times New Roman" w:hAnsi="Times New Roman" w:cs="Times New Roman"/>
          <w:sz w:val="24"/>
          <w:szCs w:val="24"/>
          <w:lang w:val="sr-Cyrl-CS"/>
        </w:rPr>
        <w:t>КЈН</w:t>
      </w:r>
      <w:r w:rsidRPr="00644F20">
        <w:rPr>
          <w:rFonts w:ascii="Times New Roman" w:hAnsi="Times New Roman" w:cs="Times New Roman"/>
          <w:sz w:val="24"/>
          <w:szCs w:val="24"/>
          <w:lang w:val="sr-Cyrl-CS"/>
        </w:rPr>
        <w:t xml:space="preserve"> за 2020. годину)</w:t>
      </w:r>
      <w:r w:rsidRPr="00644F20">
        <w:rPr>
          <w:rFonts w:ascii="Times New Roman" w:hAnsi="Times New Roman" w:cs="Times New Roman"/>
          <w:shd w:val="clear" w:color="auto" w:fill="FFFFFF"/>
          <w:vertAlign w:val="superscript"/>
          <w:lang w:val="sr-Cyrl-CS"/>
        </w:rPr>
        <w:footnoteReference w:id="52"/>
      </w:r>
      <w:r w:rsidRPr="00644F20">
        <w:rPr>
          <w:rFonts w:ascii="Times New Roman" w:hAnsi="Times New Roman" w:cs="Times New Roman"/>
          <w:shd w:val="clear" w:color="auto" w:fill="FFFFFF"/>
          <w:lang w:val="sr-Cyrl-CS"/>
        </w:rPr>
        <w:t>,</w:t>
      </w:r>
      <w:r w:rsidRPr="00644F20">
        <w:rPr>
          <w:rFonts w:ascii="Times New Roman" w:hAnsi="Times New Roman" w:cs="Times New Roman"/>
          <w:sz w:val="24"/>
          <w:szCs w:val="24"/>
          <w:lang w:val="sr-Cyrl-CS"/>
        </w:rPr>
        <w:t xml:space="preserve"> као ни детаљније дефинисаних приоритета и појединачних циљева за групе добара, услуга и радова за које би било најоптималније да се примене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xml:space="preserve">. Међутим, од 2020. године постоји техничка могућност евидентирања података о зеленим јавним набавкама кроз Портал за јавне набавке (подаци су за сада доступни интерно Канцеларији за јавне набавке). На основу анализе тих података, током 2021. године је спроведено укупно 650 поступака зелених јавних набавки у Републици Србији). </w:t>
      </w:r>
    </w:p>
    <w:p w14:paraId="3E2AA7EF"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Како је примена зелених јавних набавки још увек на самом зачетку у Републици Србији, претрага поступака зелених јавних набавки и увид у примере реализованих зелених јавних набавки би помогле да се знања брже генеришу и да се више наручиоца одлучи за њихову примену. </w:t>
      </w:r>
    </w:p>
    <w:p w14:paraId="0579481B"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Већа примена зелених јавних набавки у Републици Србији би имала снажан позитиван утицај на развој и примену циркуларне економије. Применом зелених јавних набавки, наручиоци (на које се примењује Закон о јавним набавкама), као највећи купци подстичу развој понуде добара, услуга и радова са бољим перформансама по животну средину, подстиче се увођење добровољних инструмената из области животне средине, стварање нових ,,зелених” послова, иновативност и креирање нових пословних модела. Применом зелених јавних набавки, ресурси се користе ефикасније и сврсисходније, уз остваривање одговарајућих уштеда и бољих перформанси за животну средину кроз све фазе животног циклуса добара, услуга и радова.</w:t>
      </w:r>
    </w:p>
    <w:p w14:paraId="18CFE3D7" w14:textId="77777777" w:rsidR="00497092" w:rsidRPr="00644F20" w:rsidRDefault="002F45E1">
      <w:pPr>
        <w:keepNext/>
        <w:keepLines/>
        <w:spacing w:before="120" w:after="120" w:line="276" w:lineRule="auto"/>
        <w:outlineLvl w:val="3"/>
        <w:rPr>
          <w:rFonts w:ascii="Times New Roman" w:eastAsia="Calibri" w:hAnsi="Times New Roman" w:cstheme="majorBidi"/>
          <w:b/>
          <w:bCs/>
          <w:iCs/>
          <w:sz w:val="24"/>
          <w:szCs w:val="24"/>
          <w:lang w:val="sr-Cyrl-CS"/>
        </w:rPr>
      </w:pPr>
      <w:r w:rsidRPr="00644F20">
        <w:rPr>
          <w:rFonts w:ascii="Times New Roman" w:eastAsia="Calibri" w:hAnsi="Times New Roman" w:cstheme="majorBidi"/>
          <w:b/>
          <w:bCs/>
          <w:iCs/>
          <w:sz w:val="24"/>
          <w:szCs w:val="24"/>
          <w:lang w:val="sr-Cyrl-CS"/>
        </w:rPr>
        <w:t>3.1.5.2. Добровољни инструменти у области циркуларне економије</w:t>
      </w:r>
    </w:p>
    <w:p w14:paraId="7A647323"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Ситуација у погледу доступности одговарајућих стандарда из области животне средине, одрживости, менаџмента енергијом, уштеда енергије и циркуларне економије у Републици Србији је на доста високом нивоу. У оквиру Института за стандардизацију Србије постоје одговарајуће националне техничке комисије за релевантне EN и ISO стандарде и Србија активно учествује на изради нових стандарда из области циркуларне економије (у оквиру ISO TC 323 техничке комисије за циркуларну економију). </w:t>
      </w:r>
    </w:p>
    <w:p w14:paraId="7AA20337"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Рад на стандардима из области циркуларне економије је организован преко националне комисије у оквиру Института за стандардизацију Србије, KS Z183 Циркуларна економија и управљање отпадом, као и значајним делом и преко других релевантних националних комисија, посебно комисије у области менаџмента животном средином КС А 207 која прати рад међународне комисије ISO TC 207. Већина међународних стандарда који се оцене да су од посебног значаја за заинтересоване стране се преузимају методом превођења и објављују на </w:t>
      </w:r>
      <w:r w:rsidRPr="00644F20">
        <w:rPr>
          <w:rFonts w:ascii="Times New Roman" w:hAnsi="Times New Roman" w:cs="Times New Roman"/>
          <w:sz w:val="24"/>
          <w:szCs w:val="24"/>
          <w:lang w:val="sr-Cyrl-CS"/>
        </w:rPr>
        <w:lastRenderedPageBreak/>
        <w:t xml:space="preserve">српском језику или двојезично од стране Института за стандардизацију Србије, што ствара добре предуслове за њихову примену од стране заинтересованих страна у Републици Србији. </w:t>
      </w:r>
    </w:p>
    <w:p w14:paraId="34625EC6" w14:textId="77777777" w:rsidR="00497092" w:rsidRPr="00644F20" w:rsidRDefault="002F45E1" w:rsidP="00EE58FE">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Према подацима Међународне организације за стандардизацију (ISO)</w:t>
      </w:r>
      <w:r w:rsidRPr="00644F20">
        <w:rPr>
          <w:rFonts w:ascii="Times New Roman" w:hAnsi="Times New Roman" w:cs="Times New Roman"/>
          <w:sz w:val="24"/>
          <w:szCs w:val="24"/>
          <w:vertAlign w:val="superscript"/>
          <w:lang w:val="sr-Cyrl-CS"/>
        </w:rPr>
        <w:footnoteReference w:id="53"/>
      </w:r>
      <w:r w:rsidRPr="00644F20">
        <w:rPr>
          <w:rFonts w:ascii="Times New Roman" w:hAnsi="Times New Roman" w:cs="Times New Roman"/>
          <w:sz w:val="24"/>
          <w:szCs w:val="24"/>
          <w:lang w:val="sr-Cyrl-CS"/>
        </w:rPr>
        <w:t xml:space="preserve">, број сертификованих организација у Републици Србији у 2020. години према стандарду за систем менаџмента животном средином (ISO 14001:2015) износио је 1629, а према стандарду за систем менаџмента енергијом (ISO 50001:2018) износио је 77.  </w:t>
      </w:r>
    </w:p>
    <w:p w14:paraId="3CDAAD45"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b/>
          <w:sz w:val="24"/>
          <w:szCs w:val="24"/>
          <w:lang w:val="sr-Cyrl-CS"/>
        </w:rPr>
        <w:t>EMAS (</w:t>
      </w:r>
      <w:r w:rsidRPr="00644F20">
        <w:rPr>
          <w:rFonts w:ascii="Times New Roman" w:hAnsi="Times New Roman" w:cs="Times New Roman"/>
          <w:b/>
          <w:i/>
          <w:sz w:val="24"/>
          <w:szCs w:val="24"/>
          <w:lang w:val="sr-Cyrl-CS"/>
        </w:rPr>
        <w:t>EMAS - Eco Management and Audit Scheme</w:t>
      </w:r>
      <w:r w:rsidRPr="00644F20">
        <w:rPr>
          <w:rFonts w:ascii="Times New Roman" w:hAnsi="Times New Roman" w:cs="Times New Roman"/>
          <w:b/>
          <w:sz w:val="24"/>
          <w:szCs w:val="24"/>
          <w:lang w:val="sr-Cyrl-CS"/>
        </w:rPr>
        <w:t>)</w:t>
      </w:r>
      <w:r w:rsidR="00CD5110" w:rsidRPr="00644F20">
        <w:rPr>
          <w:rFonts w:ascii="Times New Roman" w:hAnsi="Times New Roman" w:cs="Times New Roman"/>
          <w:sz w:val="24"/>
          <w:szCs w:val="24"/>
          <w:lang w:val="sr-Cyrl-CS"/>
        </w:rPr>
        <w:t xml:space="preserve"> представља програм </w:t>
      </w:r>
      <w:r w:rsidR="00CD5110" w:rsidRPr="00644F20">
        <w:rPr>
          <w:rFonts w:ascii="Times New Roman" w:eastAsia="Calibri" w:hAnsi="Times New Roman" w:cs="Times New Roman"/>
          <w:sz w:val="24"/>
          <w:szCs w:val="24"/>
          <w:lang w:val="sr-Cyrl-CS"/>
        </w:rPr>
        <w:t>Европске уније</w:t>
      </w:r>
      <w:r w:rsidRPr="00644F20">
        <w:rPr>
          <w:rFonts w:ascii="Times New Roman" w:hAnsi="Times New Roman" w:cs="Times New Roman"/>
          <w:sz w:val="24"/>
          <w:szCs w:val="24"/>
          <w:lang w:val="sr-Cyrl-CS"/>
        </w:rPr>
        <w:t xml:space="preserve"> којим се омогућава организацијама да верификују свој систем менаџмента животном средином у складу са одговарајућом Уредбом ЕУ (Уредба (ЕЗ) бр. 1221/2009). </w:t>
      </w:r>
    </w:p>
    <w:p w14:paraId="2C35F3A7"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Са аспекта циркуларне економије, EMAS је изузетно значајан јер је препознат као најкредибилнији систем менаџмента животном средином који помаже организацијама да примене ефективан систем менаџмента животном средином, да у континуитету побољшавају своје перформансе животне средине и о томе на транспарентан начин јавно извештавају. У оквиру EMAS, садржани су и захтеви у вези са препознавањем релевантних потреба и очекивања заинтересованих страна у вези са животном средином, директним и индиректним утицајима на животну средину, сталним побољшавањима перформанси у вези са животном средином, што је уједно и основа за системски приступ за примену циркуларне економије у оквиру одговарајућих организација. </w:t>
      </w:r>
    </w:p>
    <w:p w14:paraId="2CD1215D"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EMAS се може директно повезати са Циљем одрживог развоја број 12 Одговорна потрошња и производња.</w:t>
      </w:r>
    </w:p>
    <w:p w14:paraId="6DF9C280" w14:textId="77777777" w:rsidR="00497092" w:rsidRPr="00644F20" w:rsidRDefault="002F45E1">
      <w:pPr>
        <w:spacing w:after="60" w:line="276" w:lineRule="auto"/>
        <w:contextualSpacing/>
        <w:jc w:val="center"/>
        <w:rPr>
          <w:rFonts w:ascii="Times New Roman" w:hAnsi="Times New Roman" w:cs="Times New Roman"/>
          <w:sz w:val="24"/>
          <w:szCs w:val="24"/>
          <w:lang w:val="sr-Cyrl-CS"/>
        </w:rPr>
      </w:pPr>
      <w:r w:rsidRPr="00644F20">
        <w:rPr>
          <w:rFonts w:ascii="Times New Roman" w:hAnsi="Times New Roman" w:cs="Times New Roman"/>
          <w:noProof/>
          <w:sz w:val="24"/>
          <w:szCs w:val="24"/>
        </w:rPr>
        <w:drawing>
          <wp:inline distT="0" distB="0" distL="0" distR="0" wp14:anchorId="54B066F7" wp14:editId="0E6B0247">
            <wp:extent cx="1028700" cy="1155065"/>
            <wp:effectExtent l="0" t="0" r="0" b="6985"/>
            <wp:docPr id="12" name="Picture 31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19" descr="Logo, company name&#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029876" cy="1156846"/>
                    </a:xfrm>
                    <a:prstGeom prst="rect">
                      <a:avLst/>
                    </a:prstGeom>
                    <a:noFill/>
                    <a:ln>
                      <a:noFill/>
                    </a:ln>
                  </pic:spPr>
                </pic:pic>
              </a:graphicData>
            </a:graphic>
          </wp:inline>
        </w:drawing>
      </w:r>
    </w:p>
    <w:p w14:paraId="21A7A0E9" w14:textId="77777777" w:rsidR="00497092" w:rsidRPr="00644F20" w:rsidRDefault="002F45E1">
      <w:pPr>
        <w:spacing w:after="60" w:line="276" w:lineRule="auto"/>
        <w:contextualSpacing/>
        <w:jc w:val="center"/>
        <w:rPr>
          <w:rFonts w:ascii="Times New Roman" w:hAnsi="Times New Roman" w:cs="Times New Roman"/>
          <w:b/>
          <w:lang w:val="sr-Cyrl-CS"/>
        </w:rPr>
      </w:pPr>
      <w:r w:rsidRPr="00644F20">
        <w:rPr>
          <w:rFonts w:ascii="Times New Roman" w:hAnsi="Times New Roman" w:cs="Times New Roman"/>
          <w:b/>
          <w:lang w:val="sr-Cyrl-CS"/>
        </w:rPr>
        <w:t>Слика 3.9</w:t>
      </w:r>
      <w:r w:rsidRPr="00644F20">
        <w:rPr>
          <w:rFonts w:ascii="Times New Roman" w:hAnsi="Times New Roman" w:cs="Times New Roman"/>
          <w:lang w:val="sr-Cyrl-CS"/>
        </w:rPr>
        <w:t xml:space="preserve"> EMAS лого</w:t>
      </w:r>
    </w:p>
    <w:p w14:paraId="36D4E097" w14:textId="77777777" w:rsidR="00497092" w:rsidRPr="00644F20" w:rsidRDefault="00497092">
      <w:pPr>
        <w:spacing w:after="60" w:line="276" w:lineRule="auto"/>
        <w:contextualSpacing/>
        <w:jc w:val="both"/>
        <w:rPr>
          <w:rFonts w:ascii="Times New Roman" w:hAnsi="Times New Roman" w:cs="Times New Roman"/>
          <w:sz w:val="24"/>
          <w:szCs w:val="24"/>
          <w:lang w:val="sr-Cyrl-CS"/>
        </w:rPr>
      </w:pPr>
    </w:p>
    <w:p w14:paraId="1FB8C172"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EMAS је у Републици Србији делимично дефинисан Законом о заштити животне средине, који је 2016. године измењен, између осталог, са циљем да се и реално у пракси подстакну прве EMAS регистрације организација из Србије. Регистрација организација из Републике Србије у ЕУ EMAS регистар је могућа кроз посебне услове за Глобал EMAS регистрацију и регистрацију организација из трећих земаља, а који су дати у оквиру ЕУ EMAS прописа за треће земље</w:t>
      </w:r>
      <w:r w:rsidRPr="00644F20">
        <w:rPr>
          <w:rFonts w:ascii="Times New Roman" w:hAnsi="Times New Roman" w:cs="Times New Roman"/>
          <w:sz w:val="24"/>
          <w:szCs w:val="24"/>
          <w:vertAlign w:val="superscript"/>
          <w:lang w:val="sr-Cyrl-CS"/>
        </w:rPr>
        <w:footnoteReference w:id="54"/>
      </w:r>
      <w:r w:rsidRPr="00644F20">
        <w:rPr>
          <w:rFonts w:ascii="Times New Roman" w:hAnsi="Times New Roman" w:cs="Times New Roman"/>
          <w:sz w:val="24"/>
          <w:szCs w:val="24"/>
          <w:lang w:val="sr-Cyrl-CS"/>
        </w:rPr>
        <w:t>. Нажалост, ни једна организација из Републике Србије још увек није остварила EMAS регистрацију.</w:t>
      </w:r>
    </w:p>
    <w:p w14:paraId="0DE1FBEC"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Да би се организације из Републике Србије регистровале у EMAS систему </w:t>
      </w:r>
      <w:r w:rsidR="009B635E" w:rsidRPr="00644F20">
        <w:rPr>
          <w:rFonts w:ascii="Times New Roman" w:hAnsi="Times New Roman" w:cs="Times New Roman"/>
          <w:sz w:val="24"/>
          <w:szCs w:val="24"/>
          <w:lang w:val="sr-Cyrl-CS"/>
        </w:rPr>
        <w:t>Европске уније</w:t>
      </w:r>
      <w:r w:rsidRPr="00644F20">
        <w:rPr>
          <w:rFonts w:ascii="Times New Roman" w:hAnsi="Times New Roman" w:cs="Times New Roman"/>
          <w:sz w:val="24"/>
          <w:szCs w:val="24"/>
          <w:lang w:val="sr-Cyrl-CS"/>
        </w:rPr>
        <w:t>, потребно је да испуне читав сет захтева од којих се одређени број захтева односи и на испуњавање законских захтева из области животне средине у Републици Србији. Тај део у поступку EMAS регистрације проверава независни, овлашћени EMAS верификатор. Додатно је важно да постоји и неки вид комуникациј</w:t>
      </w:r>
      <w:r w:rsidR="009B635E" w:rsidRPr="00644F20">
        <w:rPr>
          <w:rFonts w:ascii="Times New Roman" w:hAnsi="Times New Roman" w:cs="Times New Roman"/>
          <w:sz w:val="24"/>
          <w:szCs w:val="24"/>
          <w:lang w:val="sr-Cyrl-CS"/>
        </w:rPr>
        <w:t>е надлежних органа за EMAS из Европске уније</w:t>
      </w:r>
      <w:r w:rsidRPr="00644F20">
        <w:rPr>
          <w:rFonts w:ascii="Times New Roman" w:hAnsi="Times New Roman" w:cs="Times New Roman"/>
          <w:sz w:val="24"/>
          <w:szCs w:val="24"/>
          <w:lang w:val="sr-Cyrl-CS"/>
        </w:rPr>
        <w:t xml:space="preserve">, где се врши регистрација, са релевантним надлежним органом у Републици Србији (са министарством надлежним за послове животне средине) и неки вид потврде од стране </w:t>
      </w:r>
      <w:r w:rsidRPr="00644F20">
        <w:rPr>
          <w:rFonts w:ascii="Times New Roman" w:hAnsi="Times New Roman" w:cs="Times New Roman"/>
          <w:sz w:val="24"/>
          <w:szCs w:val="24"/>
          <w:lang w:val="sr-Cyrl-CS"/>
        </w:rPr>
        <w:lastRenderedPageBreak/>
        <w:t xml:space="preserve">надлежних органа из Републике Србије да конкретна организација нема евидентираних неусклађености са законским прописима из области животне средине. Издавање овакве потврде, која би помогла организацијама у поступку EMAS регистрације, је предвиђено посебним подзаконским актом за EMAS (основа је дата чланом 44. став 9. Закона о заштити животне средине). Усвајање овог подзаконског акта за EMAS би помогло да се организације додатно подстакну на поступак EMAS регистрације. </w:t>
      </w:r>
    </w:p>
    <w:p w14:paraId="318A477B"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Веома важни предуслови за ширу примену добровољних инструмената (укључујући и EMAS) су и добра упознатост привреде и корисника о њима, али и различити подстицаји на нивоу државе за оне организације које се одлуче на увођење и примену неких од добровољних инструмената. Постоје већ примери добре праксе из земаља ЕУ који би могли да се искористе за даљу афирмацију добровољних инструмената као што су EMAS и национални Еко знак, које би уз додатну анализу и прилагођавање, могли да се примене и у Републици Србији. </w:t>
      </w:r>
    </w:p>
    <w:p w14:paraId="20E4FCBF"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b/>
          <w:sz w:val="24"/>
          <w:szCs w:val="24"/>
          <w:lang w:val="sr-Cyrl-CS"/>
        </w:rPr>
        <w:t>Еко знак Републике Србије</w:t>
      </w:r>
      <w:r w:rsidRPr="00644F20">
        <w:rPr>
          <w:rFonts w:ascii="Times New Roman" w:hAnsi="Times New Roman" w:cs="Times New Roman"/>
          <w:sz w:val="24"/>
          <w:szCs w:val="24"/>
          <w:lang w:val="sr-Cyrl-CS"/>
        </w:rPr>
        <w:t xml:space="preserve"> (национални Еко знак Републике Србије: </w:t>
      </w:r>
      <w:r w:rsidRPr="00644F20">
        <w:rPr>
          <w:rFonts w:ascii="Times New Roman" w:eastAsia="Calibri" w:hAnsi="Times New Roman" w:cs="Times New Roman"/>
          <w:sz w:val="24"/>
          <w:szCs w:val="24"/>
          <w:lang w:val="sr-Cyrl-CS"/>
        </w:rPr>
        <w:t>,,</w:t>
      </w:r>
      <w:r w:rsidRPr="00644F20">
        <w:rPr>
          <w:rFonts w:ascii="Times New Roman" w:hAnsi="Times New Roman" w:cs="Times New Roman"/>
          <w:sz w:val="24"/>
          <w:szCs w:val="24"/>
          <w:lang w:val="sr-Cyrl-CS"/>
        </w:rPr>
        <w:t>Пријатељ животне средине</w:t>
      </w:r>
      <w:r w:rsidRPr="00644F20">
        <w:rPr>
          <w:rFonts w:ascii="Times New Roman" w:eastAsia="Calibri" w:hAnsi="Times New Roman" w:cs="Times New Roman"/>
          <w:sz w:val="24"/>
          <w:szCs w:val="24"/>
          <w:lang w:val="sr-Cyrl-CS"/>
        </w:rPr>
        <w:t>”</w:t>
      </w:r>
      <w:r w:rsidRPr="00644F20">
        <w:rPr>
          <w:rFonts w:ascii="Times New Roman" w:hAnsi="Times New Roman" w:cs="Times New Roman"/>
          <w:sz w:val="24"/>
          <w:szCs w:val="24"/>
          <w:lang w:val="sr-Cyrl-CS"/>
        </w:rPr>
        <w:t>) и ЕУ Еко знак</w:t>
      </w:r>
      <w:r w:rsidRPr="00644F20">
        <w:rPr>
          <w:rFonts w:ascii="Times New Roman" w:hAnsi="Times New Roman" w:cs="Times New Roman"/>
          <w:sz w:val="24"/>
          <w:szCs w:val="24"/>
          <w:vertAlign w:val="superscript"/>
          <w:lang w:val="sr-Cyrl-CS"/>
        </w:rPr>
        <w:footnoteReference w:id="55"/>
      </w:r>
      <w:r w:rsidRPr="00644F20">
        <w:rPr>
          <w:rFonts w:ascii="Times New Roman" w:hAnsi="Times New Roman" w:cs="Times New Roman"/>
          <w:sz w:val="24"/>
          <w:szCs w:val="24"/>
          <w:lang w:val="sr-Cyrl-CS"/>
        </w:rPr>
        <w:t xml:space="preserve"> припадају Програму означавања у вези са животном средином типа I (у складу са стандардом ISO 14024</w:t>
      </w:r>
      <w:r w:rsidRPr="00644F20">
        <w:rPr>
          <w:rFonts w:ascii="Times New Roman" w:hAnsi="Times New Roman" w:cs="Times New Roman"/>
          <w:vertAlign w:val="superscript"/>
          <w:lang w:val="sr-Cyrl-CS"/>
        </w:rPr>
        <w:footnoteReference w:id="56"/>
      </w:r>
      <w:r w:rsidRPr="00644F20">
        <w:rPr>
          <w:rFonts w:ascii="Times New Roman" w:hAnsi="Times New Roman" w:cs="Times New Roman"/>
          <w:lang w:val="sr-Cyrl-CS"/>
        </w:rPr>
        <w:t xml:space="preserve"> </w:t>
      </w:r>
      <w:r w:rsidRPr="00644F20">
        <w:rPr>
          <w:rFonts w:ascii="Times New Roman" w:hAnsi="Times New Roman" w:cs="Times New Roman"/>
          <w:sz w:val="24"/>
          <w:szCs w:val="24"/>
          <w:lang w:val="sr-Cyrl-CS"/>
        </w:rPr>
        <w:t>и ISO 14050</w:t>
      </w:r>
      <w:r w:rsidRPr="00644F20">
        <w:rPr>
          <w:rFonts w:ascii="Times New Roman" w:hAnsi="Times New Roman" w:cs="Times New Roman"/>
          <w:vertAlign w:val="superscript"/>
          <w:lang w:val="sr-Cyrl-CS"/>
        </w:rPr>
        <w:footnoteReference w:id="57"/>
      </w:r>
      <w:r w:rsidRPr="00644F20">
        <w:rPr>
          <w:rFonts w:ascii="Times New Roman" w:hAnsi="Times New Roman" w:cs="Times New Roman"/>
          <w:lang w:val="sr-Cyrl-CS"/>
        </w:rPr>
        <w:t xml:space="preserve">). </w:t>
      </w:r>
    </w:p>
    <w:p w14:paraId="0BC0F4AC" w14:textId="77777777" w:rsidR="00497092" w:rsidRPr="00644F20" w:rsidRDefault="002F45E1">
      <w:pPr>
        <w:autoSpaceDE w:val="0"/>
        <w:autoSpaceDN w:val="0"/>
        <w:adjustRightInd w:val="0"/>
        <w:spacing w:after="60" w:line="276" w:lineRule="auto"/>
        <w:contextualSpacing/>
        <w:jc w:val="both"/>
        <w:rPr>
          <w:rFonts w:ascii="Times New Roman" w:eastAsiaTheme="minorEastAsia" w:hAnsi="Times New Roman" w:cs="Times New Roman"/>
          <w:sz w:val="24"/>
          <w:szCs w:val="24"/>
          <w:lang w:val="sr-Cyrl-CS"/>
        </w:rPr>
      </w:pPr>
      <w:r w:rsidRPr="00644F20">
        <w:rPr>
          <w:rFonts w:ascii="Times New Roman" w:eastAsiaTheme="minorEastAsia" w:hAnsi="Times New Roman" w:cs="Times New Roman"/>
          <w:sz w:val="24"/>
          <w:szCs w:val="24"/>
          <w:lang w:val="sr-Cyrl-CS"/>
        </w:rPr>
        <w:t xml:space="preserve">Еко знаком се подстиче примена циркуларне економије јер је у фокусу еко знака смањење негативних утицаја на животну средину, продужавање века трајања производа кроз одговарајући еко-дизајн производа, једноставна поправка и одржавање, водећи рачуна и о смањивању или елиминисању одређених опасних материја које улазе у састав производа. Тренутно у Републици Србији само две организације имају производе за које је додељен национални Еко знак.  </w:t>
      </w:r>
    </w:p>
    <w:p w14:paraId="04771054"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Додељивање ЕУ Еко знака у складу са одговарајућом Уредбом ЕУ о Еко знаку</w:t>
      </w:r>
      <w:r w:rsidRPr="00644F20">
        <w:rPr>
          <w:rFonts w:ascii="Times New Roman" w:hAnsi="Times New Roman" w:cs="Times New Roman"/>
          <w:vertAlign w:val="superscript"/>
          <w:lang w:val="sr-Cyrl-CS"/>
        </w:rPr>
        <w:footnoteReference w:id="58"/>
      </w:r>
      <w:r w:rsidRPr="00644F20">
        <w:rPr>
          <w:rFonts w:ascii="Times New Roman" w:hAnsi="Times New Roman" w:cs="Times New Roman"/>
          <w:lang w:val="sr-Cyrl-CS"/>
        </w:rPr>
        <w:t xml:space="preserve">, </w:t>
      </w:r>
      <w:r w:rsidRPr="00644F20">
        <w:rPr>
          <w:rFonts w:ascii="Times New Roman" w:hAnsi="Times New Roman" w:cs="Times New Roman"/>
          <w:sz w:val="24"/>
          <w:szCs w:val="24"/>
          <w:lang w:val="sr-Cyrl-CS"/>
        </w:rPr>
        <w:t xml:space="preserve">за производе који су произведени у Републици Србији није могуће у оквиру Републике Србије. Тако нешто биће могуће у тренутку када Република Србија постане чланица ЕУ или буде у оквиру Европске економске зоне (ЕЕЗ). Међутим, то је могуће учинити у одговарајућој земљи чланици ЕУ (односно у оквиру ЕЕЗ), у којој се производ пласира на тржиште, под условом да производ уједно испуњава и све одговарајуће захтеве за конкретну групу производа за ЕУ Еко знак. </w:t>
      </w:r>
    </w:p>
    <w:p w14:paraId="66BA0F93" w14:textId="77777777" w:rsidR="00497092" w:rsidRPr="00644F20" w:rsidRDefault="002F45E1">
      <w:pPr>
        <w:spacing w:after="60" w:line="276" w:lineRule="auto"/>
        <w:jc w:val="center"/>
        <w:rPr>
          <w:rFonts w:ascii="Times New Roman" w:hAnsi="Times New Roman" w:cs="Times New Roman"/>
          <w:lang w:val="sr-Cyrl-CS"/>
        </w:rPr>
      </w:pPr>
      <w:r w:rsidRPr="00644F20">
        <w:rPr>
          <w:rFonts w:ascii="Times New Roman" w:hAnsi="Times New Roman" w:cs="Times New Roman"/>
          <w:noProof/>
        </w:rPr>
        <w:drawing>
          <wp:inline distT="0" distB="0" distL="0" distR="0" wp14:anchorId="3A430A87" wp14:editId="38F7A161">
            <wp:extent cx="1554480" cy="1524000"/>
            <wp:effectExtent l="0" t="0" r="7620" b="0"/>
            <wp:docPr id="13" name="Picture 1437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4370" descr="Logo&#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554480" cy="1524000"/>
                    </a:xfrm>
                    <a:prstGeom prst="rect">
                      <a:avLst/>
                    </a:prstGeom>
                    <a:noFill/>
                    <a:ln>
                      <a:noFill/>
                    </a:ln>
                  </pic:spPr>
                </pic:pic>
              </a:graphicData>
            </a:graphic>
          </wp:inline>
        </w:drawing>
      </w:r>
    </w:p>
    <w:p w14:paraId="0AF468ED" w14:textId="77777777" w:rsidR="00497092" w:rsidRPr="00644F20" w:rsidRDefault="002F45E1">
      <w:pPr>
        <w:spacing w:after="60" w:line="276" w:lineRule="auto"/>
        <w:jc w:val="center"/>
        <w:rPr>
          <w:rFonts w:ascii="Times New Roman" w:hAnsi="Times New Roman" w:cs="Times New Roman"/>
          <w:b/>
          <w:lang w:val="sr-Cyrl-CS"/>
        </w:rPr>
      </w:pPr>
      <w:r w:rsidRPr="00644F20">
        <w:rPr>
          <w:rFonts w:ascii="Times New Roman" w:hAnsi="Times New Roman" w:cs="Times New Roman"/>
          <w:b/>
          <w:lang w:val="sr-Cyrl-CS"/>
        </w:rPr>
        <w:t xml:space="preserve">Слика 3.10 </w:t>
      </w:r>
      <w:r w:rsidRPr="00644F20">
        <w:rPr>
          <w:rFonts w:ascii="Times New Roman" w:hAnsi="Times New Roman" w:cs="Times New Roman"/>
          <w:lang w:val="sr-Cyrl-CS"/>
        </w:rPr>
        <w:t>Национални Еко знак Републике Србије</w:t>
      </w:r>
    </w:p>
    <w:p w14:paraId="5D69FC80"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Детаљи у вези поступка и услова додељивања националног Еко знака дефинисани су Законом о заштити животне средине и посебним Правилником о ближим условима, критеријумима и поступку за добијање права на коришћење еколошког знака, елементима, </w:t>
      </w:r>
      <w:r w:rsidRPr="00644F20">
        <w:rPr>
          <w:rFonts w:ascii="Times New Roman" w:hAnsi="Times New Roman" w:cs="Times New Roman"/>
          <w:sz w:val="24"/>
          <w:szCs w:val="24"/>
          <w:lang w:val="sr-Cyrl-CS"/>
        </w:rPr>
        <w:lastRenderedPageBreak/>
        <w:t>изгледу и начину употребе еколошког знака за производе и услуге</w:t>
      </w:r>
      <w:r w:rsidRPr="00644F20">
        <w:rPr>
          <w:rFonts w:ascii="Times New Roman" w:eastAsia="Times New Roman" w:hAnsi="Times New Roman" w:cs="Times New Roman"/>
          <w:sz w:val="24"/>
          <w:szCs w:val="24"/>
          <w:lang w:val="sr-Cyrl-CS"/>
        </w:rPr>
        <w:t xml:space="preserve">. </w:t>
      </w:r>
      <w:r w:rsidR="00856FED" w:rsidRPr="00644F20">
        <w:rPr>
          <w:rFonts w:ascii="Times New Roman" w:eastAsia="Times New Roman" w:hAnsi="Times New Roman" w:cs="Times New Roman"/>
          <w:sz w:val="24"/>
          <w:szCs w:val="24"/>
          <w:lang w:val="sr-Cyrl-CS"/>
        </w:rPr>
        <w:t xml:space="preserve">Овај </w:t>
      </w:r>
      <w:r w:rsidR="00856FED" w:rsidRPr="00644F20">
        <w:rPr>
          <w:rFonts w:ascii="Times New Roman" w:hAnsi="Times New Roman" w:cs="Times New Roman"/>
          <w:sz w:val="24"/>
          <w:szCs w:val="24"/>
          <w:lang w:val="sr-Cyrl-CS"/>
        </w:rPr>
        <w:t xml:space="preserve">правилник </w:t>
      </w:r>
      <w:r w:rsidRPr="00644F20">
        <w:rPr>
          <w:rFonts w:ascii="Times New Roman" w:hAnsi="Times New Roman" w:cs="Times New Roman"/>
          <w:sz w:val="24"/>
          <w:szCs w:val="24"/>
          <w:lang w:val="sr-Cyrl-CS"/>
        </w:rPr>
        <w:t>садржи и конкретне критеријуме за Еко знак за 26 различитих група производа. Критеријуми су израђени по угледу на одговарајуће критеријуме за ЕУ Еко знак</w:t>
      </w:r>
      <w:r w:rsidRPr="00644F20">
        <w:rPr>
          <w:rFonts w:ascii="Times New Roman" w:hAnsi="Times New Roman" w:cs="Times New Roman"/>
          <w:sz w:val="24"/>
          <w:szCs w:val="24"/>
          <w:vertAlign w:val="superscript"/>
          <w:lang w:val="sr-Cyrl-CS"/>
        </w:rPr>
        <w:footnoteReference w:id="59"/>
      </w:r>
      <w:r w:rsidRPr="00644F20">
        <w:rPr>
          <w:rFonts w:ascii="Times New Roman" w:hAnsi="Times New Roman" w:cs="Times New Roman"/>
          <w:sz w:val="24"/>
          <w:szCs w:val="24"/>
          <w:lang w:val="sr-Cyrl-CS"/>
        </w:rPr>
        <w:t xml:space="preserve"> који су важили у тренутку израде наведеног правилника. Стратешки правац развоја националног Еко знака Републике Србије сагледава се кроз одлуку да групе производа и услуга за које се може доделити национални Еко знак, као и критеријуми по појединачним групама, буду истоветни као групе производа и критеријуми за доделу европског Еко знака – ,,Цвета” Е</w:t>
      </w:r>
      <w:r w:rsidR="00A95345" w:rsidRPr="00644F20">
        <w:rPr>
          <w:rFonts w:ascii="Times New Roman" w:hAnsi="Times New Roman" w:cs="Times New Roman"/>
          <w:sz w:val="24"/>
          <w:szCs w:val="24"/>
          <w:lang w:val="sr-Cyrl-CS"/>
        </w:rPr>
        <w:t>вропс</w:t>
      </w:r>
      <w:r w:rsidR="00644F20">
        <w:rPr>
          <w:rFonts w:ascii="Times New Roman" w:hAnsi="Times New Roman" w:cs="Times New Roman"/>
          <w:sz w:val="24"/>
          <w:szCs w:val="24"/>
          <w:lang w:val="sr-Cyrl-CS"/>
        </w:rPr>
        <w:t>к</w:t>
      </w:r>
      <w:r w:rsidR="00A95345" w:rsidRPr="00644F20">
        <w:rPr>
          <w:rFonts w:ascii="Times New Roman" w:hAnsi="Times New Roman" w:cs="Times New Roman"/>
          <w:sz w:val="24"/>
          <w:szCs w:val="24"/>
          <w:lang w:val="sr-Cyrl-CS"/>
        </w:rPr>
        <w:t>е уније</w:t>
      </w:r>
      <w:r w:rsidRPr="00644F20">
        <w:rPr>
          <w:rFonts w:ascii="Times New Roman" w:hAnsi="Times New Roman" w:cs="Times New Roman"/>
          <w:sz w:val="24"/>
          <w:szCs w:val="24"/>
          <w:lang w:val="sr-Cyrl-CS"/>
        </w:rPr>
        <w:t>. Тренутно, постоје одређена неслагања у критеријумима националног Еко знака и ЕУ Еко знака, због измена које су се у међувремену догодиле у критеријумима за Еко знак Е</w:t>
      </w:r>
      <w:r w:rsidR="00BD6F13" w:rsidRPr="00644F20">
        <w:rPr>
          <w:rFonts w:ascii="Times New Roman" w:hAnsi="Times New Roman" w:cs="Times New Roman"/>
          <w:sz w:val="24"/>
          <w:szCs w:val="24"/>
          <w:lang w:val="sr-Cyrl-CS"/>
        </w:rPr>
        <w:t>вропс</w:t>
      </w:r>
      <w:r w:rsidR="00644F20">
        <w:rPr>
          <w:rFonts w:ascii="Times New Roman" w:hAnsi="Times New Roman" w:cs="Times New Roman"/>
          <w:sz w:val="24"/>
          <w:szCs w:val="24"/>
          <w:lang w:val="sr-Cyrl-CS"/>
        </w:rPr>
        <w:t>к</w:t>
      </w:r>
      <w:r w:rsidR="00BD6F13" w:rsidRPr="00644F20">
        <w:rPr>
          <w:rFonts w:ascii="Times New Roman" w:hAnsi="Times New Roman" w:cs="Times New Roman"/>
          <w:sz w:val="24"/>
          <w:szCs w:val="24"/>
          <w:lang w:val="sr-Cyrl-CS"/>
        </w:rPr>
        <w:t>е уније.</w:t>
      </w:r>
      <w:r w:rsidRPr="00644F20">
        <w:rPr>
          <w:rFonts w:ascii="Times New Roman" w:hAnsi="Times New Roman" w:cs="Times New Roman"/>
          <w:sz w:val="24"/>
          <w:szCs w:val="24"/>
          <w:lang w:val="sr-Cyrl-CS"/>
        </w:rPr>
        <w:t xml:space="preserve"> Због тога је потребно урадити ревизију сад</w:t>
      </w:r>
      <w:r w:rsidR="00B66B94" w:rsidRPr="00644F20">
        <w:rPr>
          <w:rFonts w:ascii="Times New Roman" w:hAnsi="Times New Roman" w:cs="Times New Roman"/>
          <w:sz w:val="24"/>
          <w:szCs w:val="24"/>
          <w:lang w:val="sr-Cyrl-CS"/>
        </w:rPr>
        <w:t>а важећег п</w:t>
      </w:r>
      <w:r w:rsidRPr="00644F20">
        <w:rPr>
          <w:rFonts w:ascii="Times New Roman" w:hAnsi="Times New Roman" w:cs="Times New Roman"/>
          <w:sz w:val="24"/>
          <w:szCs w:val="24"/>
          <w:lang w:val="sr-Cyrl-CS"/>
        </w:rPr>
        <w:t xml:space="preserve">равилника узимајући у обзир додатне групе производа и услуга, као и приоритете који ће бити дефинисани за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xml:space="preserve"> и заступљеност одговарајућих производа/услуга на тржишту Републике Србије. </w:t>
      </w:r>
    </w:p>
    <w:p w14:paraId="4608A160"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Слично као и за EMAS, важни предуслови за ширу примену Еко знака су и добра упознатост привреде и корисника, али и различити подстицаји на нивоу државе за увођење еко знака. Тренутно постоји значајан потенцијал да се ниво примене добровољних инструмената из области заштите животне средине повећа израдом одговарајућих смерница, увођењем подстицајних мера, као и остваривањем њихове додатне промоције. </w:t>
      </w:r>
    </w:p>
    <w:p w14:paraId="5423C8C6"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14" w:name="_Toc93923067"/>
      <w:r w:rsidRPr="00644F20">
        <w:rPr>
          <w:rFonts w:ascii="Times New Roman" w:eastAsiaTheme="majorEastAsia" w:hAnsi="Times New Roman" w:cstheme="majorBidi"/>
          <w:b/>
          <w:bCs/>
          <w:sz w:val="26"/>
          <w:szCs w:val="26"/>
          <w:lang w:val="sr-Cyrl-CS"/>
        </w:rPr>
        <w:t>3.1.6. Јавност и образовни систем</w:t>
      </w:r>
      <w:bookmarkEnd w:id="14"/>
    </w:p>
    <w:p w14:paraId="7BDA3928" w14:textId="77777777" w:rsidR="00497092" w:rsidRPr="00644F20" w:rsidRDefault="002F45E1" w:rsidP="00BD6F13">
      <w:pPr>
        <w:spacing w:after="60" w:line="276" w:lineRule="auto"/>
        <w:ind w:firstLine="720"/>
        <w:contextualSpacing/>
        <w:jc w:val="both"/>
        <w:rPr>
          <w:rFonts w:ascii="Times New Roman" w:hAnsi="Times New Roman" w:cs="Times New Roman"/>
          <w:bCs/>
          <w:sz w:val="24"/>
          <w:szCs w:val="24"/>
          <w:lang w:val="sr-Cyrl-CS"/>
        </w:rPr>
      </w:pPr>
      <w:r w:rsidRPr="00644F20">
        <w:rPr>
          <w:rFonts w:ascii="Times New Roman" w:hAnsi="Times New Roman" w:cs="Times New Roman"/>
          <w:bCs/>
          <w:sz w:val="24"/>
          <w:szCs w:val="24"/>
          <w:lang w:val="sr-Cyrl-CS"/>
        </w:rPr>
        <w:t xml:space="preserve">Иако је циркуларна економија у последње време постала актуелна тема код појединих представника стручне јавности, свест општe јавности о значају циркуларности и предностима које циркуларна економија доноси је на ниском нивоу. Медијске објаве на тему циркуларне економије су веома ретке и у јавном простору недостају информације на ову тему, а сукцесивно и заинтересованост становништва за циркуларне процесе. У општој јавности је у значајној мери препозната потреба за очувањем животне средине, али не и чињеница да прелазак на циркуларну економију може значајно допринети остварењу тог циља, као и да даљи напредак друштва у целини у значајној мери зависи од рада на остваривању циљева одрживог развоја. Навике потрошача, систем вредности, начин размишљања и схватања још увек су засноване на линеарној потрошњи и недостаје свест да сваки појединац променама у својој дневној рутини може да доприносе увођењу </w:t>
      </w:r>
      <w:bookmarkStart w:id="15" w:name="_Hlk90690636"/>
      <w:r w:rsidRPr="00644F20">
        <w:rPr>
          <w:rFonts w:ascii="Times New Roman" w:hAnsi="Times New Roman" w:cs="Times New Roman"/>
          <w:bCs/>
          <w:sz w:val="24"/>
          <w:szCs w:val="24"/>
          <w:lang w:val="sr-Cyrl-CS"/>
        </w:rPr>
        <w:t>циркуларне економије</w:t>
      </w:r>
      <w:bookmarkEnd w:id="15"/>
      <w:r w:rsidRPr="00644F20">
        <w:rPr>
          <w:rFonts w:ascii="Times New Roman" w:hAnsi="Times New Roman" w:cs="Times New Roman"/>
          <w:bCs/>
          <w:sz w:val="24"/>
          <w:szCs w:val="24"/>
          <w:lang w:val="sr-Cyrl-CS"/>
        </w:rPr>
        <w:t xml:space="preserve">. Уочава се недостатак системског приступа подизању свести код заинтересоване јавности (укључујући становништво, медије, представнике организација цивилног друштва и удружења потрошача и др) који би пружио јасне информације о принципима циркуларне економије и предностима које њено увођење доноси релевантним циљним групама, као и друштву у целини. Имајући у виду да транзиција ка циркуларној економији захтева корените промене, не само у привреди већ и у потрошачким навикама, развој циркуларне свести код опште јавности могао би подстаћи овај процес. При том, треба узети у обзир различитости између циљних група у оквиру опште јавности и прилагодити начин на који им се саопштавају релевантне информације тако да одговарају њиховим интересовањима, образовању и узрасту. </w:t>
      </w:r>
    </w:p>
    <w:p w14:paraId="7DCF9C94" w14:textId="77777777" w:rsidR="00BD6F13"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садашњем образовном систему Републике Србије, на свим нивоима образовања, спорадично су присутне теме у вези са смањењем потрошње ресурса, енергије и повећањем енергетске ефикасности, смањењем отпадних токова у производним процесима (тежња ка нултом отпаду), коришћењем обновљивих извора енергије, минимизацијом употребе опасних </w:t>
      </w:r>
      <w:r w:rsidRPr="00644F20">
        <w:rPr>
          <w:rFonts w:ascii="Times New Roman" w:hAnsi="Times New Roman" w:cs="Times New Roman"/>
          <w:sz w:val="24"/>
          <w:szCs w:val="24"/>
          <w:lang w:val="sr-Cyrl-CS"/>
        </w:rPr>
        <w:lastRenderedPageBreak/>
        <w:t xml:space="preserve">хемикалија итд. Међутим, не постоји широко успостављен, методолошки јасан приступ овим темама, који би упознао ђаке основних и средњих школа, као и студенте о значају практичног значаја наведених тема и осталих основних принципа циркуларне економије , односно како применити принципе циркуларне економије у различитим привредним и друштвеним активностима. На нивоу средњих школа се у оквиру изборног предмета </w:t>
      </w:r>
      <w:r w:rsidRPr="00644F20">
        <w:rPr>
          <w:rFonts w:ascii="Times New Roman" w:hAnsi="Times New Roman" w:cs="Times New Roman"/>
          <w:i/>
          <w:iCs/>
          <w:sz w:val="24"/>
          <w:szCs w:val="24"/>
          <w:lang w:val="sr-Cyrl-CS"/>
        </w:rPr>
        <w:t xml:space="preserve">одрживи развој </w:t>
      </w:r>
      <w:r w:rsidRPr="00644F20">
        <w:rPr>
          <w:rFonts w:ascii="Times New Roman" w:hAnsi="Times New Roman" w:cs="Times New Roman"/>
          <w:sz w:val="24"/>
          <w:szCs w:val="24"/>
          <w:lang w:val="sr-Cyrl-CS"/>
        </w:rPr>
        <w:t xml:space="preserve">изучавају неке од тема које су везане за циркуларну економију, али оне су доступне само малом броју ученика. На техничким факултетима постоје предмети који студенте обучавају да примене одређене концепте циркуларне економије, мада то увек није тако јасно наглашено. </w:t>
      </w:r>
      <w:r w:rsidR="00BD6F13" w:rsidRPr="00644F20">
        <w:rPr>
          <w:rFonts w:ascii="Times New Roman" w:hAnsi="Times New Roman" w:cs="Times New Roman"/>
          <w:sz w:val="24"/>
          <w:szCs w:val="24"/>
          <w:lang w:val="sr-Cyrl-CS"/>
        </w:rPr>
        <w:t xml:space="preserve">   </w:t>
      </w:r>
    </w:p>
    <w:p w14:paraId="20B6CD15"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друштвеним факултетима, пре свега економског и правног усмерења, концепт циркуларне економије није препознат, осим на малом броју мастер програма. Поред формалног образовања, и неформално образовање не нуди адекватне програме у области циркуларне економије (обуке, тренинзи и слично). И овде је веома видљив недостатак адекватних обука и тренинга у области економије и права (на пример, циркуларно финансирање, ризици које са собом носе циркуларни пројекти, регулатива). Значај укључивања образовног сектора у примену концепта циркуларне економије је велики, зато што би институционализацијом концепта и његовим увођењем у активности предвиђене наставним плановима било омогућено шире друштвено прихватање наведених идеја, усвајање принципа у најранијим узрастима, али и креирању стручњака који су способни да се по завршетку свог школовања директно укључе у рад привредних субјеката који послују по наведеним принципима, или који својим знањем могу да допринесу увођењу нових технологија и нових приступа организацији производње како би се минимизовали или неутралисали сви отпадни токови, смањила потрошња енергије и постигле све друге друштвене користи од примене концепта циркуларне економије. На овај начин би се помогло и дефинисању радних места и послова који спадају у домен циркуларне, тј. зелене економије, односно дефинисању нових образовних профила са неопходним знањима, вештинама и квалификацијама.</w:t>
      </w:r>
    </w:p>
    <w:p w14:paraId="1FE66716" w14:textId="77777777" w:rsidR="00497092" w:rsidRPr="00644F20" w:rsidRDefault="002F45E1">
      <w:pPr>
        <w:keepNext/>
        <w:keepLines/>
        <w:spacing w:before="360" w:after="120" w:line="276" w:lineRule="auto"/>
        <w:outlineLvl w:val="1"/>
        <w:rPr>
          <w:rFonts w:ascii="Times New Roman" w:eastAsiaTheme="majorEastAsia" w:hAnsi="Times New Roman" w:cs="Times New Roman"/>
          <w:b/>
          <w:bCs/>
          <w:sz w:val="28"/>
          <w:szCs w:val="28"/>
          <w:lang w:val="sr-Cyrl-CS"/>
        </w:rPr>
      </w:pPr>
      <w:bookmarkStart w:id="16" w:name="_Toc93923068"/>
      <w:r w:rsidRPr="00644F20">
        <w:rPr>
          <w:rFonts w:ascii="Times New Roman" w:eastAsiaTheme="majorEastAsia" w:hAnsi="Times New Roman" w:cs="Times New Roman"/>
          <w:b/>
          <w:bCs/>
          <w:sz w:val="28"/>
          <w:szCs w:val="28"/>
          <w:lang w:val="sr-Cyrl-CS"/>
        </w:rPr>
        <w:t>3.2 SWOT анализа</w:t>
      </w:r>
      <w:bookmarkEnd w:id="16"/>
    </w:p>
    <w:p w14:paraId="650D8344" w14:textId="77777777" w:rsidR="00497092" w:rsidRPr="00644F20" w:rsidRDefault="002F45E1" w:rsidP="00BD6F13">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току израде Програма развоја циркуларне економије у Републици Србији</w:t>
      </w:r>
      <w:r w:rsidR="00B66B94" w:rsidRPr="00644F20">
        <w:rPr>
          <w:rFonts w:ascii="Times New Roman" w:hAnsi="Times New Roman" w:cs="Times New Roman"/>
          <w:sz w:val="24"/>
          <w:szCs w:val="24"/>
          <w:lang w:val="sr-Cyrl-CS"/>
        </w:rPr>
        <w:t xml:space="preserve"> за период 2023-2024</w:t>
      </w:r>
      <w:r w:rsidR="00217165" w:rsidRPr="00644F20">
        <w:rPr>
          <w:rFonts w:ascii="Times New Roman" w:hAnsi="Times New Roman" w:cs="Times New Roman"/>
          <w:sz w:val="24"/>
          <w:szCs w:val="24"/>
          <w:lang w:val="sr-Cyrl-CS"/>
        </w:rPr>
        <w:t>.</w:t>
      </w:r>
      <w:r w:rsidR="00B66B94" w:rsidRPr="00644F20">
        <w:rPr>
          <w:rFonts w:ascii="Times New Roman" w:hAnsi="Times New Roman" w:cs="Times New Roman"/>
          <w:sz w:val="24"/>
          <w:szCs w:val="24"/>
          <w:lang w:val="sr-Cyrl-CS"/>
        </w:rPr>
        <w:t xml:space="preserve"> године</w:t>
      </w:r>
      <w:r w:rsidRPr="00644F20">
        <w:rPr>
          <w:rFonts w:ascii="Times New Roman" w:hAnsi="Times New Roman" w:cs="Times New Roman"/>
          <w:sz w:val="24"/>
          <w:szCs w:val="24"/>
          <w:lang w:val="sr-Cyrl-CS"/>
        </w:rPr>
        <w:t>, као помоћни алат за што боље сагледавање постојећег стања и идентификацију конкретних даљих активности које се планирају, коришћена је SWOT анализа.</w:t>
      </w:r>
    </w:p>
    <w:p w14:paraId="5271C475" w14:textId="77777777" w:rsidR="00497092" w:rsidRPr="00644F20" w:rsidRDefault="002F45E1" w:rsidP="00BD6F13">
      <w:pPr>
        <w:spacing w:after="60" w:line="276" w:lineRule="auto"/>
        <w:ind w:firstLine="36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Улазни подаци за SWOT анализу су добијени из следећих извора информација:</w:t>
      </w:r>
    </w:p>
    <w:p w14:paraId="718AA6E6" w14:textId="77777777" w:rsidR="00BD6F13" w:rsidRPr="00644F20" w:rsidRDefault="00217165" w:rsidP="00BD6F13">
      <w:pPr>
        <w:pStyle w:val="ListParagraph"/>
        <w:numPr>
          <w:ilvl w:val="0"/>
          <w:numId w:val="7"/>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консултативни </w:t>
      </w:r>
      <w:r w:rsidR="002F45E1" w:rsidRPr="00644F20">
        <w:rPr>
          <w:rFonts w:ascii="Times New Roman" w:hAnsi="Times New Roman" w:cs="Times New Roman"/>
          <w:sz w:val="24"/>
          <w:szCs w:val="24"/>
          <w:lang w:val="sr-Cyrl-CS"/>
        </w:rPr>
        <w:t>састанци који су спроведени са заинте</w:t>
      </w:r>
      <w:r w:rsidR="00BD6F13" w:rsidRPr="00644F20">
        <w:rPr>
          <w:rFonts w:ascii="Times New Roman" w:hAnsi="Times New Roman" w:cs="Times New Roman"/>
          <w:sz w:val="24"/>
          <w:szCs w:val="24"/>
          <w:lang w:val="sr-Cyrl-CS"/>
        </w:rPr>
        <w:t xml:space="preserve">ресованим странама током израде </w:t>
      </w:r>
    </w:p>
    <w:p w14:paraId="6F31C30F" w14:textId="77777777" w:rsidR="00497092" w:rsidRPr="00644F20" w:rsidRDefault="00BD6F13" w:rsidP="00BD6F13">
      <w:p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овог п</w:t>
      </w:r>
      <w:r w:rsidR="002F45E1" w:rsidRPr="00644F20">
        <w:rPr>
          <w:rFonts w:ascii="Times New Roman" w:hAnsi="Times New Roman" w:cs="Times New Roman"/>
          <w:sz w:val="24"/>
          <w:szCs w:val="24"/>
          <w:lang w:val="sr-Cyrl-CS"/>
        </w:rPr>
        <w:t>рограма (састанци, разговори);</w:t>
      </w:r>
    </w:p>
    <w:p w14:paraId="6314F9E1" w14:textId="77777777" w:rsidR="00497092" w:rsidRPr="00644F20" w:rsidRDefault="00217165">
      <w:pPr>
        <w:numPr>
          <w:ilvl w:val="0"/>
          <w:numId w:val="7"/>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прикупљени </w:t>
      </w:r>
      <w:r w:rsidR="002F45E1" w:rsidRPr="00644F20">
        <w:rPr>
          <w:rFonts w:ascii="Times New Roman" w:hAnsi="Times New Roman" w:cs="Times New Roman"/>
          <w:sz w:val="24"/>
          <w:szCs w:val="24"/>
          <w:lang w:val="sr-Cyrl-CS"/>
        </w:rPr>
        <w:t>коментари заинтерeсованих страна током јавних консултација;</w:t>
      </w:r>
    </w:p>
    <w:p w14:paraId="36C30814" w14:textId="77777777" w:rsidR="00497092" w:rsidRPr="00644F20" w:rsidRDefault="00217165">
      <w:pPr>
        <w:numPr>
          <w:ilvl w:val="0"/>
          <w:numId w:val="7"/>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подаци </w:t>
      </w:r>
      <w:r w:rsidR="002F45E1" w:rsidRPr="00644F20">
        <w:rPr>
          <w:rFonts w:ascii="Times New Roman" w:hAnsi="Times New Roman" w:cs="Times New Roman"/>
          <w:sz w:val="24"/>
          <w:szCs w:val="24"/>
          <w:lang w:val="sr-Cyrl-CS"/>
        </w:rPr>
        <w:t>из еx аntе анализе ефеката у вези са циркуларном економијом;</w:t>
      </w:r>
    </w:p>
    <w:p w14:paraId="7319AAD9" w14:textId="77777777" w:rsidR="00497092" w:rsidRPr="00644F20" w:rsidRDefault="00217165" w:rsidP="00AE78C3">
      <w:pPr>
        <w:numPr>
          <w:ilvl w:val="0"/>
          <w:numId w:val="7"/>
        </w:numPr>
        <w:spacing w:after="60" w:line="276" w:lineRule="auto"/>
        <w:ind w:left="0" w:firstLine="36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увид </w:t>
      </w:r>
      <w:r w:rsidR="002F45E1" w:rsidRPr="00644F20">
        <w:rPr>
          <w:rFonts w:ascii="Times New Roman" w:hAnsi="Times New Roman" w:cs="Times New Roman"/>
          <w:sz w:val="24"/>
          <w:szCs w:val="24"/>
          <w:lang w:val="sr-Cyrl-CS"/>
        </w:rPr>
        <w:t>у расположиву документацију (документа јавне политике, ЕУ и национални законски прописи, статистички подаци и стручне анализе);</w:t>
      </w:r>
    </w:p>
    <w:p w14:paraId="3ABC40E4" w14:textId="77777777" w:rsidR="00497092" w:rsidRPr="00644F20" w:rsidRDefault="00217165" w:rsidP="00AE78C3">
      <w:pPr>
        <w:numPr>
          <w:ilvl w:val="0"/>
          <w:numId w:val="7"/>
        </w:numPr>
        <w:spacing w:after="60" w:line="276" w:lineRule="auto"/>
        <w:ind w:left="0" w:firstLine="36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састанци </w:t>
      </w:r>
      <w:r w:rsidR="002F45E1" w:rsidRPr="00644F20">
        <w:rPr>
          <w:rFonts w:ascii="Times New Roman" w:hAnsi="Times New Roman" w:cs="Times New Roman"/>
          <w:sz w:val="24"/>
          <w:szCs w:val="24"/>
          <w:lang w:val="sr-Cyrl-CS"/>
        </w:rPr>
        <w:t>пројектног тима, стручна знања консултаната који су ангажовани на изради текста</w:t>
      </w:r>
      <w:r w:rsidRPr="00644F20">
        <w:rPr>
          <w:rFonts w:ascii="Times New Roman" w:hAnsi="Times New Roman" w:cs="Times New Roman"/>
          <w:sz w:val="24"/>
          <w:szCs w:val="24"/>
          <w:lang w:val="sr-Cyrl-CS"/>
        </w:rPr>
        <w:t xml:space="preserve"> овог</w:t>
      </w:r>
      <w:r w:rsidR="002F45E1" w:rsidRPr="00644F20">
        <w:rPr>
          <w:rFonts w:ascii="Times New Roman" w:hAnsi="Times New Roman" w:cs="Times New Roman"/>
          <w:sz w:val="24"/>
          <w:szCs w:val="24"/>
          <w:lang w:val="sr-Cyrl-CS"/>
        </w:rPr>
        <w:t xml:space="preserve"> </w:t>
      </w:r>
      <w:r w:rsidRPr="00644F20">
        <w:rPr>
          <w:rFonts w:ascii="Times New Roman" w:hAnsi="Times New Roman" w:cs="Times New Roman"/>
          <w:sz w:val="24"/>
          <w:szCs w:val="24"/>
          <w:lang w:val="sr-Cyrl-CS"/>
        </w:rPr>
        <w:t>програма</w:t>
      </w:r>
      <w:r w:rsidR="002F45E1" w:rsidRPr="00644F20">
        <w:rPr>
          <w:rFonts w:ascii="Times New Roman" w:hAnsi="Times New Roman" w:cs="Times New Roman"/>
          <w:sz w:val="24"/>
          <w:szCs w:val="24"/>
          <w:lang w:val="sr-Cyrl-CS"/>
        </w:rPr>
        <w:t>.</w:t>
      </w:r>
    </w:p>
    <w:p w14:paraId="6312409F" w14:textId="77777777" w:rsidR="00497092" w:rsidRPr="00644F20" w:rsidRDefault="00AE78C3">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 xml:space="preserve">Резултати </w:t>
      </w:r>
      <w:r w:rsidR="00866132" w:rsidRPr="00644F20">
        <w:rPr>
          <w:rFonts w:ascii="Times New Roman" w:hAnsi="Times New Roman" w:cs="Times New Roman"/>
          <w:sz w:val="24"/>
          <w:szCs w:val="24"/>
          <w:lang w:val="sr-Cyrl-CS"/>
        </w:rPr>
        <w:t>SWOT анализе представљени су у четири</w:t>
      </w:r>
      <w:r w:rsidR="002F45E1" w:rsidRPr="00644F20">
        <w:rPr>
          <w:rFonts w:ascii="Times New Roman" w:hAnsi="Times New Roman" w:cs="Times New Roman"/>
          <w:sz w:val="24"/>
          <w:szCs w:val="24"/>
          <w:lang w:val="sr-Cyrl-CS"/>
        </w:rPr>
        <w:t xml:space="preserve"> целине:</w:t>
      </w:r>
    </w:p>
    <w:p w14:paraId="4E45ECC7" w14:textId="77777777" w:rsidR="00497092" w:rsidRPr="00644F20" w:rsidRDefault="00AE78C3" w:rsidP="000855C6">
      <w:pPr>
        <w:pStyle w:val="ListParagraph"/>
        <w:numPr>
          <w:ilvl w:val="0"/>
          <w:numId w:val="8"/>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снаге</w:t>
      </w:r>
      <w:r w:rsidR="00692ECE" w:rsidRPr="00644F20">
        <w:rPr>
          <w:rFonts w:ascii="Times New Roman" w:hAnsi="Times New Roman" w:cs="Times New Roman"/>
          <w:sz w:val="24"/>
          <w:szCs w:val="24"/>
          <w:lang w:val="sr-Cyrl-CS"/>
        </w:rPr>
        <w:t>;</w:t>
      </w:r>
    </w:p>
    <w:p w14:paraId="6B99600A" w14:textId="77777777" w:rsidR="00497092" w:rsidRPr="00644F20" w:rsidRDefault="00AE78C3">
      <w:pPr>
        <w:numPr>
          <w:ilvl w:val="0"/>
          <w:numId w:val="8"/>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слабости</w:t>
      </w:r>
      <w:r w:rsidR="00692ECE" w:rsidRPr="00644F20">
        <w:rPr>
          <w:rFonts w:ascii="Times New Roman" w:hAnsi="Times New Roman" w:cs="Times New Roman"/>
          <w:sz w:val="24"/>
          <w:szCs w:val="24"/>
          <w:lang w:val="sr-Cyrl-CS"/>
        </w:rPr>
        <w:t>;</w:t>
      </w:r>
    </w:p>
    <w:p w14:paraId="76063FFD" w14:textId="77777777" w:rsidR="00497092" w:rsidRPr="00644F20" w:rsidRDefault="00AE78C3">
      <w:pPr>
        <w:numPr>
          <w:ilvl w:val="0"/>
          <w:numId w:val="8"/>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 xml:space="preserve">могућности </w:t>
      </w:r>
      <w:r w:rsidR="002F45E1" w:rsidRPr="00644F20">
        <w:rPr>
          <w:rFonts w:ascii="Times New Roman" w:hAnsi="Times New Roman" w:cs="Times New Roman"/>
          <w:sz w:val="24"/>
          <w:szCs w:val="24"/>
          <w:lang w:val="sr-Cyrl-CS"/>
        </w:rPr>
        <w:t>(прилике)</w:t>
      </w:r>
      <w:r w:rsidR="00692ECE" w:rsidRPr="00644F20">
        <w:rPr>
          <w:rFonts w:ascii="Times New Roman" w:hAnsi="Times New Roman" w:cs="Times New Roman"/>
          <w:sz w:val="24"/>
          <w:szCs w:val="24"/>
          <w:lang w:val="sr-Cyrl-CS"/>
        </w:rPr>
        <w:t>;</w:t>
      </w:r>
    </w:p>
    <w:p w14:paraId="68D1BD86" w14:textId="77777777" w:rsidR="00497092" w:rsidRPr="00644F20" w:rsidRDefault="00AE78C3">
      <w:pPr>
        <w:numPr>
          <w:ilvl w:val="0"/>
          <w:numId w:val="8"/>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претње</w:t>
      </w:r>
      <w:r w:rsidR="002F45E1" w:rsidRPr="00644F20">
        <w:rPr>
          <w:rFonts w:ascii="Times New Roman" w:hAnsi="Times New Roman" w:cs="Times New Roman"/>
          <w:sz w:val="24"/>
          <w:szCs w:val="24"/>
          <w:lang w:val="sr-Cyrl-CS"/>
        </w:rPr>
        <w:t>.</w:t>
      </w:r>
    </w:p>
    <w:p w14:paraId="5160BE2E" w14:textId="77777777" w:rsidR="00497092" w:rsidRPr="00644F20" w:rsidRDefault="002F45E1">
      <w:pPr>
        <w:shd w:val="clear" w:color="auto" w:fill="92D050"/>
        <w:spacing w:before="120" w:after="120" w:line="276" w:lineRule="auto"/>
        <w:jc w:val="center"/>
        <w:rPr>
          <w:rFonts w:ascii="Times New Roman" w:hAnsi="Times New Roman" w:cs="Times New Roman"/>
          <w:b/>
          <w:bCs/>
          <w:sz w:val="24"/>
          <w:szCs w:val="24"/>
          <w:lang w:val="sr-Cyrl-CS"/>
        </w:rPr>
      </w:pPr>
      <w:r w:rsidRPr="00644F20">
        <w:rPr>
          <w:rFonts w:ascii="Times New Roman" w:hAnsi="Times New Roman" w:cs="Times New Roman"/>
          <w:b/>
          <w:bCs/>
          <w:sz w:val="24"/>
          <w:szCs w:val="24"/>
          <w:lang w:val="sr-Cyrl-CS"/>
        </w:rPr>
        <w:t>СНАГЕ</w:t>
      </w:r>
    </w:p>
    <w:p w14:paraId="076CD843" w14:textId="77777777" w:rsidR="000855C6" w:rsidRPr="00644F20" w:rsidRDefault="000459D5" w:rsidP="000855C6">
      <w:pPr>
        <w:pStyle w:val="ListParagraph"/>
        <w:numPr>
          <w:ilvl w:val="0"/>
          <w:numId w:val="22"/>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привреда </w:t>
      </w:r>
      <w:r w:rsidR="002F45E1" w:rsidRPr="00644F20">
        <w:rPr>
          <w:rFonts w:ascii="Times New Roman" w:hAnsi="Times New Roman" w:cs="Times New Roman"/>
          <w:sz w:val="24"/>
          <w:szCs w:val="24"/>
          <w:lang w:val="sr-Cyrl-CS"/>
        </w:rPr>
        <w:t xml:space="preserve">показује интересовање за циркуларну економију (као шансу за уштеде и </w:t>
      </w:r>
    </w:p>
    <w:p w14:paraId="75B124E1" w14:textId="77777777" w:rsidR="00497092" w:rsidRPr="00644F20" w:rsidRDefault="002F45E1" w:rsidP="000855C6">
      <w:p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смањење негативних утицаја на животну средину);</w:t>
      </w:r>
    </w:p>
    <w:p w14:paraId="27E0C1D4" w14:textId="77777777" w:rsidR="000855C6" w:rsidRPr="00644F20" w:rsidRDefault="000459D5" w:rsidP="000855C6">
      <w:pPr>
        <w:pStyle w:val="ListParagraph"/>
        <w:numPr>
          <w:ilvl w:val="0"/>
          <w:numId w:val="22"/>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институционални </w:t>
      </w:r>
      <w:r w:rsidR="002F45E1" w:rsidRPr="00644F20">
        <w:rPr>
          <w:rFonts w:ascii="Times New Roman" w:hAnsi="Times New Roman" w:cs="Times New Roman"/>
          <w:sz w:val="24"/>
          <w:szCs w:val="24"/>
          <w:lang w:val="sr-Cyrl-CS"/>
        </w:rPr>
        <w:t xml:space="preserve">оквири као добра основа за даљи развој циркуларне економије </w:t>
      </w:r>
    </w:p>
    <w:p w14:paraId="74789FAE" w14:textId="77777777" w:rsidR="00497092" w:rsidRPr="00644F20" w:rsidRDefault="002F45E1" w:rsidP="000855C6">
      <w:p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(Одсек за циркуларну и зелену економију, Центар за циркуларну економију Привредне коморе Србије и сл); </w:t>
      </w:r>
    </w:p>
    <w:p w14:paraId="5292C2DB" w14:textId="77777777" w:rsidR="000855C6" w:rsidRPr="00644F20" w:rsidRDefault="002F45E1" w:rsidP="000855C6">
      <w:pPr>
        <w:pStyle w:val="ListParagraph"/>
        <w:numPr>
          <w:ilvl w:val="0"/>
          <w:numId w:val="22"/>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Република Србија се обавезала на испуњавање циљева одрживог развоја (Агенда 2030) </w:t>
      </w:r>
    </w:p>
    <w:p w14:paraId="634A3415" w14:textId="77777777" w:rsidR="00497092" w:rsidRPr="00644F20" w:rsidRDefault="002F45E1" w:rsidP="000855C6">
      <w:p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 Париског споразума о клими; </w:t>
      </w:r>
    </w:p>
    <w:p w14:paraId="30BCF261" w14:textId="77777777" w:rsidR="00497092" w:rsidRPr="00644F20" w:rsidRDefault="000459D5" w:rsidP="000855C6">
      <w:pPr>
        <w:numPr>
          <w:ilvl w:val="0"/>
          <w:numId w:val="2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посвећеност </w:t>
      </w:r>
      <w:r w:rsidR="002F45E1" w:rsidRPr="00644F20">
        <w:rPr>
          <w:rFonts w:ascii="Times New Roman" w:hAnsi="Times New Roman" w:cs="Times New Roman"/>
          <w:sz w:val="24"/>
          <w:szCs w:val="24"/>
          <w:lang w:val="sr-Cyrl-CS"/>
        </w:rPr>
        <w:t>циркуларној економији кроз Зелену агенду за Западни Балкан;</w:t>
      </w:r>
    </w:p>
    <w:p w14:paraId="5BAB4A87" w14:textId="77777777" w:rsidR="000855C6" w:rsidRPr="00644F20" w:rsidRDefault="000459D5" w:rsidP="000855C6">
      <w:pPr>
        <w:numPr>
          <w:ilvl w:val="0"/>
          <w:numId w:val="2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законски </w:t>
      </w:r>
      <w:r w:rsidR="002F45E1" w:rsidRPr="00644F20">
        <w:rPr>
          <w:rFonts w:ascii="Times New Roman" w:hAnsi="Times New Roman" w:cs="Times New Roman"/>
          <w:sz w:val="24"/>
          <w:szCs w:val="24"/>
          <w:lang w:val="sr-Cyrl-CS"/>
        </w:rPr>
        <w:t xml:space="preserve">прописи који доприносе преласку на циркуларну економију (смањење броја </w:t>
      </w:r>
    </w:p>
    <w:p w14:paraId="55570E55"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пластичних кеса увођењем њихове наплате, обновљиви извори енергије, увођење механизама нус-производа и престанка статуса отпада, субвенционисање мера енергетске ефикасности); </w:t>
      </w:r>
    </w:p>
    <w:p w14:paraId="07CDC54C" w14:textId="77777777" w:rsidR="000855C6" w:rsidRPr="00644F20" w:rsidRDefault="002F45E1" w:rsidP="000855C6">
      <w:pPr>
        <w:numPr>
          <w:ilvl w:val="0"/>
          <w:numId w:val="2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РСЗ је упознат са новим индикаторима за праћење циркуларне економије и по некима </w:t>
      </w:r>
    </w:p>
    <w:p w14:paraId="7C16B618"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од њих већ извештава. Одређени индикатори се прате и од стране Агенције;</w:t>
      </w:r>
    </w:p>
    <w:p w14:paraId="0E54AD7C" w14:textId="77777777" w:rsidR="00497092" w:rsidRPr="00644F20" w:rsidRDefault="000459D5" w:rsidP="000855C6">
      <w:pPr>
        <w:numPr>
          <w:ilvl w:val="0"/>
          <w:numId w:val="2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постоје </w:t>
      </w:r>
      <w:r w:rsidR="002F45E1" w:rsidRPr="00644F20">
        <w:rPr>
          <w:rFonts w:ascii="Times New Roman" w:hAnsi="Times New Roman" w:cs="Times New Roman"/>
          <w:sz w:val="24"/>
          <w:szCs w:val="24"/>
          <w:lang w:val="sr-Cyrl-CS"/>
        </w:rPr>
        <w:t xml:space="preserve">предуслови за спровођење зелених јавних набавки; </w:t>
      </w:r>
    </w:p>
    <w:p w14:paraId="61901DC6" w14:textId="77777777" w:rsidR="000855C6" w:rsidRPr="00644F20" w:rsidRDefault="000459D5" w:rsidP="000855C6">
      <w:pPr>
        <w:numPr>
          <w:ilvl w:val="0"/>
          <w:numId w:val="2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постоји </w:t>
      </w:r>
      <w:r w:rsidR="002F45E1" w:rsidRPr="00644F20">
        <w:rPr>
          <w:rFonts w:ascii="Times New Roman" w:hAnsi="Times New Roman" w:cs="Times New Roman"/>
          <w:sz w:val="24"/>
          <w:szCs w:val="24"/>
          <w:lang w:val="sr-Cyrl-CS"/>
        </w:rPr>
        <w:t xml:space="preserve">велики број различитих обука и пројеката на тему циркуларне економије и </w:t>
      </w:r>
    </w:p>
    <w:p w14:paraId="70D329D1"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иновација, као и могућности за суфинансирање (Фонд за иновациону делатност, међународне организације и донатори и сл). Пословни модели као што су хемијски лизинг, чистија производња и сл;</w:t>
      </w:r>
    </w:p>
    <w:p w14:paraId="6FF81E8D" w14:textId="77777777" w:rsidR="00497092" w:rsidRPr="00644F20" w:rsidRDefault="000459D5" w:rsidP="000855C6">
      <w:pPr>
        <w:numPr>
          <w:ilvl w:val="0"/>
          <w:numId w:val="2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свест </w:t>
      </w:r>
      <w:r w:rsidR="002F45E1" w:rsidRPr="00644F20">
        <w:rPr>
          <w:rFonts w:ascii="Times New Roman" w:hAnsi="Times New Roman" w:cs="Times New Roman"/>
          <w:sz w:val="24"/>
          <w:szCs w:val="24"/>
          <w:lang w:val="sr-Cyrl-CS"/>
        </w:rPr>
        <w:t>грађана у вези са животном средином је у великој мери порасла;</w:t>
      </w:r>
    </w:p>
    <w:p w14:paraId="1CB8E928" w14:textId="77777777" w:rsidR="000855C6" w:rsidRPr="00644F20" w:rsidRDefault="000459D5" w:rsidP="000855C6">
      <w:pPr>
        <w:numPr>
          <w:ilvl w:val="0"/>
          <w:numId w:val="2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формирана </w:t>
      </w:r>
      <w:r w:rsidR="002F45E1" w:rsidRPr="00644F20">
        <w:rPr>
          <w:rFonts w:ascii="Times New Roman" w:hAnsi="Times New Roman" w:cs="Times New Roman"/>
          <w:sz w:val="24"/>
          <w:szCs w:val="24"/>
          <w:lang w:val="sr-Cyrl-CS"/>
        </w:rPr>
        <w:t xml:space="preserve">је комисија за стандарде у Институту за стандардизацију Србије </w:t>
      </w:r>
    </w:p>
    <w:p w14:paraId="7CD56697"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(Циркуларна економија и управљање отпадом) која прати рад ISO техничке комисије за циркуларну економију (TC 323). </w:t>
      </w:r>
    </w:p>
    <w:p w14:paraId="21CD9E80" w14:textId="77777777" w:rsidR="00497092" w:rsidRPr="00644F20" w:rsidRDefault="00497092">
      <w:pPr>
        <w:spacing w:after="60" w:line="276" w:lineRule="auto"/>
        <w:ind w:left="360"/>
        <w:contextualSpacing/>
        <w:jc w:val="both"/>
        <w:rPr>
          <w:rFonts w:ascii="Times New Roman" w:hAnsi="Times New Roman" w:cs="Times New Roman"/>
          <w:sz w:val="24"/>
          <w:szCs w:val="24"/>
          <w:lang w:val="sr-Cyrl-CS"/>
        </w:rPr>
      </w:pPr>
    </w:p>
    <w:p w14:paraId="684660DA" w14:textId="77777777" w:rsidR="00497092" w:rsidRPr="00644F20" w:rsidRDefault="002F45E1">
      <w:pPr>
        <w:shd w:val="clear" w:color="auto" w:fill="F4B083" w:themeFill="accent2" w:themeFillTint="99"/>
        <w:spacing w:before="120" w:after="120" w:line="276" w:lineRule="auto"/>
        <w:jc w:val="center"/>
        <w:rPr>
          <w:rFonts w:ascii="Times New Roman" w:hAnsi="Times New Roman" w:cs="Times New Roman"/>
          <w:b/>
          <w:bCs/>
          <w:sz w:val="24"/>
          <w:szCs w:val="24"/>
          <w:lang w:val="sr-Cyrl-CS"/>
        </w:rPr>
      </w:pPr>
      <w:r w:rsidRPr="00644F20">
        <w:rPr>
          <w:rFonts w:ascii="Times New Roman" w:hAnsi="Times New Roman" w:cs="Times New Roman"/>
          <w:b/>
          <w:bCs/>
          <w:sz w:val="24"/>
          <w:szCs w:val="24"/>
          <w:lang w:val="sr-Cyrl-CS"/>
        </w:rPr>
        <w:t>СЛАБОСТИ</w:t>
      </w:r>
    </w:p>
    <w:p w14:paraId="6EFE688E" w14:textId="77777777" w:rsidR="000855C6" w:rsidRPr="00644F20" w:rsidRDefault="000459D5" w:rsidP="000855C6">
      <w:pPr>
        <w:pStyle w:val="ListParagraph"/>
        <w:numPr>
          <w:ilvl w:val="0"/>
          <w:numId w:val="10"/>
        </w:numPr>
        <w:spacing w:after="60"/>
        <w:jc w:val="both"/>
        <w:rPr>
          <w:rFonts w:ascii="Times New Roman" w:eastAsia="Times New Roman" w:hAnsi="Times New Roman" w:cs="Times New Roman"/>
          <w:sz w:val="24"/>
          <w:szCs w:val="24"/>
          <w:lang w:val="sr-Cyrl-CS"/>
        </w:rPr>
      </w:pPr>
      <w:r w:rsidRPr="00644F20">
        <w:rPr>
          <w:rFonts w:ascii="Times New Roman" w:hAnsi="Times New Roman" w:cs="Times New Roman"/>
          <w:sz w:val="24"/>
          <w:szCs w:val="24"/>
          <w:lang w:val="sr-Cyrl-CS"/>
        </w:rPr>
        <w:t xml:space="preserve">управљање </w:t>
      </w:r>
      <w:r w:rsidR="002F45E1" w:rsidRPr="00644F20">
        <w:rPr>
          <w:rFonts w:ascii="Times New Roman" w:hAnsi="Times New Roman" w:cs="Times New Roman"/>
          <w:sz w:val="24"/>
          <w:szCs w:val="24"/>
          <w:lang w:val="sr-Cyrl-CS"/>
        </w:rPr>
        <w:t xml:space="preserve">отпадом је оцењено као главна слаба тачка у целокупном систему </w:t>
      </w:r>
    </w:p>
    <w:p w14:paraId="30FDF5DD" w14:textId="77777777" w:rsidR="00497092" w:rsidRPr="00644F20" w:rsidRDefault="002F45E1" w:rsidP="000855C6">
      <w:pPr>
        <w:spacing w:after="60"/>
        <w:jc w:val="both"/>
        <w:rPr>
          <w:rFonts w:ascii="Times New Roman" w:eastAsia="Times New Roman" w:hAnsi="Times New Roman" w:cs="Times New Roman"/>
          <w:sz w:val="24"/>
          <w:szCs w:val="24"/>
          <w:lang w:val="sr-Cyrl-CS"/>
        </w:rPr>
      </w:pPr>
      <w:r w:rsidRPr="00644F20">
        <w:rPr>
          <w:rFonts w:ascii="Times New Roman" w:hAnsi="Times New Roman" w:cs="Times New Roman"/>
          <w:sz w:val="24"/>
          <w:szCs w:val="24"/>
          <w:lang w:val="sr-Cyrl-CS"/>
        </w:rPr>
        <w:t>(неадекватна примена прописа, непрепознавање специфичности микро и МСПП у оквиру законских прописа, лоше стање комуналне инфраструктуре, изостанак системског приступа, мали проценат примарне селекције отпада, изостанак санкција и адекватних подстицај</w:t>
      </w:r>
      <w:r w:rsidR="00644F20">
        <w:rPr>
          <w:rFonts w:ascii="Times New Roman" w:hAnsi="Times New Roman" w:cs="Times New Roman"/>
          <w:sz w:val="24"/>
          <w:szCs w:val="24"/>
          <w:lang w:val="sr-Cyrl-CS"/>
        </w:rPr>
        <w:t>н</w:t>
      </w:r>
      <w:r w:rsidRPr="00644F20">
        <w:rPr>
          <w:rFonts w:ascii="Times New Roman" w:hAnsi="Times New Roman" w:cs="Times New Roman"/>
          <w:sz w:val="24"/>
          <w:szCs w:val="24"/>
          <w:lang w:val="sr-Cyrl-CS"/>
        </w:rPr>
        <w:t>их мера, недовољна свест и едукација грађана</w:t>
      </w:r>
      <w:r w:rsidRPr="00644F20">
        <w:rPr>
          <w:rFonts w:ascii="Times New Roman" w:eastAsia="Times New Roman" w:hAnsi="Times New Roman" w:cs="Times New Roman"/>
          <w:sz w:val="24"/>
          <w:szCs w:val="24"/>
          <w:lang w:val="sr-Cyrl-CS"/>
        </w:rPr>
        <w:t>);</w:t>
      </w:r>
    </w:p>
    <w:p w14:paraId="19CDF6E1" w14:textId="77777777" w:rsidR="000855C6"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неразвијен </w:t>
      </w:r>
      <w:r w:rsidR="002F45E1" w:rsidRPr="00644F20">
        <w:rPr>
          <w:rFonts w:ascii="Times New Roman" w:eastAsia="Times New Roman" w:hAnsi="Times New Roman" w:cs="Times New Roman"/>
          <w:sz w:val="24"/>
          <w:szCs w:val="24"/>
          <w:lang w:val="sr-Cyrl-CS"/>
        </w:rPr>
        <w:t xml:space="preserve">циркуларни модел управљања производима од пластике за једнократну </w:t>
      </w:r>
    </w:p>
    <w:p w14:paraId="0D84D62E" w14:textId="77777777" w:rsidR="00497092" w:rsidRPr="00644F20" w:rsidRDefault="002F45E1" w:rsidP="000855C6">
      <w:p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употребу и коришћењe одрживијих материјала;</w:t>
      </w:r>
    </w:p>
    <w:p w14:paraId="3C195E48" w14:textId="77777777" w:rsidR="000855C6"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ниска </w:t>
      </w:r>
      <w:r w:rsidR="002F45E1" w:rsidRPr="00644F20">
        <w:rPr>
          <w:rFonts w:ascii="Times New Roman" w:eastAsia="Times New Roman" w:hAnsi="Times New Roman" w:cs="Times New Roman"/>
          <w:sz w:val="24"/>
          <w:szCs w:val="24"/>
          <w:lang w:val="sr-Cyrl-CS"/>
        </w:rPr>
        <w:t xml:space="preserve">искоришћеност остатака из процеса производње и слаба размена информација о </w:t>
      </w:r>
    </w:p>
    <w:p w14:paraId="3442B325" w14:textId="77777777" w:rsidR="00497092" w:rsidRPr="00644F20" w:rsidRDefault="002F45E1" w:rsidP="000855C6">
      <w:p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њиховом  могућем искоришћењу међу привредним субјектима;</w:t>
      </w:r>
    </w:p>
    <w:p w14:paraId="7DDF54C0" w14:textId="77777777" w:rsidR="000855C6"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недостатак </w:t>
      </w:r>
      <w:r w:rsidR="002F45E1" w:rsidRPr="00644F20">
        <w:rPr>
          <w:rFonts w:ascii="Times New Roman" w:eastAsia="Times New Roman" w:hAnsi="Times New Roman" w:cs="Times New Roman"/>
          <w:sz w:val="24"/>
          <w:szCs w:val="24"/>
          <w:lang w:val="sr-Cyrl-CS"/>
        </w:rPr>
        <w:t xml:space="preserve">адекватног система за поновно искоришћење и рециклажу неопасног </w:t>
      </w:r>
    </w:p>
    <w:p w14:paraId="7BC3406F" w14:textId="77777777" w:rsidR="00497092" w:rsidRPr="00644F20" w:rsidRDefault="002F45E1" w:rsidP="000855C6">
      <w:p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грађевинског отпада;</w:t>
      </w:r>
    </w:p>
    <w:p w14:paraId="0C8BD7BE" w14:textId="77777777" w:rsidR="000855C6" w:rsidRPr="00644F20" w:rsidRDefault="000459D5">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недостатак </w:t>
      </w:r>
      <w:r w:rsidR="002F45E1" w:rsidRPr="00644F20">
        <w:rPr>
          <w:rFonts w:ascii="Times New Roman" w:hAnsi="Times New Roman" w:cs="Times New Roman"/>
          <w:sz w:val="24"/>
          <w:szCs w:val="24"/>
          <w:lang w:val="sr-Cyrl-CS"/>
        </w:rPr>
        <w:t xml:space="preserve">одговарајућих оператера за управљање отпадом на тржишту, немогућност </w:t>
      </w:r>
    </w:p>
    <w:p w14:paraId="6BE03969"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предаје отпада у малим количинама; </w:t>
      </w:r>
    </w:p>
    <w:p w14:paraId="1407637D" w14:textId="77777777" w:rsidR="000855C6" w:rsidRPr="00644F20" w:rsidRDefault="000459D5">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изостанак </w:t>
      </w:r>
      <w:r w:rsidR="002F45E1" w:rsidRPr="00644F20">
        <w:rPr>
          <w:rFonts w:ascii="Times New Roman" w:hAnsi="Times New Roman" w:cs="Times New Roman"/>
          <w:sz w:val="24"/>
          <w:szCs w:val="24"/>
          <w:lang w:val="sr-Cyrl-CS"/>
        </w:rPr>
        <w:t xml:space="preserve">санкција у случајевима неадекватног поступања са отпадом (паљење </w:t>
      </w:r>
    </w:p>
    <w:p w14:paraId="7A806D13"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стрњике, отпадних каблова и других отпадних материјала на отвореном, коришћење неадекватних енергената и сл);</w:t>
      </w:r>
    </w:p>
    <w:p w14:paraId="2BE57AB9" w14:textId="77777777" w:rsidR="000855C6" w:rsidRPr="00644F20" w:rsidRDefault="000459D5">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lastRenderedPageBreak/>
        <w:t xml:space="preserve">велики </w:t>
      </w:r>
      <w:r w:rsidR="002F45E1" w:rsidRPr="00644F20">
        <w:rPr>
          <w:rFonts w:ascii="Times New Roman" w:eastAsia="Times New Roman" w:hAnsi="Times New Roman" w:cs="Times New Roman"/>
          <w:sz w:val="24"/>
          <w:szCs w:val="24"/>
          <w:lang w:val="sr-Cyrl-CS"/>
        </w:rPr>
        <w:t xml:space="preserve">удео (50%) биоразградивог отпада у комуналном отпаду. Трећина хране </w:t>
      </w:r>
    </w:p>
    <w:p w14:paraId="1DA1D8C3"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произведене за људску потрошњу одбацује се као неконзумирани вишак;</w:t>
      </w:r>
    </w:p>
    <w:p w14:paraId="6505643D" w14:textId="77777777" w:rsidR="000855C6" w:rsidRPr="00644F20" w:rsidRDefault="002D3C5B">
      <w:pPr>
        <w:numPr>
          <w:ilvl w:val="0"/>
          <w:numId w:val="10"/>
        </w:numPr>
        <w:spacing w:after="60" w:line="276" w:lineRule="auto"/>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приоритет</w:t>
      </w:r>
      <w:r w:rsidR="002F45E1" w:rsidRPr="00644F20">
        <w:rPr>
          <w:rFonts w:ascii="Times New Roman" w:eastAsia="Times New Roman" w:hAnsi="Times New Roman" w:cs="Times New Roman"/>
          <w:sz w:val="24"/>
          <w:szCs w:val="24"/>
          <w:lang w:val="sr-Cyrl-CS"/>
        </w:rPr>
        <w:t>ни појединачни ци</w:t>
      </w:r>
      <w:r w:rsidR="006E7971">
        <w:rPr>
          <w:rFonts w:ascii="Times New Roman" w:eastAsia="Times New Roman" w:hAnsi="Times New Roman" w:cs="Times New Roman"/>
          <w:sz w:val="24"/>
          <w:szCs w:val="24"/>
          <w:lang w:val="sr-Cyrl-CS"/>
        </w:rPr>
        <w:t>ље</w:t>
      </w:r>
      <w:r w:rsidR="002F45E1" w:rsidRPr="00644F20">
        <w:rPr>
          <w:rFonts w:ascii="Times New Roman" w:eastAsia="Times New Roman" w:hAnsi="Times New Roman" w:cs="Times New Roman"/>
          <w:sz w:val="24"/>
          <w:szCs w:val="24"/>
          <w:lang w:val="sr-Cyrl-CS"/>
        </w:rPr>
        <w:t xml:space="preserve">ви за примену зелених јавних набавки нису јасно </w:t>
      </w:r>
    </w:p>
    <w:p w14:paraId="1AE3693B" w14:textId="77777777" w:rsidR="00497092" w:rsidRPr="00644F20" w:rsidRDefault="002F45E1" w:rsidP="000855C6">
      <w:p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одређени по групама добара, услуга и радова;</w:t>
      </w:r>
    </w:p>
    <w:p w14:paraId="2148B395" w14:textId="77777777" w:rsidR="00497092"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недовољна </w:t>
      </w:r>
      <w:r w:rsidR="002F45E1" w:rsidRPr="00644F20">
        <w:rPr>
          <w:rFonts w:ascii="Times New Roman" w:eastAsia="Times New Roman" w:hAnsi="Times New Roman" w:cs="Times New Roman"/>
          <w:sz w:val="24"/>
          <w:szCs w:val="24"/>
          <w:lang w:val="sr-Cyrl-CS"/>
        </w:rPr>
        <w:t xml:space="preserve">заступљеност примене критеријума за </w:t>
      </w:r>
      <w:r w:rsidR="005D74AC" w:rsidRPr="00644F20">
        <w:rPr>
          <w:rFonts w:ascii="Times New Roman" w:eastAsia="Times New Roman" w:hAnsi="Times New Roman" w:cs="Times New Roman"/>
          <w:sz w:val="24"/>
          <w:szCs w:val="24"/>
          <w:lang w:val="sr-Cyrl-CS"/>
        </w:rPr>
        <w:t>ЗеЈН</w:t>
      </w:r>
      <w:r w:rsidR="002F45E1" w:rsidRPr="00644F20">
        <w:rPr>
          <w:rFonts w:ascii="Times New Roman" w:eastAsia="Times New Roman" w:hAnsi="Times New Roman" w:cs="Times New Roman"/>
          <w:sz w:val="24"/>
          <w:szCs w:val="24"/>
          <w:lang w:val="sr-Cyrl-CS"/>
        </w:rPr>
        <w:t xml:space="preserve"> у поступцима јавних набавки; </w:t>
      </w:r>
    </w:p>
    <w:p w14:paraId="7D1E28FA" w14:textId="77777777" w:rsidR="000855C6"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систематско </w:t>
      </w:r>
      <w:r w:rsidR="002F45E1" w:rsidRPr="00644F20">
        <w:rPr>
          <w:rFonts w:ascii="Times New Roman" w:eastAsia="Times New Roman" w:hAnsi="Times New Roman" w:cs="Times New Roman"/>
          <w:sz w:val="24"/>
          <w:szCs w:val="24"/>
          <w:lang w:val="sr-Cyrl-CS"/>
        </w:rPr>
        <w:t xml:space="preserve">прикупљање података и извештавање о зеленим јавним набавкама се не </w:t>
      </w:r>
    </w:p>
    <w:p w14:paraId="0916F476" w14:textId="77777777" w:rsidR="00497092" w:rsidRPr="00644F20" w:rsidRDefault="002F45E1" w:rsidP="000855C6">
      <w:p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спроводе у потребном обиму;</w:t>
      </w:r>
    </w:p>
    <w:p w14:paraId="50AD0D3C" w14:textId="77777777" w:rsidR="000855C6"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непогодан </w:t>
      </w:r>
      <w:r w:rsidR="002F45E1" w:rsidRPr="00644F20">
        <w:rPr>
          <w:rFonts w:ascii="Times New Roman" w:eastAsia="Times New Roman" w:hAnsi="Times New Roman" w:cs="Times New Roman"/>
          <w:sz w:val="24"/>
          <w:szCs w:val="24"/>
          <w:lang w:val="sr-Cyrl-CS"/>
        </w:rPr>
        <w:t xml:space="preserve">водни режим на локалном нивоу, потенцијално све већа зависност од </w:t>
      </w:r>
    </w:p>
    <w:p w14:paraId="19E1A3BF" w14:textId="77777777" w:rsidR="00497092" w:rsidRPr="00644F20" w:rsidRDefault="002F45E1" w:rsidP="000855C6">
      <w:p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транзитних вода и очекивани пораст потрошње воде за потребе привреде и становништва;</w:t>
      </w:r>
    </w:p>
    <w:p w14:paraId="00538DEA" w14:textId="77777777" w:rsidR="000855C6"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мали </w:t>
      </w:r>
      <w:r w:rsidR="002F45E1" w:rsidRPr="00644F20">
        <w:rPr>
          <w:rFonts w:ascii="Times New Roman" w:eastAsia="Times New Roman" w:hAnsi="Times New Roman" w:cs="Times New Roman"/>
          <w:sz w:val="24"/>
          <w:szCs w:val="24"/>
          <w:lang w:val="sr-Cyrl-CS"/>
        </w:rPr>
        <w:t xml:space="preserve">удео становништва (14,4%) који је укључен у систем за пречишћавање отпадних </w:t>
      </w:r>
    </w:p>
    <w:p w14:paraId="2077EDFA" w14:textId="77777777" w:rsidR="00497092" w:rsidRPr="00644F20" w:rsidRDefault="002F45E1" w:rsidP="000855C6">
      <w:p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комуналних вода;</w:t>
      </w:r>
    </w:p>
    <w:p w14:paraId="33F14A7E" w14:textId="77777777" w:rsidR="00497092"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значајни </w:t>
      </w:r>
      <w:r w:rsidR="002F45E1" w:rsidRPr="00644F20">
        <w:rPr>
          <w:rFonts w:ascii="Times New Roman" w:eastAsia="Times New Roman" w:hAnsi="Times New Roman" w:cs="Times New Roman"/>
          <w:sz w:val="24"/>
          <w:szCs w:val="24"/>
          <w:lang w:val="sr-Cyrl-CS"/>
        </w:rPr>
        <w:t>губици воде (око 35%) у дистрибутивној мрежи система водоснабдевања;</w:t>
      </w:r>
    </w:p>
    <w:p w14:paraId="4AC38E40" w14:textId="77777777" w:rsidR="000855C6" w:rsidRPr="00644F20" w:rsidRDefault="000459D5">
      <w:pPr>
        <w:numPr>
          <w:ilvl w:val="0"/>
          <w:numId w:val="10"/>
        </w:num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ниска </w:t>
      </w:r>
      <w:r w:rsidR="002F45E1" w:rsidRPr="00644F20">
        <w:rPr>
          <w:rFonts w:ascii="Times New Roman" w:eastAsia="Times New Roman" w:hAnsi="Times New Roman" w:cs="Times New Roman"/>
          <w:sz w:val="24"/>
          <w:szCs w:val="24"/>
          <w:lang w:val="sr-Cyrl-CS"/>
        </w:rPr>
        <w:t xml:space="preserve">ефикасност коришћења воде у привреди, низак степен рециклирања и поновне </w:t>
      </w:r>
    </w:p>
    <w:p w14:paraId="4B351C38" w14:textId="77777777" w:rsidR="00497092" w:rsidRPr="00644F20" w:rsidRDefault="002F45E1" w:rsidP="000855C6">
      <w:pPr>
        <w:spacing w:after="60" w:line="276" w:lineRule="auto"/>
        <w:contextualSpacing/>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употребе воде;</w:t>
      </w:r>
    </w:p>
    <w:p w14:paraId="4F886A8F" w14:textId="77777777" w:rsidR="00497092" w:rsidRPr="00644F20" w:rsidRDefault="000459D5">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недовољно </w:t>
      </w:r>
      <w:r w:rsidR="002F45E1" w:rsidRPr="00644F20">
        <w:rPr>
          <w:rFonts w:ascii="Times New Roman" w:eastAsia="Times New Roman" w:hAnsi="Times New Roman" w:cs="Times New Roman"/>
          <w:sz w:val="24"/>
          <w:szCs w:val="24"/>
          <w:lang w:val="sr-Cyrl-CS"/>
        </w:rPr>
        <w:t>искоришћење муља из процеса пречишћавања отпадних комуналних вода.</w:t>
      </w:r>
    </w:p>
    <w:p w14:paraId="3F6CBE1A" w14:textId="77777777" w:rsidR="000855C6" w:rsidRPr="00644F20" w:rsidRDefault="000459D5">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недостатак </w:t>
      </w:r>
      <w:r w:rsidR="002F45E1" w:rsidRPr="00644F20">
        <w:rPr>
          <w:rFonts w:ascii="Times New Roman" w:eastAsia="Calibri" w:hAnsi="Times New Roman" w:cs="Times New Roman"/>
          <w:bCs/>
          <w:sz w:val="24"/>
          <w:szCs w:val="24"/>
          <w:lang w:val="sr-Cyrl-CS"/>
        </w:rPr>
        <w:t xml:space="preserve">регулаторних, финансијских и нефинансијских подстицаја за организације </w:t>
      </w:r>
    </w:p>
    <w:p w14:paraId="49C5B03B"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које су оствариле EMAS регистрацију и/или право на Еко знак за неки од својих производа и/или услуга; </w:t>
      </w:r>
    </w:p>
    <w:p w14:paraId="40069788" w14:textId="77777777" w:rsidR="000855C6" w:rsidRPr="00644F20" w:rsidRDefault="000459D5">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подзаконски </w:t>
      </w:r>
      <w:r w:rsidR="002F45E1" w:rsidRPr="00644F20">
        <w:rPr>
          <w:rFonts w:ascii="Times New Roman" w:eastAsia="Calibri" w:hAnsi="Times New Roman" w:cs="Times New Roman"/>
          <w:bCs/>
          <w:sz w:val="24"/>
          <w:szCs w:val="24"/>
          <w:lang w:val="sr-Cyrl-CS"/>
        </w:rPr>
        <w:t xml:space="preserve">акт за EMAS који је предвиђен Законом о заштити животне средине и </w:t>
      </w:r>
    </w:p>
    <w:p w14:paraId="57F01CEA"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треба да олакша регистрацију још увек није усвојен;</w:t>
      </w:r>
    </w:p>
    <w:p w14:paraId="3192150D" w14:textId="77777777" w:rsidR="00497092" w:rsidRPr="00644F20" w:rsidRDefault="000459D5">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значајна </w:t>
      </w:r>
      <w:r w:rsidR="002F45E1" w:rsidRPr="00644F20">
        <w:rPr>
          <w:rFonts w:ascii="Times New Roman" w:eastAsia="Calibri" w:hAnsi="Times New Roman" w:cs="Times New Roman"/>
          <w:bCs/>
          <w:sz w:val="24"/>
          <w:szCs w:val="24"/>
          <w:lang w:val="sr-Cyrl-CS"/>
        </w:rPr>
        <w:t>енергетска нето увозна зависност државе;</w:t>
      </w:r>
    </w:p>
    <w:p w14:paraId="4C3E579B" w14:textId="77777777" w:rsidR="000855C6" w:rsidRPr="00644F20" w:rsidRDefault="000459D5">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велики </w:t>
      </w:r>
      <w:r w:rsidR="002F45E1" w:rsidRPr="00644F20">
        <w:rPr>
          <w:rFonts w:ascii="Times New Roman" w:eastAsia="Calibri" w:hAnsi="Times New Roman" w:cs="Times New Roman"/>
          <w:bCs/>
          <w:sz w:val="24"/>
          <w:szCs w:val="24"/>
          <w:lang w:val="sr-Cyrl-CS"/>
        </w:rPr>
        <w:t xml:space="preserve">удео угља (нискокалоричног лигнита) у укупној примарној енергији (око 50%), </w:t>
      </w:r>
    </w:p>
    <w:p w14:paraId="0EB3C4E1"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који се доминантно користи за производњу електричне енергије; </w:t>
      </w:r>
    </w:p>
    <w:p w14:paraId="2194B0F9" w14:textId="77777777" w:rsidR="00497092" w:rsidRPr="00644F20" w:rsidRDefault="000459D5">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од </w:t>
      </w:r>
      <w:r w:rsidR="002F45E1" w:rsidRPr="00644F20">
        <w:rPr>
          <w:rFonts w:ascii="Times New Roman" w:eastAsia="Calibri" w:hAnsi="Times New Roman" w:cs="Times New Roman"/>
          <w:bCs/>
          <w:sz w:val="24"/>
          <w:szCs w:val="24"/>
          <w:lang w:val="sr-Cyrl-CS"/>
        </w:rPr>
        <w:t xml:space="preserve">1,5 до 2 пута већи енергетски интензитет од европског просека; </w:t>
      </w:r>
    </w:p>
    <w:p w14:paraId="60561400" w14:textId="77777777" w:rsidR="00497092" w:rsidRPr="00644F20" w:rsidRDefault="000459D5" w:rsidP="000855C6">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висок </w:t>
      </w:r>
      <w:r w:rsidR="002F45E1" w:rsidRPr="00644F20">
        <w:rPr>
          <w:rFonts w:ascii="Times New Roman" w:eastAsia="Calibri" w:hAnsi="Times New Roman" w:cs="Times New Roman"/>
          <w:bCs/>
          <w:sz w:val="24"/>
          <w:szCs w:val="24"/>
          <w:lang w:val="sr-Cyrl-CS"/>
        </w:rPr>
        <w:t>удео потрошње финалне енергиј</w:t>
      </w:r>
      <w:r w:rsidRPr="00644F20">
        <w:rPr>
          <w:rFonts w:ascii="Times New Roman" w:eastAsia="Calibri" w:hAnsi="Times New Roman" w:cs="Times New Roman"/>
          <w:bCs/>
          <w:sz w:val="24"/>
          <w:szCs w:val="24"/>
          <w:lang w:val="sr-Cyrl-CS"/>
        </w:rPr>
        <w:t>е у домаћинствима у односу на Европску унију</w:t>
      </w:r>
      <w:r w:rsidR="002F45E1" w:rsidRPr="00644F20">
        <w:rPr>
          <w:rFonts w:ascii="Times New Roman" w:eastAsia="Calibri" w:hAnsi="Times New Roman" w:cs="Times New Roman"/>
          <w:bCs/>
          <w:sz w:val="24"/>
          <w:szCs w:val="24"/>
          <w:lang w:val="sr-Cyrl-CS"/>
        </w:rPr>
        <w:t xml:space="preserve">; </w:t>
      </w:r>
    </w:p>
    <w:p w14:paraId="614A3225" w14:textId="77777777" w:rsidR="000855C6" w:rsidRPr="00644F20" w:rsidRDefault="000459D5" w:rsidP="000855C6">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р</w:t>
      </w:r>
      <w:r w:rsidR="002F45E1" w:rsidRPr="00644F20">
        <w:rPr>
          <w:rFonts w:ascii="Times New Roman" w:eastAsia="Calibri" w:hAnsi="Times New Roman" w:cs="Times New Roman"/>
          <w:bCs/>
          <w:sz w:val="24"/>
          <w:szCs w:val="24"/>
          <w:lang w:val="sr-Cyrl-CS"/>
        </w:rPr>
        <w:t xml:space="preserve">елативно мали удео обновљивих извора енергије (ОИЕ) у бруто финалној потрошњи </w:t>
      </w:r>
    </w:p>
    <w:p w14:paraId="76728FBA"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(око 26,3%) у односу на постојеће потенцијале;</w:t>
      </w:r>
    </w:p>
    <w:p w14:paraId="2400CE0E" w14:textId="77777777" w:rsidR="000855C6" w:rsidRPr="00644F20" w:rsidRDefault="000459D5" w:rsidP="000855C6">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с</w:t>
      </w:r>
      <w:r w:rsidR="002F45E1" w:rsidRPr="00644F20">
        <w:rPr>
          <w:rFonts w:ascii="Times New Roman" w:eastAsia="Calibri" w:hAnsi="Times New Roman" w:cs="Times New Roman"/>
          <w:bCs/>
          <w:sz w:val="24"/>
          <w:szCs w:val="24"/>
          <w:lang w:val="sr-Cyrl-CS"/>
        </w:rPr>
        <w:t xml:space="preserve">тарија технологија, висока специфична потрошња и недостатак мониторинга </w:t>
      </w:r>
    </w:p>
    <w:p w14:paraId="4DEDAFC0"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потрошње енергената у производним процесима;</w:t>
      </w:r>
    </w:p>
    <w:p w14:paraId="327C2939" w14:textId="77777777" w:rsidR="000855C6" w:rsidRPr="00644F20" w:rsidRDefault="000459D5" w:rsidP="000855C6">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слаба </w:t>
      </w:r>
      <w:r w:rsidR="002F45E1" w:rsidRPr="00644F20">
        <w:rPr>
          <w:rFonts w:ascii="Times New Roman" w:eastAsia="Calibri" w:hAnsi="Times New Roman" w:cs="Times New Roman"/>
          <w:bCs/>
          <w:sz w:val="24"/>
          <w:szCs w:val="24"/>
          <w:lang w:val="sr-Cyrl-CS"/>
        </w:rPr>
        <w:t xml:space="preserve">заинтересованост и информисаност привредних субјеката (нарочито микро и </w:t>
      </w:r>
    </w:p>
    <w:p w14:paraId="60464CB1"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МСПП) о могућностима коришћења нових технологија које укључују коришћење обновљивих извора енергије и енергетски ефикасније опреме у производним процесима; </w:t>
      </w:r>
    </w:p>
    <w:p w14:paraId="03F90C1B" w14:textId="77777777" w:rsidR="00497092" w:rsidRPr="00644F20" w:rsidRDefault="000459D5" w:rsidP="000855C6">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значајна </w:t>
      </w:r>
      <w:r w:rsidR="002F45E1" w:rsidRPr="00644F20">
        <w:rPr>
          <w:rFonts w:ascii="Times New Roman" w:eastAsia="Calibri" w:hAnsi="Times New Roman" w:cs="Times New Roman"/>
          <w:bCs/>
          <w:sz w:val="24"/>
          <w:szCs w:val="24"/>
          <w:lang w:val="sr-Cyrl-CS"/>
        </w:rPr>
        <w:t>зависност привреде од увоза сировина;</w:t>
      </w:r>
    </w:p>
    <w:p w14:paraId="04520735" w14:textId="77777777" w:rsidR="000855C6" w:rsidRPr="00644F20" w:rsidRDefault="000459D5" w:rsidP="000855C6">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значајно </w:t>
      </w:r>
      <w:r w:rsidR="002F45E1" w:rsidRPr="00644F20">
        <w:rPr>
          <w:rFonts w:ascii="Times New Roman" w:eastAsia="Calibri" w:hAnsi="Times New Roman" w:cs="Times New Roman"/>
          <w:bCs/>
          <w:sz w:val="24"/>
          <w:szCs w:val="24"/>
          <w:lang w:val="sr-Cyrl-CS"/>
        </w:rPr>
        <w:t xml:space="preserve">већи извоз производа ниског степена финализације у односу на производе са </w:t>
      </w:r>
    </w:p>
    <w:p w14:paraId="59EB33D9"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високим степеном финализације;</w:t>
      </w:r>
    </w:p>
    <w:p w14:paraId="2F31037E" w14:textId="77777777" w:rsidR="000855C6" w:rsidRPr="00644F20" w:rsidRDefault="000459D5" w:rsidP="000855C6">
      <w:pPr>
        <w:numPr>
          <w:ilvl w:val="0"/>
          <w:numId w:val="10"/>
        </w:num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недовољно </w:t>
      </w:r>
      <w:r w:rsidR="002F45E1" w:rsidRPr="00644F20">
        <w:rPr>
          <w:rFonts w:ascii="Times New Roman" w:eastAsia="Calibri" w:hAnsi="Times New Roman" w:cs="Times New Roman"/>
          <w:bCs/>
          <w:sz w:val="24"/>
          <w:szCs w:val="24"/>
          <w:lang w:val="sr-Cyrl-CS"/>
        </w:rPr>
        <w:t xml:space="preserve">развијена сарадња између привреде и научно-истраживачких организација </w:t>
      </w:r>
    </w:p>
    <w:p w14:paraId="065FD5B0"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на пољу иновација и унапређења производње у области циркуларне економије;</w:t>
      </w:r>
    </w:p>
    <w:p w14:paraId="25957D68" w14:textId="77777777" w:rsidR="00497092" w:rsidRPr="00644F20" w:rsidRDefault="000459D5" w:rsidP="000855C6">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ниска </w:t>
      </w:r>
      <w:r w:rsidR="002F45E1" w:rsidRPr="00644F20">
        <w:rPr>
          <w:rFonts w:ascii="Times New Roman" w:hAnsi="Times New Roman" w:cs="Times New Roman"/>
          <w:sz w:val="24"/>
          <w:szCs w:val="24"/>
          <w:lang w:val="sr-Cyrl-CS"/>
        </w:rPr>
        <w:t>улагања у животну средину;</w:t>
      </w:r>
    </w:p>
    <w:p w14:paraId="72F8C8A8" w14:textId="77777777" w:rsidR="000855C6" w:rsidRPr="00644F20" w:rsidRDefault="000459D5" w:rsidP="000855C6">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наплата </w:t>
      </w:r>
      <w:r w:rsidR="002F45E1" w:rsidRPr="00644F20">
        <w:rPr>
          <w:rFonts w:ascii="Times New Roman" w:hAnsi="Times New Roman" w:cs="Times New Roman"/>
          <w:sz w:val="24"/>
          <w:szCs w:val="24"/>
          <w:lang w:val="sr-Cyrl-CS"/>
        </w:rPr>
        <w:t xml:space="preserve">за потрошњу ресурса, енергије и генерисање отпада у највећем броју случајева </w:t>
      </w:r>
    </w:p>
    <w:p w14:paraId="4D36D8FB"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није у вези са оствареним учинцима/резултатима; </w:t>
      </w:r>
    </w:p>
    <w:p w14:paraId="4C2EEA14" w14:textId="77777777" w:rsidR="000855C6" w:rsidRPr="00644F20" w:rsidRDefault="000459D5" w:rsidP="000855C6">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недовољна </w:t>
      </w:r>
      <w:r w:rsidR="002F45E1" w:rsidRPr="00644F20">
        <w:rPr>
          <w:rFonts w:ascii="Times New Roman" w:hAnsi="Times New Roman" w:cs="Times New Roman"/>
          <w:sz w:val="24"/>
          <w:szCs w:val="24"/>
          <w:lang w:val="sr-Cyrl-CS"/>
        </w:rPr>
        <w:t xml:space="preserve">информисаност грађана о конкретним акцијама које могу да примене на </w:t>
      </w:r>
    </w:p>
    <w:p w14:paraId="3ED6D363"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микро нивоу (вишкови хране, управљање отпадом, енергетска и ресурсна ефикасност, коришћење ОИЕ и сл);</w:t>
      </w:r>
    </w:p>
    <w:p w14:paraId="527859CD" w14:textId="77777777" w:rsidR="000855C6" w:rsidRPr="00644F20" w:rsidRDefault="000459D5" w:rsidP="000855C6">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слаба </w:t>
      </w:r>
      <w:r w:rsidR="002F45E1" w:rsidRPr="00644F20">
        <w:rPr>
          <w:rFonts w:ascii="Times New Roman" w:hAnsi="Times New Roman" w:cs="Times New Roman"/>
          <w:sz w:val="24"/>
          <w:szCs w:val="24"/>
          <w:lang w:val="sr-Cyrl-CS"/>
        </w:rPr>
        <w:t xml:space="preserve">заступљеност тема животне средине и циркуларне економије у медијима и </w:t>
      </w:r>
    </w:p>
    <w:p w14:paraId="6E19E955"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формалном образовању;</w:t>
      </w:r>
    </w:p>
    <w:p w14:paraId="7319563D" w14:textId="77777777" w:rsidR="00497092" w:rsidRPr="00644F20" w:rsidRDefault="000459D5">
      <w:pPr>
        <w:numPr>
          <w:ilvl w:val="0"/>
          <w:numId w:val="10"/>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 xml:space="preserve">скромна </w:t>
      </w:r>
      <w:r w:rsidR="002F45E1" w:rsidRPr="00644F20">
        <w:rPr>
          <w:rFonts w:ascii="Times New Roman" w:hAnsi="Times New Roman" w:cs="Times New Roman"/>
          <w:sz w:val="24"/>
          <w:szCs w:val="24"/>
          <w:lang w:val="sr-Cyrl-CS"/>
        </w:rPr>
        <w:t xml:space="preserve">понуда кредита за циркуларну економију.  </w:t>
      </w:r>
    </w:p>
    <w:p w14:paraId="2E0E65D0" w14:textId="77777777" w:rsidR="00497092" w:rsidRPr="00644F20" w:rsidRDefault="00497092">
      <w:pPr>
        <w:spacing w:after="60" w:line="276" w:lineRule="auto"/>
        <w:ind w:left="720"/>
        <w:contextualSpacing/>
        <w:jc w:val="both"/>
        <w:rPr>
          <w:rFonts w:ascii="Times New Roman" w:hAnsi="Times New Roman" w:cs="Times New Roman"/>
          <w:sz w:val="24"/>
          <w:szCs w:val="24"/>
          <w:lang w:val="sr-Cyrl-CS"/>
        </w:rPr>
      </w:pPr>
    </w:p>
    <w:p w14:paraId="79649594" w14:textId="77777777" w:rsidR="00497092" w:rsidRPr="00644F20" w:rsidRDefault="002F45E1">
      <w:pPr>
        <w:shd w:val="clear" w:color="auto" w:fill="92D050"/>
        <w:spacing w:before="120" w:after="120" w:line="276" w:lineRule="auto"/>
        <w:jc w:val="center"/>
        <w:rPr>
          <w:rFonts w:ascii="Times New Roman" w:hAnsi="Times New Roman" w:cs="Times New Roman"/>
          <w:b/>
          <w:bCs/>
          <w:sz w:val="24"/>
          <w:szCs w:val="24"/>
          <w:lang w:val="sr-Cyrl-CS"/>
        </w:rPr>
      </w:pPr>
      <w:r w:rsidRPr="00644F20">
        <w:rPr>
          <w:rFonts w:ascii="Times New Roman" w:hAnsi="Times New Roman" w:cs="Times New Roman"/>
          <w:b/>
          <w:bCs/>
          <w:sz w:val="24"/>
          <w:szCs w:val="24"/>
          <w:lang w:val="sr-Cyrl-CS"/>
        </w:rPr>
        <w:t>МОГУЋНОСТИ (ПРИЛИКЕ)</w:t>
      </w:r>
    </w:p>
    <w:p w14:paraId="22CB57BD" w14:textId="77777777" w:rsidR="00497092" w:rsidRPr="00644F20" w:rsidRDefault="000459D5" w:rsidP="000459D5">
      <w:pPr>
        <w:pStyle w:val="ListParagraph"/>
        <w:numPr>
          <w:ilvl w:val="0"/>
          <w:numId w:val="11"/>
        </w:numPr>
        <w:spacing w:after="60"/>
        <w:ind w:left="0"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стратешко </w:t>
      </w:r>
      <w:r w:rsidR="002F45E1" w:rsidRPr="00644F20">
        <w:rPr>
          <w:rFonts w:ascii="Times New Roman" w:hAnsi="Times New Roman" w:cs="Times New Roman"/>
          <w:sz w:val="24"/>
          <w:szCs w:val="24"/>
          <w:lang w:val="sr-Cyrl-CS"/>
        </w:rPr>
        <w:t xml:space="preserve">усмерење Републике Србије ка </w:t>
      </w:r>
      <w:r w:rsidRPr="00644F20">
        <w:rPr>
          <w:rFonts w:ascii="Times New Roman" w:hAnsi="Times New Roman" w:cs="Times New Roman"/>
          <w:sz w:val="24"/>
          <w:szCs w:val="24"/>
          <w:lang w:val="sr-Cyrl-CS"/>
        </w:rPr>
        <w:t>Европској унији</w:t>
      </w:r>
      <w:r w:rsidR="002F45E1" w:rsidRPr="00644F20">
        <w:rPr>
          <w:rFonts w:ascii="Times New Roman" w:hAnsi="Times New Roman" w:cs="Times New Roman"/>
          <w:sz w:val="24"/>
          <w:szCs w:val="24"/>
          <w:lang w:val="sr-Cyrl-CS"/>
        </w:rPr>
        <w:t>, нови пакет Е</w:t>
      </w:r>
      <w:r w:rsidR="000855C6" w:rsidRPr="00644F20">
        <w:rPr>
          <w:rFonts w:ascii="Times New Roman" w:hAnsi="Times New Roman" w:cs="Times New Roman"/>
          <w:sz w:val="24"/>
          <w:szCs w:val="24"/>
          <w:lang w:val="sr-Cyrl-CS"/>
        </w:rPr>
        <w:t>вропске уније</w:t>
      </w:r>
      <w:r w:rsidR="002F45E1" w:rsidRPr="00644F20">
        <w:rPr>
          <w:rFonts w:ascii="Times New Roman" w:hAnsi="Times New Roman" w:cs="Times New Roman"/>
          <w:sz w:val="24"/>
          <w:szCs w:val="24"/>
          <w:lang w:val="sr-Cyrl-CS"/>
        </w:rPr>
        <w:t xml:space="preserve"> за циркуларну економију, Зелена агенда за западни Балкан;</w:t>
      </w:r>
    </w:p>
    <w:p w14:paraId="6DF1A2A2"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добри </w:t>
      </w:r>
      <w:r w:rsidR="002F45E1" w:rsidRPr="00644F20">
        <w:rPr>
          <w:rFonts w:ascii="Times New Roman" w:hAnsi="Times New Roman" w:cs="Times New Roman"/>
          <w:sz w:val="24"/>
          <w:szCs w:val="24"/>
          <w:lang w:val="sr-Cyrl-CS"/>
        </w:rPr>
        <w:t>примери у Е</w:t>
      </w:r>
      <w:r w:rsidR="000855C6" w:rsidRPr="00644F20">
        <w:rPr>
          <w:rFonts w:ascii="Times New Roman" w:hAnsi="Times New Roman" w:cs="Times New Roman"/>
          <w:sz w:val="24"/>
          <w:szCs w:val="24"/>
          <w:lang w:val="sr-Cyrl-CS"/>
        </w:rPr>
        <w:t xml:space="preserve">вропској унији </w:t>
      </w:r>
      <w:r w:rsidR="002F45E1" w:rsidRPr="00644F20">
        <w:rPr>
          <w:rFonts w:ascii="Times New Roman" w:hAnsi="Times New Roman" w:cs="Times New Roman"/>
          <w:sz w:val="24"/>
          <w:szCs w:val="24"/>
          <w:lang w:val="sr-Cyrl-CS"/>
        </w:rPr>
        <w:t xml:space="preserve"> у области циркуларне економије; могућности за </w:t>
      </w:r>
    </w:p>
    <w:p w14:paraId="69F90ACC"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подршке иновативним идејама и пројектима циркуларне економије; </w:t>
      </w:r>
    </w:p>
    <w:p w14:paraId="12202E52" w14:textId="77777777" w:rsidR="000855C6" w:rsidRPr="00644F20" w:rsidRDefault="000459D5">
      <w:pPr>
        <w:numPr>
          <w:ilvl w:val="0"/>
          <w:numId w:val="11"/>
        </w:numPr>
        <w:spacing w:after="60" w:line="276" w:lineRule="auto"/>
        <w:ind w:left="714" w:hanging="357"/>
        <w:contextualSpacing/>
        <w:jc w:val="both"/>
        <w:rPr>
          <w:rFonts w:ascii="Times New Roman" w:eastAsia="Calibri" w:hAnsi="Times New Roman" w:cs="Times New Roman"/>
          <w:bCs/>
          <w:sz w:val="24"/>
          <w:szCs w:val="24"/>
          <w:lang w:val="sr-Cyrl-CS"/>
        </w:rPr>
      </w:pPr>
      <w:bookmarkStart w:id="17" w:name="_Hlk85620802"/>
      <w:r w:rsidRPr="00644F20">
        <w:rPr>
          <w:rFonts w:ascii="Times New Roman" w:eastAsia="Calibri" w:hAnsi="Times New Roman" w:cs="Times New Roman"/>
          <w:bCs/>
          <w:sz w:val="24"/>
          <w:szCs w:val="24"/>
          <w:lang w:val="sr-Cyrl-CS"/>
        </w:rPr>
        <w:t xml:space="preserve">смањење </w:t>
      </w:r>
      <w:r w:rsidR="002F45E1" w:rsidRPr="00644F20">
        <w:rPr>
          <w:rFonts w:ascii="Times New Roman" w:eastAsia="Calibri" w:hAnsi="Times New Roman" w:cs="Times New Roman"/>
          <w:bCs/>
          <w:sz w:val="24"/>
          <w:szCs w:val="24"/>
          <w:lang w:val="sr-Cyrl-CS"/>
        </w:rPr>
        <w:t xml:space="preserve">потрошње сировина, енергената и негативних утицаја предузећа на животну </w:t>
      </w:r>
    </w:p>
    <w:p w14:paraId="779DBD14"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средину уз одговара</w:t>
      </w:r>
      <w:r w:rsidR="006E7971">
        <w:rPr>
          <w:rFonts w:ascii="Times New Roman" w:eastAsia="Calibri" w:hAnsi="Times New Roman" w:cs="Times New Roman"/>
          <w:bCs/>
          <w:sz w:val="24"/>
          <w:szCs w:val="24"/>
          <w:lang w:val="sr-Cyrl-CS"/>
        </w:rPr>
        <w:t>ј</w:t>
      </w:r>
      <w:r w:rsidRPr="00644F20">
        <w:rPr>
          <w:rFonts w:ascii="Times New Roman" w:eastAsia="Calibri" w:hAnsi="Times New Roman" w:cs="Times New Roman"/>
          <w:bCs/>
          <w:sz w:val="24"/>
          <w:szCs w:val="24"/>
          <w:lang w:val="sr-Cyrl-CS"/>
        </w:rPr>
        <w:t>уће уштеде током животног циклуса применом еко-дизајна, зелених јавних набавки, најбољих доступних техника, чистије производње, применом добровољних система животне средине и сл;</w:t>
      </w:r>
    </w:p>
    <w:p w14:paraId="796B986E" w14:textId="77777777" w:rsidR="000855C6" w:rsidRPr="00644F20" w:rsidRDefault="000459D5">
      <w:pPr>
        <w:numPr>
          <w:ilvl w:val="0"/>
          <w:numId w:val="11"/>
        </w:numPr>
        <w:spacing w:after="60" w:line="276" w:lineRule="auto"/>
        <w:ind w:left="714" w:hanging="357"/>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креирање </w:t>
      </w:r>
      <w:r w:rsidR="002F45E1" w:rsidRPr="00644F20">
        <w:rPr>
          <w:rFonts w:ascii="Times New Roman" w:eastAsia="Calibri" w:hAnsi="Times New Roman" w:cs="Times New Roman"/>
          <w:bCs/>
          <w:sz w:val="24"/>
          <w:szCs w:val="24"/>
          <w:lang w:val="sr-Cyrl-CS"/>
        </w:rPr>
        <w:t xml:space="preserve">поузданог и транспарентног тржишта отпадом, производима којима је </w:t>
      </w:r>
    </w:p>
    <w:p w14:paraId="2FC3B104"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престао статус отпада, нуспроизводима, полупроизводима и сировинама насталих од отпада;</w:t>
      </w:r>
    </w:p>
    <w:p w14:paraId="016AC671" w14:textId="77777777" w:rsidR="000855C6" w:rsidRPr="00644F20" w:rsidRDefault="000459D5">
      <w:pPr>
        <w:numPr>
          <w:ilvl w:val="0"/>
          <w:numId w:val="11"/>
        </w:numPr>
        <w:spacing w:after="60" w:line="276" w:lineRule="auto"/>
        <w:ind w:left="714" w:hanging="357"/>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повећање </w:t>
      </w:r>
      <w:r w:rsidR="002F45E1" w:rsidRPr="00644F20">
        <w:rPr>
          <w:rFonts w:ascii="Times New Roman" w:eastAsia="Calibri" w:hAnsi="Times New Roman" w:cs="Times New Roman"/>
          <w:bCs/>
          <w:sz w:val="24"/>
          <w:szCs w:val="24"/>
          <w:lang w:val="sr-Cyrl-CS"/>
        </w:rPr>
        <w:t xml:space="preserve">удела зелених јавних набавки у укупним јавним набавкама њиховом </w:t>
      </w:r>
    </w:p>
    <w:p w14:paraId="784B844F" w14:textId="77777777" w:rsidR="00497092" w:rsidRPr="00644F20" w:rsidRDefault="002F45E1" w:rsidP="000855C6">
      <w:pPr>
        <w:spacing w:after="60" w:line="276" w:lineRule="auto"/>
        <w:contextualSpacing/>
        <w:jc w:val="both"/>
        <w:rPr>
          <w:rFonts w:ascii="Times New Roman" w:eastAsia="Calibri" w:hAnsi="Times New Roman" w:cs="Times New Roman"/>
          <w:bCs/>
          <w:sz w:val="24"/>
          <w:szCs w:val="24"/>
          <w:lang w:val="sr-Cyrl-CS"/>
        </w:rPr>
      </w:pPr>
      <w:r w:rsidRPr="00644F20">
        <w:rPr>
          <w:rFonts w:ascii="Times New Roman" w:eastAsia="Calibri" w:hAnsi="Times New Roman" w:cs="Times New Roman"/>
          <w:bCs/>
          <w:sz w:val="24"/>
          <w:szCs w:val="24"/>
          <w:lang w:val="sr-Cyrl-CS"/>
        </w:rPr>
        <w:t xml:space="preserve">додатном </w:t>
      </w:r>
      <w:bookmarkEnd w:id="17"/>
      <w:r w:rsidRPr="00644F20">
        <w:rPr>
          <w:rFonts w:ascii="Times New Roman" w:eastAsia="Calibri" w:hAnsi="Times New Roman" w:cs="Times New Roman"/>
          <w:bCs/>
          <w:sz w:val="24"/>
          <w:szCs w:val="24"/>
          <w:lang w:val="sr-Cyrl-CS"/>
        </w:rPr>
        <w:t>афирмацијом и едукацијом заинтересованих страна;</w:t>
      </w:r>
    </w:p>
    <w:p w14:paraId="041FD1CD"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израда </w:t>
      </w:r>
      <w:r w:rsidR="002F45E1" w:rsidRPr="00644F20">
        <w:rPr>
          <w:rFonts w:ascii="Times New Roman" w:hAnsi="Times New Roman" w:cs="Times New Roman"/>
          <w:sz w:val="24"/>
          <w:szCs w:val="24"/>
          <w:lang w:val="sr-Cyrl-CS"/>
        </w:rPr>
        <w:t xml:space="preserve">додатних водича са критеријумима за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xml:space="preserve"> – по угледу на Европску унију</w:t>
      </w:r>
      <w:r w:rsidR="002F45E1" w:rsidRPr="00644F20">
        <w:rPr>
          <w:rFonts w:ascii="Times New Roman" w:hAnsi="Times New Roman" w:cs="Times New Roman"/>
          <w:sz w:val="24"/>
          <w:szCs w:val="24"/>
          <w:lang w:val="sr-Cyrl-CS"/>
        </w:rPr>
        <w:t xml:space="preserve">; </w:t>
      </w:r>
    </w:p>
    <w:p w14:paraId="53C0514E"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eastAsia="Calibri" w:hAnsi="Times New Roman" w:cs="Times New Roman"/>
          <w:bCs/>
          <w:sz w:val="24"/>
          <w:szCs w:val="24"/>
          <w:lang w:val="sr-Cyrl-CS"/>
        </w:rPr>
        <w:t xml:space="preserve">могућност </w:t>
      </w:r>
      <w:r w:rsidR="002F45E1" w:rsidRPr="00644F20">
        <w:rPr>
          <w:rFonts w:ascii="Times New Roman" w:eastAsia="Calibri" w:hAnsi="Times New Roman" w:cs="Times New Roman"/>
          <w:bCs/>
          <w:sz w:val="24"/>
          <w:szCs w:val="24"/>
          <w:lang w:val="sr-Cyrl-CS"/>
        </w:rPr>
        <w:t xml:space="preserve">регистрације </w:t>
      </w:r>
      <w:r w:rsidR="002F45E1" w:rsidRPr="00644F20">
        <w:rPr>
          <w:rFonts w:ascii="Times New Roman" w:hAnsi="Times New Roman" w:cs="Times New Roman"/>
          <w:sz w:val="24"/>
          <w:szCs w:val="24"/>
          <w:lang w:val="sr-Cyrl-CS"/>
        </w:rPr>
        <w:t xml:space="preserve">организација у Републици Србији </w:t>
      </w:r>
      <w:r w:rsidR="002F45E1" w:rsidRPr="00644F20">
        <w:rPr>
          <w:rFonts w:ascii="Times New Roman" w:eastAsia="Calibri" w:hAnsi="Times New Roman" w:cs="Times New Roman"/>
          <w:bCs/>
          <w:sz w:val="24"/>
          <w:szCs w:val="24"/>
          <w:lang w:val="sr-Cyrl-CS"/>
        </w:rPr>
        <w:t xml:space="preserve">у шему EMAS у оквиру </w:t>
      </w:r>
    </w:p>
    <w:p w14:paraId="13FC0125"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eastAsia="Calibri" w:hAnsi="Times New Roman" w:cs="Times New Roman"/>
          <w:bCs/>
          <w:sz w:val="24"/>
          <w:szCs w:val="24"/>
          <w:lang w:val="sr-Cyrl-CS"/>
        </w:rPr>
        <w:t>Е</w:t>
      </w:r>
      <w:r w:rsidR="000855C6" w:rsidRPr="00644F20">
        <w:rPr>
          <w:rFonts w:ascii="Times New Roman" w:eastAsia="Calibri" w:hAnsi="Times New Roman" w:cs="Times New Roman"/>
          <w:bCs/>
          <w:sz w:val="24"/>
          <w:szCs w:val="24"/>
          <w:lang w:val="sr-Cyrl-CS"/>
        </w:rPr>
        <w:t>вропске уније</w:t>
      </w:r>
      <w:r w:rsidRPr="00644F20">
        <w:rPr>
          <w:rFonts w:ascii="Times New Roman" w:eastAsia="Calibri" w:hAnsi="Times New Roman" w:cs="Times New Roman"/>
          <w:bCs/>
          <w:sz w:val="24"/>
          <w:szCs w:val="24"/>
          <w:lang w:val="sr-Cyrl-CS"/>
        </w:rPr>
        <w:t xml:space="preserve">;  </w:t>
      </w:r>
    </w:p>
    <w:p w14:paraId="45C499D2"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стимулативне </w:t>
      </w:r>
      <w:r w:rsidR="002F45E1" w:rsidRPr="00644F20">
        <w:rPr>
          <w:rFonts w:ascii="Times New Roman" w:hAnsi="Times New Roman" w:cs="Times New Roman"/>
          <w:sz w:val="24"/>
          <w:szCs w:val="24"/>
          <w:lang w:val="sr-Cyrl-CS"/>
        </w:rPr>
        <w:t>мере за Еко знак,</w:t>
      </w:r>
      <w:r w:rsidR="002F45E1" w:rsidRPr="00644F20">
        <w:rPr>
          <w:rFonts w:ascii="Times New Roman" w:eastAsia="Calibri" w:hAnsi="Times New Roman" w:cs="Times New Roman"/>
          <w:bCs/>
          <w:sz w:val="24"/>
          <w:szCs w:val="24"/>
          <w:lang w:val="sr-Cyrl-CS"/>
        </w:rPr>
        <w:t xml:space="preserve"> EMAS</w:t>
      </w:r>
      <w:r w:rsidR="002F45E1" w:rsidRPr="00644F20">
        <w:rPr>
          <w:rFonts w:ascii="Times New Roman" w:hAnsi="Times New Roman" w:cs="Times New Roman"/>
          <w:sz w:val="24"/>
          <w:szCs w:val="24"/>
          <w:lang w:val="sr-Cyrl-CS"/>
        </w:rPr>
        <w:t xml:space="preserve">, чистију производњу, иновације у погледу </w:t>
      </w:r>
    </w:p>
    <w:p w14:paraId="224DDBAB"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пословних модела и еко-производа;</w:t>
      </w:r>
    </w:p>
    <w:p w14:paraId="1FF0E273"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нови </w:t>
      </w:r>
      <w:r w:rsidR="002F45E1" w:rsidRPr="00644F20">
        <w:rPr>
          <w:rFonts w:ascii="Times New Roman" w:hAnsi="Times New Roman" w:cs="Times New Roman"/>
          <w:sz w:val="24"/>
          <w:szCs w:val="24"/>
          <w:lang w:val="sr-Cyrl-CS"/>
        </w:rPr>
        <w:t xml:space="preserve">стандарди за циркуларну економију (нова комисија TC 323 у оквиру ISO </w:t>
      </w:r>
    </w:p>
    <w:p w14:paraId="772C1982"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организације) – активно укључивање и примена у Републици Србији;</w:t>
      </w:r>
    </w:p>
    <w:p w14:paraId="71DB9838" w14:textId="77777777" w:rsidR="000855C6" w:rsidRPr="00644F20" w:rsidRDefault="000459D5" w:rsidP="000855C6">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смањење </w:t>
      </w:r>
      <w:r w:rsidR="002F45E1" w:rsidRPr="00644F20">
        <w:rPr>
          <w:rFonts w:ascii="Times New Roman" w:hAnsi="Times New Roman" w:cs="Times New Roman"/>
          <w:sz w:val="24"/>
          <w:szCs w:val="24"/>
          <w:lang w:val="sr-Cyrl-CS"/>
        </w:rPr>
        <w:t xml:space="preserve">настајања отпада од пластике и подстицање коришћења производа за </w:t>
      </w:r>
    </w:p>
    <w:p w14:paraId="106B9043"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вишекратну употребу;</w:t>
      </w:r>
    </w:p>
    <w:p w14:paraId="098A0DD2"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веће </w:t>
      </w:r>
      <w:r w:rsidR="002F45E1" w:rsidRPr="00644F20">
        <w:rPr>
          <w:rFonts w:ascii="Times New Roman" w:hAnsi="Times New Roman" w:cs="Times New Roman"/>
          <w:sz w:val="24"/>
          <w:szCs w:val="24"/>
          <w:lang w:val="sr-Cyrl-CS"/>
        </w:rPr>
        <w:t xml:space="preserve">искоришћење остатака из производних процеса бољим повезивањем привредних </w:t>
      </w:r>
    </w:p>
    <w:p w14:paraId="1040DC9A"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субјеката, ефикаснијом разменом информација и унапређењем процедура за регистровање нуспроизвода и материјала којима је престао статус отпада; </w:t>
      </w:r>
    </w:p>
    <w:p w14:paraId="235BB2F9"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смањење </w:t>
      </w:r>
      <w:r w:rsidR="002F45E1" w:rsidRPr="00644F20">
        <w:rPr>
          <w:rFonts w:ascii="Times New Roman" w:hAnsi="Times New Roman" w:cs="Times New Roman"/>
          <w:sz w:val="24"/>
          <w:szCs w:val="24"/>
          <w:lang w:val="sr-Cyrl-CS"/>
        </w:rPr>
        <w:t xml:space="preserve">укупне количине отпада рециклирањем и поновном употребом неопасног </w:t>
      </w:r>
    </w:p>
    <w:p w14:paraId="0FEDC8AF"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грађевинског отпада и развојем тржишта за ту врсту отпада; </w:t>
      </w:r>
    </w:p>
    <w:p w14:paraId="3038AD54"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смањење </w:t>
      </w:r>
      <w:r w:rsidR="002F45E1" w:rsidRPr="00644F20">
        <w:rPr>
          <w:rFonts w:ascii="Times New Roman" w:hAnsi="Times New Roman" w:cs="Times New Roman"/>
          <w:sz w:val="24"/>
          <w:szCs w:val="24"/>
          <w:lang w:val="sr-Cyrl-CS"/>
        </w:rPr>
        <w:t xml:space="preserve">удела биоразградивог отпада у комуналном отпаду бољим управљањем </w:t>
      </w:r>
    </w:p>
    <w:p w14:paraId="095E3B7F"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храном, вишковима хране и отпадом од хране;</w:t>
      </w:r>
    </w:p>
    <w:p w14:paraId="7F1D31A7"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искоришћење </w:t>
      </w:r>
      <w:r w:rsidR="002F45E1" w:rsidRPr="00644F20">
        <w:rPr>
          <w:rFonts w:ascii="Times New Roman" w:hAnsi="Times New Roman" w:cs="Times New Roman"/>
          <w:sz w:val="24"/>
          <w:szCs w:val="24"/>
          <w:lang w:val="sr-Cyrl-CS"/>
        </w:rPr>
        <w:t>отпада од хране за производњу биогорива и компоста;</w:t>
      </w:r>
    </w:p>
    <w:p w14:paraId="1E06CE8E"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смањење </w:t>
      </w:r>
      <w:r w:rsidR="002F45E1" w:rsidRPr="00644F20">
        <w:rPr>
          <w:rFonts w:ascii="Times New Roman" w:hAnsi="Times New Roman" w:cs="Times New Roman"/>
          <w:sz w:val="24"/>
          <w:szCs w:val="24"/>
          <w:lang w:val="sr-Cyrl-CS"/>
        </w:rPr>
        <w:t xml:space="preserve">потрошње воде, унапређење превенције загађења вода и повећање степена </w:t>
      </w:r>
    </w:p>
    <w:p w14:paraId="062ECCDF"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рециркулисања и поновне употребе воде у привреди, јавним и комуналним предузећима применом најбољих доступних техника, мера чистије производње, стандарда система менаџмента и EMAS, елиминацијом одређених опасних хемикалија; </w:t>
      </w:r>
    </w:p>
    <w:p w14:paraId="4C762BBA"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обезбеђивање </w:t>
      </w:r>
      <w:r w:rsidR="002F45E1" w:rsidRPr="00644F20">
        <w:rPr>
          <w:rFonts w:ascii="Times New Roman" w:hAnsi="Times New Roman" w:cs="Times New Roman"/>
          <w:sz w:val="24"/>
          <w:szCs w:val="24"/>
          <w:lang w:val="sr-Cyrl-CS"/>
        </w:rPr>
        <w:t xml:space="preserve">дела воде потребне за пољопривреду и индустрију рециклирањем </w:t>
      </w:r>
    </w:p>
    <w:p w14:paraId="6C78588F"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пречишћених отпадних процесних и комуналних вода;</w:t>
      </w:r>
    </w:p>
    <w:p w14:paraId="5FEA458E"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смањење </w:t>
      </w:r>
      <w:r w:rsidR="002F45E1" w:rsidRPr="00644F20">
        <w:rPr>
          <w:rFonts w:ascii="Times New Roman" w:hAnsi="Times New Roman" w:cs="Times New Roman"/>
          <w:sz w:val="24"/>
          <w:szCs w:val="24"/>
          <w:lang w:val="sr-Cyrl-CS"/>
        </w:rPr>
        <w:t xml:space="preserve">потрошње воде информисањем и подизањем свести становништва о значају </w:t>
      </w:r>
    </w:p>
    <w:p w14:paraId="397B5019"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ефикасног коришћења воде, повезаним трошковима и утицају на животну средину; </w:t>
      </w:r>
    </w:p>
    <w:p w14:paraId="4ABC9E0E" w14:textId="77777777" w:rsidR="000855C6" w:rsidRPr="00644F20" w:rsidRDefault="000459D5" w:rsidP="000855C6">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искоришћење </w:t>
      </w:r>
      <w:r w:rsidR="002F45E1" w:rsidRPr="00644F20">
        <w:rPr>
          <w:rFonts w:ascii="Times New Roman" w:hAnsi="Times New Roman" w:cs="Times New Roman"/>
          <w:sz w:val="24"/>
          <w:szCs w:val="24"/>
          <w:lang w:val="sr-Cyrl-CS"/>
        </w:rPr>
        <w:t xml:space="preserve">муља из процеса пречишћавања отпадних комуналних вода у </w:t>
      </w:r>
      <w:r w:rsidR="000855C6" w:rsidRPr="00644F20">
        <w:rPr>
          <w:rFonts w:ascii="Times New Roman" w:hAnsi="Times New Roman" w:cs="Times New Roman"/>
          <w:sz w:val="24"/>
          <w:szCs w:val="24"/>
          <w:lang w:val="sr-Cyrl-CS"/>
        </w:rPr>
        <w:t xml:space="preserve"> </w:t>
      </w:r>
    </w:p>
    <w:p w14:paraId="41086A29"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индустријске, пољопривредне и енергетске сврхе;</w:t>
      </w:r>
    </w:p>
    <w:p w14:paraId="7ADD7005" w14:textId="77777777" w:rsidR="000855C6" w:rsidRPr="00644F20" w:rsidRDefault="000459D5" w:rsidP="000855C6">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подршка </w:t>
      </w:r>
      <w:r w:rsidR="002F45E1" w:rsidRPr="00644F20">
        <w:rPr>
          <w:rFonts w:ascii="Times New Roman" w:hAnsi="Times New Roman" w:cs="Times New Roman"/>
          <w:sz w:val="24"/>
          <w:szCs w:val="24"/>
          <w:lang w:val="sr-Cyrl-CS"/>
        </w:rPr>
        <w:t>привреди у изради пословних планова у скла</w:t>
      </w:r>
      <w:r w:rsidR="000855C6" w:rsidRPr="00644F20">
        <w:rPr>
          <w:rFonts w:ascii="Times New Roman" w:hAnsi="Times New Roman" w:cs="Times New Roman"/>
          <w:sz w:val="24"/>
          <w:szCs w:val="24"/>
          <w:lang w:val="sr-Cyrl-CS"/>
        </w:rPr>
        <w:t xml:space="preserve">ду са принципима ЦЕ, </w:t>
      </w:r>
    </w:p>
    <w:p w14:paraId="1C1F7AD0"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финансијска подршка привреди за прелазак на циркуларни модел пословања;</w:t>
      </w:r>
    </w:p>
    <w:p w14:paraId="7EB72EF0" w14:textId="77777777" w:rsidR="000855C6" w:rsidRPr="00644F20" w:rsidRDefault="000459D5" w:rsidP="000459D5">
      <w:pPr>
        <w:numPr>
          <w:ilvl w:val="0"/>
          <w:numId w:val="11"/>
        </w:numPr>
        <w:spacing w:after="60" w:line="276" w:lineRule="auto"/>
        <w:ind w:left="714" w:hanging="43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 xml:space="preserve">боље </w:t>
      </w:r>
      <w:r w:rsidR="002F45E1" w:rsidRPr="00644F20">
        <w:rPr>
          <w:rFonts w:ascii="Times New Roman" w:hAnsi="Times New Roman" w:cs="Times New Roman"/>
          <w:sz w:val="24"/>
          <w:szCs w:val="24"/>
          <w:lang w:val="sr-Cyrl-CS"/>
        </w:rPr>
        <w:t xml:space="preserve">повезивање научних института и привреде за пројекте који доводе до </w:t>
      </w:r>
    </w:p>
    <w:p w14:paraId="5490A1ED" w14:textId="77777777" w:rsidR="00497092" w:rsidRPr="00644F20" w:rsidRDefault="002F45E1" w:rsidP="000855C6">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циркуларне еко</w:t>
      </w:r>
      <w:r w:rsidR="000459D5" w:rsidRPr="00644F20">
        <w:rPr>
          <w:rFonts w:ascii="Times New Roman" w:hAnsi="Times New Roman" w:cs="Times New Roman"/>
          <w:sz w:val="24"/>
          <w:szCs w:val="24"/>
          <w:lang w:val="sr-Cyrl-CS"/>
        </w:rPr>
        <w:t>номије (нпр. зелена хемија и сл</w:t>
      </w:r>
      <w:r w:rsidRPr="00644F20">
        <w:rPr>
          <w:rFonts w:ascii="Times New Roman" w:hAnsi="Times New Roman" w:cs="Times New Roman"/>
          <w:sz w:val="24"/>
          <w:szCs w:val="24"/>
          <w:lang w:val="sr-Cyrl-CS"/>
        </w:rPr>
        <w:t xml:space="preserve">); </w:t>
      </w:r>
    </w:p>
    <w:p w14:paraId="4BA0DAF0"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постепено </w:t>
      </w:r>
      <w:r w:rsidR="002F45E1" w:rsidRPr="00644F20">
        <w:rPr>
          <w:rFonts w:ascii="Times New Roman" w:hAnsi="Times New Roman" w:cs="Times New Roman"/>
          <w:sz w:val="24"/>
          <w:szCs w:val="24"/>
          <w:lang w:val="sr-Cyrl-CS"/>
        </w:rPr>
        <w:t>избацивање једнократне пластике тамо где није тренутно неопходна;</w:t>
      </w:r>
    </w:p>
    <w:p w14:paraId="74FBFADB"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могућност </w:t>
      </w:r>
      <w:r w:rsidR="002F45E1" w:rsidRPr="00644F20">
        <w:rPr>
          <w:rFonts w:ascii="Times New Roman" w:hAnsi="Times New Roman" w:cs="Times New Roman"/>
          <w:sz w:val="24"/>
          <w:szCs w:val="24"/>
          <w:lang w:val="sr-Cyrl-CS"/>
        </w:rPr>
        <w:t xml:space="preserve">увођења депозитног система за амбалажни отпад; </w:t>
      </w:r>
    </w:p>
    <w:p w14:paraId="01D3A351"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могућност </w:t>
      </w:r>
      <w:r w:rsidR="002F45E1" w:rsidRPr="00644F20">
        <w:rPr>
          <w:rFonts w:ascii="Times New Roman" w:hAnsi="Times New Roman" w:cs="Times New Roman"/>
          <w:sz w:val="24"/>
          <w:szCs w:val="24"/>
          <w:lang w:val="sr-Cyrl-CS"/>
        </w:rPr>
        <w:t xml:space="preserve">сарадње са организацијама цивилног друштва и међународним </w:t>
      </w:r>
    </w:p>
    <w:p w14:paraId="2F2D025D" w14:textId="77777777" w:rsidR="00497092" w:rsidRPr="00644F20" w:rsidRDefault="002F45E1" w:rsidP="000855C6">
      <w:pPr>
        <w:spacing w:after="60" w:line="276" w:lineRule="auto"/>
        <w:ind w:left="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организацијама на пројектима за унапређење циркуларне економије;</w:t>
      </w:r>
    </w:p>
    <w:p w14:paraId="6CC07C82"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ревидирање </w:t>
      </w:r>
      <w:r w:rsidR="002F45E1" w:rsidRPr="00644F20">
        <w:rPr>
          <w:rFonts w:ascii="Times New Roman" w:hAnsi="Times New Roman" w:cs="Times New Roman"/>
          <w:sz w:val="24"/>
          <w:szCs w:val="24"/>
          <w:lang w:val="sr-Cyrl-CS"/>
        </w:rPr>
        <w:t xml:space="preserve">образовних програма са темама у области циркуларне економије; </w:t>
      </w:r>
    </w:p>
    <w:p w14:paraId="2F756616"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подстицаји </w:t>
      </w:r>
      <w:r w:rsidR="002F45E1" w:rsidRPr="00644F20">
        <w:rPr>
          <w:rFonts w:ascii="Times New Roman" w:hAnsi="Times New Roman" w:cs="Times New Roman"/>
          <w:sz w:val="24"/>
          <w:szCs w:val="24"/>
          <w:lang w:val="sr-Cyrl-CS"/>
        </w:rPr>
        <w:t>за запошљавање у области које се односе на циркуларну економију;</w:t>
      </w:r>
    </w:p>
    <w:p w14:paraId="45DA3255"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презентација </w:t>
      </w:r>
      <w:r w:rsidR="002F45E1" w:rsidRPr="00644F20">
        <w:rPr>
          <w:rFonts w:ascii="Times New Roman" w:hAnsi="Times New Roman" w:cs="Times New Roman"/>
          <w:sz w:val="24"/>
          <w:szCs w:val="24"/>
          <w:lang w:val="sr-Cyrl-CS"/>
        </w:rPr>
        <w:t xml:space="preserve">успешних примера и финансирање спровођења пилот пројеката; </w:t>
      </w:r>
    </w:p>
    <w:p w14:paraId="5EC9C6A3"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едукације </w:t>
      </w:r>
      <w:r w:rsidR="002F45E1" w:rsidRPr="00644F20">
        <w:rPr>
          <w:rFonts w:ascii="Times New Roman" w:hAnsi="Times New Roman" w:cs="Times New Roman"/>
          <w:sz w:val="24"/>
          <w:szCs w:val="24"/>
          <w:lang w:val="sr-Cyrl-CS"/>
        </w:rPr>
        <w:t>на локалном нивоу са грађанима, школама, привредом;</w:t>
      </w:r>
    </w:p>
    <w:p w14:paraId="7DD63A4C"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развој </w:t>
      </w:r>
      <w:r w:rsidR="002F45E1" w:rsidRPr="00644F20">
        <w:rPr>
          <w:rFonts w:ascii="Times New Roman" w:hAnsi="Times New Roman" w:cs="Times New Roman"/>
          <w:sz w:val="24"/>
          <w:szCs w:val="24"/>
          <w:lang w:val="sr-Cyrl-CS"/>
        </w:rPr>
        <w:t xml:space="preserve">старт-упова и увођење нових технологија које би омогућиле да се одмах пређе </w:t>
      </w:r>
    </w:p>
    <w:p w14:paraId="1E8762B5" w14:textId="77777777" w:rsidR="00497092" w:rsidRPr="00644F20" w:rsidRDefault="002F45E1" w:rsidP="000855C6">
      <w:pPr>
        <w:spacing w:after="60" w:line="276" w:lineRule="auto"/>
        <w:ind w:left="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 најбољу праксу и тако надокнади заостатак који српска привреда има;</w:t>
      </w:r>
    </w:p>
    <w:p w14:paraId="4AE27F36" w14:textId="77777777" w:rsidR="000855C6"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подстицање </w:t>
      </w:r>
      <w:r w:rsidR="002F45E1" w:rsidRPr="00644F20">
        <w:rPr>
          <w:rFonts w:ascii="Times New Roman" w:hAnsi="Times New Roman" w:cs="Times New Roman"/>
          <w:sz w:val="24"/>
          <w:szCs w:val="24"/>
          <w:lang w:val="sr-Cyrl-CS"/>
        </w:rPr>
        <w:t xml:space="preserve">превентивног приступа (избегавање сувишног паковања, поновна </w:t>
      </w:r>
    </w:p>
    <w:p w14:paraId="6E372311" w14:textId="77777777" w:rsidR="00497092" w:rsidRPr="00644F20" w:rsidRDefault="002F45E1" w:rsidP="000855C6">
      <w:pPr>
        <w:spacing w:after="60" w:line="276" w:lineRule="auto"/>
        <w:ind w:left="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употреба паковања, повратна амбалажа) у циљу смањења стварања отпада (кроз различите врста подстицаја);</w:t>
      </w:r>
    </w:p>
    <w:p w14:paraId="544924F5"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повећање </w:t>
      </w:r>
      <w:r w:rsidR="002F45E1" w:rsidRPr="00644F20">
        <w:rPr>
          <w:rFonts w:ascii="Times New Roman" w:hAnsi="Times New Roman" w:cs="Times New Roman"/>
          <w:sz w:val="24"/>
          <w:szCs w:val="24"/>
          <w:lang w:val="sr-Cyrl-CS"/>
        </w:rPr>
        <w:t xml:space="preserve">цене за одлагање отпада/депонијске таксе; </w:t>
      </w:r>
    </w:p>
    <w:p w14:paraId="151BA67F"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w:t>
      </w:r>
      <w:r w:rsidR="002F45E1" w:rsidRPr="00644F20">
        <w:rPr>
          <w:rFonts w:ascii="Times New Roman" w:hAnsi="Times New Roman" w:cs="Times New Roman"/>
          <w:sz w:val="24"/>
          <w:szCs w:val="24"/>
          <w:lang w:val="sr-Cyrl-CS"/>
        </w:rPr>
        <w:t>већој мери користити доступне ЕУ фондове;</w:t>
      </w:r>
    </w:p>
    <w:p w14:paraId="60CF014B" w14:textId="77777777" w:rsidR="00BC6AAD"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лакши </w:t>
      </w:r>
      <w:r w:rsidR="002F45E1" w:rsidRPr="00644F20">
        <w:rPr>
          <w:rFonts w:ascii="Times New Roman" w:hAnsi="Times New Roman" w:cs="Times New Roman"/>
          <w:sz w:val="24"/>
          <w:szCs w:val="24"/>
          <w:lang w:val="sr-Cyrl-CS"/>
        </w:rPr>
        <w:t xml:space="preserve">приступ билатералним и мултилатералним фондовима и повољним условима за </w:t>
      </w:r>
    </w:p>
    <w:p w14:paraId="00718C11" w14:textId="77777777" w:rsidR="00497092" w:rsidRPr="00644F20" w:rsidRDefault="002F45E1" w:rsidP="00BC6AAD">
      <w:pPr>
        <w:spacing w:after="60" w:line="276" w:lineRule="auto"/>
        <w:ind w:left="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финансирање пројеката;</w:t>
      </w:r>
    </w:p>
    <w:p w14:paraId="1F171848" w14:textId="77777777" w:rsidR="0049709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подстаћи </w:t>
      </w:r>
      <w:r w:rsidR="002F45E1" w:rsidRPr="00644F20">
        <w:rPr>
          <w:rFonts w:ascii="Times New Roman" w:hAnsi="Times New Roman" w:cs="Times New Roman"/>
          <w:sz w:val="24"/>
          <w:szCs w:val="24"/>
          <w:lang w:val="sr-Cyrl-CS"/>
        </w:rPr>
        <w:t>тражњу рециклираних сировина, а не само рециклажу;</w:t>
      </w:r>
    </w:p>
    <w:p w14:paraId="540B4D29" w14:textId="77777777" w:rsidR="007559C2"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међународна </w:t>
      </w:r>
      <w:r w:rsidR="002F45E1" w:rsidRPr="00644F20">
        <w:rPr>
          <w:rFonts w:ascii="Times New Roman" w:hAnsi="Times New Roman" w:cs="Times New Roman"/>
          <w:sz w:val="24"/>
          <w:szCs w:val="24"/>
          <w:lang w:val="sr-Cyrl-CS"/>
        </w:rPr>
        <w:t xml:space="preserve">и регионална сарадња - ЦЕФТА, Регионална економска унија, </w:t>
      </w:r>
    </w:p>
    <w:p w14:paraId="509BFC6A" w14:textId="77777777" w:rsidR="00497092" w:rsidRPr="00644F20" w:rsidRDefault="002F45E1" w:rsidP="007559C2">
      <w:pPr>
        <w:spacing w:after="60" w:line="276" w:lineRule="auto"/>
        <w:ind w:left="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бесцаринске уније, бољи и координисани проток роба и сировина (отпада);</w:t>
      </w:r>
    </w:p>
    <w:p w14:paraId="0B2F60DA" w14:textId="77777777" w:rsidR="00497092" w:rsidRPr="00644F20" w:rsidRDefault="000459D5" w:rsidP="007559C2">
      <w:pPr>
        <w:numPr>
          <w:ilvl w:val="0"/>
          <w:numId w:val="11"/>
        </w:numPr>
        <w:spacing w:after="60" w:line="276" w:lineRule="auto"/>
        <w:ind w:left="714" w:hanging="354"/>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дигитализација</w:t>
      </w:r>
      <w:r w:rsidR="002F45E1" w:rsidRPr="00644F20">
        <w:rPr>
          <w:rFonts w:ascii="Times New Roman" w:hAnsi="Times New Roman" w:cs="Times New Roman"/>
          <w:sz w:val="24"/>
          <w:szCs w:val="24"/>
          <w:lang w:val="sr-Cyrl-CS"/>
        </w:rPr>
        <w:t>;</w:t>
      </w:r>
    </w:p>
    <w:p w14:paraId="33A345B7" w14:textId="77777777" w:rsidR="00BC6AAD"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бржа </w:t>
      </w:r>
      <w:r w:rsidR="002F45E1" w:rsidRPr="00644F20">
        <w:rPr>
          <w:rFonts w:ascii="Times New Roman" w:hAnsi="Times New Roman" w:cs="Times New Roman"/>
          <w:sz w:val="24"/>
          <w:szCs w:val="24"/>
          <w:lang w:val="sr-Cyrl-CS"/>
        </w:rPr>
        <w:t xml:space="preserve">примена концепта циркуларне економије и кроз одређена законска решења </w:t>
      </w:r>
    </w:p>
    <w:p w14:paraId="19B65201" w14:textId="77777777" w:rsidR="00497092" w:rsidRPr="00644F20" w:rsidRDefault="002F45E1" w:rsidP="00BC6AAD">
      <w:pPr>
        <w:spacing w:after="60" w:line="276" w:lineRule="auto"/>
        <w:ind w:left="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(обавезност за одређене сегменте). На пример увођење обавезности за одређени садржај рециклираних материјала у готовом производу, захтев да се одређени проценат грађевинског рециклираног материјала користи за изградњу нових зграда и сл;</w:t>
      </w:r>
    </w:p>
    <w:p w14:paraId="02749FA6" w14:textId="77777777" w:rsidR="00BC6AAD" w:rsidRPr="00644F20" w:rsidRDefault="000459D5">
      <w:pPr>
        <w:numPr>
          <w:ilvl w:val="0"/>
          <w:numId w:val="11"/>
        </w:numPr>
        <w:spacing w:after="60" w:line="276" w:lineRule="auto"/>
        <w:ind w:left="714" w:hanging="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увођење </w:t>
      </w:r>
      <w:r w:rsidR="002F45E1" w:rsidRPr="00644F20">
        <w:rPr>
          <w:rFonts w:ascii="Times New Roman" w:hAnsi="Times New Roman" w:cs="Times New Roman"/>
          <w:sz w:val="24"/>
          <w:szCs w:val="24"/>
          <w:lang w:val="sr-Cyrl-CS"/>
        </w:rPr>
        <w:t xml:space="preserve">система транспарентнијег комуницирања о циркуларности производа кроз </w:t>
      </w:r>
    </w:p>
    <w:p w14:paraId="4F1D4805" w14:textId="77777777" w:rsidR="00497092" w:rsidRPr="00644F20" w:rsidRDefault="002F45E1" w:rsidP="00BC6AAD">
      <w:pPr>
        <w:spacing w:after="60" w:line="276" w:lineRule="auto"/>
        <w:ind w:left="357"/>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ланац снабдевања. </w:t>
      </w:r>
    </w:p>
    <w:p w14:paraId="3160C1CF" w14:textId="77777777" w:rsidR="00497092" w:rsidRPr="00644F20" w:rsidRDefault="002F45E1">
      <w:pPr>
        <w:shd w:val="clear" w:color="auto" w:fill="F7CAAC" w:themeFill="accent2" w:themeFillTint="66"/>
        <w:spacing w:before="120" w:after="120" w:line="276" w:lineRule="auto"/>
        <w:jc w:val="center"/>
        <w:rPr>
          <w:rFonts w:ascii="Times New Roman" w:hAnsi="Times New Roman" w:cs="Times New Roman"/>
          <w:b/>
          <w:bCs/>
          <w:sz w:val="24"/>
          <w:szCs w:val="24"/>
          <w:lang w:val="sr-Cyrl-CS"/>
        </w:rPr>
      </w:pPr>
      <w:r w:rsidRPr="00644F20">
        <w:rPr>
          <w:rFonts w:ascii="Times New Roman" w:hAnsi="Times New Roman" w:cs="Times New Roman"/>
          <w:b/>
          <w:bCs/>
          <w:sz w:val="24"/>
          <w:szCs w:val="24"/>
          <w:lang w:val="sr-Cyrl-CS"/>
        </w:rPr>
        <w:t>ПРЕТЊЕ</w:t>
      </w:r>
    </w:p>
    <w:p w14:paraId="67F7F272" w14:textId="77777777" w:rsidR="00C62E3D" w:rsidRPr="00644F20" w:rsidRDefault="00BE4F0A" w:rsidP="00BE4F0A">
      <w:pPr>
        <w:pStyle w:val="ListParagraph"/>
        <w:numPr>
          <w:ilvl w:val="0"/>
          <w:numId w:val="12"/>
        </w:numPr>
        <w:spacing w:after="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наглим </w:t>
      </w:r>
      <w:r w:rsidR="002F45E1" w:rsidRPr="00644F20">
        <w:rPr>
          <w:rFonts w:ascii="Times New Roman" w:hAnsi="Times New Roman" w:cs="Times New Roman"/>
          <w:sz w:val="24"/>
          <w:szCs w:val="24"/>
          <w:lang w:val="sr-Cyrl-CS"/>
        </w:rPr>
        <w:t xml:space="preserve">изменама прописа могу бити угрожени неки од сектора индустрије (нпр. нагло </w:t>
      </w:r>
    </w:p>
    <w:p w14:paraId="2E1CEDDC" w14:textId="77777777" w:rsidR="00497092" w:rsidRPr="00644F20" w:rsidRDefault="002F45E1" w:rsidP="00BE4F0A">
      <w:pPr>
        <w:spacing w:after="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укидање пластичних кеса и једнократне пластике, без оптималног времена за прилагођавање) што може негативно утицати на један део индуст</w:t>
      </w:r>
      <w:r w:rsidR="006E7971">
        <w:rPr>
          <w:rFonts w:ascii="Times New Roman" w:hAnsi="Times New Roman" w:cs="Times New Roman"/>
          <w:sz w:val="24"/>
          <w:szCs w:val="24"/>
          <w:lang w:val="sr-Cyrl-CS"/>
        </w:rPr>
        <w:t>р</w:t>
      </w:r>
      <w:r w:rsidRPr="00644F20">
        <w:rPr>
          <w:rFonts w:ascii="Times New Roman" w:hAnsi="Times New Roman" w:cs="Times New Roman"/>
          <w:sz w:val="24"/>
          <w:szCs w:val="24"/>
          <w:lang w:val="sr-Cyrl-CS"/>
        </w:rPr>
        <w:t>ије;</w:t>
      </w:r>
    </w:p>
    <w:p w14:paraId="26DDE0B9" w14:textId="77777777" w:rsidR="00C62E3D"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успоравање </w:t>
      </w:r>
      <w:r w:rsidR="002F45E1" w:rsidRPr="00644F20">
        <w:rPr>
          <w:rFonts w:ascii="Times New Roman" w:hAnsi="Times New Roman" w:cs="Times New Roman"/>
          <w:sz w:val="24"/>
          <w:szCs w:val="24"/>
          <w:lang w:val="sr-Cyrl-CS"/>
        </w:rPr>
        <w:t xml:space="preserve">развоја на пољу циркуларне економије због недовољне синхронизације са </w:t>
      </w:r>
    </w:p>
    <w:p w14:paraId="2902DDD8" w14:textId="77777777" w:rsidR="00497092" w:rsidRPr="00644F20" w:rsidRDefault="002F45E1" w:rsidP="00C62E3D">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плановима у другим областима;</w:t>
      </w:r>
    </w:p>
    <w:p w14:paraId="6E0569A1" w14:textId="77777777" w:rsidR="00497092"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дуплирање </w:t>
      </w:r>
      <w:r w:rsidR="002F45E1" w:rsidRPr="00644F20">
        <w:rPr>
          <w:rFonts w:ascii="Times New Roman" w:hAnsi="Times New Roman" w:cs="Times New Roman"/>
          <w:sz w:val="24"/>
          <w:szCs w:val="24"/>
          <w:lang w:val="sr-Cyrl-CS"/>
        </w:rPr>
        <w:t>планских докумената у јединицама локалних самоуправа;</w:t>
      </w:r>
    </w:p>
    <w:p w14:paraId="60B22E3D" w14:textId="77777777" w:rsidR="00497092"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недовољни </w:t>
      </w:r>
      <w:r w:rsidR="002F45E1" w:rsidRPr="00644F20">
        <w:rPr>
          <w:rFonts w:ascii="Times New Roman" w:hAnsi="Times New Roman" w:cs="Times New Roman"/>
          <w:sz w:val="24"/>
          <w:szCs w:val="24"/>
          <w:lang w:val="sr-Cyrl-CS"/>
        </w:rPr>
        <w:t>капацитети државне и локалних управа;</w:t>
      </w:r>
    </w:p>
    <w:p w14:paraId="2EA4B19A" w14:textId="77777777" w:rsidR="00C62E3D"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нелегална </w:t>
      </w:r>
      <w:r w:rsidR="002F45E1" w:rsidRPr="00644F20">
        <w:rPr>
          <w:rFonts w:ascii="Times New Roman" w:hAnsi="Times New Roman" w:cs="Times New Roman"/>
          <w:sz w:val="24"/>
          <w:szCs w:val="24"/>
          <w:lang w:val="sr-Cyrl-CS"/>
        </w:rPr>
        <w:t xml:space="preserve">градња, угрожавање инфраструктуре, неадекватно поступање са отпадом, </w:t>
      </w:r>
    </w:p>
    <w:p w14:paraId="7F3E39CF" w14:textId="77777777" w:rsidR="00497092" w:rsidRPr="00644F20" w:rsidRDefault="002F45E1" w:rsidP="00C62E3D">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неједнак третман различитих актера;</w:t>
      </w:r>
    </w:p>
    <w:p w14:paraId="113CA460" w14:textId="77777777" w:rsidR="00C62E3D"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велики </w:t>
      </w:r>
      <w:r w:rsidR="002F45E1" w:rsidRPr="00644F20">
        <w:rPr>
          <w:rFonts w:ascii="Times New Roman" w:hAnsi="Times New Roman" w:cs="Times New Roman"/>
          <w:sz w:val="24"/>
          <w:szCs w:val="24"/>
          <w:lang w:val="sr-Cyrl-CS"/>
        </w:rPr>
        <w:t>увоз старих возила која имају кратак век употребе, нису безбед</w:t>
      </w:r>
      <w:r w:rsidR="00C62E3D" w:rsidRPr="00644F20">
        <w:rPr>
          <w:rFonts w:ascii="Times New Roman" w:hAnsi="Times New Roman" w:cs="Times New Roman"/>
          <w:sz w:val="24"/>
          <w:szCs w:val="24"/>
          <w:lang w:val="sr-Cyrl-CS"/>
        </w:rPr>
        <w:t xml:space="preserve">на, генеришу </w:t>
      </w:r>
    </w:p>
    <w:p w14:paraId="5E7AB92F" w14:textId="77777777" w:rsidR="00497092" w:rsidRPr="00644F20" w:rsidRDefault="002F45E1" w:rsidP="00C62E3D">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висок степен загађења а не рециклирају се у довољној мери и на прави начин;</w:t>
      </w:r>
    </w:p>
    <w:p w14:paraId="251F36C3" w14:textId="77777777" w:rsidR="00497092"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отежан </w:t>
      </w:r>
      <w:r w:rsidR="002F45E1" w:rsidRPr="00644F20">
        <w:rPr>
          <w:rFonts w:ascii="Times New Roman" w:hAnsi="Times New Roman" w:cs="Times New Roman"/>
          <w:sz w:val="24"/>
          <w:szCs w:val="24"/>
          <w:lang w:val="sr-Cyrl-CS"/>
        </w:rPr>
        <w:t>приступ финансијским ресурсима због нерегулисаног правног окружења;</w:t>
      </w:r>
    </w:p>
    <w:p w14:paraId="3984A5E4" w14:textId="77777777" w:rsidR="00497092"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слаба </w:t>
      </w:r>
      <w:r w:rsidR="002F45E1" w:rsidRPr="00644F20">
        <w:rPr>
          <w:rFonts w:ascii="Times New Roman" w:hAnsi="Times New Roman" w:cs="Times New Roman"/>
          <w:sz w:val="24"/>
          <w:szCs w:val="24"/>
          <w:lang w:val="sr-Cyrl-CS"/>
        </w:rPr>
        <w:t>казнена и неефикасна подстицајна политика;</w:t>
      </w:r>
    </w:p>
    <w:p w14:paraId="30DCE782" w14:textId="77777777" w:rsidR="00497092"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појава </w:t>
      </w:r>
      <w:r w:rsidR="002F45E1" w:rsidRPr="00644F20">
        <w:rPr>
          <w:rFonts w:ascii="Times New Roman" w:hAnsi="Times New Roman" w:cs="Times New Roman"/>
          <w:sz w:val="24"/>
          <w:szCs w:val="24"/>
          <w:lang w:val="sr-Cyrl-CS"/>
        </w:rPr>
        <w:t xml:space="preserve">опасних хемикалија из рециклата у новим производима; </w:t>
      </w:r>
    </w:p>
    <w:p w14:paraId="25AA2B3D" w14:textId="77777777" w:rsidR="00C62E3D" w:rsidRPr="00644F20" w:rsidRDefault="00BE4F0A">
      <w:pPr>
        <w:numPr>
          <w:ilvl w:val="0"/>
          <w:numId w:val="12"/>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преклапање </w:t>
      </w:r>
      <w:r w:rsidR="002F45E1" w:rsidRPr="00644F20">
        <w:rPr>
          <w:rFonts w:ascii="Times New Roman" w:hAnsi="Times New Roman" w:cs="Times New Roman"/>
          <w:sz w:val="24"/>
          <w:szCs w:val="24"/>
          <w:lang w:val="sr-Cyrl-CS"/>
        </w:rPr>
        <w:t xml:space="preserve">различитих докумената јавних политика и изостанак јасне координације, </w:t>
      </w:r>
    </w:p>
    <w:p w14:paraId="0C4981CE" w14:textId="77777777" w:rsidR="00497092" w:rsidRPr="00644F20" w:rsidRDefault="002F45E1" w:rsidP="00C62E3D">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 xml:space="preserve">контроле и праћења свих активности. </w:t>
      </w:r>
    </w:p>
    <w:p w14:paraId="7B05699D" w14:textId="77777777" w:rsidR="00497092" w:rsidRPr="00644F20" w:rsidRDefault="00497092">
      <w:pPr>
        <w:spacing w:after="60" w:line="276" w:lineRule="auto"/>
        <w:contextualSpacing/>
        <w:rPr>
          <w:rFonts w:ascii="Times New Roman" w:hAnsi="Times New Roman" w:cs="Times New Roman"/>
          <w:sz w:val="24"/>
          <w:szCs w:val="24"/>
          <w:lang w:val="sr-Cyrl-CS"/>
        </w:rPr>
      </w:pPr>
    </w:p>
    <w:p w14:paraId="19B1AB91" w14:textId="77777777" w:rsidR="00497092" w:rsidRPr="00644F20" w:rsidRDefault="002F45E1">
      <w:pPr>
        <w:shd w:val="clear" w:color="auto" w:fill="D9D9D9" w:themeFill="background1" w:themeFillShade="D9"/>
        <w:spacing w:line="276" w:lineRule="auto"/>
        <w:rPr>
          <w:rFonts w:ascii="Times New Roman" w:hAnsi="Times New Roman" w:cs="Times New Roman"/>
          <w:b/>
          <w:bCs/>
          <w:sz w:val="24"/>
          <w:szCs w:val="24"/>
          <w:lang w:val="sr-Cyrl-CS"/>
        </w:rPr>
      </w:pPr>
      <w:bookmarkStart w:id="18" w:name="Zainteresovan_strane"/>
      <w:r w:rsidRPr="00644F20">
        <w:rPr>
          <w:rFonts w:ascii="Times New Roman" w:hAnsi="Times New Roman" w:cs="Times New Roman"/>
          <w:b/>
          <w:bCs/>
          <w:sz w:val="24"/>
          <w:szCs w:val="24"/>
          <w:lang w:val="sr-Cyrl-CS"/>
        </w:rPr>
        <w:t>Мапирање заинтересованих страна</w:t>
      </w:r>
      <w:bookmarkEnd w:id="18"/>
    </w:p>
    <w:p w14:paraId="500F9325" w14:textId="77777777" w:rsidR="00497092" w:rsidRPr="00644F20" w:rsidRDefault="002F45E1" w:rsidP="00C62E3D">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Област циркуларне економије је веома комплексна и захтева мултидисциплинарни, холистички приступ, кроз укључивање великог броја заинтересованих страна.</w:t>
      </w:r>
    </w:p>
    <w:p w14:paraId="008CD87F" w14:textId="77777777" w:rsidR="00497092" w:rsidRPr="00644F20" w:rsidRDefault="002F45E1">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Како је циркуларна економија концепт који има позитивне ефекте на животну средину али и на целокупно друштво, уз повећање нових пословних модела, подстицање иновација, нових радних места, мање опасних производа и слично, може се закључити да су ефекти успостављања циркуларне економије и одговарајућих јавних политика на заинтересоване стране углавном позитивни (већина заинтересованих страна има користи од примене циркуларне економије). </w:t>
      </w:r>
    </w:p>
    <w:p w14:paraId="365A42C0" w14:textId="77777777" w:rsidR="00497092" w:rsidRPr="00644F20" w:rsidRDefault="002F45E1" w:rsidP="00C62E3D">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Потенцијално негативни ефекти који су идентификовани су утицаји које нагле измене у одговарајућим забранама (нпр.</w:t>
      </w:r>
      <w:r w:rsidR="00BE4F0A" w:rsidRPr="00644F20">
        <w:rPr>
          <w:rFonts w:ascii="Times New Roman" w:hAnsi="Times New Roman" w:cs="Times New Roman"/>
          <w:sz w:val="24"/>
          <w:szCs w:val="24"/>
          <w:lang w:val="sr-Cyrl-CS"/>
        </w:rPr>
        <w:t xml:space="preserve"> </w:t>
      </w:r>
      <w:r w:rsidRPr="00644F20">
        <w:rPr>
          <w:rFonts w:ascii="Times New Roman" w:hAnsi="Times New Roman" w:cs="Times New Roman"/>
          <w:sz w:val="24"/>
          <w:szCs w:val="24"/>
          <w:lang w:val="sr-Cyrl-CS"/>
        </w:rPr>
        <w:t>забрана пластичних кеса и једнократне пластике) могу имати на један део привреде, због ризика на пословање у конкретној индустрији која је тиме погођена, уз губитак радних места. Наведени потенцијални утицаји с</w:t>
      </w:r>
      <w:r w:rsidR="00C62E3D" w:rsidRPr="00644F20">
        <w:rPr>
          <w:rFonts w:ascii="Times New Roman" w:hAnsi="Times New Roman" w:cs="Times New Roman"/>
          <w:sz w:val="24"/>
          <w:szCs w:val="24"/>
          <w:lang w:val="sr-Cyrl-CS"/>
        </w:rPr>
        <w:t>у разматрани током израде овог п</w:t>
      </w:r>
      <w:r w:rsidRPr="00644F20">
        <w:rPr>
          <w:rFonts w:ascii="Times New Roman" w:hAnsi="Times New Roman" w:cs="Times New Roman"/>
          <w:sz w:val="24"/>
          <w:szCs w:val="24"/>
          <w:lang w:val="sr-Cyrl-CS"/>
        </w:rPr>
        <w:t xml:space="preserve">рограма и дефинисања конкретних мера и активности на начин да се жељене промене дешавају плански и да пословање у складу са тим буде предвидиво и фер за све учеснике.   </w:t>
      </w:r>
    </w:p>
    <w:p w14:paraId="3FBF8596" w14:textId="77777777" w:rsidR="00497092" w:rsidRPr="00644F20" w:rsidRDefault="002F45E1" w:rsidP="00C62E3D">
      <w:pPr>
        <w:spacing w:after="60" w:line="276" w:lineRule="auto"/>
        <w:ind w:firstLine="720"/>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w:t>
      </w:r>
      <w:r w:rsidR="00DB6261" w:rsidRPr="00644F20">
        <w:rPr>
          <w:rFonts w:ascii="Times New Roman" w:hAnsi="Times New Roman" w:cs="Times New Roman"/>
          <w:sz w:val="24"/>
          <w:szCs w:val="24"/>
          <w:lang w:val="sr-Cyrl-CS"/>
        </w:rPr>
        <w:t>т</w:t>
      </w:r>
      <w:r w:rsidRPr="00644F20">
        <w:rPr>
          <w:rFonts w:ascii="Times New Roman" w:hAnsi="Times New Roman" w:cs="Times New Roman"/>
          <w:sz w:val="24"/>
          <w:szCs w:val="24"/>
          <w:lang w:val="sr-Cyrl-CS"/>
        </w:rPr>
        <w:t xml:space="preserve">абели у наставку је дато мапирање кључних заинтересованих страна за циркуларну економију. </w:t>
      </w:r>
    </w:p>
    <w:tbl>
      <w:tblPr>
        <w:tblW w:w="0" w:type="auto"/>
        <w:jc w:val="center"/>
        <w:tblLook w:val="04A0" w:firstRow="1" w:lastRow="0" w:firstColumn="1" w:lastColumn="0" w:noHBand="0" w:noVBand="1"/>
      </w:tblPr>
      <w:tblGrid>
        <w:gridCol w:w="2703"/>
        <w:gridCol w:w="3902"/>
        <w:gridCol w:w="1355"/>
        <w:gridCol w:w="1282"/>
      </w:tblGrid>
      <w:tr w:rsidR="00497092" w:rsidRPr="00644F20" w14:paraId="77C7C379" w14:textId="77777777">
        <w:trPr>
          <w:jc w:val="center"/>
        </w:trPr>
        <w:tc>
          <w:tcPr>
            <w:tcW w:w="2703"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31749586" w14:textId="77777777" w:rsidR="00497092" w:rsidRPr="00644F20" w:rsidRDefault="002F45E1">
            <w:pPr>
              <w:spacing w:after="60" w:line="276" w:lineRule="auto"/>
              <w:contextualSpacing/>
              <w:jc w:val="center"/>
              <w:rPr>
                <w:rFonts w:ascii="Times New Roman" w:hAnsi="Times New Roman" w:cs="Times New Roman"/>
                <w:b/>
                <w:bCs/>
                <w:lang w:val="sr-Cyrl-CS"/>
              </w:rPr>
            </w:pPr>
            <w:r w:rsidRPr="00644F20">
              <w:rPr>
                <w:rFonts w:ascii="Times New Roman" w:hAnsi="Times New Roman" w:cs="Times New Roman"/>
                <w:b/>
                <w:bCs/>
                <w:lang w:val="sr-Cyrl-CS"/>
              </w:rPr>
              <w:t>Заинтересована страна</w:t>
            </w:r>
          </w:p>
        </w:tc>
        <w:tc>
          <w:tcPr>
            <w:tcW w:w="3902" w:type="dxa"/>
            <w:vMerge w:val="restart"/>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6098FAD6" w14:textId="77777777" w:rsidR="00497092" w:rsidRPr="00644F20" w:rsidRDefault="002F45E1">
            <w:pPr>
              <w:spacing w:after="60" w:line="276" w:lineRule="auto"/>
              <w:contextualSpacing/>
              <w:jc w:val="center"/>
              <w:rPr>
                <w:rFonts w:ascii="Times New Roman" w:hAnsi="Times New Roman" w:cs="Times New Roman"/>
                <w:b/>
                <w:bCs/>
                <w:lang w:val="sr-Cyrl-CS"/>
              </w:rPr>
            </w:pPr>
            <w:r w:rsidRPr="00644F20">
              <w:rPr>
                <w:rFonts w:ascii="Times New Roman" w:hAnsi="Times New Roman" w:cs="Times New Roman"/>
                <w:b/>
                <w:bCs/>
                <w:lang w:val="sr-Cyrl-CS"/>
              </w:rPr>
              <w:t>Потребе и очекивања у вези са циркуларном економијом, напомене</w:t>
            </w:r>
          </w:p>
        </w:tc>
        <w:tc>
          <w:tcPr>
            <w:tcW w:w="2637"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67DBD6AE" w14:textId="77777777" w:rsidR="00497092" w:rsidRPr="00644F20" w:rsidRDefault="002F45E1">
            <w:pPr>
              <w:spacing w:after="60" w:line="276" w:lineRule="auto"/>
              <w:contextualSpacing/>
              <w:jc w:val="center"/>
              <w:rPr>
                <w:rFonts w:ascii="Times New Roman" w:hAnsi="Times New Roman" w:cs="Times New Roman"/>
                <w:b/>
                <w:bCs/>
                <w:lang w:val="sr-Cyrl-CS"/>
              </w:rPr>
            </w:pPr>
            <w:r w:rsidRPr="00644F20">
              <w:rPr>
                <w:rFonts w:ascii="Times New Roman" w:hAnsi="Times New Roman" w:cs="Times New Roman"/>
                <w:b/>
                <w:bCs/>
                <w:lang w:val="sr-Cyrl-CS"/>
              </w:rPr>
              <w:t>Утицај који предложена јавна политика има на заинтересовану страну</w:t>
            </w:r>
          </w:p>
        </w:tc>
      </w:tr>
      <w:tr w:rsidR="00497092" w:rsidRPr="00644F20" w14:paraId="24E20F9E"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A2F93C" w14:textId="77777777" w:rsidR="00497092" w:rsidRPr="00644F20" w:rsidRDefault="00497092">
            <w:pPr>
              <w:spacing w:after="60" w:line="276" w:lineRule="auto"/>
              <w:contextualSpacing/>
              <w:rPr>
                <w:rFonts w:ascii="Times New Roman" w:hAnsi="Times New Roman" w:cs="Times New Roman"/>
                <w:b/>
                <w:bCs/>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404B71" w14:textId="77777777" w:rsidR="00497092" w:rsidRPr="00644F20" w:rsidRDefault="00497092">
            <w:pPr>
              <w:spacing w:after="60" w:line="276" w:lineRule="auto"/>
              <w:contextualSpacing/>
              <w:rPr>
                <w:rFonts w:ascii="Times New Roman" w:hAnsi="Times New Roman" w:cs="Times New Roman"/>
                <w:b/>
                <w:bCs/>
                <w:lang w:val="sr-Cyrl-CS"/>
              </w:rPr>
            </w:pPr>
          </w:p>
        </w:tc>
        <w:tc>
          <w:tcPr>
            <w:tcW w:w="1355" w:type="dxa"/>
            <w:tcBorders>
              <w:top w:val="single" w:sz="4" w:space="0" w:color="auto"/>
              <w:left w:val="single" w:sz="4" w:space="0" w:color="auto"/>
              <w:bottom w:val="single" w:sz="4" w:space="0" w:color="auto"/>
              <w:right w:val="single" w:sz="4" w:space="0" w:color="auto"/>
            </w:tcBorders>
            <w:shd w:val="clear" w:color="auto" w:fill="B8E08C"/>
          </w:tcPr>
          <w:p w14:paraId="759ADCF4"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Позитиван</w:t>
            </w:r>
          </w:p>
        </w:tc>
        <w:tc>
          <w:tcPr>
            <w:tcW w:w="1282"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11B719A"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Негативан</w:t>
            </w:r>
          </w:p>
        </w:tc>
      </w:tr>
      <w:tr w:rsidR="00497092" w:rsidRPr="00644F20" w14:paraId="3C01EFAA"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0F7DDEBE" w14:textId="77777777" w:rsidR="00497092" w:rsidRPr="00644F20" w:rsidRDefault="001B6E66">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МЗЖС</w:t>
            </w:r>
          </w:p>
        </w:tc>
        <w:tc>
          <w:tcPr>
            <w:tcW w:w="3902" w:type="dxa"/>
            <w:tcBorders>
              <w:top w:val="single" w:sz="4" w:space="0" w:color="auto"/>
              <w:left w:val="single" w:sz="4" w:space="0" w:color="auto"/>
              <w:bottom w:val="single" w:sz="4" w:space="0" w:color="auto"/>
              <w:right w:val="single" w:sz="4" w:space="0" w:color="auto"/>
            </w:tcBorders>
            <w:vAlign w:val="center"/>
          </w:tcPr>
          <w:p w14:paraId="6AD6D74B"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Примарна улога за систем циркуларне економије и координацију активности.</w:t>
            </w:r>
          </w:p>
          <w:p w14:paraId="4F0E41E5"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Добра сарадња са осталим заинтересованим странама</w:t>
            </w:r>
          </w:p>
          <w:p w14:paraId="7102CC86"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Обезбеђивање потребних ресурса. </w:t>
            </w:r>
          </w:p>
        </w:tc>
        <w:tc>
          <w:tcPr>
            <w:tcW w:w="1355" w:type="dxa"/>
            <w:tcBorders>
              <w:top w:val="single" w:sz="4" w:space="0" w:color="auto"/>
              <w:left w:val="single" w:sz="4" w:space="0" w:color="auto"/>
              <w:bottom w:val="single" w:sz="4" w:space="0" w:color="auto"/>
              <w:right w:val="single" w:sz="4" w:space="0" w:color="auto"/>
            </w:tcBorders>
            <w:vAlign w:val="center"/>
          </w:tcPr>
          <w:p w14:paraId="136D24D2"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5D2A54BE"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9542827"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31542327"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Привреда (генерално)</w:t>
            </w:r>
          </w:p>
        </w:tc>
        <w:tc>
          <w:tcPr>
            <w:tcW w:w="3902" w:type="dxa"/>
            <w:tcBorders>
              <w:top w:val="single" w:sz="4" w:space="0" w:color="auto"/>
              <w:left w:val="single" w:sz="4" w:space="0" w:color="auto"/>
              <w:bottom w:val="single" w:sz="4" w:space="0" w:color="auto"/>
              <w:right w:val="single" w:sz="4" w:space="0" w:color="auto"/>
            </w:tcBorders>
            <w:vAlign w:val="center"/>
          </w:tcPr>
          <w:p w14:paraId="03D55335"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Нове пословне могућности за пословање, уштеде, јасан законодавни оквир. Главни покретач реалног преласка на циркуларну економију.</w:t>
            </w:r>
          </w:p>
          <w:p w14:paraId="29E5C90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Очекивања – повољно пословно окружење, инфраструктура, применљиви и усаглашени прописи и предвидивост пословања</w:t>
            </w:r>
          </w:p>
          <w:p w14:paraId="6F5E1B42"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Стимулативно пословно окружење. </w:t>
            </w:r>
          </w:p>
          <w:p w14:paraId="0848ADA3"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Подстицаји за она привредна друштва која чине искорак ка циркуларној економији и добровољним инструментима животне средине</w:t>
            </w:r>
          </w:p>
          <w:p w14:paraId="673A0707"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Неселективна примена прописа. </w:t>
            </w:r>
          </w:p>
        </w:tc>
        <w:tc>
          <w:tcPr>
            <w:tcW w:w="1355" w:type="dxa"/>
            <w:tcBorders>
              <w:top w:val="single" w:sz="4" w:space="0" w:color="auto"/>
              <w:left w:val="single" w:sz="4" w:space="0" w:color="auto"/>
              <w:bottom w:val="single" w:sz="4" w:space="0" w:color="auto"/>
              <w:right w:val="single" w:sz="4" w:space="0" w:color="auto"/>
            </w:tcBorders>
            <w:vAlign w:val="center"/>
          </w:tcPr>
          <w:p w14:paraId="382C75F4"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1CB5E663"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4885EACE" w14:textId="77777777">
        <w:trPr>
          <w:jc w:val="center"/>
        </w:trPr>
        <w:tc>
          <w:tcPr>
            <w:tcW w:w="2703" w:type="dxa"/>
            <w:tcBorders>
              <w:top w:val="single" w:sz="4" w:space="0" w:color="auto"/>
              <w:left w:val="single" w:sz="4" w:space="0" w:color="auto"/>
              <w:bottom w:val="single" w:sz="4" w:space="0" w:color="auto"/>
              <w:right w:val="single" w:sz="4" w:space="0" w:color="auto"/>
            </w:tcBorders>
            <w:vAlign w:val="center"/>
          </w:tcPr>
          <w:p w14:paraId="7C951EE1"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Посебни сектори индустрије на које измене које доноси циркуларна </w:t>
            </w:r>
            <w:r w:rsidRPr="00644F20">
              <w:rPr>
                <w:rFonts w:ascii="Times New Roman" w:hAnsi="Times New Roman" w:cs="Times New Roman"/>
                <w:lang w:val="sr-Cyrl-CS"/>
              </w:rPr>
              <w:lastRenderedPageBreak/>
              <w:t>економија могу утицати негативно (Производи који се потискују из употребе, нпр. произвођачи кеса и једнократне пластике)</w:t>
            </w:r>
          </w:p>
        </w:tc>
        <w:tc>
          <w:tcPr>
            <w:tcW w:w="3902" w:type="dxa"/>
            <w:tcBorders>
              <w:top w:val="single" w:sz="4" w:space="0" w:color="auto"/>
              <w:left w:val="single" w:sz="4" w:space="0" w:color="auto"/>
              <w:bottom w:val="single" w:sz="4" w:space="0" w:color="auto"/>
              <w:right w:val="single" w:sz="4" w:space="0" w:color="auto"/>
            </w:tcBorders>
            <w:vAlign w:val="center"/>
          </w:tcPr>
          <w:p w14:paraId="7FCE9F36"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lastRenderedPageBreak/>
              <w:t>Предвидивост у пословању, довољно времена да се прилагоди променама.</w:t>
            </w:r>
          </w:p>
          <w:p w14:paraId="34BED606"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lastRenderedPageBreak/>
              <w:t xml:space="preserve">Негативни утицај је због потенцијалних наглих и великих измена. </w:t>
            </w:r>
          </w:p>
          <w:p w14:paraId="18258451"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Код креирања документа јавне политике и конкретних циљева, мера и активности мора се водити рачуна о овој групи привредника. Зато утицај може да буде и позитиван.</w:t>
            </w:r>
          </w:p>
        </w:tc>
        <w:tc>
          <w:tcPr>
            <w:tcW w:w="1355" w:type="dxa"/>
            <w:tcBorders>
              <w:top w:val="single" w:sz="4" w:space="0" w:color="auto"/>
              <w:left w:val="single" w:sz="4" w:space="0" w:color="auto"/>
              <w:bottom w:val="single" w:sz="4" w:space="0" w:color="auto"/>
              <w:right w:val="single" w:sz="4" w:space="0" w:color="auto"/>
            </w:tcBorders>
            <w:vAlign w:val="center"/>
          </w:tcPr>
          <w:p w14:paraId="7251CC9F"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lastRenderedPageBreak/>
              <w:t>x</w:t>
            </w:r>
          </w:p>
        </w:tc>
        <w:tc>
          <w:tcPr>
            <w:tcW w:w="1282" w:type="dxa"/>
            <w:tcBorders>
              <w:top w:val="single" w:sz="4" w:space="0" w:color="auto"/>
              <w:left w:val="single" w:sz="4" w:space="0" w:color="auto"/>
              <w:bottom w:val="single" w:sz="4" w:space="0" w:color="auto"/>
              <w:right w:val="single" w:sz="4" w:space="0" w:color="auto"/>
            </w:tcBorders>
            <w:vAlign w:val="center"/>
          </w:tcPr>
          <w:p w14:paraId="4723EE9D"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r>
      <w:tr w:rsidR="00497092" w:rsidRPr="00644F20" w14:paraId="056AAD36"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548DBEA5" w14:textId="77777777" w:rsidR="00497092" w:rsidRPr="00644F20" w:rsidRDefault="002F45E1" w:rsidP="00C62E3D">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w:t>
            </w:r>
            <w:r w:rsidR="00C62E3D" w:rsidRPr="00644F20">
              <w:rPr>
                <w:rFonts w:ascii="Times New Roman" w:hAnsi="Times New Roman" w:cs="Times New Roman"/>
                <w:lang w:val="sr-Cyrl-CS"/>
              </w:rPr>
              <w:t>КС</w:t>
            </w:r>
          </w:p>
        </w:tc>
        <w:tc>
          <w:tcPr>
            <w:tcW w:w="3902" w:type="dxa"/>
            <w:tcBorders>
              <w:top w:val="single" w:sz="4" w:space="0" w:color="auto"/>
              <w:left w:val="single" w:sz="4" w:space="0" w:color="auto"/>
              <w:bottom w:val="single" w:sz="4" w:space="0" w:color="auto"/>
              <w:right w:val="single" w:sz="4" w:space="0" w:color="auto"/>
            </w:tcBorders>
          </w:tcPr>
          <w:p w14:paraId="5CD7A9AA"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Заступа интересе чланица (привредних субјеката који обављају привредну делатност). </w:t>
            </w:r>
          </w:p>
          <w:p w14:paraId="5894C3E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Партнер Министарству заштите животне средине за активности на циркуларној економији.</w:t>
            </w:r>
          </w:p>
        </w:tc>
        <w:tc>
          <w:tcPr>
            <w:tcW w:w="1355" w:type="dxa"/>
            <w:tcBorders>
              <w:top w:val="single" w:sz="4" w:space="0" w:color="auto"/>
              <w:left w:val="single" w:sz="4" w:space="0" w:color="auto"/>
              <w:bottom w:val="single" w:sz="4" w:space="0" w:color="auto"/>
              <w:right w:val="single" w:sz="4" w:space="0" w:color="auto"/>
            </w:tcBorders>
            <w:vAlign w:val="center"/>
          </w:tcPr>
          <w:p w14:paraId="5E2CA3B9"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7191E77D"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1DB62E14"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68839B66" w14:textId="77777777" w:rsidR="00497092" w:rsidRPr="00644F20" w:rsidRDefault="002F45E1" w:rsidP="00C62E3D">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К</w:t>
            </w:r>
            <w:r w:rsidR="00C62E3D" w:rsidRPr="00644F20">
              <w:rPr>
                <w:rFonts w:ascii="Times New Roman" w:hAnsi="Times New Roman" w:cs="Times New Roman"/>
                <w:lang w:val="sr-Cyrl-CS"/>
              </w:rPr>
              <w:t xml:space="preserve">ЈН </w:t>
            </w:r>
          </w:p>
        </w:tc>
        <w:tc>
          <w:tcPr>
            <w:tcW w:w="3902" w:type="dxa"/>
            <w:tcBorders>
              <w:top w:val="single" w:sz="4" w:space="0" w:color="auto"/>
              <w:left w:val="single" w:sz="4" w:space="0" w:color="auto"/>
              <w:bottom w:val="single" w:sz="4" w:space="0" w:color="auto"/>
              <w:right w:val="single" w:sz="4" w:space="0" w:color="auto"/>
            </w:tcBorders>
          </w:tcPr>
          <w:p w14:paraId="1BED8D65"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Помоћ од </w:t>
            </w:r>
            <w:r w:rsidR="00C62E3D" w:rsidRPr="00644F20">
              <w:rPr>
                <w:rFonts w:ascii="Times New Roman" w:hAnsi="Times New Roman" w:cs="Times New Roman"/>
                <w:lang w:val="sr-Cyrl-CS"/>
              </w:rPr>
              <w:t xml:space="preserve">МСЖС </w:t>
            </w:r>
            <w:r w:rsidRPr="00644F20">
              <w:rPr>
                <w:rFonts w:ascii="Times New Roman" w:hAnsi="Times New Roman" w:cs="Times New Roman"/>
                <w:lang w:val="sr-Cyrl-CS"/>
              </w:rPr>
              <w:t xml:space="preserve">у вези са критеријумима за </w:t>
            </w:r>
            <w:r w:rsidR="005D74AC" w:rsidRPr="00644F20">
              <w:rPr>
                <w:rFonts w:ascii="Times New Roman" w:hAnsi="Times New Roman" w:cs="Times New Roman"/>
                <w:lang w:val="sr-Cyrl-CS"/>
              </w:rPr>
              <w:t>ЗеЈН</w:t>
            </w:r>
            <w:r w:rsidRPr="00644F20">
              <w:rPr>
                <w:rFonts w:ascii="Times New Roman" w:hAnsi="Times New Roman" w:cs="Times New Roman"/>
                <w:lang w:val="sr-Cyrl-CS"/>
              </w:rPr>
              <w:t>, одређивањем приоритетних група добара, услуга и радова</w:t>
            </w:r>
          </w:p>
          <w:p w14:paraId="03562068"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У интересу јој је да се </w:t>
            </w:r>
            <w:r w:rsidR="005D74AC" w:rsidRPr="00644F20">
              <w:rPr>
                <w:rFonts w:ascii="Times New Roman" w:hAnsi="Times New Roman" w:cs="Times New Roman"/>
                <w:lang w:val="sr-Cyrl-CS"/>
              </w:rPr>
              <w:t>ЗеЈН</w:t>
            </w:r>
            <w:r w:rsidRPr="00644F20">
              <w:rPr>
                <w:rFonts w:ascii="Times New Roman" w:hAnsi="Times New Roman" w:cs="Times New Roman"/>
                <w:lang w:val="sr-Cyrl-CS"/>
              </w:rPr>
              <w:t xml:space="preserve"> спроводе што боље и да се испуњавају обавезе из Поглавља 5.</w:t>
            </w:r>
          </w:p>
        </w:tc>
        <w:tc>
          <w:tcPr>
            <w:tcW w:w="1355" w:type="dxa"/>
            <w:tcBorders>
              <w:top w:val="single" w:sz="4" w:space="0" w:color="auto"/>
              <w:left w:val="single" w:sz="4" w:space="0" w:color="auto"/>
              <w:bottom w:val="single" w:sz="4" w:space="0" w:color="auto"/>
              <w:right w:val="single" w:sz="4" w:space="0" w:color="auto"/>
            </w:tcBorders>
            <w:vAlign w:val="center"/>
          </w:tcPr>
          <w:p w14:paraId="1A25D88D"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38F1577D"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5EB88F82"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71127CAB"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Грађани</w:t>
            </w:r>
          </w:p>
        </w:tc>
        <w:tc>
          <w:tcPr>
            <w:tcW w:w="3902" w:type="dxa"/>
            <w:tcBorders>
              <w:top w:val="single" w:sz="4" w:space="0" w:color="auto"/>
              <w:left w:val="single" w:sz="4" w:space="0" w:color="auto"/>
              <w:bottom w:val="single" w:sz="4" w:space="0" w:color="auto"/>
              <w:right w:val="single" w:sz="4" w:space="0" w:color="auto"/>
            </w:tcBorders>
          </w:tcPr>
          <w:p w14:paraId="6D45B04B"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Инфраструктура за примарну селекцију отпада, здрава животна средина.</w:t>
            </w:r>
          </w:p>
          <w:p w14:paraId="258916F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Информисани о избору производа и услуга (паметне одлуке засноване на животном циклусу производа/услуга)</w:t>
            </w:r>
          </w:p>
          <w:p w14:paraId="17430D53"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Информације у вези са активнијим укључивањем у токове циркуларне економије.</w:t>
            </w:r>
          </w:p>
          <w:p w14:paraId="0262EBD8"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Смањење загађења животне средине. Чист ваздух, вода, земљиште.  </w:t>
            </w:r>
          </w:p>
          <w:p w14:paraId="27FE63E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Ограничавање употребе једнократне пластике, мање стварања отпада.</w:t>
            </w:r>
          </w:p>
          <w:p w14:paraId="654B9C17"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Безбедни производи (без опасних хемикалија).</w:t>
            </w:r>
          </w:p>
          <w:p w14:paraId="20B002E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Ограничавање употребе пластичних кеса (посебно оксо-деградабилних које носе опасности од стварања микропластике).</w:t>
            </w:r>
          </w:p>
          <w:p w14:paraId="1B6C7558"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Правовремена реакција надлежних органа у случају изостанка поштовања прописа.</w:t>
            </w:r>
          </w:p>
          <w:p w14:paraId="2ADE7C80"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Плански систем прикупљања и генерално управљања отпадом.</w:t>
            </w:r>
          </w:p>
          <w:p w14:paraId="345AF193"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Подстицаји за оне грађане који улажу напоре у примарну селекцију и у смањење количине отпада.</w:t>
            </w:r>
          </w:p>
          <w:p w14:paraId="1FF25B4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Јасне смернице за грађане.  </w:t>
            </w:r>
          </w:p>
        </w:tc>
        <w:tc>
          <w:tcPr>
            <w:tcW w:w="1355" w:type="dxa"/>
            <w:tcBorders>
              <w:top w:val="single" w:sz="4" w:space="0" w:color="auto"/>
              <w:left w:val="single" w:sz="4" w:space="0" w:color="auto"/>
              <w:bottom w:val="single" w:sz="4" w:space="0" w:color="auto"/>
              <w:right w:val="single" w:sz="4" w:space="0" w:color="auto"/>
            </w:tcBorders>
            <w:vAlign w:val="center"/>
          </w:tcPr>
          <w:p w14:paraId="2FA4D2EB"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613C3B37"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1E3E4AD"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696668F5" w14:textId="77777777" w:rsidR="00497092" w:rsidRPr="00644F20" w:rsidRDefault="00C62E3D" w:rsidP="00C62E3D">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lastRenderedPageBreak/>
              <w:t xml:space="preserve">ЈЛС и СКГО </w:t>
            </w:r>
          </w:p>
        </w:tc>
        <w:tc>
          <w:tcPr>
            <w:tcW w:w="3902" w:type="dxa"/>
            <w:tcBorders>
              <w:top w:val="single" w:sz="4" w:space="0" w:color="auto"/>
              <w:left w:val="single" w:sz="4" w:space="0" w:color="auto"/>
              <w:bottom w:val="single" w:sz="4" w:space="0" w:color="auto"/>
              <w:right w:val="single" w:sz="4" w:space="0" w:color="auto"/>
            </w:tcBorders>
          </w:tcPr>
          <w:p w14:paraId="18D56D14"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Подршка за активности циркуларне економије на локалу.</w:t>
            </w:r>
          </w:p>
          <w:p w14:paraId="4EC6453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Успостављање одговарајуће инфраструктуре.  </w:t>
            </w:r>
          </w:p>
        </w:tc>
        <w:tc>
          <w:tcPr>
            <w:tcW w:w="1355" w:type="dxa"/>
            <w:tcBorders>
              <w:top w:val="single" w:sz="4" w:space="0" w:color="auto"/>
              <w:left w:val="single" w:sz="4" w:space="0" w:color="auto"/>
              <w:bottom w:val="single" w:sz="4" w:space="0" w:color="auto"/>
              <w:right w:val="single" w:sz="4" w:space="0" w:color="auto"/>
            </w:tcBorders>
            <w:vAlign w:val="center"/>
          </w:tcPr>
          <w:p w14:paraId="275A74F3"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54454E91"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465D157"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1EC865B7" w14:textId="77777777" w:rsidR="007559C2" w:rsidRPr="00644F20" w:rsidRDefault="007559C2" w:rsidP="007559C2">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МФ</w:t>
            </w:r>
          </w:p>
          <w:p w14:paraId="08F2DF0C" w14:textId="77777777" w:rsidR="00497092" w:rsidRPr="00644F20" w:rsidRDefault="00497092" w:rsidP="007559C2">
            <w:pPr>
              <w:spacing w:after="60" w:line="276" w:lineRule="auto"/>
              <w:contextualSpacing/>
              <w:rPr>
                <w:rFonts w:ascii="Times New Roman" w:hAnsi="Times New Roman" w:cs="Times New Roman"/>
                <w:strike/>
                <w:lang w:val="sr-Cyrl-CS"/>
              </w:rPr>
            </w:pPr>
          </w:p>
        </w:tc>
        <w:tc>
          <w:tcPr>
            <w:tcW w:w="3902" w:type="dxa"/>
            <w:tcBorders>
              <w:top w:val="single" w:sz="4" w:space="0" w:color="auto"/>
              <w:left w:val="single" w:sz="4" w:space="0" w:color="auto"/>
              <w:bottom w:val="single" w:sz="4" w:space="0" w:color="auto"/>
              <w:right w:val="single" w:sz="4" w:space="0" w:color="auto"/>
            </w:tcBorders>
          </w:tcPr>
          <w:p w14:paraId="6863975D"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Планирање и обезбеђивање финансијских средстава потребних за реализацију активности и мера за циркуларну економију.</w:t>
            </w:r>
          </w:p>
        </w:tc>
        <w:tc>
          <w:tcPr>
            <w:tcW w:w="1355" w:type="dxa"/>
            <w:tcBorders>
              <w:top w:val="single" w:sz="4" w:space="0" w:color="auto"/>
              <w:left w:val="single" w:sz="4" w:space="0" w:color="auto"/>
              <w:bottom w:val="single" w:sz="4" w:space="0" w:color="auto"/>
              <w:right w:val="single" w:sz="4" w:space="0" w:color="auto"/>
            </w:tcBorders>
            <w:vAlign w:val="center"/>
          </w:tcPr>
          <w:p w14:paraId="4FB2B9FA"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16959AF1"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4D891C5"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511CBC83"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Образовне институције, предшколске установе</w:t>
            </w:r>
          </w:p>
        </w:tc>
        <w:tc>
          <w:tcPr>
            <w:tcW w:w="3902" w:type="dxa"/>
            <w:tcBorders>
              <w:top w:val="single" w:sz="4" w:space="0" w:color="auto"/>
              <w:left w:val="single" w:sz="4" w:space="0" w:color="auto"/>
              <w:bottom w:val="single" w:sz="4" w:space="0" w:color="auto"/>
              <w:right w:val="single" w:sz="4" w:space="0" w:color="auto"/>
            </w:tcBorders>
          </w:tcPr>
          <w:p w14:paraId="5678D97C"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Образовање корисника услуга образовања, бољи услови у погледу инфраструктуре и животне средине, уштеде у пословању. </w:t>
            </w:r>
          </w:p>
        </w:tc>
        <w:tc>
          <w:tcPr>
            <w:tcW w:w="1355" w:type="dxa"/>
            <w:tcBorders>
              <w:top w:val="single" w:sz="4" w:space="0" w:color="auto"/>
              <w:left w:val="single" w:sz="4" w:space="0" w:color="auto"/>
              <w:bottom w:val="single" w:sz="4" w:space="0" w:color="auto"/>
              <w:right w:val="single" w:sz="4" w:space="0" w:color="auto"/>
            </w:tcBorders>
            <w:vAlign w:val="center"/>
          </w:tcPr>
          <w:p w14:paraId="753C5976"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274107E5"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77D00444"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035CE12D"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Организације цивилног друштва</w:t>
            </w:r>
          </w:p>
        </w:tc>
        <w:tc>
          <w:tcPr>
            <w:tcW w:w="3902" w:type="dxa"/>
            <w:tcBorders>
              <w:top w:val="single" w:sz="4" w:space="0" w:color="auto"/>
              <w:left w:val="single" w:sz="4" w:space="0" w:color="auto"/>
              <w:bottom w:val="single" w:sz="4" w:space="0" w:color="auto"/>
              <w:right w:val="single" w:sz="4" w:space="0" w:color="auto"/>
            </w:tcBorders>
          </w:tcPr>
          <w:p w14:paraId="1D372E14"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Испуњавање примарних циљева удружења.</w:t>
            </w:r>
          </w:p>
          <w:p w14:paraId="68EF679E"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Сарадња са осталим заинтересованим организацијама.</w:t>
            </w:r>
          </w:p>
        </w:tc>
        <w:tc>
          <w:tcPr>
            <w:tcW w:w="1355" w:type="dxa"/>
            <w:tcBorders>
              <w:top w:val="single" w:sz="4" w:space="0" w:color="auto"/>
              <w:left w:val="single" w:sz="4" w:space="0" w:color="auto"/>
              <w:bottom w:val="single" w:sz="4" w:space="0" w:color="auto"/>
              <w:right w:val="single" w:sz="4" w:space="0" w:color="auto"/>
            </w:tcBorders>
            <w:vAlign w:val="center"/>
          </w:tcPr>
          <w:p w14:paraId="4366F4A3"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5FC3DBB1"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6F0A9942"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0240A549" w14:textId="77777777" w:rsidR="00497092" w:rsidRPr="00644F20" w:rsidRDefault="002F45E1" w:rsidP="00C62E3D">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Р</w:t>
            </w:r>
            <w:r w:rsidR="00C62E3D" w:rsidRPr="00644F20">
              <w:rPr>
                <w:rFonts w:ascii="Times New Roman" w:hAnsi="Times New Roman" w:cs="Times New Roman"/>
                <w:lang w:val="sr-Cyrl-CS"/>
              </w:rPr>
              <w:t xml:space="preserve">СЗ </w:t>
            </w:r>
          </w:p>
        </w:tc>
        <w:tc>
          <w:tcPr>
            <w:tcW w:w="3902" w:type="dxa"/>
            <w:tcBorders>
              <w:top w:val="single" w:sz="4" w:space="0" w:color="auto"/>
              <w:left w:val="single" w:sz="4" w:space="0" w:color="auto"/>
              <w:bottom w:val="single" w:sz="4" w:space="0" w:color="auto"/>
              <w:right w:val="single" w:sz="4" w:space="0" w:color="auto"/>
            </w:tcBorders>
          </w:tcPr>
          <w:p w14:paraId="0511894F"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Праћење кључних индикатора за циркуларну економију, извештавање.</w:t>
            </w:r>
          </w:p>
        </w:tc>
        <w:tc>
          <w:tcPr>
            <w:tcW w:w="1355" w:type="dxa"/>
            <w:tcBorders>
              <w:top w:val="single" w:sz="4" w:space="0" w:color="auto"/>
              <w:left w:val="single" w:sz="4" w:space="0" w:color="auto"/>
              <w:bottom w:val="single" w:sz="4" w:space="0" w:color="auto"/>
              <w:right w:val="single" w:sz="4" w:space="0" w:color="auto"/>
            </w:tcBorders>
            <w:vAlign w:val="center"/>
          </w:tcPr>
          <w:p w14:paraId="0CCD607D"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3DFB5C24"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777BF1DB"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04A67D87" w14:textId="77777777" w:rsidR="00497092" w:rsidRPr="00644F20" w:rsidRDefault="001B6E66">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АЗЖС</w:t>
            </w:r>
          </w:p>
        </w:tc>
        <w:tc>
          <w:tcPr>
            <w:tcW w:w="3902" w:type="dxa"/>
            <w:tcBorders>
              <w:top w:val="single" w:sz="4" w:space="0" w:color="auto"/>
              <w:left w:val="single" w:sz="4" w:space="0" w:color="auto"/>
              <w:bottom w:val="single" w:sz="4" w:space="0" w:color="auto"/>
              <w:right w:val="single" w:sz="4" w:space="0" w:color="auto"/>
            </w:tcBorders>
          </w:tcPr>
          <w:p w14:paraId="022A63F6"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Праћење кључних индикатора за циркуларну економију, извештавање.</w:t>
            </w:r>
          </w:p>
        </w:tc>
        <w:tc>
          <w:tcPr>
            <w:tcW w:w="1355" w:type="dxa"/>
            <w:tcBorders>
              <w:top w:val="single" w:sz="4" w:space="0" w:color="auto"/>
              <w:left w:val="single" w:sz="4" w:space="0" w:color="auto"/>
              <w:bottom w:val="single" w:sz="4" w:space="0" w:color="auto"/>
              <w:right w:val="single" w:sz="4" w:space="0" w:color="auto"/>
            </w:tcBorders>
            <w:vAlign w:val="center"/>
          </w:tcPr>
          <w:p w14:paraId="2F498586"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32941F27"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704089DB"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68FA64D4"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Јавни сектор (наручиоци)</w:t>
            </w:r>
          </w:p>
        </w:tc>
        <w:tc>
          <w:tcPr>
            <w:tcW w:w="3902" w:type="dxa"/>
            <w:tcBorders>
              <w:top w:val="single" w:sz="4" w:space="0" w:color="auto"/>
              <w:left w:val="single" w:sz="4" w:space="0" w:color="auto"/>
              <w:bottom w:val="single" w:sz="4" w:space="0" w:color="auto"/>
              <w:right w:val="single" w:sz="4" w:space="0" w:color="auto"/>
            </w:tcBorders>
          </w:tcPr>
          <w:p w14:paraId="68FB060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Примена циркуларне економије у пословању, примена критеријума зелених јавних набавки. </w:t>
            </w:r>
            <w:r w:rsidR="005D74AC" w:rsidRPr="00644F20">
              <w:rPr>
                <w:rFonts w:ascii="Times New Roman" w:hAnsi="Times New Roman" w:cs="Times New Roman"/>
                <w:lang w:val="sr-Cyrl-CS"/>
              </w:rPr>
              <w:t>ЗеЈН</w:t>
            </w:r>
            <w:r w:rsidRPr="00644F20">
              <w:rPr>
                <w:rFonts w:ascii="Times New Roman" w:hAnsi="Times New Roman" w:cs="Times New Roman"/>
                <w:lang w:val="sr-Cyrl-CS"/>
              </w:rPr>
              <w:t xml:space="preserve"> за сада се виде као оптерећење али са друге стране суштински применом зелених јавних набавки моћи ће да набављају добра, радове и услуге који су мање штетни и који су бољи у фази коришћења и чији су трошкови животног циклуса мањи. </w:t>
            </w:r>
          </w:p>
          <w:p w14:paraId="01236C21"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Доступни критеријуми за </w:t>
            </w:r>
            <w:r w:rsidR="005D74AC" w:rsidRPr="00644F20">
              <w:rPr>
                <w:rFonts w:ascii="Times New Roman" w:hAnsi="Times New Roman" w:cs="Times New Roman"/>
                <w:lang w:val="sr-Cyrl-CS"/>
              </w:rPr>
              <w:t>ЗеЈН</w:t>
            </w:r>
            <w:r w:rsidRPr="00644F20">
              <w:rPr>
                <w:rFonts w:ascii="Times New Roman" w:hAnsi="Times New Roman" w:cs="Times New Roman"/>
                <w:lang w:val="sr-Cyrl-CS"/>
              </w:rPr>
              <w:t xml:space="preserve">. </w:t>
            </w:r>
          </w:p>
          <w:p w14:paraId="46F7CDD5"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Доступне информације и водичи из области зелених јавних набавки.</w:t>
            </w:r>
          </w:p>
          <w:p w14:paraId="2BA045CA"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Примери добре праксе за </w:t>
            </w:r>
            <w:r w:rsidR="005D74AC" w:rsidRPr="00644F20">
              <w:rPr>
                <w:rFonts w:ascii="Times New Roman" w:hAnsi="Times New Roman" w:cs="Times New Roman"/>
                <w:lang w:val="sr-Cyrl-CS"/>
              </w:rPr>
              <w:t>ЗеЈН</w:t>
            </w:r>
            <w:r w:rsidRPr="00644F20">
              <w:rPr>
                <w:rFonts w:ascii="Times New Roman" w:hAnsi="Times New Roman" w:cs="Times New Roman"/>
                <w:lang w:val="sr-Cyrl-CS"/>
              </w:rPr>
              <w:t>.</w:t>
            </w:r>
          </w:p>
          <w:p w14:paraId="3EA21A6B"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Остале области – слично као и привреда.</w:t>
            </w:r>
          </w:p>
        </w:tc>
        <w:tc>
          <w:tcPr>
            <w:tcW w:w="1355" w:type="dxa"/>
            <w:tcBorders>
              <w:top w:val="single" w:sz="4" w:space="0" w:color="auto"/>
              <w:left w:val="single" w:sz="4" w:space="0" w:color="auto"/>
              <w:bottom w:val="single" w:sz="4" w:space="0" w:color="auto"/>
              <w:right w:val="single" w:sz="4" w:space="0" w:color="auto"/>
            </w:tcBorders>
            <w:vAlign w:val="center"/>
          </w:tcPr>
          <w:p w14:paraId="6BDC5203"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7E432071"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r>
      <w:tr w:rsidR="00497092" w:rsidRPr="00644F20" w14:paraId="2CF31061"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76F58BAB"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Ф</w:t>
            </w:r>
            <w:r w:rsidR="006E7971">
              <w:rPr>
                <w:rFonts w:ascii="Times New Roman" w:hAnsi="Times New Roman" w:cs="Times New Roman"/>
                <w:lang w:val="sr-Cyrl-CS"/>
              </w:rPr>
              <w:t>и</w:t>
            </w:r>
            <w:r w:rsidRPr="00644F20">
              <w:rPr>
                <w:rFonts w:ascii="Times New Roman" w:hAnsi="Times New Roman" w:cs="Times New Roman"/>
                <w:lang w:val="sr-Cyrl-CS"/>
              </w:rPr>
              <w:t>нансијске институције, банкарски сектор</w:t>
            </w:r>
          </w:p>
        </w:tc>
        <w:tc>
          <w:tcPr>
            <w:tcW w:w="3902" w:type="dxa"/>
            <w:tcBorders>
              <w:top w:val="single" w:sz="4" w:space="0" w:color="auto"/>
              <w:left w:val="single" w:sz="4" w:space="0" w:color="auto"/>
              <w:bottom w:val="single" w:sz="4" w:space="0" w:color="auto"/>
              <w:right w:val="single" w:sz="4" w:space="0" w:color="auto"/>
            </w:tcBorders>
          </w:tcPr>
          <w:p w14:paraId="44FC1BBA"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Пласирање нових финансијских „одрживих“ производа, мањи пословни ризици.</w:t>
            </w:r>
          </w:p>
        </w:tc>
        <w:tc>
          <w:tcPr>
            <w:tcW w:w="1355" w:type="dxa"/>
            <w:tcBorders>
              <w:top w:val="single" w:sz="4" w:space="0" w:color="auto"/>
              <w:left w:val="single" w:sz="4" w:space="0" w:color="auto"/>
              <w:bottom w:val="single" w:sz="4" w:space="0" w:color="auto"/>
              <w:right w:val="single" w:sz="4" w:space="0" w:color="auto"/>
            </w:tcBorders>
            <w:vAlign w:val="center"/>
          </w:tcPr>
          <w:p w14:paraId="16C08B1C"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73A57128"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930BA17"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03C83508"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Међународне организације УНДП, ГИЗ и сл.</w:t>
            </w:r>
          </w:p>
          <w:p w14:paraId="32A71493" w14:textId="77777777" w:rsidR="00497092" w:rsidRPr="00644F20" w:rsidRDefault="00497092">
            <w:pPr>
              <w:spacing w:after="60" w:line="276" w:lineRule="auto"/>
              <w:contextualSpacing/>
              <w:rPr>
                <w:rFonts w:ascii="Times New Roman" w:hAnsi="Times New Roman" w:cs="Times New Roman"/>
                <w:lang w:val="sr-Cyrl-CS"/>
              </w:rPr>
            </w:pPr>
          </w:p>
        </w:tc>
        <w:tc>
          <w:tcPr>
            <w:tcW w:w="3902" w:type="dxa"/>
            <w:tcBorders>
              <w:top w:val="single" w:sz="4" w:space="0" w:color="auto"/>
              <w:left w:val="single" w:sz="4" w:space="0" w:color="auto"/>
              <w:bottom w:val="single" w:sz="4" w:space="0" w:color="auto"/>
              <w:right w:val="single" w:sz="4" w:space="0" w:color="auto"/>
            </w:tcBorders>
          </w:tcPr>
          <w:p w14:paraId="4ECD2CBC"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Подршка за активности циркуларне економије, реализација пројеката на тему циркуларне економије</w:t>
            </w:r>
          </w:p>
        </w:tc>
        <w:tc>
          <w:tcPr>
            <w:tcW w:w="1355" w:type="dxa"/>
            <w:tcBorders>
              <w:top w:val="single" w:sz="4" w:space="0" w:color="auto"/>
              <w:left w:val="single" w:sz="4" w:space="0" w:color="auto"/>
              <w:bottom w:val="single" w:sz="4" w:space="0" w:color="auto"/>
              <w:right w:val="single" w:sz="4" w:space="0" w:color="auto"/>
            </w:tcBorders>
            <w:vAlign w:val="center"/>
          </w:tcPr>
          <w:p w14:paraId="303A0044"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3C28ED9F"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4E6C3391"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2D5FC937"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Министарство рударства и енергетике</w:t>
            </w:r>
          </w:p>
          <w:p w14:paraId="4EB71A0C" w14:textId="77777777" w:rsidR="00497092" w:rsidRPr="00644F20" w:rsidRDefault="00497092">
            <w:pPr>
              <w:tabs>
                <w:tab w:val="left" w:pos="1890"/>
              </w:tabs>
              <w:spacing w:after="60" w:line="276" w:lineRule="auto"/>
              <w:contextualSpacing/>
              <w:rPr>
                <w:rFonts w:ascii="Times New Roman" w:hAnsi="Times New Roman" w:cs="Times New Roman"/>
                <w:lang w:val="sr-Cyrl-CS"/>
              </w:rPr>
            </w:pPr>
          </w:p>
        </w:tc>
        <w:tc>
          <w:tcPr>
            <w:tcW w:w="3902" w:type="dxa"/>
            <w:tcBorders>
              <w:top w:val="single" w:sz="4" w:space="0" w:color="auto"/>
              <w:left w:val="single" w:sz="4" w:space="0" w:color="auto"/>
              <w:bottom w:val="single" w:sz="4" w:space="0" w:color="auto"/>
              <w:right w:val="single" w:sz="4" w:space="0" w:color="auto"/>
            </w:tcBorders>
          </w:tcPr>
          <w:p w14:paraId="616F1ABF"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Сарадња у вези питања енергетске ефикасности и енергетског менаџмента генерално, обновљивих извора енергије, еко-дизајна и сл.</w:t>
            </w:r>
          </w:p>
        </w:tc>
        <w:tc>
          <w:tcPr>
            <w:tcW w:w="1355" w:type="dxa"/>
            <w:tcBorders>
              <w:top w:val="single" w:sz="4" w:space="0" w:color="auto"/>
              <w:left w:val="single" w:sz="4" w:space="0" w:color="auto"/>
              <w:bottom w:val="single" w:sz="4" w:space="0" w:color="auto"/>
              <w:right w:val="single" w:sz="4" w:space="0" w:color="auto"/>
            </w:tcBorders>
            <w:vAlign w:val="center"/>
          </w:tcPr>
          <w:p w14:paraId="7E61E9CC"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0D534434"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CCBCC89"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28030FC1"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lastRenderedPageBreak/>
              <w:t>Министарство за рад, запошљав</w:t>
            </w:r>
            <w:r w:rsidR="00EA2B3A" w:rsidRPr="00644F20">
              <w:rPr>
                <w:rFonts w:ascii="Times New Roman" w:hAnsi="Times New Roman" w:cs="Times New Roman"/>
                <w:lang w:val="sr-Cyrl-CS"/>
              </w:rPr>
              <w:t>ање, борачка и социјална питања</w:t>
            </w:r>
          </w:p>
        </w:tc>
        <w:tc>
          <w:tcPr>
            <w:tcW w:w="3902" w:type="dxa"/>
            <w:tcBorders>
              <w:top w:val="single" w:sz="4" w:space="0" w:color="auto"/>
              <w:left w:val="single" w:sz="4" w:space="0" w:color="auto"/>
              <w:bottom w:val="single" w:sz="4" w:space="0" w:color="auto"/>
              <w:right w:val="single" w:sz="4" w:space="0" w:color="auto"/>
            </w:tcBorders>
          </w:tcPr>
          <w:p w14:paraId="18801CEF"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Креирање нових радних места, одрживе јавне набавке које узимају у обзир и социјалне аспекте, стварање услова за укључивање социјалних предузећа.</w:t>
            </w:r>
          </w:p>
        </w:tc>
        <w:tc>
          <w:tcPr>
            <w:tcW w:w="1355" w:type="dxa"/>
            <w:tcBorders>
              <w:top w:val="single" w:sz="4" w:space="0" w:color="auto"/>
              <w:left w:val="single" w:sz="4" w:space="0" w:color="auto"/>
              <w:bottom w:val="single" w:sz="4" w:space="0" w:color="auto"/>
              <w:right w:val="single" w:sz="4" w:space="0" w:color="auto"/>
            </w:tcBorders>
            <w:vAlign w:val="center"/>
          </w:tcPr>
          <w:p w14:paraId="05E2AAAF"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63BAB558"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88B86B1"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017255E7" w14:textId="77777777" w:rsidR="00497092" w:rsidRPr="00644F20" w:rsidRDefault="002F45E1">
            <w:pPr>
              <w:spacing w:after="60" w:line="276" w:lineRule="auto"/>
              <w:contextualSpacing/>
              <w:rPr>
                <w:lang w:val="sr-Cyrl-CS"/>
              </w:rPr>
            </w:pPr>
            <w:r w:rsidRPr="00644F20">
              <w:rPr>
                <w:rFonts w:ascii="Times New Roman" w:hAnsi="Times New Roman" w:cs="Times New Roman"/>
                <w:lang w:val="sr-Cyrl-CS"/>
              </w:rPr>
              <w:t>М</w:t>
            </w:r>
            <w:r w:rsidR="00A95345" w:rsidRPr="00644F20">
              <w:rPr>
                <w:rFonts w:ascii="Times New Roman" w:hAnsi="Times New Roman" w:cs="Times New Roman"/>
                <w:lang w:val="sr-Cyrl-CS"/>
              </w:rPr>
              <w:t>ПР</w:t>
            </w:r>
            <w:r w:rsidRPr="00644F20">
              <w:rPr>
                <w:rFonts w:ascii="Times New Roman" w:hAnsi="Times New Roman" w:cs="Times New Roman"/>
                <w:lang w:val="sr-Cyrl-CS"/>
              </w:rPr>
              <w:t>;</w:t>
            </w:r>
          </w:p>
          <w:p w14:paraId="1A561FE4"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М</w:t>
            </w:r>
            <w:r w:rsidR="00A23B82" w:rsidRPr="00644F20">
              <w:rPr>
                <w:rFonts w:ascii="Times New Roman" w:hAnsi="Times New Roman" w:cs="Times New Roman"/>
                <w:lang w:val="sr-Cyrl-CS"/>
              </w:rPr>
              <w:t>НТРИ</w:t>
            </w:r>
            <w:r w:rsidRPr="00644F20">
              <w:rPr>
                <w:rFonts w:ascii="Times New Roman" w:hAnsi="Times New Roman" w:cs="Times New Roman"/>
                <w:lang w:val="sr-Cyrl-CS"/>
              </w:rPr>
              <w:t xml:space="preserve">; </w:t>
            </w:r>
          </w:p>
          <w:p w14:paraId="75121E4E"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Фонд за иновациону делатност</w:t>
            </w:r>
          </w:p>
        </w:tc>
        <w:tc>
          <w:tcPr>
            <w:tcW w:w="3902" w:type="dxa"/>
            <w:tcBorders>
              <w:top w:val="single" w:sz="4" w:space="0" w:color="auto"/>
              <w:left w:val="single" w:sz="4" w:space="0" w:color="auto"/>
              <w:bottom w:val="single" w:sz="4" w:space="0" w:color="auto"/>
              <w:right w:val="single" w:sz="4" w:space="0" w:color="auto"/>
            </w:tcBorders>
          </w:tcPr>
          <w:p w14:paraId="53218FAE"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Подстицање научних и технолошких иновација у вези са циркуларном економијом.</w:t>
            </w:r>
          </w:p>
        </w:tc>
        <w:tc>
          <w:tcPr>
            <w:tcW w:w="1355" w:type="dxa"/>
            <w:tcBorders>
              <w:top w:val="single" w:sz="4" w:space="0" w:color="auto"/>
              <w:left w:val="single" w:sz="4" w:space="0" w:color="auto"/>
              <w:bottom w:val="single" w:sz="4" w:space="0" w:color="auto"/>
              <w:right w:val="single" w:sz="4" w:space="0" w:color="auto"/>
            </w:tcBorders>
            <w:vAlign w:val="center"/>
          </w:tcPr>
          <w:p w14:paraId="4991F9AD"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0024382B"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373E1422"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6BBAE933"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Остала министарства</w:t>
            </w:r>
          </w:p>
        </w:tc>
        <w:tc>
          <w:tcPr>
            <w:tcW w:w="3902" w:type="dxa"/>
            <w:tcBorders>
              <w:top w:val="single" w:sz="4" w:space="0" w:color="auto"/>
              <w:left w:val="single" w:sz="4" w:space="0" w:color="auto"/>
              <w:bottom w:val="single" w:sz="4" w:space="0" w:color="auto"/>
              <w:right w:val="single" w:sz="4" w:space="0" w:color="auto"/>
            </w:tcBorders>
          </w:tcPr>
          <w:p w14:paraId="7C913AE2"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Укључивање појединачних министарстава у посебним деловима који улазе у делокруг њихових надлежности.</w:t>
            </w:r>
          </w:p>
        </w:tc>
        <w:tc>
          <w:tcPr>
            <w:tcW w:w="1355" w:type="dxa"/>
            <w:tcBorders>
              <w:top w:val="single" w:sz="4" w:space="0" w:color="auto"/>
              <w:left w:val="single" w:sz="4" w:space="0" w:color="auto"/>
              <w:bottom w:val="single" w:sz="4" w:space="0" w:color="auto"/>
              <w:right w:val="single" w:sz="4" w:space="0" w:color="auto"/>
            </w:tcBorders>
            <w:vAlign w:val="center"/>
          </w:tcPr>
          <w:p w14:paraId="6A8CDA46"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389E981B"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1BC1E92"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63972B66"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Институт за стандардизацију Србије</w:t>
            </w:r>
          </w:p>
        </w:tc>
        <w:tc>
          <w:tcPr>
            <w:tcW w:w="3902" w:type="dxa"/>
            <w:tcBorders>
              <w:top w:val="single" w:sz="4" w:space="0" w:color="auto"/>
              <w:left w:val="single" w:sz="4" w:space="0" w:color="auto"/>
              <w:bottom w:val="single" w:sz="4" w:space="0" w:color="auto"/>
              <w:right w:val="single" w:sz="4" w:space="0" w:color="auto"/>
            </w:tcBorders>
          </w:tcPr>
          <w:p w14:paraId="3968DA19"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 xml:space="preserve">Знања у вези релевантних националних (СРПС), европских (ЕН) и међународних (ИСО) стандарда. </w:t>
            </w:r>
          </w:p>
        </w:tc>
        <w:tc>
          <w:tcPr>
            <w:tcW w:w="1355" w:type="dxa"/>
            <w:tcBorders>
              <w:top w:val="single" w:sz="4" w:space="0" w:color="auto"/>
              <w:left w:val="single" w:sz="4" w:space="0" w:color="auto"/>
              <w:bottom w:val="single" w:sz="4" w:space="0" w:color="auto"/>
              <w:right w:val="single" w:sz="4" w:space="0" w:color="auto"/>
            </w:tcBorders>
            <w:vAlign w:val="center"/>
          </w:tcPr>
          <w:p w14:paraId="0683B618"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05ED755D"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0BC9DA94"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28ED79D8" w14:textId="77777777" w:rsidR="00497092" w:rsidRPr="00644F20" w:rsidRDefault="00EA2B3A">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Међуресорна радна група</w:t>
            </w:r>
            <w:r w:rsidR="002F45E1" w:rsidRPr="00644F20">
              <w:rPr>
                <w:rFonts w:ascii="Times New Roman" w:hAnsi="Times New Roman" w:cs="Times New Roman"/>
                <w:lang w:val="sr-Cyrl-CS"/>
              </w:rPr>
              <w:t xml:space="preserve"> за спровођење Агенде УН о одрживом развоју до 2030</w:t>
            </w:r>
            <w:r w:rsidRPr="00644F20">
              <w:rPr>
                <w:rFonts w:ascii="Times New Roman" w:hAnsi="Times New Roman" w:cs="Times New Roman"/>
                <w:lang w:val="sr-Cyrl-CS"/>
              </w:rPr>
              <w:t>. године</w:t>
            </w:r>
          </w:p>
        </w:tc>
        <w:tc>
          <w:tcPr>
            <w:tcW w:w="3902" w:type="dxa"/>
            <w:tcBorders>
              <w:top w:val="single" w:sz="4" w:space="0" w:color="auto"/>
              <w:left w:val="single" w:sz="4" w:space="0" w:color="auto"/>
              <w:bottom w:val="single" w:sz="4" w:space="0" w:color="auto"/>
              <w:right w:val="single" w:sz="4" w:space="0" w:color="auto"/>
            </w:tcBorders>
          </w:tcPr>
          <w:p w14:paraId="39680CCB"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Заједничке активности на испуњењу циљева одрживог развоја – посебно циља 12 – Одржива потрошња и производња.</w:t>
            </w:r>
          </w:p>
        </w:tc>
        <w:tc>
          <w:tcPr>
            <w:tcW w:w="1355" w:type="dxa"/>
            <w:tcBorders>
              <w:top w:val="single" w:sz="4" w:space="0" w:color="auto"/>
              <w:left w:val="single" w:sz="4" w:space="0" w:color="auto"/>
              <w:bottom w:val="single" w:sz="4" w:space="0" w:color="auto"/>
              <w:right w:val="single" w:sz="4" w:space="0" w:color="auto"/>
            </w:tcBorders>
            <w:vAlign w:val="center"/>
          </w:tcPr>
          <w:p w14:paraId="67BF9080"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3B1766A7" w14:textId="77777777" w:rsidR="00497092" w:rsidRPr="00644F20" w:rsidRDefault="00497092">
            <w:pPr>
              <w:spacing w:after="60" w:line="276" w:lineRule="auto"/>
              <w:contextualSpacing/>
              <w:jc w:val="center"/>
              <w:rPr>
                <w:rFonts w:ascii="Times New Roman" w:hAnsi="Times New Roman" w:cs="Times New Roman"/>
                <w:lang w:val="sr-Cyrl-CS"/>
              </w:rPr>
            </w:pPr>
          </w:p>
        </w:tc>
      </w:tr>
      <w:tr w:rsidR="00497092" w:rsidRPr="00644F20" w14:paraId="768FB63D" w14:textId="77777777">
        <w:trPr>
          <w:jc w:val="center"/>
        </w:trPr>
        <w:tc>
          <w:tcPr>
            <w:tcW w:w="2703" w:type="dxa"/>
            <w:tcBorders>
              <w:top w:val="single" w:sz="4" w:space="0" w:color="auto"/>
              <w:left w:val="single" w:sz="4" w:space="0" w:color="auto"/>
              <w:bottom w:val="single" w:sz="4" w:space="0" w:color="auto"/>
              <w:right w:val="single" w:sz="4" w:space="0" w:color="auto"/>
            </w:tcBorders>
          </w:tcPr>
          <w:p w14:paraId="59D3254C"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Медији</w:t>
            </w:r>
          </w:p>
        </w:tc>
        <w:tc>
          <w:tcPr>
            <w:tcW w:w="3902" w:type="dxa"/>
            <w:tcBorders>
              <w:top w:val="single" w:sz="4" w:space="0" w:color="auto"/>
              <w:left w:val="single" w:sz="4" w:space="0" w:color="auto"/>
              <w:bottom w:val="single" w:sz="4" w:space="0" w:color="auto"/>
              <w:right w:val="single" w:sz="4" w:space="0" w:color="auto"/>
            </w:tcBorders>
          </w:tcPr>
          <w:p w14:paraId="144AC408" w14:textId="77777777" w:rsidR="00497092" w:rsidRPr="00644F20" w:rsidRDefault="002F45E1">
            <w:pPr>
              <w:spacing w:after="60" w:line="276" w:lineRule="auto"/>
              <w:contextualSpacing/>
              <w:rPr>
                <w:rFonts w:ascii="Times New Roman" w:hAnsi="Times New Roman" w:cs="Times New Roman"/>
                <w:lang w:val="sr-Cyrl-CS"/>
              </w:rPr>
            </w:pPr>
            <w:r w:rsidRPr="00644F20">
              <w:rPr>
                <w:rFonts w:ascii="Times New Roman" w:hAnsi="Times New Roman" w:cs="Times New Roman"/>
                <w:lang w:val="sr-Cyrl-CS"/>
              </w:rPr>
              <w:t>Подизање свести у области циркуларне економије, примери добре праксе.</w:t>
            </w:r>
          </w:p>
        </w:tc>
        <w:tc>
          <w:tcPr>
            <w:tcW w:w="1355" w:type="dxa"/>
            <w:tcBorders>
              <w:top w:val="single" w:sz="4" w:space="0" w:color="auto"/>
              <w:left w:val="single" w:sz="4" w:space="0" w:color="auto"/>
              <w:bottom w:val="single" w:sz="4" w:space="0" w:color="auto"/>
              <w:right w:val="single" w:sz="4" w:space="0" w:color="auto"/>
            </w:tcBorders>
            <w:vAlign w:val="center"/>
          </w:tcPr>
          <w:p w14:paraId="134F1E35" w14:textId="77777777" w:rsidR="00497092" w:rsidRPr="00644F20" w:rsidRDefault="002F45E1">
            <w:pPr>
              <w:spacing w:after="60" w:line="276" w:lineRule="auto"/>
              <w:contextualSpacing/>
              <w:jc w:val="center"/>
              <w:rPr>
                <w:rFonts w:ascii="Times New Roman" w:hAnsi="Times New Roman" w:cs="Times New Roman"/>
                <w:lang w:val="sr-Cyrl-CS"/>
              </w:rPr>
            </w:pPr>
            <w:r w:rsidRPr="00644F20">
              <w:rPr>
                <w:rFonts w:ascii="Times New Roman" w:hAnsi="Times New Roman" w:cs="Times New Roman"/>
                <w:lang w:val="sr-Cyrl-CS"/>
              </w:rPr>
              <w:t>x</w:t>
            </w:r>
          </w:p>
        </w:tc>
        <w:tc>
          <w:tcPr>
            <w:tcW w:w="1282" w:type="dxa"/>
            <w:tcBorders>
              <w:top w:val="single" w:sz="4" w:space="0" w:color="auto"/>
              <w:left w:val="single" w:sz="4" w:space="0" w:color="auto"/>
              <w:bottom w:val="single" w:sz="4" w:space="0" w:color="auto"/>
              <w:right w:val="single" w:sz="4" w:space="0" w:color="auto"/>
            </w:tcBorders>
            <w:vAlign w:val="center"/>
          </w:tcPr>
          <w:p w14:paraId="5D468CAD" w14:textId="77777777" w:rsidR="00497092" w:rsidRPr="00644F20" w:rsidRDefault="00497092">
            <w:pPr>
              <w:spacing w:after="60" w:line="276" w:lineRule="auto"/>
              <w:contextualSpacing/>
              <w:jc w:val="center"/>
              <w:rPr>
                <w:rFonts w:ascii="Times New Roman" w:hAnsi="Times New Roman" w:cs="Times New Roman"/>
                <w:lang w:val="sr-Cyrl-CS"/>
              </w:rPr>
            </w:pPr>
          </w:p>
        </w:tc>
      </w:tr>
    </w:tbl>
    <w:p w14:paraId="024F49DC" w14:textId="77777777" w:rsidR="00497092" w:rsidRPr="00644F20" w:rsidRDefault="002F45E1" w:rsidP="00EA2B3A">
      <w:pPr>
        <w:tabs>
          <w:tab w:val="left" w:pos="1890"/>
        </w:tabs>
        <w:spacing w:after="60" w:line="276" w:lineRule="auto"/>
        <w:contextualSpacing/>
        <w:rPr>
          <w:rFonts w:ascii="Times New Roman" w:hAnsi="Times New Roman" w:cs="Times New Roman"/>
          <w:sz w:val="24"/>
          <w:szCs w:val="24"/>
          <w:lang w:val="sr-Cyrl-CS"/>
        </w:rPr>
      </w:pPr>
      <w:r w:rsidRPr="00644F20">
        <w:rPr>
          <w:rFonts w:ascii="Times New Roman" w:hAnsi="Times New Roman" w:cs="Times New Roman"/>
          <w:lang w:val="sr-Cyrl-CS"/>
        </w:rPr>
        <w:tab/>
        <w:t xml:space="preserve"> </w:t>
      </w:r>
    </w:p>
    <w:p w14:paraId="36D12E9A" w14:textId="77777777" w:rsidR="00497092" w:rsidRPr="00644F20" w:rsidRDefault="002F45E1">
      <w:pPr>
        <w:keepNext/>
        <w:keepLines/>
        <w:spacing w:before="360" w:after="120" w:line="276" w:lineRule="auto"/>
        <w:outlineLvl w:val="1"/>
        <w:rPr>
          <w:rFonts w:ascii="Times New Roman" w:eastAsiaTheme="majorEastAsia" w:hAnsi="Times New Roman" w:cs="Times New Roman"/>
          <w:b/>
          <w:bCs/>
          <w:sz w:val="28"/>
          <w:szCs w:val="28"/>
          <w:lang w:val="sr-Cyrl-CS"/>
        </w:rPr>
      </w:pPr>
      <w:bookmarkStart w:id="19" w:name="_Toc93923069"/>
      <w:r w:rsidRPr="00644F20">
        <w:rPr>
          <w:rFonts w:ascii="Times New Roman" w:eastAsiaTheme="majorEastAsia" w:hAnsi="Times New Roman" w:cs="Times New Roman"/>
          <w:b/>
          <w:bCs/>
          <w:sz w:val="28"/>
          <w:szCs w:val="28"/>
          <w:lang w:val="sr-Cyrl-CS"/>
        </w:rPr>
        <w:t>3.3 Међународна искуства на увођењу циркуларне економије</w:t>
      </w:r>
      <w:bookmarkEnd w:id="19"/>
    </w:p>
    <w:p w14:paraId="11F58DD6"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погледу импл</w:t>
      </w:r>
      <w:r w:rsidR="006E7971">
        <w:rPr>
          <w:rFonts w:ascii="Times New Roman" w:hAnsi="Times New Roman" w:cs="Times New Roman"/>
          <w:sz w:val="24"/>
          <w:szCs w:val="24"/>
          <w:lang w:val="sr-Cyrl-CS"/>
        </w:rPr>
        <w:t>е</w:t>
      </w:r>
      <w:r w:rsidRPr="00644F20">
        <w:rPr>
          <w:rFonts w:ascii="Times New Roman" w:hAnsi="Times New Roman" w:cs="Times New Roman"/>
          <w:sz w:val="24"/>
          <w:szCs w:val="24"/>
          <w:lang w:val="sr-Cyrl-CS"/>
        </w:rPr>
        <w:t xml:space="preserve">ментације принципа циркуларне економије на светском нивоу највише је урадила Европска унија. Прве значајне и организоване активности на увођењу циркуларне економије у Европској унији почињу 2015. године са усвајањем Акционог плана за циркуларну економију у коме је дефинисано више мера с циљем да се отворе нова радна места, подржи даљи развој и инвестиције и оствари ресурсно ефикасна, климатски неутрална и конкурентна привреда. Фокус ових мера био је на производњи - пројектовању и изради производа, потрошњи ресурса, управљању отпадом, стварању тржишта за секундарне сировине и рециклирану воду и увођењу иновација. Акционим планом је по први пут промовисан систематски приступ у свим ланцима вредности и уграђени су принципи циркуларне економије у области производње и потрошње пластичних материјала, управљања водама, системе хране и управљања специфичним токовима отпада. </w:t>
      </w:r>
    </w:p>
    <w:p w14:paraId="144F0497"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оквиру подршке привреди примарно су промовисани циркуларни дизајн и енергетска ефикасност, а посебна пажња посвећена је малим и средњим предузећима. У циљу унапр</w:t>
      </w:r>
      <w:r w:rsidR="006E7971">
        <w:rPr>
          <w:rFonts w:ascii="Times New Roman" w:hAnsi="Times New Roman" w:cs="Times New Roman"/>
          <w:sz w:val="24"/>
          <w:szCs w:val="24"/>
          <w:lang w:val="sr-Cyrl-CS"/>
        </w:rPr>
        <w:t>е</w:t>
      </w:r>
      <w:r w:rsidRPr="00644F20">
        <w:rPr>
          <w:rFonts w:ascii="Times New Roman" w:hAnsi="Times New Roman" w:cs="Times New Roman"/>
          <w:sz w:val="24"/>
          <w:szCs w:val="24"/>
          <w:lang w:val="sr-Cyrl-CS"/>
        </w:rPr>
        <w:t xml:space="preserve">ђења енергетске и сировинске ефикасности, у овом сегменту привреде, основан је Европски центар знања за ресурсну ефикасност (ЕRЕК) и успостављен је пилот програм за верификацију технолошких решења из области заштите животне средине. Поред тога подржане су иницијативе за замену супстанци које изазивају забринутост у производима и омогућавање лакшег приступа иновативним технологијама. У погледу материјала посебна пажња посвећена је пластичним производима за једнократну употребу и њиховом утицају на животну средину. Као веома добар механизам за унапређење односа предузећа према животној средини показали </w:t>
      </w:r>
      <w:r w:rsidRPr="00644F20">
        <w:rPr>
          <w:rFonts w:ascii="Times New Roman" w:hAnsi="Times New Roman" w:cs="Times New Roman"/>
          <w:sz w:val="24"/>
          <w:szCs w:val="24"/>
          <w:lang w:val="sr-Cyrl-CS"/>
        </w:rPr>
        <w:lastRenderedPageBreak/>
        <w:t xml:space="preserve">су се добровољни инструменти, као што су критеријуми за доделу Еко знака ЕУ и учешће у </w:t>
      </w:r>
      <w:r w:rsidRPr="00644F20">
        <w:rPr>
          <w:rFonts w:ascii="Times New Roman" w:hAnsi="Times New Roman"/>
          <w:sz w:val="24"/>
          <w:lang w:val="sr-Cyrl-CS"/>
        </w:rPr>
        <w:t>EMAS</w:t>
      </w:r>
      <w:r w:rsidRPr="00644F20">
        <w:rPr>
          <w:rFonts w:ascii="Times New Roman" w:hAnsi="Times New Roman" w:cs="Times New Roman"/>
          <w:sz w:val="24"/>
          <w:szCs w:val="24"/>
          <w:lang w:val="sr-Cyrl-CS"/>
        </w:rPr>
        <w:t xml:space="preserve"> систему и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xml:space="preserve">. </w:t>
      </w:r>
    </w:p>
    <w:p w14:paraId="366FD106"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Један од приоритета </w:t>
      </w:r>
      <w:r w:rsidR="00C62E3D" w:rsidRPr="00644F20">
        <w:rPr>
          <w:rFonts w:ascii="Times New Roman" w:hAnsi="Times New Roman" w:cs="Times New Roman"/>
          <w:sz w:val="24"/>
          <w:szCs w:val="24"/>
          <w:lang w:val="sr-Cyrl-CS"/>
        </w:rPr>
        <w:t>овог а</w:t>
      </w:r>
      <w:r w:rsidRPr="00644F20">
        <w:rPr>
          <w:rFonts w:ascii="Times New Roman" w:hAnsi="Times New Roman" w:cs="Times New Roman"/>
          <w:sz w:val="24"/>
          <w:szCs w:val="24"/>
          <w:lang w:val="sr-Cyrl-CS"/>
        </w:rPr>
        <w:t>кционог плана било је и увођење иновација у привреди. У периоду од 2016</w:t>
      </w:r>
      <w:r w:rsidR="00EA2B3A" w:rsidRPr="00644F20">
        <w:rPr>
          <w:rFonts w:ascii="Times New Roman" w:hAnsi="Times New Roman" w:cs="Times New Roman"/>
          <w:sz w:val="24"/>
          <w:szCs w:val="24"/>
          <w:lang w:val="sr-Cyrl-CS"/>
        </w:rPr>
        <w:t xml:space="preserve">. до </w:t>
      </w:r>
      <w:r w:rsidRPr="00644F20">
        <w:rPr>
          <w:rFonts w:ascii="Times New Roman" w:hAnsi="Times New Roman" w:cs="Times New Roman"/>
          <w:sz w:val="24"/>
          <w:szCs w:val="24"/>
          <w:lang w:val="sr-Cyrl-CS"/>
        </w:rPr>
        <w:t>2020.</w:t>
      </w:r>
      <w:r w:rsidR="00EA2B3A" w:rsidRPr="00644F20">
        <w:rPr>
          <w:rFonts w:ascii="Times New Roman" w:hAnsi="Times New Roman" w:cs="Times New Roman"/>
          <w:sz w:val="24"/>
          <w:szCs w:val="24"/>
          <w:lang w:val="sr-Cyrl-CS"/>
        </w:rPr>
        <w:t xml:space="preserve"> године</w:t>
      </w:r>
      <w:r w:rsidRPr="00644F20">
        <w:rPr>
          <w:rFonts w:ascii="Times New Roman" w:hAnsi="Times New Roman" w:cs="Times New Roman"/>
          <w:sz w:val="24"/>
          <w:szCs w:val="24"/>
          <w:lang w:val="sr-Cyrl-CS"/>
        </w:rPr>
        <w:t xml:space="preserve"> инвестирано је преко 10 милијарди евра у истраживања кроз различите програме и пројекте (Cohezion Policy, Horizon 2020, European Fund for Strategic investment). Израђене су препоруке за побољшање профитабилности циркуларних пројеката, координацију активности финансирања и размену добре праксе, као и предузете мере за отклањање постојећих регулаторних препрека за увођење иновација у привреди. </w:t>
      </w:r>
    </w:p>
    <w:p w14:paraId="7AB2A78C"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друштвеном сегменту посебна пажња посвећена је укључивању заинтересованих страна, као што су локалне самоуправе, економски актери и организације цивилног друштва, у процес транзиције и њиховом међусобном повезивању. Такође, важан аспект била је и заштита потрошача, пре свега кроз развој система за адекватно информисање о карактеристикама производа које су значајне за циркуларну економију (нпр. могућност поправке, производи са дужим роком трајања). </w:t>
      </w:r>
    </w:p>
    <w:p w14:paraId="32D293EE"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Резултати забележени у 2019. години показали су да модел циркуларне економије и те како доноси добробит и привреди и друштву у целини. Имплементација предложених мера допринела је већој запослености у секторима привреде релевантним за ЦЕ (6% у односу на 2012. годину), створила услове за развој нових пословних модела и повећала удео рециклираног комуналног отпада. Такође, делатности као што су поправке, поновна употреба и рециклирање у 2016. години оствариле су скоро 147 милијарди евра додате вредности и привукле улагања у вредности од око 17,5 милијарди евра</w:t>
      </w:r>
      <w:r w:rsidRPr="00644F20">
        <w:rPr>
          <w:rFonts w:ascii="Times New Roman" w:hAnsi="Times New Roman" w:cs="Times New Roman"/>
          <w:sz w:val="24"/>
          <w:szCs w:val="24"/>
          <w:vertAlign w:val="superscript"/>
          <w:lang w:val="sr-Cyrl-CS"/>
        </w:rPr>
        <w:footnoteReference w:id="60"/>
      </w:r>
      <w:r w:rsidRPr="00644F20">
        <w:rPr>
          <w:rFonts w:ascii="Times New Roman" w:hAnsi="Times New Roman" w:cs="Times New Roman"/>
          <w:sz w:val="24"/>
          <w:szCs w:val="24"/>
          <w:lang w:val="sr-Cyrl-CS"/>
        </w:rPr>
        <w:t xml:space="preserve">.   </w:t>
      </w:r>
    </w:p>
    <w:p w14:paraId="5381E4DB"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20" w:name="_Toc93923070"/>
      <w:r w:rsidRPr="00644F20">
        <w:rPr>
          <w:rFonts w:ascii="Times New Roman" w:eastAsiaTheme="majorEastAsia" w:hAnsi="Times New Roman" w:cstheme="majorBidi"/>
          <w:b/>
          <w:bCs/>
          <w:sz w:val="26"/>
          <w:szCs w:val="26"/>
          <w:lang w:val="sr-Cyrl-CS"/>
        </w:rPr>
        <w:t>3.3.1. Циркуларна економија и дигитализација</w:t>
      </w:r>
      <w:bookmarkEnd w:id="20"/>
    </w:p>
    <w:p w14:paraId="393585C4"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Досадашња искуства на увођењу ЦЕ показала су да вештачка интелигенција и дигитализација могу у значајној мери да допринесу процесу транзиције. Пословни модели засновани на принципима ЦЕ су по својој природи повезани и умрежени, а за њихов развој и вођење неопходни су прикупљање, размена и анализа великог броја података, за шта дигитални системи и платформе имају капацитете. Такође, концепти као што су „паме</w:t>
      </w:r>
      <w:r w:rsidR="005E7CF4" w:rsidRPr="00644F20">
        <w:rPr>
          <w:rFonts w:ascii="Times New Roman" w:hAnsi="Times New Roman" w:cs="Times New Roman"/>
          <w:sz w:val="24"/>
          <w:szCs w:val="24"/>
          <w:lang w:val="sr-Cyrl-CS"/>
        </w:rPr>
        <w:t>тни градови” и „интернет ствари”</w:t>
      </w:r>
      <w:r w:rsidRPr="00644F20">
        <w:rPr>
          <w:rFonts w:ascii="Times New Roman" w:hAnsi="Times New Roman" w:cs="Times New Roman"/>
          <w:sz w:val="24"/>
          <w:szCs w:val="24"/>
          <w:lang w:val="sr-Cyrl-CS"/>
        </w:rPr>
        <w:t xml:space="preserve"> омогућавају формирање циркуларних заједница и развој циркуларне културе у друштву.</w:t>
      </w:r>
    </w:p>
    <w:p w14:paraId="555992BC"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Повећана употреба података и дигиталних алата попут онлајн апликација и вештачке интелигенције драстично мењају начин на који живимо и послујемо. Са аспекта развоја циркуларне економије њихова улога ће бити пре свега да омогуће развој нових пословних модела, убрзају истраживање и развој нових производа, продуже животни век производа и омогуће њихову лакшу поправку и рециклирање. У том циљу посебно ће бити важна употреба онлајн платформи, дигиталних пасоша, блокчејна (енгл. blockchain) и концепта „интернет ствари</w:t>
      </w:r>
      <w:r w:rsidR="006E5562"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xml:space="preserve"> који ће поспешити размену информација између кључних актера, као што су произвођачи, потрошачи и рециклери. Поред тога, то ће дати и снажан допринос примени јавних набавки, процесима пријављивања и извештавања произвођача о производима и отпаду, у контексту продужене одговорности произвођача и изради и спровођењу јавних политика које подржавају развој циркуларне економије. </w:t>
      </w:r>
    </w:p>
    <w:p w14:paraId="685F0AAA" w14:textId="77777777" w:rsidR="00497092" w:rsidRPr="00644F20" w:rsidRDefault="002F45E1" w:rsidP="00C62E3D">
      <w:pPr>
        <w:spacing w:after="60" w:line="276" w:lineRule="auto"/>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Неке од наведених могућности се већ реализују, док друга решења тек треба у потпуности применити (нпр. употреба дигиталних пасоша за производе). Од реализованих решења истичу се:</w:t>
      </w:r>
    </w:p>
    <w:p w14:paraId="212909D4" w14:textId="77777777" w:rsidR="00C62E3D" w:rsidRPr="00644F20" w:rsidRDefault="005612A3" w:rsidP="005612A3">
      <w:pPr>
        <w:pStyle w:val="ListParagraph"/>
        <w:numPr>
          <w:ilvl w:val="0"/>
          <w:numId w:val="13"/>
        </w:numPr>
        <w:spacing w:after="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базе </w:t>
      </w:r>
      <w:r w:rsidR="002F45E1" w:rsidRPr="00644F20">
        <w:rPr>
          <w:rFonts w:ascii="Times New Roman" w:hAnsi="Times New Roman" w:cs="Times New Roman"/>
          <w:sz w:val="24"/>
          <w:szCs w:val="24"/>
          <w:lang w:val="sr-Cyrl-CS"/>
        </w:rPr>
        <w:t xml:space="preserve">података и онлајн платформе које омогућавају размену информација између </w:t>
      </w:r>
    </w:p>
    <w:p w14:paraId="3E6ADD56" w14:textId="77777777" w:rsidR="00497092" w:rsidRPr="00644F20" w:rsidRDefault="002F45E1" w:rsidP="005612A3">
      <w:pPr>
        <w:spacing w:after="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различитих сектора (нпр. произвођачи и рециклери) по питању опасних супстанци у производима (SCIP), саставу производа (I4R, Circularise), или о квалитету прехрамбених производа (TagItSmart);</w:t>
      </w:r>
    </w:p>
    <w:p w14:paraId="24BA057C" w14:textId="77777777" w:rsidR="00C62E3D" w:rsidRPr="00644F20" w:rsidRDefault="005612A3" w:rsidP="005612A3">
      <w:pPr>
        <w:numPr>
          <w:ilvl w:val="0"/>
          <w:numId w:val="13"/>
        </w:numPr>
        <w:spacing w:after="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онлајн </w:t>
      </w:r>
      <w:r w:rsidR="002F45E1" w:rsidRPr="00644F20">
        <w:rPr>
          <w:rFonts w:ascii="Times New Roman" w:hAnsi="Times New Roman" w:cs="Times New Roman"/>
          <w:sz w:val="24"/>
          <w:szCs w:val="24"/>
          <w:lang w:val="sr-Cyrl-CS"/>
        </w:rPr>
        <w:t>платформе које пружају услуге рентирања и рециклирања одеће (</w:t>
      </w:r>
      <w:hyperlink r:id="rId21" w:history="1">
        <w:r w:rsidR="002F45E1" w:rsidRPr="00644F20">
          <w:rPr>
            <w:rFonts w:ascii="Times New Roman" w:hAnsi="Times New Roman" w:cs="Times New Roman"/>
            <w:sz w:val="24"/>
            <w:szCs w:val="24"/>
            <w:lang w:val="sr-Cyrl-CS"/>
          </w:rPr>
          <w:t>Tale Me</w:t>
        </w:r>
      </w:hyperlink>
      <w:r w:rsidR="002F45E1" w:rsidRPr="00644F20">
        <w:rPr>
          <w:rFonts w:ascii="Times New Roman" w:hAnsi="Times New Roman" w:cs="Times New Roman"/>
          <w:sz w:val="24"/>
          <w:szCs w:val="24"/>
          <w:lang w:val="sr-Cyrl-CS"/>
        </w:rPr>
        <w:t xml:space="preserve">, </w:t>
      </w:r>
      <w:r w:rsidR="00C40C94" w:rsidRPr="00644F20">
        <w:rPr>
          <w:lang w:val="sr-Cyrl-CS"/>
        </w:rPr>
        <w:fldChar w:fldCharType="begin"/>
      </w:r>
      <w:r w:rsidR="00C40C94" w:rsidRPr="00644F20">
        <w:rPr>
          <w:lang w:val="sr-Cyrl-CS"/>
        </w:rPr>
        <w:instrText xml:space="preserve"> HYPERLINK "https://mudjeans.eu/" </w:instrText>
      </w:r>
      <w:r w:rsidR="00C40C94" w:rsidRPr="00644F20">
        <w:rPr>
          <w:lang w:val="sr-Cyrl-CS"/>
        </w:rPr>
      </w:r>
      <w:r w:rsidR="00C40C94" w:rsidRPr="00644F20">
        <w:rPr>
          <w:lang w:val="sr-Cyrl-CS"/>
        </w:rPr>
        <w:fldChar w:fldCharType="separate"/>
      </w:r>
      <w:r w:rsidR="002F45E1" w:rsidRPr="00644F20">
        <w:rPr>
          <w:rFonts w:ascii="Times New Roman" w:hAnsi="Times New Roman" w:cs="Times New Roman"/>
          <w:sz w:val="24"/>
          <w:szCs w:val="24"/>
          <w:lang w:val="sr-Cyrl-CS"/>
        </w:rPr>
        <w:t>MU</w:t>
      </w:r>
      <w:r w:rsidR="00C62E3D" w:rsidRPr="00644F20">
        <w:rPr>
          <w:rFonts w:ascii="Times New Roman" w:hAnsi="Times New Roman" w:cs="Times New Roman"/>
          <w:sz w:val="24"/>
          <w:szCs w:val="24"/>
          <w:lang w:val="sr-Cyrl-CS"/>
        </w:rPr>
        <w:t xml:space="preserve"> </w:t>
      </w:r>
    </w:p>
    <w:p w14:paraId="0F712657" w14:textId="77777777" w:rsidR="00497092" w:rsidRPr="00644F20" w:rsidRDefault="002F45E1" w:rsidP="005612A3">
      <w:pPr>
        <w:spacing w:after="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Jeans</w:t>
      </w:r>
      <w:r w:rsidR="00C40C94" w:rsidRPr="00644F20">
        <w:rPr>
          <w:rFonts w:ascii="Times New Roman" w:hAnsi="Times New Roman" w:cs="Times New Roman"/>
          <w:sz w:val="24"/>
          <w:szCs w:val="24"/>
          <w:lang w:val="sr-Cyrl-CS"/>
        </w:rPr>
        <w:fldChar w:fldCharType="end"/>
      </w:r>
      <w:r w:rsidRPr="00644F20">
        <w:rPr>
          <w:rFonts w:ascii="Times New Roman" w:hAnsi="Times New Roman" w:cs="Times New Roman"/>
          <w:sz w:val="24"/>
          <w:szCs w:val="24"/>
          <w:lang w:val="sr-Cyrl-CS"/>
        </w:rPr>
        <w:t xml:space="preserve">, </w:t>
      </w:r>
      <w:hyperlink r:id="rId22" w:history="1">
        <w:r w:rsidRPr="00644F20">
          <w:rPr>
            <w:rFonts w:ascii="Times New Roman" w:hAnsi="Times New Roman" w:cs="Times New Roman"/>
            <w:sz w:val="24"/>
            <w:szCs w:val="24"/>
            <w:lang w:val="sr-Cyrl-CS"/>
          </w:rPr>
          <w:t>Nuuly</w:t>
        </w:r>
      </w:hyperlink>
      <w:r w:rsidRPr="00644F20">
        <w:rPr>
          <w:rFonts w:ascii="Times New Roman" w:hAnsi="Times New Roman" w:cs="Times New Roman"/>
          <w:sz w:val="24"/>
          <w:szCs w:val="24"/>
          <w:lang w:val="sr-Cyrl-CS"/>
        </w:rPr>
        <w:t>) или изнајмљивање беле технике домаћинствима (</w:t>
      </w:r>
      <w:r w:rsidRPr="00644F20">
        <w:rPr>
          <w:rFonts w:ascii="Times New Roman" w:hAnsi="Times New Roman" w:cs="Times New Roman"/>
          <w:bCs/>
          <w:sz w:val="24"/>
          <w:szCs w:val="24"/>
          <w:lang w:val="sr-Cyrl-CS"/>
        </w:rPr>
        <w:t>Bundles</w:t>
      </w:r>
      <w:r w:rsidRPr="00644F20">
        <w:rPr>
          <w:rFonts w:ascii="Times New Roman" w:hAnsi="Times New Roman" w:cs="Times New Roman"/>
          <w:sz w:val="24"/>
          <w:szCs w:val="24"/>
          <w:lang w:val="sr-Cyrl-CS"/>
        </w:rPr>
        <w:t xml:space="preserve">); </w:t>
      </w:r>
    </w:p>
    <w:p w14:paraId="02D8853E" w14:textId="77777777" w:rsidR="00C62E3D" w:rsidRPr="00644F20" w:rsidRDefault="005612A3" w:rsidP="005612A3">
      <w:pPr>
        <w:numPr>
          <w:ilvl w:val="0"/>
          <w:numId w:val="13"/>
        </w:numPr>
        <w:spacing w:after="0" w:line="276" w:lineRule="auto"/>
        <w:contextualSpacing/>
        <w:jc w:val="both"/>
        <w:rPr>
          <w:rFonts w:ascii="Times New Roman" w:hAnsi="Times New Roman" w:cs="Times New Roman"/>
          <w:bCs/>
          <w:sz w:val="24"/>
          <w:szCs w:val="24"/>
          <w:lang w:val="sr-Cyrl-CS"/>
        </w:rPr>
      </w:pPr>
      <w:r w:rsidRPr="00644F20">
        <w:rPr>
          <w:rFonts w:ascii="Times New Roman" w:hAnsi="Times New Roman" w:cs="Times New Roman"/>
          <w:sz w:val="24"/>
          <w:szCs w:val="24"/>
          <w:lang w:val="sr-Cyrl-CS"/>
        </w:rPr>
        <w:t xml:space="preserve">пројекти </w:t>
      </w:r>
      <w:r w:rsidR="002F45E1" w:rsidRPr="00644F20">
        <w:rPr>
          <w:rFonts w:ascii="Times New Roman" w:hAnsi="Times New Roman" w:cs="Times New Roman"/>
          <w:sz w:val="24"/>
          <w:szCs w:val="24"/>
          <w:lang w:val="sr-Cyrl-CS"/>
        </w:rPr>
        <w:t xml:space="preserve">за реализацију циркуларног дизајна производа, као што је The Accelerated </w:t>
      </w:r>
    </w:p>
    <w:p w14:paraId="477C4063" w14:textId="77777777" w:rsidR="00497092" w:rsidRPr="00644F20" w:rsidRDefault="002F45E1" w:rsidP="005612A3">
      <w:pPr>
        <w:spacing w:after="0" w:line="276" w:lineRule="auto"/>
        <w:contextualSpacing/>
        <w:jc w:val="both"/>
        <w:rPr>
          <w:rFonts w:ascii="Times New Roman" w:hAnsi="Times New Roman" w:cs="Times New Roman"/>
          <w:bCs/>
          <w:sz w:val="24"/>
          <w:szCs w:val="24"/>
          <w:lang w:val="sr-Cyrl-CS"/>
        </w:rPr>
      </w:pPr>
      <w:r w:rsidRPr="00644F20">
        <w:rPr>
          <w:rFonts w:ascii="Times New Roman" w:hAnsi="Times New Roman" w:cs="Times New Roman"/>
          <w:sz w:val="24"/>
          <w:szCs w:val="24"/>
          <w:lang w:val="sr-Cyrl-CS"/>
        </w:rPr>
        <w:t>Metallurgy project, финансиран у оквиру програма Хоризонт 2020</w:t>
      </w:r>
      <w:r w:rsidRPr="00644F20">
        <w:rPr>
          <w:rFonts w:ascii="Times New Roman" w:hAnsi="Times New Roman" w:cs="Times New Roman"/>
          <w:bCs/>
          <w:sz w:val="24"/>
          <w:szCs w:val="24"/>
          <w:lang w:val="sr-Cyrl-CS"/>
        </w:rPr>
        <w:t xml:space="preserve"> који има за циљ проналажење нових легура метала и стварање нових типова циркуларних и одрживих материјала уз помоћ вештачке интелигенције; </w:t>
      </w:r>
    </w:p>
    <w:p w14:paraId="04BEFDE6" w14:textId="77777777" w:rsidR="00C62E3D" w:rsidRPr="00644F20" w:rsidRDefault="005612A3" w:rsidP="005612A3">
      <w:pPr>
        <w:numPr>
          <w:ilvl w:val="0"/>
          <w:numId w:val="13"/>
        </w:numPr>
        <w:spacing w:after="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bCs/>
          <w:sz w:val="24"/>
          <w:szCs w:val="24"/>
          <w:lang w:val="sr-Cyrl-CS"/>
        </w:rPr>
        <w:t xml:space="preserve">онлајн </w:t>
      </w:r>
      <w:r w:rsidR="002F45E1" w:rsidRPr="00644F20">
        <w:rPr>
          <w:rFonts w:ascii="Times New Roman" w:hAnsi="Times New Roman" w:cs="Times New Roman"/>
          <w:bCs/>
          <w:sz w:val="24"/>
          <w:szCs w:val="24"/>
          <w:lang w:val="sr-Cyrl-CS"/>
        </w:rPr>
        <w:t xml:space="preserve">платформе, апликације и решења за остваривање циркуларне праксе у фази </w:t>
      </w:r>
    </w:p>
    <w:p w14:paraId="2E1F0233" w14:textId="77777777" w:rsidR="00497092" w:rsidRPr="00644F20" w:rsidRDefault="002F45E1" w:rsidP="005612A3">
      <w:pPr>
        <w:spacing w:after="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bCs/>
          <w:sz w:val="24"/>
          <w:szCs w:val="24"/>
          <w:lang w:val="sr-Cyrl-CS"/>
        </w:rPr>
        <w:t xml:space="preserve">употребе производа, као што су iFixit </w:t>
      </w:r>
      <w:r w:rsidRPr="00644F20">
        <w:rPr>
          <w:rFonts w:ascii="Times New Roman" w:hAnsi="Times New Roman" w:cs="Times New Roman"/>
          <w:sz w:val="24"/>
          <w:szCs w:val="24"/>
          <w:lang w:val="sr-Cyrl-CS"/>
        </w:rPr>
        <w:t>платформа за поправку машина, Scan4Chem апликација за пружање информације о саставу производа потрошачима. Употреба 3Д штампача за производњу резервних делова за машине (Bosch) и повезаних машина ради прикупљања информација о стању лифтова за спровођење планског одржавања (ТhyssenKrupp);</w:t>
      </w:r>
    </w:p>
    <w:p w14:paraId="76A4275B" w14:textId="77777777" w:rsidR="00C62E3D" w:rsidRPr="00644F20" w:rsidRDefault="005612A3">
      <w:pPr>
        <w:numPr>
          <w:ilvl w:val="0"/>
          <w:numId w:val="13"/>
        </w:numPr>
        <w:spacing w:after="60" w:line="276" w:lineRule="auto"/>
        <w:contextualSpacing/>
        <w:jc w:val="both"/>
        <w:rPr>
          <w:rFonts w:ascii="Times New Roman" w:hAnsi="Times New Roman" w:cs="Times New Roman"/>
          <w:sz w:val="24"/>
          <w:szCs w:val="24"/>
          <w:u w:val="single"/>
          <w:lang w:val="sr-Cyrl-CS"/>
        </w:rPr>
      </w:pPr>
      <w:r w:rsidRPr="00644F20">
        <w:rPr>
          <w:rFonts w:ascii="Times New Roman" w:hAnsi="Times New Roman" w:cs="Times New Roman"/>
          <w:sz w:val="24"/>
          <w:szCs w:val="24"/>
          <w:lang w:val="sr-Cyrl-CS"/>
        </w:rPr>
        <w:t xml:space="preserve">системи </w:t>
      </w:r>
      <w:r w:rsidR="002F45E1" w:rsidRPr="00644F20">
        <w:rPr>
          <w:rFonts w:ascii="Times New Roman" w:hAnsi="Times New Roman" w:cs="Times New Roman"/>
          <w:sz w:val="24"/>
          <w:szCs w:val="24"/>
          <w:lang w:val="sr-Cyrl-CS"/>
        </w:rPr>
        <w:t xml:space="preserve">за циркуларно управљање отпадом, као што су паметна одлагалишта за </w:t>
      </w:r>
    </w:p>
    <w:p w14:paraId="1286BD2E" w14:textId="77777777" w:rsidR="00497092" w:rsidRPr="00644F20" w:rsidRDefault="002F45E1" w:rsidP="00C62E3D">
      <w:pPr>
        <w:spacing w:after="60" w:line="276" w:lineRule="auto"/>
        <w:contextualSpacing/>
        <w:jc w:val="both"/>
        <w:rPr>
          <w:rFonts w:ascii="Times New Roman" w:hAnsi="Times New Roman" w:cs="Times New Roman"/>
          <w:sz w:val="24"/>
          <w:szCs w:val="24"/>
          <w:u w:val="single"/>
          <w:lang w:val="sr-Cyrl-CS"/>
        </w:rPr>
      </w:pPr>
      <w:r w:rsidRPr="00644F20">
        <w:rPr>
          <w:rFonts w:ascii="Times New Roman" w:hAnsi="Times New Roman" w:cs="Times New Roman"/>
          <w:sz w:val="24"/>
          <w:szCs w:val="24"/>
          <w:lang w:val="sr-Cyrl-CS"/>
        </w:rPr>
        <w:t>електрични и електронски отпад (InnoWEEE), системи вештачке интелиг</w:t>
      </w:r>
      <w:r w:rsidR="006E7971">
        <w:rPr>
          <w:rFonts w:ascii="Times New Roman" w:hAnsi="Times New Roman" w:cs="Times New Roman"/>
          <w:sz w:val="24"/>
          <w:szCs w:val="24"/>
          <w:lang w:val="sr-Cyrl-CS"/>
        </w:rPr>
        <w:t>е</w:t>
      </w:r>
      <w:r w:rsidRPr="00644F20">
        <w:rPr>
          <w:rFonts w:ascii="Times New Roman" w:hAnsi="Times New Roman" w:cs="Times New Roman"/>
          <w:sz w:val="24"/>
          <w:szCs w:val="24"/>
          <w:lang w:val="sr-Cyrl-CS"/>
        </w:rPr>
        <w:t xml:space="preserve">нције и роботи за раздвајање отпада на бази визуелног препознавања или инфра-црвених сензора (Recupel, ZenRobotics, SUEZ). </w:t>
      </w:r>
    </w:p>
    <w:p w14:paraId="56144F92"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21" w:name="_Toc93923071"/>
      <w:r w:rsidRPr="00644F20">
        <w:rPr>
          <w:rFonts w:ascii="Times New Roman" w:eastAsiaTheme="majorEastAsia" w:hAnsi="Times New Roman" w:cstheme="majorBidi"/>
          <w:b/>
          <w:bCs/>
          <w:sz w:val="26"/>
          <w:szCs w:val="26"/>
          <w:lang w:val="sr-Cyrl-CS"/>
        </w:rPr>
        <w:t>3.3.2. Изазови за дигитализацију</w:t>
      </w:r>
      <w:bookmarkEnd w:id="21"/>
    </w:p>
    <w:p w14:paraId="643D8747" w14:textId="77777777" w:rsidR="00497092" w:rsidRPr="00644F20" w:rsidRDefault="002F45E1" w:rsidP="00C62E3D">
      <w:pPr>
        <w:spacing w:after="60" w:line="276" w:lineRule="auto"/>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Иако дигитализација представља значајну шансу за даљи развој циркуларне економије, постоји више изазова за њену примену. Неки од кључних изазова у вези са тим су:</w:t>
      </w:r>
    </w:p>
    <w:p w14:paraId="277B9692" w14:textId="77777777" w:rsidR="00C62E3D" w:rsidRPr="00644F20" w:rsidRDefault="005612A3" w:rsidP="00C62E3D">
      <w:pPr>
        <w:pStyle w:val="ListParagraph"/>
        <w:numPr>
          <w:ilvl w:val="0"/>
          <w:numId w:val="14"/>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одсуство </w:t>
      </w:r>
      <w:r w:rsidR="002F45E1" w:rsidRPr="00644F20">
        <w:rPr>
          <w:rFonts w:ascii="Times New Roman" w:hAnsi="Times New Roman" w:cs="Times New Roman"/>
          <w:sz w:val="24"/>
          <w:szCs w:val="24"/>
          <w:lang w:val="sr-Cyrl-CS"/>
        </w:rPr>
        <w:t xml:space="preserve">техничких стандарда о управљању подацима, које отежава размену и обраду </w:t>
      </w:r>
    </w:p>
    <w:p w14:paraId="4B4C2878" w14:textId="77777777" w:rsidR="00497092" w:rsidRPr="00644F20" w:rsidRDefault="002F45E1" w:rsidP="00C62E3D">
      <w:p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података, како у јавном, тако и у приватном сектору; </w:t>
      </w:r>
    </w:p>
    <w:p w14:paraId="43B95DBC" w14:textId="77777777" w:rsidR="00C62E3D" w:rsidRPr="00644F20" w:rsidRDefault="005612A3">
      <w:pPr>
        <w:numPr>
          <w:ilvl w:val="0"/>
          <w:numId w:val="14"/>
        </w:num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неодлучност </w:t>
      </w:r>
      <w:r w:rsidR="002F45E1" w:rsidRPr="00644F20">
        <w:rPr>
          <w:rFonts w:ascii="Times New Roman" w:hAnsi="Times New Roman" w:cs="Times New Roman"/>
          <w:sz w:val="24"/>
          <w:szCs w:val="24"/>
          <w:lang w:val="sr-Cyrl-CS"/>
        </w:rPr>
        <w:t xml:space="preserve">приватних актера, нарочито компанија, због бриге за заштиту вредних </w:t>
      </w:r>
    </w:p>
    <w:p w14:paraId="394DBC7B" w14:textId="77777777" w:rsidR="00497092" w:rsidRPr="00644F20" w:rsidRDefault="002F45E1" w:rsidP="00C62E3D">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информација и података (нпр. заштита интелектуалне својине), као и забринутост грађана за заштиту личних података могу да отежају размену информација;</w:t>
      </w:r>
    </w:p>
    <w:p w14:paraId="76448396" w14:textId="77777777" w:rsidR="00C62E3D" w:rsidRPr="00644F20" w:rsidRDefault="005612A3">
      <w:pPr>
        <w:numPr>
          <w:ilvl w:val="0"/>
          <w:numId w:val="14"/>
        </w:num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недовољна </w:t>
      </w:r>
      <w:r w:rsidR="002F45E1" w:rsidRPr="00644F20">
        <w:rPr>
          <w:rFonts w:ascii="Times New Roman" w:hAnsi="Times New Roman" w:cs="Times New Roman"/>
          <w:sz w:val="24"/>
          <w:szCs w:val="24"/>
          <w:lang w:val="sr-Cyrl-CS"/>
        </w:rPr>
        <w:t xml:space="preserve">развијеност појединих дигиталних технологија, нпр. примена робота у </w:t>
      </w:r>
    </w:p>
    <w:p w14:paraId="3D790794" w14:textId="77777777" w:rsidR="00497092" w:rsidRPr="00644F20" w:rsidRDefault="002F45E1" w:rsidP="00C62E3D">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растављању производа на крају његовог животног циклуса обично је ограничена на одређени тип производа;</w:t>
      </w:r>
    </w:p>
    <w:p w14:paraId="67249CCB" w14:textId="77777777" w:rsidR="00C62E3D" w:rsidRPr="00644F20" w:rsidRDefault="005612A3">
      <w:pPr>
        <w:numPr>
          <w:ilvl w:val="0"/>
          <w:numId w:val="14"/>
        </w:num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висока </w:t>
      </w:r>
      <w:r w:rsidR="002F45E1" w:rsidRPr="00644F20">
        <w:rPr>
          <w:rFonts w:ascii="Times New Roman" w:hAnsi="Times New Roman" w:cs="Times New Roman"/>
          <w:sz w:val="24"/>
          <w:szCs w:val="24"/>
          <w:lang w:val="sr-Cyrl-CS"/>
        </w:rPr>
        <w:t xml:space="preserve">цена дигитализације. Рециклери су често мала предузећа која немају довољно </w:t>
      </w:r>
    </w:p>
    <w:p w14:paraId="02A00465" w14:textId="77777777" w:rsidR="00497092" w:rsidRPr="00644F20" w:rsidRDefault="002F45E1" w:rsidP="00C62E3D">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средстава да уложе у нове дигиталне технологије, попут робота или вештачке интелигенције;</w:t>
      </w:r>
    </w:p>
    <w:p w14:paraId="4FD558B4" w14:textId="77777777" w:rsidR="00C62E3D" w:rsidRPr="00644F20" w:rsidRDefault="005612A3">
      <w:pPr>
        <w:numPr>
          <w:ilvl w:val="0"/>
          <w:numId w:val="14"/>
        </w:num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одсуство </w:t>
      </w:r>
      <w:r w:rsidR="002F45E1" w:rsidRPr="00644F20">
        <w:rPr>
          <w:rFonts w:ascii="Times New Roman" w:hAnsi="Times New Roman" w:cs="Times New Roman"/>
          <w:sz w:val="24"/>
          <w:szCs w:val="24"/>
          <w:lang w:val="sr-Cyrl-CS"/>
        </w:rPr>
        <w:t xml:space="preserve">знања и вештина, међу предузетницима, потрошачима и државним </w:t>
      </w:r>
    </w:p>
    <w:p w14:paraId="46B8CC35" w14:textId="77777777" w:rsidR="00497092" w:rsidRPr="00644F20" w:rsidRDefault="002F45E1" w:rsidP="00C62E3D">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службеницима, о томе како дигитални алати могу да допринесу развоју циркуларне економије; </w:t>
      </w:r>
    </w:p>
    <w:p w14:paraId="3A7EDD6E" w14:textId="77777777" w:rsidR="00C62E3D" w:rsidRPr="00644F20" w:rsidRDefault="005612A3">
      <w:pPr>
        <w:numPr>
          <w:ilvl w:val="0"/>
          <w:numId w:val="14"/>
        </w:num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неопходност </w:t>
      </w:r>
      <w:r w:rsidR="002F45E1" w:rsidRPr="00644F20">
        <w:rPr>
          <w:rFonts w:ascii="Times New Roman" w:hAnsi="Times New Roman" w:cs="Times New Roman"/>
          <w:sz w:val="24"/>
          <w:szCs w:val="24"/>
          <w:lang w:val="sr-Cyrl-CS"/>
        </w:rPr>
        <w:t xml:space="preserve">постојања развијене дигиталне инфраструктуре (нпр. распрострањеност </w:t>
      </w:r>
    </w:p>
    <w:p w14:paraId="30018613" w14:textId="77777777" w:rsidR="00497092" w:rsidRPr="00644F20" w:rsidRDefault="002F45E1" w:rsidP="00C62E3D">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брзог интернета, 5G мрежа) за оптимално коришћење дигиталних решења за циркуларну економију;  </w:t>
      </w:r>
    </w:p>
    <w:p w14:paraId="45815AD2" w14:textId="77777777" w:rsidR="00C62E3D" w:rsidRPr="00644F20" w:rsidRDefault="005612A3">
      <w:pPr>
        <w:numPr>
          <w:ilvl w:val="0"/>
          <w:numId w:val="14"/>
        </w:num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дигитализација </w:t>
      </w:r>
      <w:r w:rsidR="002F45E1" w:rsidRPr="00644F20">
        <w:rPr>
          <w:rFonts w:ascii="Times New Roman" w:hAnsi="Times New Roman" w:cs="Times New Roman"/>
          <w:sz w:val="24"/>
          <w:szCs w:val="24"/>
          <w:lang w:val="sr-Cyrl-CS"/>
        </w:rPr>
        <w:t xml:space="preserve">је неопходно, али не и довољно решење за остварење циркуларне </w:t>
      </w:r>
    </w:p>
    <w:p w14:paraId="0E8614EA" w14:textId="77777777" w:rsidR="00497092" w:rsidRPr="00644F20" w:rsidRDefault="002F45E1" w:rsidP="00C62E3D">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економије. На пример, дигитални пасоши се не могу користити за производе који су већ стављени на тржиште. Блокчејн технологија омогућава сигурнију размену података, али не гарантује да је прва информација унета у систем тачна, што значи да је потребан додатни метод верификације (нпр. независна ревизија);</w:t>
      </w:r>
    </w:p>
    <w:p w14:paraId="48DD1AB1" w14:textId="77777777" w:rsidR="00C62E3D" w:rsidRPr="00644F20" w:rsidRDefault="005612A3">
      <w:pPr>
        <w:numPr>
          <w:ilvl w:val="0"/>
          <w:numId w:val="14"/>
        </w:num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дигитализација </w:t>
      </w:r>
      <w:r w:rsidR="002F45E1" w:rsidRPr="00644F20">
        <w:rPr>
          <w:rFonts w:ascii="Times New Roman" w:hAnsi="Times New Roman" w:cs="Times New Roman"/>
          <w:sz w:val="24"/>
          <w:szCs w:val="24"/>
          <w:lang w:val="sr-Cyrl-CS"/>
        </w:rPr>
        <w:t xml:space="preserve">може допринети развоју циркуларне економије, али постати и извор </w:t>
      </w:r>
    </w:p>
    <w:p w14:paraId="6555CF4A" w14:textId="77777777" w:rsidR="00497092" w:rsidRPr="00644F20" w:rsidRDefault="002F45E1" w:rsidP="00C62E3D">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нових проблема. Увођење дигиталних алата попут чипова на производима и робота може у довести до повећања е-отпада када таква опрема уђе у завршну фазу животног циклуса.</w:t>
      </w:r>
    </w:p>
    <w:p w14:paraId="27FE45AB" w14:textId="77777777" w:rsidR="00497092" w:rsidRPr="00644F20" w:rsidRDefault="002F45E1">
      <w:pPr>
        <w:keepNext/>
        <w:keepLines/>
        <w:spacing w:before="240" w:after="120"/>
        <w:jc w:val="both"/>
        <w:outlineLvl w:val="2"/>
        <w:rPr>
          <w:rFonts w:ascii="Times New Roman" w:eastAsiaTheme="majorEastAsia" w:hAnsi="Times New Roman" w:cstheme="majorBidi"/>
          <w:b/>
          <w:bCs/>
          <w:sz w:val="26"/>
          <w:szCs w:val="26"/>
          <w:lang w:val="sr-Cyrl-CS"/>
        </w:rPr>
      </w:pPr>
      <w:bookmarkStart w:id="22" w:name="_Toc93923072"/>
      <w:r w:rsidRPr="00644F20">
        <w:rPr>
          <w:rFonts w:ascii="Times New Roman" w:eastAsiaTheme="majorEastAsia" w:hAnsi="Times New Roman" w:cstheme="majorBidi"/>
          <w:b/>
          <w:bCs/>
          <w:sz w:val="26"/>
          <w:szCs w:val="26"/>
          <w:lang w:val="sr-Cyrl-CS"/>
        </w:rPr>
        <w:t>3.3.3. Даљи кораци у дигитализацији и развоју циркуларне економије у ЕУ</w:t>
      </w:r>
      <w:bookmarkEnd w:id="22"/>
      <w:r w:rsidRPr="00644F20">
        <w:rPr>
          <w:rFonts w:ascii="Times New Roman" w:eastAsiaTheme="majorEastAsia" w:hAnsi="Times New Roman" w:cstheme="majorBidi"/>
          <w:b/>
          <w:bCs/>
          <w:sz w:val="26"/>
          <w:szCs w:val="26"/>
          <w:lang w:val="sr-Cyrl-CS"/>
        </w:rPr>
        <w:t xml:space="preserve"> </w:t>
      </w:r>
    </w:p>
    <w:p w14:paraId="60C3674B"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Када је реч о улози дигитализације у развоју циркуларне економије у Европској унији, важно је истаћи да је повезаност дигиталне и зелене транзиције препозната Европским зеленим договором, али да умрежавање двеју агенди тек предстоји. Акциони план за циркуларну економију Европске уније препознаје значај дигитализације, а нарочито развоја дигиталних пасоша за производе. Увођење дигиталних пасоша за потребе циркуларне економије предвиђено је у склопу Политике за одрживе производе (енгл. Sustainable Products Initiative - SPI), коју ће Европска комисија предложити највероватније до краја 2021. године. У основи инцијативе биће нова правила за циркуларни дизајн одређених производа (нпр. електроника, текстил), укључујући и правила за коришћење дигиталних пасоша у производима. Европска Комисија је већ предложила увођење дигиталних пасоша за велике батерије које се користе у индустрији и транспорту у склопу предложене Уредбе о батеријама</w:t>
      </w:r>
      <w:r w:rsidRPr="00644F20">
        <w:rPr>
          <w:rFonts w:ascii="Times New Roman" w:hAnsi="Times New Roman" w:cs="Times New Roman"/>
          <w:sz w:val="24"/>
          <w:szCs w:val="24"/>
          <w:vertAlign w:val="superscript"/>
          <w:lang w:val="sr-Cyrl-CS"/>
        </w:rPr>
        <w:footnoteReference w:id="61"/>
      </w:r>
      <w:r w:rsidRPr="00644F20">
        <w:rPr>
          <w:rFonts w:ascii="Times New Roman" w:hAnsi="Times New Roman" w:cs="Times New Roman"/>
          <w:sz w:val="24"/>
          <w:szCs w:val="24"/>
          <w:lang w:val="sr-Cyrl-CS"/>
        </w:rPr>
        <w:t xml:space="preserve"> у сарадњи са Европском алијансом за батерије.     </w:t>
      </w:r>
    </w:p>
    <w:p w14:paraId="435E8E99" w14:textId="77777777" w:rsidR="00497092" w:rsidRPr="00644F20" w:rsidRDefault="002F45E1" w:rsidP="00C62E3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Европска стратегија за податке (COM/2020/66) предвиђа успостављање европског заједничког простора за податке (енгл. common European data space). На тај начин, превазићи ће се неки од изазова у размени података и информација, што ће погодовати развоју европске привреде укључујући и транзицију ка циркуларној економији. Иако концепт заједничког простора за податке још није дефинисан, основна идеја је да се успоставе правила за коришћење и размену података у Е</w:t>
      </w:r>
      <w:r w:rsidR="00C62E3D" w:rsidRPr="00644F20">
        <w:rPr>
          <w:rFonts w:ascii="Times New Roman" w:hAnsi="Times New Roman" w:cs="Times New Roman"/>
          <w:sz w:val="24"/>
          <w:szCs w:val="24"/>
          <w:lang w:val="sr-Cyrl-CS"/>
        </w:rPr>
        <w:t xml:space="preserve">вропској унији </w:t>
      </w:r>
      <w:r w:rsidRPr="00644F20">
        <w:rPr>
          <w:rFonts w:ascii="Times New Roman" w:hAnsi="Times New Roman" w:cs="Times New Roman"/>
          <w:sz w:val="24"/>
          <w:szCs w:val="24"/>
          <w:lang w:val="sr-Cyrl-CS"/>
        </w:rPr>
        <w:t>која ће поспешити коришћење дигиталних алата попут дигиталних пасоша за производе. Заједнички простор за податке имаће своју законску основу пре свега у предложеном Акту о управљању подацима (енгл. Data Governance Act)</w:t>
      </w:r>
      <w:r w:rsidRPr="00644F20">
        <w:rPr>
          <w:rFonts w:ascii="Times New Roman" w:hAnsi="Times New Roman" w:cs="Times New Roman"/>
          <w:sz w:val="24"/>
          <w:szCs w:val="24"/>
          <w:vertAlign w:val="superscript"/>
          <w:lang w:val="sr-Cyrl-CS"/>
        </w:rPr>
        <w:footnoteReference w:id="62"/>
      </w:r>
      <w:r w:rsidRPr="00644F20">
        <w:rPr>
          <w:rFonts w:ascii="Times New Roman" w:hAnsi="Times New Roman" w:cs="Times New Roman"/>
          <w:sz w:val="24"/>
          <w:szCs w:val="24"/>
          <w:lang w:val="sr-Cyrl-CS"/>
        </w:rPr>
        <w:t xml:space="preserve"> и предстојећем Акту о подацима (енгл. Data Act)</w:t>
      </w:r>
      <w:r w:rsidRPr="00644F20">
        <w:rPr>
          <w:rFonts w:ascii="Times New Roman" w:hAnsi="Times New Roman" w:cs="Times New Roman"/>
          <w:sz w:val="24"/>
          <w:szCs w:val="24"/>
          <w:vertAlign w:val="superscript"/>
          <w:lang w:val="sr-Cyrl-CS"/>
        </w:rPr>
        <w:footnoteReference w:id="63"/>
      </w:r>
      <w:r w:rsidRPr="00644F20">
        <w:rPr>
          <w:rFonts w:ascii="Times New Roman" w:hAnsi="Times New Roman" w:cs="Times New Roman"/>
          <w:sz w:val="24"/>
          <w:szCs w:val="24"/>
          <w:lang w:val="sr-Cyrl-CS"/>
        </w:rPr>
        <w:t xml:space="preserve"> који настоје да поспеше размену информација између јавног и приватног сектора, односно унутар приватног сектора, следећи већ донете правне акте за размену информација.</w:t>
      </w:r>
      <w:r w:rsidRPr="00644F20">
        <w:rPr>
          <w:rFonts w:ascii="Times New Roman" w:hAnsi="Times New Roman" w:cs="Times New Roman"/>
          <w:sz w:val="24"/>
          <w:szCs w:val="24"/>
          <w:vertAlign w:val="superscript"/>
          <w:lang w:val="sr-Cyrl-CS"/>
        </w:rPr>
        <w:footnoteReference w:id="64"/>
      </w:r>
      <w:r w:rsidRPr="00644F20">
        <w:rPr>
          <w:rFonts w:ascii="Times New Roman" w:hAnsi="Times New Roman" w:cs="Times New Roman"/>
          <w:sz w:val="24"/>
          <w:szCs w:val="24"/>
          <w:lang w:val="sr-Cyrl-CS"/>
        </w:rPr>
        <w:t xml:space="preserve">  </w:t>
      </w:r>
      <w:r w:rsidR="00EA2103" w:rsidRPr="00644F20">
        <w:rPr>
          <w:rFonts w:ascii="Times New Roman" w:hAnsi="Times New Roman" w:cs="Times New Roman"/>
          <w:sz w:val="24"/>
          <w:szCs w:val="24"/>
          <w:lang w:val="sr-Cyrl-CS"/>
        </w:rPr>
        <w:t xml:space="preserve">Европска стратегија </w:t>
      </w:r>
      <w:r w:rsidRPr="00644F20">
        <w:rPr>
          <w:rFonts w:ascii="Times New Roman" w:hAnsi="Times New Roman" w:cs="Times New Roman"/>
          <w:sz w:val="24"/>
          <w:szCs w:val="24"/>
          <w:lang w:val="sr-Cyrl-CS"/>
        </w:rPr>
        <w:t xml:space="preserve">за податке и Акциони план за циркуларну економију предвиђају да ће заједнички простор за податке бити коришћен и за потребе развоја циркуларне економије. </w:t>
      </w:r>
    </w:p>
    <w:p w14:paraId="1D916212" w14:textId="77777777" w:rsidR="00497092" w:rsidRPr="00644F20" w:rsidRDefault="00EA2103">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Вишегодишњи финансијски оквир Е</w:t>
      </w:r>
      <w:r w:rsidR="00C62E3D" w:rsidRPr="00644F20">
        <w:rPr>
          <w:rFonts w:ascii="Times New Roman" w:hAnsi="Times New Roman" w:cs="Times New Roman"/>
          <w:sz w:val="24"/>
          <w:szCs w:val="24"/>
          <w:lang w:val="sr-Cyrl-CS"/>
        </w:rPr>
        <w:t xml:space="preserve">вропске уније </w:t>
      </w:r>
      <w:r w:rsidRPr="00644F20">
        <w:rPr>
          <w:rFonts w:ascii="Times New Roman" w:hAnsi="Times New Roman" w:cs="Times New Roman"/>
          <w:sz w:val="24"/>
          <w:szCs w:val="24"/>
          <w:lang w:val="sr-Cyrl-CS"/>
        </w:rPr>
        <w:t>за 2021-20</w:t>
      </w:r>
      <w:r w:rsidR="002F45E1" w:rsidRPr="00644F20">
        <w:rPr>
          <w:rFonts w:ascii="Times New Roman" w:hAnsi="Times New Roman" w:cs="Times New Roman"/>
          <w:sz w:val="24"/>
          <w:szCs w:val="24"/>
          <w:lang w:val="sr-Cyrl-CS"/>
        </w:rPr>
        <w:t xml:space="preserve">27. годину (енгл. Multiannual Financial Framework 2021-27) и инструмент за опоравак и отпорност (енгл. Recovery and Resilience Facility) обезбедиће значајна средства за дигитализацију европске </w:t>
      </w:r>
      <w:r w:rsidR="002F45E1" w:rsidRPr="00644F20">
        <w:rPr>
          <w:rFonts w:ascii="Times New Roman" w:hAnsi="Times New Roman" w:cs="Times New Roman"/>
          <w:sz w:val="24"/>
          <w:szCs w:val="24"/>
          <w:lang w:val="sr-Cyrl-CS"/>
        </w:rPr>
        <w:lastRenderedPageBreak/>
        <w:t>економије и друштва.</w:t>
      </w:r>
      <w:r w:rsidR="002F45E1" w:rsidRPr="00644F20">
        <w:rPr>
          <w:rFonts w:ascii="Times New Roman" w:hAnsi="Times New Roman" w:cs="Times New Roman"/>
          <w:sz w:val="24"/>
          <w:szCs w:val="24"/>
          <w:vertAlign w:val="superscript"/>
          <w:lang w:val="sr-Cyrl-CS"/>
        </w:rPr>
        <w:footnoteReference w:id="65"/>
      </w:r>
      <w:r w:rsidR="002F45E1" w:rsidRPr="00644F20">
        <w:rPr>
          <w:rFonts w:ascii="Times New Roman" w:hAnsi="Times New Roman" w:cs="Times New Roman"/>
          <w:sz w:val="24"/>
          <w:szCs w:val="24"/>
          <w:lang w:val="sr-Cyrl-CS"/>
        </w:rPr>
        <w:t xml:space="preserve"> Нарочито важну улогу за даљу дигитализацију имаће програми Дигитална Европа (енгл. Digital Europe) и Хоризонт Европа (енгл. Horizon Europe), за које се очекује да ће подржати успостављање заједничк</w:t>
      </w:r>
      <w:r w:rsidR="006E7971">
        <w:rPr>
          <w:rFonts w:ascii="Times New Roman" w:hAnsi="Times New Roman" w:cs="Times New Roman"/>
          <w:sz w:val="24"/>
          <w:szCs w:val="24"/>
          <w:lang w:val="sr-Cyrl-CS"/>
        </w:rPr>
        <w:t>о</w:t>
      </w:r>
      <w:r w:rsidR="002F45E1" w:rsidRPr="00644F20">
        <w:rPr>
          <w:rFonts w:ascii="Times New Roman" w:hAnsi="Times New Roman" w:cs="Times New Roman"/>
          <w:sz w:val="24"/>
          <w:szCs w:val="24"/>
          <w:lang w:val="sr-Cyrl-CS"/>
        </w:rPr>
        <w:t xml:space="preserve">г простора за податке и развој дигиталних алата за потребе циркуларне економије.      </w:t>
      </w:r>
    </w:p>
    <w:p w14:paraId="6D6C01E3"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23" w:name="_Toc93923073"/>
      <w:r w:rsidRPr="00644F20">
        <w:rPr>
          <w:rFonts w:ascii="Times New Roman" w:eastAsiaTheme="majorEastAsia" w:hAnsi="Times New Roman" w:cstheme="majorBidi"/>
          <w:b/>
          <w:bCs/>
          <w:sz w:val="26"/>
          <w:szCs w:val="26"/>
          <w:lang w:val="sr-Cyrl-CS"/>
        </w:rPr>
        <w:t>3.3.4. Дигитализација у Републици Србији</w:t>
      </w:r>
      <w:bookmarkEnd w:id="23"/>
      <w:r w:rsidRPr="00644F20">
        <w:rPr>
          <w:rFonts w:ascii="Times New Roman" w:eastAsiaTheme="majorEastAsia" w:hAnsi="Times New Roman" w:cstheme="majorBidi"/>
          <w:b/>
          <w:bCs/>
          <w:sz w:val="26"/>
          <w:szCs w:val="26"/>
          <w:lang w:val="sr-Cyrl-CS"/>
        </w:rPr>
        <w:t xml:space="preserve"> </w:t>
      </w:r>
    </w:p>
    <w:p w14:paraId="639147E4" w14:textId="77777777" w:rsidR="00497092" w:rsidRPr="00644F20" w:rsidRDefault="002F45E1" w:rsidP="00C62E3D">
      <w:pPr>
        <w:spacing w:after="0" w:line="276" w:lineRule="auto"/>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предстојећем периоду Република Србија би требало да учини све да максимизује корист од дигитализације укључујући и улогу дигитализације у транзицији ка циркуларној економији. У том циљу треба пажљиво пратити дешавања у Европској унији и настојати да се примењују правила </w:t>
      </w:r>
      <w:r w:rsidR="000351B9" w:rsidRPr="00644F20">
        <w:rPr>
          <w:rFonts w:ascii="Times New Roman" w:hAnsi="Times New Roman" w:cs="Times New Roman"/>
          <w:sz w:val="24"/>
          <w:szCs w:val="24"/>
          <w:lang w:val="sr-Cyrl-CS"/>
        </w:rPr>
        <w:t>Европске уније</w:t>
      </w:r>
      <w:r w:rsidRPr="00644F20">
        <w:rPr>
          <w:rFonts w:ascii="Times New Roman" w:hAnsi="Times New Roman" w:cs="Times New Roman"/>
          <w:sz w:val="24"/>
          <w:szCs w:val="24"/>
          <w:lang w:val="sr-Cyrl-CS"/>
        </w:rPr>
        <w:t xml:space="preserve"> у складу са домаћим потребама и специфичностима. То је важно, како због целокупног процеса приступања </w:t>
      </w:r>
      <w:r w:rsidR="000351B9" w:rsidRPr="00644F20">
        <w:rPr>
          <w:rFonts w:ascii="Times New Roman" w:hAnsi="Times New Roman" w:cs="Times New Roman"/>
          <w:sz w:val="24"/>
          <w:szCs w:val="24"/>
          <w:lang w:val="sr-Cyrl-CS"/>
        </w:rPr>
        <w:t>Европској унији</w:t>
      </w:r>
      <w:r w:rsidRPr="00644F20">
        <w:rPr>
          <w:rFonts w:ascii="Times New Roman" w:hAnsi="Times New Roman" w:cs="Times New Roman"/>
          <w:sz w:val="24"/>
          <w:szCs w:val="24"/>
          <w:lang w:val="sr-Cyrl-CS"/>
        </w:rPr>
        <w:t>, тако и због успешне трговинске размене и повећања учинка домаћих предузећа приликом пословања на јединственом европском тржишту. Даљи кораци које би требало предузети укључују:</w:t>
      </w:r>
    </w:p>
    <w:p w14:paraId="577FDB5B" w14:textId="77777777" w:rsidR="00C62E3D" w:rsidRPr="00644F20" w:rsidRDefault="000351B9" w:rsidP="00C62E3D">
      <w:pPr>
        <w:pStyle w:val="ListParagraph"/>
        <w:numPr>
          <w:ilvl w:val="0"/>
          <w:numId w:val="15"/>
        </w:numPr>
        <w:spacing w:after="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дефинисање </w:t>
      </w:r>
      <w:r w:rsidR="002F45E1" w:rsidRPr="00644F20">
        <w:rPr>
          <w:rFonts w:ascii="Times New Roman" w:hAnsi="Times New Roman" w:cs="Times New Roman"/>
          <w:sz w:val="24"/>
          <w:szCs w:val="24"/>
          <w:lang w:val="sr-Cyrl-CS"/>
        </w:rPr>
        <w:t xml:space="preserve">визије за развој дигиталне циркуларне економије, која може укључити и </w:t>
      </w:r>
    </w:p>
    <w:p w14:paraId="5F0F109E" w14:textId="77777777" w:rsidR="00497092" w:rsidRPr="00644F20" w:rsidRDefault="002F45E1" w:rsidP="00C62E3D">
      <w:pPr>
        <w:spacing w:after="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временске рокове. Такву визију треба утврдити након сталних и свеобухватних консултација са представницима привреде, стручних кругова (универзитети, консултантске куће, истраживачки центри), цивилног друштва и локалних заједница; </w:t>
      </w:r>
    </w:p>
    <w:p w14:paraId="5FFD6014" w14:textId="77777777" w:rsidR="00C62E3D" w:rsidRPr="00644F20" w:rsidRDefault="000351B9" w:rsidP="00C62E3D">
      <w:pPr>
        <w:numPr>
          <w:ilvl w:val="0"/>
          <w:numId w:val="15"/>
        </w:numPr>
        <w:spacing w:after="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дефинисање </w:t>
      </w:r>
      <w:r w:rsidR="002F45E1" w:rsidRPr="00644F20">
        <w:rPr>
          <w:rFonts w:ascii="Times New Roman" w:hAnsi="Times New Roman" w:cs="Times New Roman"/>
          <w:sz w:val="24"/>
          <w:szCs w:val="24"/>
          <w:lang w:val="sr-Cyrl-CS"/>
        </w:rPr>
        <w:t xml:space="preserve">јасних правила за коришћење података за потребе циркуларне економије. </w:t>
      </w:r>
    </w:p>
    <w:p w14:paraId="165BC193" w14:textId="77777777" w:rsidR="00497092" w:rsidRPr="00644F20" w:rsidRDefault="002F45E1" w:rsidP="00C62E3D">
      <w:pPr>
        <w:spacing w:after="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Први корак треба да буде одређивање које информације су потребне за транзицију ка циркуларној економији. Потребно је успоставити техничке стандарде које актери у циркуларној економији могу користити за дељење и обраду података. Неопходно је утврдити правила која ће поспешити размену података за потребе циркуларне економије, а која истовремено обезбеђују заштиту личних и пословно-осетљивих података (нпр. интелектуална својина). Треба обратити посебну пажњу на дефинисање правила за коришћење дигиталних пасоша за производе у сарадњи са привредницима. Приликом дефинисања ових правила, треба пажљиво пратити дешавања у Е</w:t>
      </w:r>
      <w:r w:rsidR="00C62E3D" w:rsidRPr="00644F20">
        <w:rPr>
          <w:rFonts w:ascii="Times New Roman" w:hAnsi="Times New Roman" w:cs="Times New Roman"/>
          <w:sz w:val="24"/>
          <w:szCs w:val="24"/>
          <w:lang w:val="sr-Cyrl-CS"/>
        </w:rPr>
        <w:t>вропској унији</w:t>
      </w:r>
      <w:r w:rsidRPr="00644F20">
        <w:rPr>
          <w:rFonts w:ascii="Times New Roman" w:hAnsi="Times New Roman" w:cs="Times New Roman"/>
          <w:sz w:val="24"/>
          <w:szCs w:val="24"/>
          <w:lang w:val="sr-Cyrl-CS"/>
        </w:rPr>
        <w:t xml:space="preserve"> и уколико је могуће узети учешће у дискусијама око развоја заједничког простора за податке и правила за дигиталне пасоше у Е</w:t>
      </w:r>
      <w:r w:rsidR="00C62E3D" w:rsidRPr="00644F20">
        <w:rPr>
          <w:rFonts w:ascii="Times New Roman" w:hAnsi="Times New Roman" w:cs="Times New Roman"/>
          <w:sz w:val="24"/>
          <w:szCs w:val="24"/>
          <w:lang w:val="sr-Cyrl-CS"/>
        </w:rPr>
        <w:t>вропској унији</w:t>
      </w:r>
      <w:r w:rsidRPr="00644F20">
        <w:rPr>
          <w:rFonts w:ascii="Times New Roman" w:hAnsi="Times New Roman" w:cs="Times New Roman"/>
          <w:sz w:val="24"/>
          <w:szCs w:val="24"/>
          <w:lang w:val="sr-Cyrl-CS"/>
        </w:rPr>
        <w:t xml:space="preserve">;     </w:t>
      </w:r>
    </w:p>
    <w:p w14:paraId="591DE3DE" w14:textId="77777777" w:rsidR="00C62E3D" w:rsidRPr="00644F20" w:rsidRDefault="000351B9" w:rsidP="00C62E3D">
      <w:pPr>
        <w:numPr>
          <w:ilvl w:val="0"/>
          <w:numId w:val="15"/>
        </w:numPr>
        <w:spacing w:after="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инвестиције </w:t>
      </w:r>
      <w:r w:rsidR="002F45E1" w:rsidRPr="00644F20">
        <w:rPr>
          <w:rFonts w:ascii="Times New Roman" w:hAnsi="Times New Roman" w:cs="Times New Roman"/>
          <w:sz w:val="24"/>
          <w:szCs w:val="24"/>
          <w:lang w:val="sr-Cyrl-CS"/>
        </w:rPr>
        <w:t xml:space="preserve">у дигитализацију привреде, друштва и државне управе укључујући развој </w:t>
      </w:r>
    </w:p>
    <w:p w14:paraId="6ABB8FB7" w14:textId="77777777" w:rsidR="00497092" w:rsidRPr="00644F20" w:rsidRDefault="002F45E1" w:rsidP="00C62E3D">
      <w:pPr>
        <w:spacing w:after="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 увођење дигиталних решења за потребе циркуларне економије. У циљу дефинисања приоритета за улагања потребно је консултовати представнике јавног сектора (државна управа, покрајинске власти, </w:t>
      </w:r>
      <w:r w:rsidR="00C40C94" w:rsidRPr="00644F20">
        <w:rPr>
          <w:rFonts w:ascii="Times New Roman" w:hAnsi="Times New Roman" w:cs="Times New Roman"/>
          <w:sz w:val="24"/>
          <w:szCs w:val="24"/>
          <w:lang w:val="sr-Cyrl-CS"/>
        </w:rPr>
        <w:t>ЈЛС</w:t>
      </w:r>
      <w:r w:rsidRPr="00644F20">
        <w:rPr>
          <w:rFonts w:ascii="Times New Roman" w:hAnsi="Times New Roman" w:cs="Times New Roman"/>
          <w:sz w:val="24"/>
          <w:szCs w:val="24"/>
          <w:lang w:val="sr-Cyrl-CS"/>
        </w:rPr>
        <w:t xml:space="preserve">), произвођаче, оператере за управљање отпадом, представнике цивилног друштва, стручне кругове и удружења за заштиту потрошача. Такође, треба узети и учешће у програмима Хоризонт Европа и Дигитална Европа. </w:t>
      </w:r>
    </w:p>
    <w:p w14:paraId="3885580A" w14:textId="77777777" w:rsidR="00497092" w:rsidRPr="00644F20" w:rsidRDefault="002F45E1">
      <w:pPr>
        <w:keepNext/>
        <w:keepLines/>
        <w:spacing w:before="480" w:after="360" w:line="276" w:lineRule="auto"/>
        <w:outlineLvl w:val="0"/>
        <w:rPr>
          <w:rFonts w:ascii="Times New Roman" w:eastAsia="Calibri" w:hAnsi="Times New Roman" w:cstheme="majorBidi"/>
          <w:b/>
          <w:bCs/>
          <w:sz w:val="32"/>
          <w:szCs w:val="32"/>
          <w:lang w:val="sr-Cyrl-CS"/>
        </w:rPr>
      </w:pPr>
      <w:bookmarkStart w:id="24" w:name="_Toc93923074"/>
      <w:r w:rsidRPr="00644F20">
        <w:rPr>
          <w:rFonts w:ascii="Times New Roman" w:eastAsia="Calibri" w:hAnsi="Times New Roman" w:cstheme="majorBidi"/>
          <w:b/>
          <w:bCs/>
          <w:sz w:val="32"/>
          <w:szCs w:val="32"/>
          <w:lang w:val="sr-Cyrl-CS"/>
        </w:rPr>
        <w:t>4. ВИЗИЈА</w:t>
      </w:r>
      <w:bookmarkEnd w:id="24"/>
      <w:r w:rsidR="000351B9" w:rsidRPr="00644F20">
        <w:rPr>
          <w:rFonts w:ascii="Times New Roman" w:eastAsia="Calibri" w:hAnsi="Times New Roman" w:cstheme="majorBidi"/>
          <w:b/>
          <w:bCs/>
          <w:sz w:val="32"/>
          <w:szCs w:val="32"/>
          <w:lang w:val="sr-Cyrl-CS"/>
        </w:rPr>
        <w:t xml:space="preserve"> </w:t>
      </w:r>
      <w:r w:rsidRPr="00644F20">
        <w:rPr>
          <w:rFonts w:ascii="Times New Roman" w:eastAsia="Calibri" w:hAnsi="Times New Roman" w:cstheme="majorBidi"/>
          <w:b/>
          <w:bCs/>
          <w:sz w:val="32"/>
          <w:szCs w:val="32"/>
          <w:lang w:val="sr-Cyrl-CS"/>
        </w:rPr>
        <w:t>И ОПШТИ ЦИЉ ПРОГРАМА</w:t>
      </w:r>
    </w:p>
    <w:p w14:paraId="6E8F5B6F" w14:textId="77777777" w:rsidR="00497092" w:rsidRPr="00644F20" w:rsidRDefault="002F45E1" w:rsidP="00C62E3D">
      <w:pPr>
        <w:spacing w:line="276" w:lineRule="auto"/>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Применом концепта циркуларне економије Република Србија постаје модерна, ресурсно и енергетски ефикасна и безбедна, са регионално и глобално конкурентном привредом, иновативно и дигитално трансформисана и посвећена достизању климатске неутралности, уз развој образовања за одрживи развој. Посвећена је зеленој транзицији у којој </w:t>
      </w:r>
      <w:r w:rsidRPr="00644F20">
        <w:rPr>
          <w:rFonts w:ascii="Times New Roman" w:eastAsia="Calibri" w:hAnsi="Times New Roman" w:cs="Times New Roman"/>
          <w:sz w:val="24"/>
          <w:szCs w:val="24"/>
          <w:lang w:val="sr-Cyrl-CS"/>
        </w:rPr>
        <w:lastRenderedPageBreak/>
        <w:t>се развија привреда, смањује загађење и стварају одрживе заједнице, што доводи до очувања здравља и подизања квалитета живота њених грађана.</w:t>
      </w:r>
    </w:p>
    <w:p w14:paraId="0CB3AF6F" w14:textId="77777777" w:rsidR="00497092" w:rsidRPr="00644F20" w:rsidRDefault="002F45E1">
      <w:pPr>
        <w:spacing w:before="240" w:after="120"/>
        <w:jc w:val="both"/>
        <w:rPr>
          <w:rFonts w:ascii="Times New Roman" w:hAnsi="Times New Roman" w:cs="Times New Roman"/>
          <w:b/>
          <w:sz w:val="28"/>
          <w:szCs w:val="28"/>
          <w:lang w:val="sr-Cyrl-CS"/>
        </w:rPr>
      </w:pPr>
      <w:r w:rsidRPr="00644F20">
        <w:rPr>
          <w:rFonts w:ascii="Times New Roman" w:hAnsi="Times New Roman" w:cs="Times New Roman"/>
          <w:b/>
          <w:sz w:val="28"/>
          <w:szCs w:val="28"/>
          <w:lang w:val="sr-Cyrl-CS"/>
        </w:rPr>
        <w:t>Општи циљ: Стварање подстицајног окружења за развој циркуларне економије у циљу подршке зеленој транзицији у Републици Србији</w:t>
      </w:r>
    </w:p>
    <w:p w14:paraId="645DDD69" w14:textId="77777777" w:rsidR="00497092" w:rsidRPr="00644F20" w:rsidRDefault="00C62E3D" w:rsidP="00C62E3D">
      <w:pPr>
        <w:spacing w:after="60" w:line="276" w:lineRule="auto"/>
        <w:ind w:firstLine="720"/>
        <w:jc w:val="both"/>
        <w:rPr>
          <w:rFonts w:ascii="Times New Roman" w:hAnsi="Times New Roman"/>
          <w:sz w:val="24"/>
          <w:szCs w:val="24"/>
          <w:lang w:val="sr-Cyrl-CS"/>
        </w:rPr>
      </w:pPr>
      <w:r w:rsidRPr="00644F20">
        <w:rPr>
          <w:rFonts w:ascii="Times New Roman" w:hAnsi="Times New Roman"/>
          <w:sz w:val="24"/>
          <w:szCs w:val="24"/>
          <w:lang w:val="sr-Cyrl-CS"/>
        </w:rPr>
        <w:t>Општи циљ овог п</w:t>
      </w:r>
      <w:r w:rsidR="002F45E1" w:rsidRPr="00644F20">
        <w:rPr>
          <w:rFonts w:ascii="Times New Roman" w:hAnsi="Times New Roman"/>
          <w:sz w:val="24"/>
          <w:szCs w:val="24"/>
          <w:lang w:val="sr-Cyrl-CS"/>
        </w:rPr>
        <w:t xml:space="preserve">рограма је да се организовано и систематски покрене развој циркуларне економије у Републици Србији и у њега укључе сви кључни актери. Процес транзиције са линеарне на циркуларну економију је дугорочан процес који превазилази трајање овог </w:t>
      </w:r>
      <w:r w:rsidRPr="00644F20">
        <w:rPr>
          <w:rFonts w:ascii="Times New Roman" w:hAnsi="Times New Roman"/>
          <w:sz w:val="24"/>
          <w:szCs w:val="24"/>
          <w:lang w:val="sr-Cyrl-CS"/>
        </w:rPr>
        <w:t>п</w:t>
      </w:r>
      <w:r w:rsidR="002F45E1" w:rsidRPr="00644F20">
        <w:rPr>
          <w:rFonts w:ascii="Times New Roman" w:hAnsi="Times New Roman"/>
          <w:sz w:val="24"/>
          <w:szCs w:val="24"/>
          <w:lang w:val="sr-Cyrl-CS"/>
        </w:rPr>
        <w:t>рограма. Овим документом дефинишу се приоритети за три године којима се поставља основ за даљи развој циркуларне економије.</w:t>
      </w:r>
    </w:p>
    <w:p w14:paraId="0003E5CE" w14:textId="77777777" w:rsidR="00497092" w:rsidRPr="00644F20" w:rsidRDefault="002F45E1" w:rsidP="00C62E3D">
      <w:pPr>
        <w:spacing w:after="60" w:line="276" w:lineRule="auto"/>
        <w:ind w:firstLine="720"/>
        <w:jc w:val="both"/>
        <w:rPr>
          <w:rFonts w:ascii="Times New Roman" w:hAnsi="Times New Roman"/>
          <w:sz w:val="24"/>
          <w:szCs w:val="24"/>
          <w:lang w:val="sr-Cyrl-CS"/>
        </w:rPr>
      </w:pPr>
      <w:r w:rsidRPr="00644F20">
        <w:rPr>
          <w:rFonts w:ascii="Times New Roman" w:hAnsi="Times New Roman"/>
          <w:sz w:val="24"/>
          <w:szCs w:val="24"/>
          <w:lang w:val="sr-Cyrl-CS"/>
        </w:rPr>
        <w:t>Иако је до сада спроведено више активности на увођењу принципа циркуларне економије, оне су биле спорадичне и са уским фокусом на поједине субјекте или теме. Предложеним пакетом</w:t>
      </w:r>
      <w:r w:rsidR="006E7971">
        <w:rPr>
          <w:rFonts w:ascii="Times New Roman" w:hAnsi="Times New Roman"/>
          <w:sz w:val="24"/>
          <w:szCs w:val="24"/>
          <w:lang w:val="sr-Cyrl-CS"/>
        </w:rPr>
        <w:t xml:space="preserve"> мера се све текуће и будуће ак</w:t>
      </w:r>
      <w:r w:rsidRPr="00644F20">
        <w:rPr>
          <w:rFonts w:ascii="Times New Roman" w:hAnsi="Times New Roman"/>
          <w:sz w:val="24"/>
          <w:szCs w:val="24"/>
          <w:lang w:val="sr-Cyrl-CS"/>
        </w:rPr>
        <w:t>тивности на овом пољу интензивирају и усмеравају на постављање основа за развој циркуларне економије у привреди и друштву, чиме се постиже синергијски ефекат. Укључивањем релевантних државних институција, привреде, локалних самоуправа, цивилног сектора, научне заједнице, медија, образовних институција и целокупне јавности у тај процес осигурава се ефикасна реализација постављеног циља и континуитет започетих промена. Реализацијом мера даје се допринос даљем развоју ресурсно ефикасније, климатски неутралније и конкурентније привреде, привлачењу додатних инвестиција и стварању циркуларних заједница широм земље, чиме се даје подршка и зеленој транзицији у Републици Србији.</w:t>
      </w:r>
    </w:p>
    <w:p w14:paraId="3093CF74" w14:textId="77777777" w:rsidR="00497092" w:rsidRPr="00644F20" w:rsidRDefault="002F45E1" w:rsidP="00C62E3D">
      <w:pPr>
        <w:spacing w:after="24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праћење остваривања општег циља као показатељ користиће се </w:t>
      </w:r>
      <w:r w:rsidRPr="00644F20">
        <w:rPr>
          <w:rFonts w:ascii="Times New Roman" w:hAnsi="Times New Roman" w:cs="Times New Roman"/>
          <w:i/>
          <w:sz w:val="24"/>
          <w:szCs w:val="24"/>
          <w:lang w:val="sr-Cyrl-CS"/>
        </w:rPr>
        <w:t>Домаћа потрошња материјала по глави становника (t)</w:t>
      </w:r>
      <w:r w:rsidRPr="00644F20">
        <w:rPr>
          <w:rFonts w:ascii="Times New Roman" w:hAnsi="Times New Roman" w:cs="Times New Roman"/>
          <w:sz w:val="24"/>
          <w:szCs w:val="24"/>
          <w:lang w:val="sr-Cyrl-CS"/>
        </w:rPr>
        <w:t xml:space="preserve">, а као референтна (базна) вредност користиће се његова вредност из 2019. године. </w:t>
      </w:r>
    </w:p>
    <w:p w14:paraId="318A50C9" w14:textId="77777777" w:rsidR="00497092" w:rsidRPr="00644F20" w:rsidRDefault="002F45E1">
      <w:pPr>
        <w:keepNext/>
        <w:keepLines/>
        <w:spacing w:before="480" w:after="360" w:line="276" w:lineRule="auto"/>
        <w:outlineLvl w:val="0"/>
        <w:rPr>
          <w:rFonts w:ascii="Times New Roman" w:eastAsiaTheme="majorEastAsia" w:hAnsi="Times New Roman" w:cstheme="majorBidi"/>
          <w:b/>
          <w:bCs/>
          <w:sz w:val="32"/>
          <w:szCs w:val="32"/>
          <w:lang w:val="sr-Cyrl-CS"/>
        </w:rPr>
      </w:pPr>
      <w:bookmarkStart w:id="25" w:name="_Toc93923075"/>
      <w:r w:rsidRPr="00644F20">
        <w:rPr>
          <w:rFonts w:ascii="Times New Roman" w:eastAsiaTheme="majorEastAsia" w:hAnsi="Times New Roman" w:cstheme="majorBidi"/>
          <w:b/>
          <w:bCs/>
          <w:sz w:val="32"/>
          <w:szCs w:val="32"/>
          <w:lang w:val="sr-Cyrl-CS"/>
        </w:rPr>
        <w:t>5. АНАЛИЗА ОПЦИЈА ЗА ОСТВАРИВАЊЕ ЦИЉЕВА</w:t>
      </w:r>
      <w:bookmarkEnd w:id="25"/>
    </w:p>
    <w:p w14:paraId="224A06CD" w14:textId="77777777" w:rsidR="00497092" w:rsidRPr="00644F20" w:rsidRDefault="002F45E1">
      <w:pPr>
        <w:keepNext/>
        <w:keepLines/>
        <w:spacing w:before="360" w:after="240"/>
        <w:outlineLvl w:val="1"/>
        <w:rPr>
          <w:rFonts w:ascii="Times New Roman" w:eastAsiaTheme="majorEastAsia" w:hAnsi="Times New Roman" w:cstheme="majorBidi"/>
          <w:b/>
          <w:bCs/>
          <w:sz w:val="28"/>
          <w:szCs w:val="28"/>
          <w:lang w:val="sr-Cyrl-CS"/>
        </w:rPr>
      </w:pPr>
      <w:bookmarkStart w:id="26" w:name="_Toc93923076"/>
      <w:r w:rsidRPr="00644F20">
        <w:rPr>
          <w:rFonts w:ascii="Times New Roman" w:eastAsiaTheme="majorEastAsia" w:hAnsi="Times New Roman" w:cstheme="majorBidi"/>
          <w:b/>
          <w:bCs/>
          <w:sz w:val="28"/>
          <w:szCs w:val="28"/>
          <w:lang w:val="sr-Cyrl-CS"/>
        </w:rPr>
        <w:t>5.1. Анализиране опције - претпоставке</w:t>
      </w:r>
      <w:bookmarkEnd w:id="26"/>
    </w:p>
    <w:p w14:paraId="0CF3A527" w14:textId="77777777" w:rsidR="00497092" w:rsidRPr="00644F20" w:rsidRDefault="002F45E1" w:rsidP="00C62E3D">
      <w:pPr>
        <w:keepNext/>
        <w:keepLines/>
        <w:spacing w:after="0" w:line="360" w:lineRule="auto"/>
        <w:ind w:firstLine="720"/>
        <w:jc w:val="both"/>
        <w:outlineLvl w:val="0"/>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потребе анализе остваривања циљева Програма развоја циркуларне економије </w:t>
      </w:r>
      <w:r w:rsidR="00C62E3D" w:rsidRPr="00644F20">
        <w:rPr>
          <w:rFonts w:ascii="Times New Roman" w:hAnsi="Times New Roman" w:cs="Times New Roman"/>
          <w:sz w:val="24"/>
          <w:szCs w:val="24"/>
          <w:lang w:val="sr-Cyrl-CS"/>
        </w:rPr>
        <w:t xml:space="preserve">у Републици Србији </w:t>
      </w:r>
      <w:r w:rsidR="00C62E3D" w:rsidRPr="00644F20">
        <w:rPr>
          <w:rFonts w:ascii="Times New Roman" w:eastAsiaTheme="majorEastAsia" w:hAnsi="Times New Roman" w:cstheme="majorBidi"/>
          <w:bCs/>
          <w:sz w:val="24"/>
          <w:szCs w:val="24"/>
          <w:lang w:val="sr-Cyrl-CS"/>
        </w:rPr>
        <w:t>за период 2022-2024. године</w:t>
      </w:r>
      <w:r w:rsidR="00C62E3D" w:rsidRPr="00644F20">
        <w:rPr>
          <w:rFonts w:ascii="Times New Roman" w:eastAsiaTheme="majorEastAsia" w:hAnsi="Times New Roman" w:cstheme="majorBidi"/>
          <w:b/>
          <w:bCs/>
          <w:sz w:val="24"/>
          <w:szCs w:val="24"/>
          <w:lang w:val="sr-Cyrl-CS"/>
        </w:rPr>
        <w:t xml:space="preserve"> </w:t>
      </w:r>
      <w:r w:rsidRPr="00644F20">
        <w:rPr>
          <w:rFonts w:ascii="Times New Roman" w:hAnsi="Times New Roman" w:cs="Times New Roman"/>
          <w:sz w:val="24"/>
          <w:szCs w:val="24"/>
          <w:lang w:val="sr-Cyrl-CS"/>
        </w:rPr>
        <w:t>поред опције status quo разматране су три могуће опције које се међусобно разликују по броју спроведених мера и групи учесника који су њима обухваћени.</w:t>
      </w:r>
    </w:p>
    <w:p w14:paraId="7A138D9D" w14:textId="77777777" w:rsidR="00497092" w:rsidRPr="00644F20" w:rsidRDefault="002F45E1" w:rsidP="00C62E3D">
      <w:pPr>
        <w:spacing w:after="60" w:line="276" w:lineRule="auto"/>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Утицај спроведених мера је у свакој од опција анализиран кроз:</w:t>
      </w:r>
    </w:p>
    <w:p w14:paraId="5B2CAA52" w14:textId="77777777" w:rsidR="00C62E3D" w:rsidRPr="00644F20" w:rsidRDefault="002F45E1" w:rsidP="00C62E3D">
      <w:pPr>
        <w:pStyle w:val="ListParagraph"/>
        <w:numPr>
          <w:ilvl w:val="0"/>
          <w:numId w:val="16"/>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економске уштеде по основу смањења употребе ресурса и енергије за оне привредне </w:t>
      </w:r>
    </w:p>
    <w:p w14:paraId="5B8EEBC5" w14:textId="77777777" w:rsidR="00497092" w:rsidRPr="00644F20" w:rsidRDefault="002F45E1" w:rsidP="00C62E3D">
      <w:p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секторе који су препознати као најзначајнији за развој циркуларне економије (индустрија, пољопривреда и грађевинарство);</w:t>
      </w:r>
    </w:p>
    <w:p w14:paraId="14F7D88F" w14:textId="77777777" w:rsidR="00C62E3D" w:rsidRPr="00644F20" w:rsidRDefault="002F45E1">
      <w:pPr>
        <w:numPr>
          <w:ilvl w:val="0"/>
          <w:numId w:val="16"/>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економске користи за домаћинства (пораст њиховог просечног дохотка због пораста </w:t>
      </w:r>
    </w:p>
    <w:p w14:paraId="033BA053" w14:textId="77777777" w:rsidR="00497092" w:rsidRPr="00644F20" w:rsidRDefault="002F45E1" w:rsidP="00C62E3D">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запослености и мањи издаци за куповину нових производа због дужег животног века финалних добара);</w:t>
      </w:r>
    </w:p>
    <w:p w14:paraId="21823060" w14:textId="77777777" w:rsidR="00C62E3D" w:rsidRPr="00644F20" w:rsidRDefault="002F45E1">
      <w:pPr>
        <w:numPr>
          <w:ilvl w:val="0"/>
          <w:numId w:val="16"/>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економске користи за привреду због смањења емисије CO</w:t>
      </w:r>
      <w:r w:rsidRPr="00644F20">
        <w:rPr>
          <w:rFonts w:ascii="Times New Roman" w:hAnsi="Times New Roman" w:cs="Times New Roman"/>
          <w:sz w:val="24"/>
          <w:szCs w:val="24"/>
          <w:vertAlign w:val="subscript"/>
          <w:lang w:val="sr-Cyrl-CS"/>
        </w:rPr>
        <w:t>2</w:t>
      </w:r>
      <w:r w:rsidRPr="00644F20">
        <w:rPr>
          <w:rFonts w:ascii="Times New Roman" w:hAnsi="Times New Roman" w:cs="Times New Roman"/>
          <w:sz w:val="24"/>
          <w:szCs w:val="24"/>
          <w:lang w:val="sr-Cyrl-CS"/>
        </w:rPr>
        <w:t xml:space="preserve"> (смањење угљеничног </w:t>
      </w:r>
    </w:p>
    <w:p w14:paraId="1A868A67" w14:textId="77777777" w:rsidR="00497092" w:rsidRPr="00644F20" w:rsidRDefault="002F45E1" w:rsidP="00C62E3D">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отиска у фазама процеса производње);</w:t>
      </w:r>
    </w:p>
    <w:p w14:paraId="36784C63" w14:textId="77777777" w:rsidR="00497092" w:rsidRPr="00644F20" w:rsidRDefault="002F45E1">
      <w:pPr>
        <w:numPr>
          <w:ilvl w:val="0"/>
          <w:numId w:val="16"/>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промена бруто домаћег производа;</w:t>
      </w:r>
    </w:p>
    <w:p w14:paraId="401749EE" w14:textId="77777777" w:rsidR="00497092" w:rsidRPr="00644F20" w:rsidRDefault="002F45E1">
      <w:pPr>
        <w:numPr>
          <w:ilvl w:val="0"/>
          <w:numId w:val="16"/>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промена броја запослених у привреди;</w:t>
      </w:r>
    </w:p>
    <w:p w14:paraId="587C12BD" w14:textId="77777777" w:rsidR="00497092" w:rsidRPr="00644F20" w:rsidRDefault="002F45E1">
      <w:pPr>
        <w:numPr>
          <w:ilvl w:val="0"/>
          <w:numId w:val="16"/>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промена пореских прихода јединица локалних самоуправа;</w:t>
      </w:r>
    </w:p>
    <w:p w14:paraId="2AE7D05A" w14:textId="77777777" w:rsidR="00497092" w:rsidRPr="00644F20" w:rsidRDefault="002F45E1">
      <w:pPr>
        <w:numPr>
          <w:ilvl w:val="0"/>
          <w:numId w:val="16"/>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промена буџетских прихода државе.</w:t>
      </w:r>
    </w:p>
    <w:p w14:paraId="1A30D18F" w14:textId="77777777" w:rsidR="00497092" w:rsidRPr="00644F20" w:rsidRDefault="002F45E1" w:rsidP="00C62E3D">
      <w:pPr>
        <w:spacing w:after="60" w:line="276" w:lineRule="auto"/>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Основна макроекономска претпоставка за пројекцију уштеда и економских користи је просечна стопа раста БДП-а на годишњем нивоу од 3%. Временски хоризонт анализе је десет година, односно укупне економске користи и уштеде су израчунате и представљене за временски период спровођења </w:t>
      </w:r>
      <w:r w:rsidR="00C62E3D" w:rsidRPr="00644F20">
        <w:rPr>
          <w:rFonts w:ascii="Times New Roman" w:hAnsi="Times New Roman" w:cs="Times New Roman"/>
          <w:sz w:val="24"/>
          <w:szCs w:val="24"/>
          <w:lang w:val="sr-Cyrl-CS"/>
        </w:rPr>
        <w:t>овог п</w:t>
      </w:r>
      <w:r w:rsidRPr="00644F20">
        <w:rPr>
          <w:rFonts w:ascii="Times New Roman" w:hAnsi="Times New Roman" w:cs="Times New Roman"/>
          <w:sz w:val="24"/>
          <w:szCs w:val="24"/>
          <w:lang w:val="sr-Cyrl-CS"/>
        </w:rPr>
        <w:t xml:space="preserve">рограма од три године (2022-2024) и временски период после спровођења </w:t>
      </w:r>
      <w:r w:rsidR="00C62E3D" w:rsidRPr="00644F20">
        <w:rPr>
          <w:rFonts w:ascii="Times New Roman" w:hAnsi="Times New Roman" w:cs="Times New Roman"/>
          <w:sz w:val="24"/>
          <w:szCs w:val="24"/>
          <w:lang w:val="sr-Cyrl-CS"/>
        </w:rPr>
        <w:t>овог п</w:t>
      </w:r>
      <w:r w:rsidRPr="00644F20">
        <w:rPr>
          <w:rFonts w:ascii="Times New Roman" w:hAnsi="Times New Roman" w:cs="Times New Roman"/>
          <w:sz w:val="24"/>
          <w:szCs w:val="24"/>
          <w:lang w:val="sr-Cyrl-CS"/>
        </w:rPr>
        <w:t xml:space="preserve">рограма (закључно са 2032. годином). Наиме, значајније економске користи за индустрију и домаћинства, као и утицај развоја циркуларне економије на макроекономске величине у Србији се могу очекивати тек после реализације овог програма, док су на кратак рок посматрано ти утицаји мање изражени. Ово из разлога што је потребан одређени временски период како би предузећа, домаћинства, појединци и </w:t>
      </w:r>
      <w:r w:rsidR="00C40C94" w:rsidRPr="00644F20">
        <w:rPr>
          <w:rFonts w:ascii="Times New Roman" w:hAnsi="Times New Roman" w:cs="Times New Roman"/>
          <w:sz w:val="24"/>
          <w:szCs w:val="24"/>
          <w:lang w:val="sr-Cyrl-CS"/>
        </w:rPr>
        <w:t>ЈЛС</w:t>
      </w:r>
      <w:r w:rsidRPr="00644F20">
        <w:rPr>
          <w:rFonts w:ascii="Times New Roman" w:hAnsi="Times New Roman" w:cs="Times New Roman"/>
          <w:sz w:val="24"/>
          <w:szCs w:val="24"/>
          <w:lang w:val="sr-Cyrl-CS"/>
        </w:rPr>
        <w:t xml:space="preserve"> прихватили принципе циркуларне економије и прилагодили своја понашања и очекивања у складу са њима.</w:t>
      </w:r>
    </w:p>
    <w:p w14:paraId="5DE40BA7" w14:textId="77777777" w:rsidR="00497092" w:rsidRPr="00644F20" w:rsidRDefault="002F45E1" w:rsidP="00C62E3D">
      <w:pPr>
        <w:spacing w:after="60" w:line="276" w:lineRule="auto"/>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За израчунавање садашње вредности укупних економских користи у наведеном периоду је коришћена друштвена дисконтна стопа од 5%. Због недостатка адекватних података представљене опције не укључују и потенцијалне економске користи за животну средину које настају због смањених емисија штетних гасова у атмосферу, нити економске користи за становништво због смањења здравствених трошкова услед чистије животне средине. Прорачун економских користи по привредним секторима (индустрија, пољопривреда и грађевинарство) је урађен искључиво на основу процењених директних уштеда у употреби енергије, горива и воде на нивоу сектора.</w:t>
      </w:r>
    </w:p>
    <w:p w14:paraId="109FE20F" w14:textId="77777777" w:rsidR="00497092" w:rsidRPr="00644F20" w:rsidRDefault="002F45E1">
      <w:pPr>
        <w:keepNext/>
        <w:keepLines/>
        <w:spacing w:before="240" w:after="120"/>
        <w:outlineLvl w:val="2"/>
        <w:rPr>
          <w:rFonts w:ascii="Times New Roman" w:eastAsiaTheme="majorEastAsia" w:hAnsi="Times New Roman" w:cstheme="majorBidi"/>
          <w:b/>
          <w:bCs/>
          <w:sz w:val="26"/>
          <w:szCs w:val="26"/>
          <w:lang w:val="sr-Cyrl-CS"/>
        </w:rPr>
      </w:pPr>
      <w:bookmarkStart w:id="27" w:name="_Toc93923077"/>
      <w:r w:rsidRPr="00644F20">
        <w:rPr>
          <w:rFonts w:ascii="Times New Roman" w:eastAsiaTheme="majorEastAsia" w:hAnsi="Times New Roman" w:cstheme="majorBidi"/>
          <w:b/>
          <w:bCs/>
          <w:sz w:val="26"/>
          <w:szCs w:val="26"/>
          <w:lang w:val="sr-Cyrl-CS"/>
        </w:rPr>
        <w:t>5.1.1. Status quo опција</w:t>
      </w:r>
      <w:bookmarkEnd w:id="27"/>
    </w:p>
    <w:p w14:paraId="60B00B80" w14:textId="77777777" w:rsidR="00497092" w:rsidRPr="00644F20" w:rsidRDefault="002F45E1" w:rsidP="0041506A">
      <w:pPr>
        <w:spacing w:after="60" w:line="276" w:lineRule="auto"/>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Ова опција је заснована на следећим претпоставкама:</w:t>
      </w:r>
    </w:p>
    <w:p w14:paraId="5CB6143A" w14:textId="77777777" w:rsidR="00497092" w:rsidRPr="00644F20" w:rsidRDefault="002F45E1" w:rsidP="0041506A">
      <w:pPr>
        <w:pStyle w:val="ListParagraph"/>
        <w:numPr>
          <w:ilvl w:val="0"/>
          <w:numId w:val="23"/>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не примењује се ниједна од предложених мера из </w:t>
      </w:r>
      <w:r w:rsidR="00256587" w:rsidRPr="00644F20">
        <w:rPr>
          <w:rFonts w:ascii="Times New Roman" w:hAnsi="Times New Roman" w:cs="Times New Roman"/>
          <w:sz w:val="24"/>
          <w:szCs w:val="24"/>
          <w:lang w:val="sr-Cyrl-CS"/>
        </w:rPr>
        <w:t>овог п</w:t>
      </w:r>
      <w:r w:rsidRPr="00644F20">
        <w:rPr>
          <w:rFonts w:ascii="Times New Roman" w:hAnsi="Times New Roman" w:cs="Times New Roman"/>
          <w:sz w:val="24"/>
          <w:szCs w:val="24"/>
          <w:lang w:val="sr-Cyrl-CS"/>
        </w:rPr>
        <w:t>рограма;</w:t>
      </w:r>
    </w:p>
    <w:p w14:paraId="5032D008" w14:textId="77777777" w:rsidR="0041506A" w:rsidRPr="00644F20" w:rsidRDefault="002F45E1" w:rsidP="0041506A">
      <w:pPr>
        <w:numPr>
          <w:ilvl w:val="0"/>
          <w:numId w:val="23"/>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употреба енергије из фосилних горива (угља) се мења у складу са мерама из других </w:t>
      </w:r>
    </w:p>
    <w:p w14:paraId="4863B060" w14:textId="77777777" w:rsidR="00497092" w:rsidRPr="00644F20" w:rsidRDefault="002F45E1" w:rsidP="0041506A">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националних стратегија и програма;</w:t>
      </w:r>
    </w:p>
    <w:p w14:paraId="33723B2D" w14:textId="77777777" w:rsidR="0041506A" w:rsidRPr="00644F20" w:rsidRDefault="002F45E1" w:rsidP="0041506A">
      <w:pPr>
        <w:numPr>
          <w:ilvl w:val="0"/>
          <w:numId w:val="23"/>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удео обновљивих извора енергије се мења у складу са мерама из других националних </w:t>
      </w:r>
    </w:p>
    <w:p w14:paraId="40550131" w14:textId="77777777" w:rsidR="00497092" w:rsidRPr="00644F20" w:rsidRDefault="002F45E1" w:rsidP="0041506A">
      <w:p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стратегија и програма;</w:t>
      </w:r>
    </w:p>
    <w:p w14:paraId="181B9875" w14:textId="77777777" w:rsidR="00497092" w:rsidRPr="00644F20" w:rsidRDefault="002F45E1" w:rsidP="0041506A">
      <w:pPr>
        <w:numPr>
          <w:ilvl w:val="0"/>
          <w:numId w:val="23"/>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нема замене примарних секундарним изворима енергије;</w:t>
      </w:r>
    </w:p>
    <w:p w14:paraId="75B48A4E" w14:textId="77777777" w:rsidR="00497092" w:rsidRPr="00644F20" w:rsidRDefault="002F45E1" w:rsidP="0041506A">
      <w:pPr>
        <w:numPr>
          <w:ilvl w:val="0"/>
          <w:numId w:val="23"/>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нема промене образаца потрошње;</w:t>
      </w:r>
    </w:p>
    <w:p w14:paraId="2A2ACF51" w14:textId="77777777" w:rsidR="00497092" w:rsidRPr="00644F20" w:rsidRDefault="002F45E1" w:rsidP="0041506A">
      <w:pPr>
        <w:numPr>
          <w:ilvl w:val="0"/>
          <w:numId w:val="23"/>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не креирају се нови производи са продуженим животним веком.</w:t>
      </w:r>
    </w:p>
    <w:p w14:paraId="47602F5E" w14:textId="77777777" w:rsidR="00497092" w:rsidRPr="00644F20" w:rsidRDefault="002F45E1">
      <w:pPr>
        <w:keepNext/>
        <w:keepLines/>
        <w:spacing w:before="240" w:after="60"/>
        <w:outlineLvl w:val="2"/>
        <w:rPr>
          <w:rFonts w:ascii="Times New Roman" w:eastAsiaTheme="majorEastAsia" w:hAnsi="Times New Roman" w:cs="Times New Roman"/>
          <w:b/>
          <w:bCs/>
          <w:sz w:val="26"/>
          <w:szCs w:val="26"/>
          <w:lang w:val="sr-Cyrl-CS"/>
        </w:rPr>
      </w:pPr>
      <w:bookmarkStart w:id="28" w:name="_Toc93923078"/>
      <w:r w:rsidRPr="00644F20">
        <w:rPr>
          <w:rFonts w:ascii="Times New Roman" w:eastAsiaTheme="majorEastAsia" w:hAnsi="Times New Roman" w:cs="Times New Roman"/>
          <w:b/>
          <w:bCs/>
          <w:sz w:val="26"/>
          <w:szCs w:val="26"/>
          <w:lang w:val="sr-Cyrl-CS"/>
        </w:rPr>
        <w:t>5.1.2. Опција 1</w:t>
      </w:r>
      <w:bookmarkEnd w:id="28"/>
    </w:p>
    <w:p w14:paraId="5005F3ED"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Прва опција претпоставља спровођења активности које су усмерене на подршку индустрији у трансформацији на циркуларни модел пословања, попут едукација, финансијских подстицаја, анализе стања у домену фискалне политике, као и израде бизнис планова и водича добре праксе који би служили као позитиван пример другим предузећима у и изван сектора.</w:t>
      </w:r>
    </w:p>
    <w:p w14:paraId="0F6BAF94"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Ова опција подразумева да су критеријуми за доделу средстава предузећима кроз јавне позиве (грантове) у оквиру доступних програма/фондова прилагођени увођењу принципа циркуларне економије. Такође, предузећа добијају подршку за пријаву на јавне позиве </w:t>
      </w:r>
      <w:r w:rsidRPr="00644F20">
        <w:rPr>
          <w:rFonts w:ascii="Times New Roman" w:hAnsi="Times New Roman" w:cs="Times New Roman"/>
          <w:sz w:val="24"/>
          <w:szCs w:val="24"/>
          <w:lang w:val="sr-Cyrl-CS"/>
        </w:rPr>
        <w:lastRenderedPageBreak/>
        <w:t>пружањем помоћи у припреми апликација и њиховом подношењу у складу са процедурама које дефинишу отворени јавни позиви.</w:t>
      </w:r>
    </w:p>
    <w:p w14:paraId="313B8A7F"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Прва опција подразумева и да су владине институције и пословне банке повезане у циљу проналажења лакшег приступа средствима за финансирање пројеката предузећа у области циркуларне економије (кредита, субвенција и сл), али да су и саме банке развиле и уградиле у своје пословање опште схватање значаја и начина функционисања циркуларне економије (израда водича за „циркуларно финансирање</w:t>
      </w:r>
      <w:r w:rsidR="0041506A"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развој нових кредитних линија, препознавање ризика које са собом носи финансирање ове области и сл).</w:t>
      </w:r>
    </w:p>
    <w:p w14:paraId="543CF9C9" w14:textId="77777777" w:rsidR="00497092" w:rsidRPr="00644F20" w:rsidRDefault="002F45E1" w:rsidP="0025658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Иако је овим мерама обухваћен само привредни сектор, економске уштеде и користи ће остварити и домаћинства, као и </w:t>
      </w:r>
      <w:r w:rsidR="00C40C94" w:rsidRPr="00644F20">
        <w:rPr>
          <w:rFonts w:ascii="Times New Roman" w:hAnsi="Times New Roman" w:cs="Times New Roman"/>
          <w:sz w:val="24"/>
          <w:szCs w:val="24"/>
          <w:lang w:val="sr-Cyrl-CS"/>
        </w:rPr>
        <w:t>ЈЛС</w:t>
      </w:r>
      <w:r w:rsidRPr="00644F20">
        <w:rPr>
          <w:rFonts w:ascii="Times New Roman" w:hAnsi="Times New Roman" w:cs="Times New Roman"/>
          <w:sz w:val="24"/>
          <w:szCs w:val="24"/>
          <w:lang w:val="sr-Cyrl-CS"/>
        </w:rPr>
        <w:t xml:space="preserve"> и држава кроз повећање буџетских прихода због пораста запослености.</w:t>
      </w:r>
    </w:p>
    <w:p w14:paraId="42477115" w14:textId="77777777" w:rsidR="00497092" w:rsidRPr="00644F20" w:rsidRDefault="002F45E1">
      <w:pPr>
        <w:keepNext/>
        <w:keepLines/>
        <w:spacing w:before="240" w:after="60"/>
        <w:outlineLvl w:val="2"/>
        <w:rPr>
          <w:rFonts w:ascii="Times New Roman" w:eastAsiaTheme="majorEastAsia" w:hAnsi="Times New Roman" w:cs="Times New Roman"/>
          <w:b/>
          <w:bCs/>
          <w:sz w:val="26"/>
          <w:szCs w:val="26"/>
          <w:lang w:val="sr-Cyrl-CS"/>
        </w:rPr>
      </w:pPr>
      <w:bookmarkStart w:id="29" w:name="_Toc93923079"/>
      <w:r w:rsidRPr="00644F20">
        <w:rPr>
          <w:rFonts w:ascii="Times New Roman" w:eastAsiaTheme="majorEastAsia" w:hAnsi="Times New Roman" w:cs="Times New Roman"/>
          <w:b/>
          <w:bCs/>
          <w:sz w:val="26"/>
          <w:szCs w:val="26"/>
          <w:lang w:val="sr-Cyrl-CS"/>
        </w:rPr>
        <w:t>5.1.3. Опција 2</w:t>
      </w:r>
      <w:bookmarkEnd w:id="29"/>
    </w:p>
    <w:p w14:paraId="49C9FD08"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Поред мера које су усмерене као подршка индустрији, спроводе се и активности на подршци јединицама локалне самоуправе, односно на подизању свести надлежних органа локалних самоуправа и јавних и комуналних предузећа о концепту циркуларне економије. Претпоставка ове опције јесте да креатори локалних политика применом принципа циркуларне економије мењају структуру и пословање локалне привреде, унапређују инфраструктуру и доприносе одрживијем локалном развоју. Такође, локалне самоуправе применом концепта циркуларне економије унапређују квалитет животне средине смањењем емисија загађујућих материја у ваздух, воду и земљиште и тиме истовремено унапређују квалитет живота својих грађана.</w:t>
      </w:r>
    </w:p>
    <w:p w14:paraId="64FD03E8"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Друга опција предвиђа и примену иновација и паметне специјализације у развоју концепта циркуларне економије. То значи да је успостављена </w:t>
      </w:r>
      <w:bookmarkStart w:id="30" w:name="_Hlk89199947"/>
      <w:r w:rsidRPr="00644F20">
        <w:rPr>
          <w:rFonts w:ascii="Times New Roman" w:hAnsi="Times New Roman" w:cs="Times New Roman"/>
          <w:sz w:val="24"/>
          <w:szCs w:val="24"/>
          <w:lang w:val="sr-Cyrl-CS"/>
        </w:rPr>
        <w:t>сарадња између научноистраживачких организација и привредних субјеката</w:t>
      </w:r>
      <w:bookmarkEnd w:id="30"/>
      <w:r w:rsidRPr="00644F20">
        <w:rPr>
          <w:rFonts w:ascii="Times New Roman" w:hAnsi="Times New Roman" w:cs="Times New Roman"/>
          <w:sz w:val="24"/>
          <w:szCs w:val="24"/>
          <w:lang w:val="sr-Cyrl-CS"/>
        </w:rPr>
        <w:t xml:space="preserve"> у области иновација и оптимизације производње.  У</w:t>
      </w:r>
      <w:r w:rsidR="00BE4F0A" w:rsidRPr="00644F20">
        <w:rPr>
          <w:rFonts w:ascii="Times New Roman" w:hAnsi="Times New Roman" w:cs="Times New Roman"/>
          <w:sz w:val="24"/>
          <w:szCs w:val="24"/>
          <w:lang w:val="sr-Cyrl-CS"/>
        </w:rPr>
        <w:t>напређење сарадње између научно</w:t>
      </w:r>
      <w:r w:rsidRPr="00644F20">
        <w:rPr>
          <w:rFonts w:ascii="Times New Roman" w:hAnsi="Times New Roman" w:cs="Times New Roman"/>
          <w:sz w:val="24"/>
          <w:szCs w:val="24"/>
          <w:lang w:val="sr-Cyrl-CS"/>
        </w:rPr>
        <w:t>истраж</w:t>
      </w:r>
      <w:r w:rsidR="00E75A0F" w:rsidRPr="00644F20">
        <w:rPr>
          <w:rFonts w:ascii="Times New Roman" w:hAnsi="Times New Roman" w:cs="Times New Roman"/>
          <w:sz w:val="24"/>
          <w:szCs w:val="24"/>
          <w:lang w:val="sr-Cyrl-CS"/>
        </w:rPr>
        <w:t>ивачких организација и привреде</w:t>
      </w:r>
      <w:r w:rsidRPr="00644F20">
        <w:rPr>
          <w:rFonts w:ascii="Times New Roman" w:hAnsi="Times New Roman" w:cs="Times New Roman"/>
          <w:sz w:val="24"/>
          <w:szCs w:val="24"/>
          <w:lang w:val="sr-Cyrl-CS"/>
        </w:rPr>
        <w:t xml:space="preserve"> и повећање иновативних перформанси утиче на све секторе привреде и представља основу одрживог привредног развоја. Истовремено, унапређење процеса и опреме доприноси ефикаснијем коришћењу ресурса, замени опасних материја и сировина из производног процеса и смањењу стварања отпада.</w:t>
      </w:r>
    </w:p>
    <w:p w14:paraId="598BB99D" w14:textId="77777777" w:rsidR="00497092" w:rsidRPr="00644F20" w:rsidRDefault="002F45E1">
      <w:pPr>
        <w:keepNext/>
        <w:keepLines/>
        <w:spacing w:before="240" w:after="60"/>
        <w:outlineLvl w:val="2"/>
        <w:rPr>
          <w:rFonts w:ascii="Times New Roman" w:eastAsiaTheme="majorEastAsia" w:hAnsi="Times New Roman" w:cs="Times New Roman"/>
          <w:b/>
          <w:bCs/>
          <w:sz w:val="26"/>
          <w:szCs w:val="26"/>
          <w:lang w:val="sr-Cyrl-CS"/>
        </w:rPr>
      </w:pPr>
      <w:bookmarkStart w:id="31" w:name="_Toc93923080"/>
      <w:r w:rsidRPr="00644F20">
        <w:rPr>
          <w:rFonts w:ascii="Times New Roman" w:eastAsiaTheme="majorEastAsia" w:hAnsi="Times New Roman" w:cs="Times New Roman"/>
          <w:b/>
          <w:bCs/>
          <w:sz w:val="26"/>
          <w:szCs w:val="26"/>
          <w:lang w:val="sr-Cyrl-CS"/>
        </w:rPr>
        <w:t>5.1.4. Опција 3</w:t>
      </w:r>
      <w:bookmarkEnd w:id="31"/>
    </w:p>
    <w:p w14:paraId="605CB02C"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Поред подршке привредном сектору и локалним самоуправама, ова опција претпоставља и унапређење система управљања отпадом, примену зелених набавки и добровољних инструмената, као и значајније учешће образовних институција у развоју концепта циркуларне економије. Ова опција претпоставља да је успостављен систем примарне селекције отпада, успостављени облици индустријске симбиозе у циљу оптимизације коришћења ресурса и смањивања количине отпада, грађевински сектор је развио систем управљања отпадом од грађења и рушења, рециклажни процеси за поједине токове отпада и системи управљања храном, вишковима хране и отпадом од хране су унапређени у односу на status quo сценарио.</w:t>
      </w:r>
    </w:p>
    <w:p w14:paraId="5EDF76A7"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трећој опцији креатори јавних политика правилно предвиђају где могу настати неравнотеже између вештина које тренутно поседују запослени и оних вештина које су неопходне за транзицију ка циркуларној економији. Усклађивање наведених вештина радне </w:t>
      </w:r>
      <w:r w:rsidRPr="00644F20">
        <w:rPr>
          <w:rFonts w:ascii="Times New Roman" w:hAnsi="Times New Roman" w:cs="Times New Roman"/>
          <w:sz w:val="24"/>
          <w:szCs w:val="24"/>
          <w:lang w:val="sr-Cyrl-CS"/>
        </w:rPr>
        <w:lastRenderedPageBreak/>
        <w:t>снаге је могуће једино уз чврсту сарадњу између образовних и научних институција са привредним субјектима.</w:t>
      </w:r>
    </w:p>
    <w:p w14:paraId="3DD7C95F"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 обзиром да се у овој опцији подразумева примена концепта циркуларне економије код свих субјеката у друштву са посебним акцентом на подизање свести потрошача, очекиване економске користи на микро и макро нивоу су значајно веће у односу на status quo опцију.</w:t>
      </w:r>
    </w:p>
    <w:p w14:paraId="1A552026" w14:textId="77777777" w:rsidR="00497092" w:rsidRPr="00644F20" w:rsidRDefault="002F45E1">
      <w:pPr>
        <w:keepNext/>
        <w:keepLines/>
        <w:spacing w:before="240" w:after="60"/>
        <w:outlineLvl w:val="2"/>
        <w:rPr>
          <w:rFonts w:ascii="Times New Roman" w:eastAsiaTheme="majorEastAsia" w:hAnsi="Times New Roman" w:cs="Times New Roman"/>
          <w:b/>
          <w:bCs/>
          <w:sz w:val="26"/>
          <w:szCs w:val="26"/>
          <w:lang w:val="sr-Cyrl-CS"/>
        </w:rPr>
      </w:pPr>
      <w:bookmarkStart w:id="32" w:name="_Toc93923081"/>
      <w:r w:rsidRPr="00644F20">
        <w:rPr>
          <w:rFonts w:ascii="Times New Roman" w:eastAsiaTheme="majorEastAsia" w:hAnsi="Times New Roman" w:cs="Times New Roman"/>
          <w:b/>
          <w:bCs/>
          <w:sz w:val="26"/>
          <w:szCs w:val="26"/>
          <w:lang w:val="sr-Cyrl-CS"/>
        </w:rPr>
        <w:t>5.1.5.  Полазне претпоставке за пројекцију економских индикатора по опцијама</w:t>
      </w:r>
      <w:bookmarkEnd w:id="32"/>
    </w:p>
    <w:p w14:paraId="4EBF1517" w14:textId="77777777" w:rsidR="00497092" w:rsidRPr="00644F20" w:rsidRDefault="002F45E1" w:rsidP="0041506A">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наредној табели су представљене нумерички изражене промене трошкова сировина и енергије у индустрији, пољопривреди и грађевинарству, промене бруто домаћег производа, промене запослености и промене емисија CO</w:t>
      </w:r>
      <w:r w:rsidRPr="00644F20">
        <w:rPr>
          <w:rFonts w:ascii="Times New Roman" w:hAnsi="Times New Roman" w:cs="Times New Roman"/>
          <w:sz w:val="24"/>
          <w:szCs w:val="24"/>
          <w:vertAlign w:val="subscript"/>
          <w:lang w:val="sr-Cyrl-CS"/>
        </w:rPr>
        <w:t>2</w:t>
      </w:r>
      <w:r w:rsidRPr="00644F20">
        <w:rPr>
          <w:rFonts w:ascii="Times New Roman" w:hAnsi="Times New Roman" w:cs="Times New Roman"/>
          <w:sz w:val="24"/>
          <w:szCs w:val="24"/>
          <w:lang w:val="sr-Cyrl-CS"/>
        </w:rPr>
        <w:t xml:space="preserve"> у односу на status quo опцију за сваку од три анализиране опције.</w:t>
      </w:r>
    </w:p>
    <w:p w14:paraId="1398F18B" w14:textId="77777777" w:rsidR="00497092" w:rsidRPr="00644F20" w:rsidRDefault="002F45E1">
      <w:pPr>
        <w:spacing w:after="60"/>
        <w:jc w:val="both"/>
        <w:rPr>
          <w:rFonts w:ascii="Times New Roman" w:hAnsi="Times New Roman" w:cs="Times New Roman"/>
          <w:lang w:val="sr-Cyrl-CS"/>
        </w:rPr>
      </w:pPr>
      <w:r w:rsidRPr="00644F20">
        <w:rPr>
          <w:rFonts w:ascii="Times New Roman" w:hAnsi="Times New Roman" w:cs="Times New Roman"/>
          <w:b/>
          <w:bCs/>
          <w:lang w:val="sr-Cyrl-CS"/>
        </w:rPr>
        <w:t>Табела 5.1</w:t>
      </w:r>
      <w:r w:rsidRPr="00644F20">
        <w:rPr>
          <w:rFonts w:ascii="Times New Roman" w:hAnsi="Times New Roman" w:cs="Times New Roman"/>
          <w:lang w:val="sr-Cyrl-CS"/>
        </w:rPr>
        <w:t xml:space="preserve"> Очекиване промене основних економских параметара у односу на status quo опцију (процентуална промена на годишњем нивоу)</w:t>
      </w:r>
    </w:p>
    <w:tbl>
      <w:tblPr>
        <w:tblW w:w="9054" w:type="dxa"/>
        <w:tblLook w:val="04A0" w:firstRow="1" w:lastRow="0" w:firstColumn="1" w:lastColumn="0" w:noHBand="0" w:noVBand="1"/>
      </w:tblPr>
      <w:tblGrid>
        <w:gridCol w:w="3108"/>
        <w:gridCol w:w="1982"/>
        <w:gridCol w:w="1982"/>
        <w:gridCol w:w="1982"/>
      </w:tblGrid>
      <w:tr w:rsidR="00497092" w:rsidRPr="00644F20" w14:paraId="0F8DD6C3" w14:textId="77777777">
        <w:trPr>
          <w:trHeight w:val="268"/>
        </w:trPr>
        <w:tc>
          <w:tcPr>
            <w:tcW w:w="3108" w:type="dxa"/>
            <w:tcBorders>
              <w:top w:val="single" w:sz="8" w:space="0" w:color="auto"/>
              <w:left w:val="nil"/>
              <w:bottom w:val="single" w:sz="8" w:space="0" w:color="auto"/>
              <w:right w:val="nil"/>
            </w:tcBorders>
            <w:vAlign w:val="center"/>
          </w:tcPr>
          <w:p w14:paraId="6D772155" w14:textId="77777777" w:rsidR="00497092" w:rsidRPr="00644F20" w:rsidRDefault="002F45E1">
            <w:pPr>
              <w:rPr>
                <w:rFonts w:ascii="Times New Roman" w:hAnsi="Times New Roman" w:cs="Times New Roman"/>
                <w:b/>
                <w:bCs/>
                <w:lang w:val="sr-Cyrl-CS"/>
              </w:rPr>
            </w:pPr>
            <w:r w:rsidRPr="00644F20">
              <w:rPr>
                <w:rFonts w:ascii="Times New Roman" w:hAnsi="Times New Roman" w:cs="Times New Roman"/>
                <w:b/>
                <w:bCs/>
                <w:lang w:val="sr-Cyrl-CS"/>
              </w:rPr>
              <w:t>Економски индикатор</w:t>
            </w:r>
          </w:p>
        </w:tc>
        <w:tc>
          <w:tcPr>
            <w:tcW w:w="1982" w:type="dxa"/>
            <w:tcBorders>
              <w:top w:val="single" w:sz="8" w:space="0" w:color="auto"/>
              <w:left w:val="nil"/>
              <w:bottom w:val="single" w:sz="8" w:space="0" w:color="auto"/>
              <w:right w:val="nil"/>
            </w:tcBorders>
            <w:vAlign w:val="center"/>
          </w:tcPr>
          <w:p w14:paraId="0E46B0CB" w14:textId="77777777" w:rsidR="00497092" w:rsidRPr="00644F20" w:rsidRDefault="002F45E1">
            <w:pPr>
              <w:jc w:val="right"/>
              <w:rPr>
                <w:rFonts w:ascii="Times New Roman" w:hAnsi="Times New Roman" w:cs="Times New Roman"/>
                <w:b/>
                <w:bCs/>
                <w:lang w:val="sr-Cyrl-CS"/>
              </w:rPr>
            </w:pPr>
            <w:r w:rsidRPr="00644F20">
              <w:rPr>
                <w:rFonts w:ascii="Times New Roman" w:hAnsi="Times New Roman" w:cs="Times New Roman"/>
                <w:b/>
                <w:bCs/>
                <w:lang w:val="sr-Cyrl-CS"/>
              </w:rPr>
              <w:t>Опција 1</w:t>
            </w:r>
          </w:p>
        </w:tc>
        <w:tc>
          <w:tcPr>
            <w:tcW w:w="1982" w:type="dxa"/>
            <w:tcBorders>
              <w:top w:val="single" w:sz="8" w:space="0" w:color="auto"/>
              <w:left w:val="nil"/>
              <w:bottom w:val="single" w:sz="8" w:space="0" w:color="auto"/>
              <w:right w:val="nil"/>
            </w:tcBorders>
            <w:vAlign w:val="center"/>
          </w:tcPr>
          <w:p w14:paraId="48F91969" w14:textId="77777777" w:rsidR="00497092" w:rsidRPr="00644F20" w:rsidRDefault="002F45E1">
            <w:pPr>
              <w:jc w:val="right"/>
              <w:rPr>
                <w:rFonts w:ascii="Times New Roman" w:hAnsi="Times New Roman" w:cs="Times New Roman"/>
                <w:b/>
                <w:bCs/>
                <w:lang w:val="sr-Cyrl-CS"/>
              </w:rPr>
            </w:pPr>
            <w:r w:rsidRPr="00644F20">
              <w:rPr>
                <w:rFonts w:ascii="Times New Roman" w:hAnsi="Times New Roman" w:cs="Times New Roman"/>
                <w:b/>
                <w:bCs/>
                <w:lang w:val="sr-Cyrl-CS"/>
              </w:rPr>
              <w:t>Опција 2</w:t>
            </w:r>
          </w:p>
        </w:tc>
        <w:tc>
          <w:tcPr>
            <w:tcW w:w="1982" w:type="dxa"/>
            <w:tcBorders>
              <w:top w:val="single" w:sz="8" w:space="0" w:color="auto"/>
              <w:left w:val="nil"/>
              <w:bottom w:val="single" w:sz="8" w:space="0" w:color="auto"/>
              <w:right w:val="nil"/>
            </w:tcBorders>
            <w:vAlign w:val="center"/>
          </w:tcPr>
          <w:p w14:paraId="1750BDCB" w14:textId="77777777" w:rsidR="00497092" w:rsidRPr="00644F20" w:rsidRDefault="002F45E1">
            <w:pPr>
              <w:jc w:val="right"/>
              <w:rPr>
                <w:rFonts w:ascii="Times New Roman" w:hAnsi="Times New Roman" w:cs="Times New Roman"/>
                <w:b/>
                <w:bCs/>
                <w:lang w:val="sr-Cyrl-CS"/>
              </w:rPr>
            </w:pPr>
            <w:r w:rsidRPr="00644F20">
              <w:rPr>
                <w:rFonts w:ascii="Times New Roman" w:hAnsi="Times New Roman" w:cs="Times New Roman"/>
                <w:b/>
                <w:bCs/>
                <w:lang w:val="sr-Cyrl-CS"/>
              </w:rPr>
              <w:t>Опција 3</w:t>
            </w:r>
          </w:p>
        </w:tc>
      </w:tr>
      <w:tr w:rsidR="00497092" w:rsidRPr="00644F20" w14:paraId="4FE4E19F" w14:textId="77777777">
        <w:trPr>
          <w:trHeight w:val="268"/>
        </w:trPr>
        <w:tc>
          <w:tcPr>
            <w:tcW w:w="3108" w:type="dxa"/>
            <w:tcBorders>
              <w:top w:val="single" w:sz="8" w:space="0" w:color="auto"/>
              <w:left w:val="nil"/>
              <w:right w:val="nil"/>
            </w:tcBorders>
            <w:vAlign w:val="center"/>
          </w:tcPr>
          <w:p w14:paraId="4F74AB4A" w14:textId="77777777" w:rsidR="00497092" w:rsidRPr="00644F20" w:rsidRDefault="002F45E1">
            <w:pPr>
              <w:rPr>
                <w:rFonts w:ascii="Times New Roman" w:hAnsi="Times New Roman" w:cs="Times New Roman"/>
                <w:lang w:val="sr-Cyrl-CS"/>
              </w:rPr>
            </w:pPr>
            <w:r w:rsidRPr="00644F20">
              <w:rPr>
                <w:rFonts w:ascii="Times New Roman" w:hAnsi="Times New Roman" w:cs="Times New Roman"/>
                <w:lang w:val="sr-Cyrl-CS"/>
              </w:rPr>
              <w:t>Употреба сировина и енергије</w:t>
            </w:r>
          </w:p>
        </w:tc>
        <w:tc>
          <w:tcPr>
            <w:tcW w:w="1982" w:type="dxa"/>
            <w:tcBorders>
              <w:top w:val="single" w:sz="8" w:space="0" w:color="auto"/>
              <w:left w:val="nil"/>
              <w:right w:val="nil"/>
            </w:tcBorders>
            <w:vAlign w:val="center"/>
          </w:tcPr>
          <w:p w14:paraId="49DC156B"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-15%</w:t>
            </w:r>
          </w:p>
        </w:tc>
        <w:tc>
          <w:tcPr>
            <w:tcW w:w="1982" w:type="dxa"/>
            <w:tcBorders>
              <w:top w:val="single" w:sz="8" w:space="0" w:color="auto"/>
              <w:left w:val="nil"/>
              <w:right w:val="nil"/>
            </w:tcBorders>
            <w:vAlign w:val="center"/>
          </w:tcPr>
          <w:p w14:paraId="1B2E740D"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-20%</w:t>
            </w:r>
          </w:p>
        </w:tc>
        <w:tc>
          <w:tcPr>
            <w:tcW w:w="1982" w:type="dxa"/>
            <w:tcBorders>
              <w:top w:val="single" w:sz="8" w:space="0" w:color="auto"/>
              <w:left w:val="nil"/>
              <w:right w:val="nil"/>
            </w:tcBorders>
            <w:vAlign w:val="center"/>
          </w:tcPr>
          <w:p w14:paraId="6026E9D1"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-25%</w:t>
            </w:r>
          </w:p>
        </w:tc>
      </w:tr>
      <w:tr w:rsidR="00497092" w:rsidRPr="00644F20" w14:paraId="289A03DF" w14:textId="77777777">
        <w:trPr>
          <w:trHeight w:val="268"/>
        </w:trPr>
        <w:tc>
          <w:tcPr>
            <w:tcW w:w="3108" w:type="dxa"/>
            <w:tcBorders>
              <w:left w:val="nil"/>
              <w:right w:val="nil"/>
            </w:tcBorders>
            <w:vAlign w:val="center"/>
          </w:tcPr>
          <w:p w14:paraId="1AB083C7" w14:textId="77777777" w:rsidR="00497092" w:rsidRPr="00644F20" w:rsidRDefault="001B6E66">
            <w:pPr>
              <w:rPr>
                <w:rFonts w:ascii="Times New Roman" w:hAnsi="Times New Roman" w:cs="Times New Roman"/>
                <w:lang w:val="sr-Cyrl-CS"/>
              </w:rPr>
            </w:pPr>
            <w:r w:rsidRPr="00644F20">
              <w:rPr>
                <w:rFonts w:ascii="Times New Roman" w:hAnsi="Times New Roman" w:cs="Times New Roman"/>
                <w:lang w:val="sr-Cyrl-CS"/>
              </w:rPr>
              <w:t>БДП</w:t>
            </w:r>
          </w:p>
        </w:tc>
        <w:tc>
          <w:tcPr>
            <w:tcW w:w="1982" w:type="dxa"/>
            <w:tcBorders>
              <w:left w:val="nil"/>
              <w:right w:val="nil"/>
            </w:tcBorders>
            <w:vAlign w:val="center"/>
          </w:tcPr>
          <w:p w14:paraId="00BC3C2B"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+0,1%</w:t>
            </w:r>
          </w:p>
        </w:tc>
        <w:tc>
          <w:tcPr>
            <w:tcW w:w="1982" w:type="dxa"/>
            <w:tcBorders>
              <w:left w:val="nil"/>
              <w:right w:val="nil"/>
            </w:tcBorders>
            <w:vAlign w:val="center"/>
          </w:tcPr>
          <w:p w14:paraId="505CED0D"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+0,4%</w:t>
            </w:r>
          </w:p>
        </w:tc>
        <w:tc>
          <w:tcPr>
            <w:tcW w:w="1982" w:type="dxa"/>
            <w:tcBorders>
              <w:left w:val="nil"/>
              <w:right w:val="nil"/>
            </w:tcBorders>
            <w:vAlign w:val="center"/>
          </w:tcPr>
          <w:p w14:paraId="17FEE4BE"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+0,6%</w:t>
            </w:r>
          </w:p>
        </w:tc>
      </w:tr>
      <w:tr w:rsidR="00497092" w:rsidRPr="00644F20" w14:paraId="1D462E4C" w14:textId="77777777">
        <w:trPr>
          <w:trHeight w:val="268"/>
        </w:trPr>
        <w:tc>
          <w:tcPr>
            <w:tcW w:w="3108" w:type="dxa"/>
            <w:tcBorders>
              <w:left w:val="nil"/>
              <w:right w:val="nil"/>
            </w:tcBorders>
            <w:vAlign w:val="center"/>
          </w:tcPr>
          <w:p w14:paraId="37935A5A" w14:textId="77777777" w:rsidR="00497092" w:rsidRPr="00644F20" w:rsidRDefault="002F45E1">
            <w:pPr>
              <w:rPr>
                <w:rFonts w:ascii="Times New Roman" w:hAnsi="Times New Roman" w:cs="Times New Roman"/>
                <w:lang w:val="sr-Cyrl-CS"/>
              </w:rPr>
            </w:pPr>
            <w:r w:rsidRPr="00644F20">
              <w:rPr>
                <w:rFonts w:ascii="Times New Roman" w:hAnsi="Times New Roman" w:cs="Times New Roman"/>
                <w:lang w:val="sr-Cyrl-CS"/>
              </w:rPr>
              <w:t>Запосленост</w:t>
            </w:r>
          </w:p>
        </w:tc>
        <w:tc>
          <w:tcPr>
            <w:tcW w:w="1982" w:type="dxa"/>
            <w:tcBorders>
              <w:left w:val="nil"/>
              <w:right w:val="nil"/>
            </w:tcBorders>
            <w:vAlign w:val="center"/>
          </w:tcPr>
          <w:p w14:paraId="2AFE0E75"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+0,1%</w:t>
            </w:r>
          </w:p>
        </w:tc>
        <w:tc>
          <w:tcPr>
            <w:tcW w:w="1982" w:type="dxa"/>
            <w:tcBorders>
              <w:left w:val="nil"/>
              <w:right w:val="nil"/>
            </w:tcBorders>
            <w:vAlign w:val="center"/>
          </w:tcPr>
          <w:p w14:paraId="6F7D5739"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+0,2%</w:t>
            </w:r>
          </w:p>
        </w:tc>
        <w:tc>
          <w:tcPr>
            <w:tcW w:w="1982" w:type="dxa"/>
            <w:tcBorders>
              <w:left w:val="nil"/>
              <w:right w:val="nil"/>
            </w:tcBorders>
            <w:vAlign w:val="center"/>
          </w:tcPr>
          <w:p w14:paraId="368812CE"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+0,3%</w:t>
            </w:r>
          </w:p>
        </w:tc>
      </w:tr>
      <w:tr w:rsidR="00497092" w:rsidRPr="00644F20" w14:paraId="624DA49C" w14:textId="77777777">
        <w:trPr>
          <w:trHeight w:val="268"/>
        </w:trPr>
        <w:tc>
          <w:tcPr>
            <w:tcW w:w="3108" w:type="dxa"/>
            <w:tcBorders>
              <w:left w:val="nil"/>
              <w:bottom w:val="single" w:sz="8" w:space="0" w:color="auto"/>
              <w:right w:val="nil"/>
            </w:tcBorders>
            <w:vAlign w:val="center"/>
          </w:tcPr>
          <w:p w14:paraId="286ADBB3" w14:textId="77777777" w:rsidR="00497092" w:rsidRPr="00644F20" w:rsidRDefault="002F45E1">
            <w:pPr>
              <w:rPr>
                <w:rFonts w:ascii="Times New Roman" w:hAnsi="Times New Roman" w:cs="Times New Roman"/>
                <w:lang w:val="sr-Cyrl-CS"/>
              </w:rPr>
            </w:pPr>
            <w:r w:rsidRPr="00644F20">
              <w:rPr>
                <w:rFonts w:ascii="Times New Roman" w:hAnsi="Times New Roman" w:cs="Times New Roman"/>
                <w:lang w:val="sr-Cyrl-CS"/>
              </w:rPr>
              <w:t>Емисија CO</w:t>
            </w:r>
            <w:r w:rsidRPr="00644F20">
              <w:rPr>
                <w:rFonts w:ascii="Times New Roman" w:hAnsi="Times New Roman" w:cs="Times New Roman"/>
                <w:vertAlign w:val="subscript"/>
                <w:lang w:val="sr-Cyrl-CS"/>
              </w:rPr>
              <w:t>2</w:t>
            </w:r>
          </w:p>
        </w:tc>
        <w:tc>
          <w:tcPr>
            <w:tcW w:w="1982" w:type="dxa"/>
            <w:tcBorders>
              <w:left w:val="nil"/>
              <w:bottom w:val="single" w:sz="8" w:space="0" w:color="auto"/>
              <w:right w:val="nil"/>
            </w:tcBorders>
            <w:vAlign w:val="center"/>
          </w:tcPr>
          <w:p w14:paraId="267B1D73"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-0,1%</w:t>
            </w:r>
          </w:p>
        </w:tc>
        <w:tc>
          <w:tcPr>
            <w:tcW w:w="1982" w:type="dxa"/>
            <w:tcBorders>
              <w:left w:val="nil"/>
              <w:bottom w:val="single" w:sz="8" w:space="0" w:color="auto"/>
              <w:right w:val="nil"/>
            </w:tcBorders>
            <w:vAlign w:val="center"/>
          </w:tcPr>
          <w:p w14:paraId="5C2579D3"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-0,2%</w:t>
            </w:r>
          </w:p>
        </w:tc>
        <w:tc>
          <w:tcPr>
            <w:tcW w:w="1982" w:type="dxa"/>
            <w:tcBorders>
              <w:left w:val="nil"/>
              <w:bottom w:val="single" w:sz="8" w:space="0" w:color="auto"/>
              <w:right w:val="nil"/>
            </w:tcBorders>
            <w:vAlign w:val="center"/>
          </w:tcPr>
          <w:p w14:paraId="24BF8492" w14:textId="77777777" w:rsidR="00497092" w:rsidRPr="00644F20" w:rsidRDefault="002F45E1">
            <w:pPr>
              <w:jc w:val="right"/>
              <w:rPr>
                <w:rFonts w:ascii="Times New Roman" w:hAnsi="Times New Roman" w:cs="Times New Roman"/>
                <w:lang w:val="sr-Cyrl-CS"/>
              </w:rPr>
            </w:pPr>
            <w:r w:rsidRPr="00644F20">
              <w:rPr>
                <w:rFonts w:ascii="Times New Roman" w:hAnsi="Times New Roman" w:cs="Times New Roman"/>
                <w:lang w:val="sr-Cyrl-CS"/>
              </w:rPr>
              <w:t>-0,3%</w:t>
            </w:r>
          </w:p>
        </w:tc>
      </w:tr>
    </w:tbl>
    <w:p w14:paraId="57B0F120" w14:textId="77777777" w:rsidR="00497092" w:rsidRPr="00644F20" w:rsidRDefault="00497092">
      <w:pPr>
        <w:jc w:val="both"/>
        <w:rPr>
          <w:rFonts w:ascii="Times New Roman" w:hAnsi="Times New Roman" w:cs="Times New Roman"/>
          <w:lang w:val="sr-Cyrl-CS"/>
        </w:rPr>
      </w:pPr>
    </w:p>
    <w:p w14:paraId="3A1F4D84" w14:textId="77777777" w:rsidR="00497092" w:rsidRPr="00644F20" w:rsidRDefault="002F45E1">
      <w:pPr>
        <w:keepNext/>
        <w:keepLines/>
        <w:spacing w:before="360" w:after="120"/>
        <w:outlineLvl w:val="1"/>
        <w:rPr>
          <w:rFonts w:ascii="Times New Roman" w:eastAsiaTheme="majorEastAsia" w:hAnsi="Times New Roman" w:cs="Times New Roman"/>
          <w:b/>
          <w:bCs/>
          <w:sz w:val="28"/>
          <w:szCs w:val="28"/>
          <w:lang w:val="sr-Cyrl-CS"/>
        </w:rPr>
      </w:pPr>
      <w:bookmarkStart w:id="33" w:name="_Toc93923082"/>
      <w:r w:rsidRPr="00644F20">
        <w:rPr>
          <w:rFonts w:ascii="Times New Roman" w:eastAsiaTheme="majorEastAsia" w:hAnsi="Times New Roman" w:cs="Times New Roman"/>
          <w:b/>
          <w:bCs/>
          <w:sz w:val="28"/>
          <w:szCs w:val="28"/>
          <w:lang w:val="sr-Cyrl-CS"/>
        </w:rPr>
        <w:t>5.2. Очекиване економске користи имплементације Програма развоја циркуларне економије</w:t>
      </w:r>
      <w:bookmarkEnd w:id="33"/>
      <w:r w:rsidR="00256587" w:rsidRPr="00644F20">
        <w:rPr>
          <w:rFonts w:ascii="Times New Roman" w:eastAsiaTheme="majorEastAsia" w:hAnsi="Times New Roman" w:cs="Times New Roman"/>
          <w:b/>
          <w:bCs/>
          <w:sz w:val="28"/>
          <w:szCs w:val="28"/>
          <w:lang w:val="sr-Cyrl-CS"/>
        </w:rPr>
        <w:t xml:space="preserve"> у Републици Србији за период 2022-2024</w:t>
      </w:r>
      <w:r w:rsidR="00E75A0F" w:rsidRPr="00644F20">
        <w:rPr>
          <w:rFonts w:ascii="Times New Roman" w:eastAsiaTheme="majorEastAsia" w:hAnsi="Times New Roman" w:cs="Times New Roman"/>
          <w:b/>
          <w:bCs/>
          <w:sz w:val="28"/>
          <w:szCs w:val="28"/>
          <w:lang w:val="sr-Cyrl-CS"/>
        </w:rPr>
        <w:t>.</w:t>
      </w:r>
      <w:r w:rsidR="00256587" w:rsidRPr="00644F20">
        <w:rPr>
          <w:rFonts w:ascii="Times New Roman" w:eastAsiaTheme="majorEastAsia" w:hAnsi="Times New Roman" w:cs="Times New Roman"/>
          <w:b/>
          <w:bCs/>
          <w:sz w:val="28"/>
          <w:szCs w:val="28"/>
          <w:lang w:val="sr-Cyrl-CS"/>
        </w:rPr>
        <w:t xml:space="preserve"> године</w:t>
      </w:r>
    </w:p>
    <w:p w14:paraId="5DED8237" w14:textId="77777777" w:rsidR="00497092" w:rsidRPr="00644F20" w:rsidRDefault="002F45E1" w:rsidP="0041506A">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наредној табели је дато поређење опција на основу економских користи које настају због смањења употребе ресурса и енергије, односно мањих трошкова у пословању.</w:t>
      </w:r>
    </w:p>
    <w:p w14:paraId="7BA959D5" w14:textId="77777777" w:rsidR="00497092" w:rsidRPr="00644F20" w:rsidRDefault="002F45E1">
      <w:pPr>
        <w:spacing w:after="60"/>
        <w:jc w:val="both"/>
        <w:rPr>
          <w:rFonts w:ascii="Times New Roman" w:hAnsi="Times New Roman" w:cs="Times New Roman"/>
          <w:lang w:val="sr-Cyrl-CS"/>
        </w:rPr>
      </w:pPr>
      <w:r w:rsidRPr="00644F20">
        <w:rPr>
          <w:rFonts w:ascii="Times New Roman" w:hAnsi="Times New Roman" w:cs="Times New Roman"/>
          <w:b/>
          <w:lang w:val="sr-Cyrl-CS"/>
        </w:rPr>
        <w:t>Табела 5.2</w:t>
      </w:r>
      <w:r w:rsidRPr="00644F20">
        <w:rPr>
          <w:rFonts w:ascii="Times New Roman" w:hAnsi="Times New Roman" w:cs="Times New Roman"/>
          <w:lang w:val="sr-Cyrl-CS"/>
        </w:rPr>
        <w:t xml:space="preserve"> Економске уштеде за привреду (индустрија, пољопривреда, грађевинарство) (милиони динара, константе цене из 2021. године)</w:t>
      </w:r>
    </w:p>
    <w:tbl>
      <w:tblPr>
        <w:tblW w:w="9013" w:type="dxa"/>
        <w:tblBorders>
          <w:top w:val="single" w:sz="4" w:space="0" w:color="auto"/>
          <w:bottom w:val="single" w:sz="4" w:space="0" w:color="auto"/>
        </w:tblBorders>
        <w:tblLayout w:type="fixed"/>
        <w:tblLook w:val="04A0" w:firstRow="1" w:lastRow="0" w:firstColumn="1" w:lastColumn="0" w:noHBand="0" w:noVBand="1"/>
      </w:tblPr>
      <w:tblGrid>
        <w:gridCol w:w="714"/>
        <w:gridCol w:w="1118"/>
        <w:gridCol w:w="643"/>
        <w:gridCol w:w="643"/>
        <w:gridCol w:w="644"/>
        <w:gridCol w:w="643"/>
        <w:gridCol w:w="644"/>
        <w:gridCol w:w="643"/>
        <w:gridCol w:w="643"/>
        <w:gridCol w:w="644"/>
        <w:gridCol w:w="643"/>
        <w:gridCol w:w="644"/>
        <w:gridCol w:w="747"/>
      </w:tblGrid>
      <w:tr w:rsidR="00497092" w:rsidRPr="00644F20" w14:paraId="039DD9DC" w14:textId="77777777">
        <w:trPr>
          <w:trHeight w:val="189"/>
        </w:trPr>
        <w:tc>
          <w:tcPr>
            <w:tcW w:w="714" w:type="dxa"/>
            <w:tcBorders>
              <w:top w:val="single" w:sz="8" w:space="0" w:color="auto"/>
              <w:bottom w:val="single" w:sz="8" w:space="0" w:color="auto"/>
            </w:tcBorders>
            <w:shd w:val="clear" w:color="auto" w:fill="auto"/>
            <w:noWrap/>
            <w:tcMar>
              <w:left w:w="28" w:type="dxa"/>
              <w:right w:w="28" w:type="dxa"/>
            </w:tcMar>
            <w:vAlign w:val="center"/>
          </w:tcPr>
          <w:p w14:paraId="2AE84920" w14:textId="77777777" w:rsidR="00497092" w:rsidRPr="00644F20" w:rsidRDefault="002F45E1">
            <w:pPr>
              <w:spacing w:after="0" w:line="240" w:lineRule="auto"/>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Опција</w:t>
            </w:r>
          </w:p>
        </w:tc>
        <w:tc>
          <w:tcPr>
            <w:tcW w:w="1118" w:type="dxa"/>
            <w:tcBorders>
              <w:top w:val="single" w:sz="8" w:space="0" w:color="auto"/>
              <w:bottom w:val="single" w:sz="8" w:space="0" w:color="auto"/>
            </w:tcBorders>
            <w:shd w:val="clear" w:color="auto" w:fill="auto"/>
            <w:noWrap/>
            <w:tcMar>
              <w:left w:w="28" w:type="dxa"/>
              <w:right w:w="28" w:type="dxa"/>
            </w:tcMar>
            <w:vAlign w:val="center"/>
          </w:tcPr>
          <w:p w14:paraId="2C4A1722"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Дисконтована</w:t>
            </w:r>
          </w:p>
          <w:p w14:paraId="31664A45"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вредност</w:t>
            </w:r>
          </w:p>
          <w:p w14:paraId="3C3C0784"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(2022-2032)</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65F9339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243DCDA7"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2023</w:t>
            </w:r>
          </w:p>
        </w:tc>
        <w:tc>
          <w:tcPr>
            <w:tcW w:w="644" w:type="dxa"/>
            <w:tcBorders>
              <w:top w:val="single" w:sz="8" w:space="0" w:color="auto"/>
              <w:bottom w:val="single" w:sz="8" w:space="0" w:color="auto"/>
            </w:tcBorders>
            <w:shd w:val="clear" w:color="auto" w:fill="auto"/>
            <w:noWrap/>
            <w:tcMar>
              <w:left w:w="28" w:type="dxa"/>
              <w:right w:w="28" w:type="dxa"/>
            </w:tcMar>
            <w:vAlign w:val="center"/>
          </w:tcPr>
          <w:p w14:paraId="72073B4F"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2024</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1A7B3605"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2025</w:t>
            </w:r>
          </w:p>
        </w:tc>
        <w:tc>
          <w:tcPr>
            <w:tcW w:w="644" w:type="dxa"/>
            <w:tcBorders>
              <w:top w:val="single" w:sz="8" w:space="0" w:color="auto"/>
              <w:bottom w:val="single" w:sz="8" w:space="0" w:color="auto"/>
            </w:tcBorders>
            <w:shd w:val="clear" w:color="auto" w:fill="auto"/>
            <w:noWrap/>
            <w:tcMar>
              <w:left w:w="28" w:type="dxa"/>
              <w:right w:w="28" w:type="dxa"/>
            </w:tcMar>
            <w:vAlign w:val="center"/>
          </w:tcPr>
          <w:p w14:paraId="03D41C16"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2026</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7B46294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2027</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4DAB1004"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2028</w:t>
            </w:r>
          </w:p>
        </w:tc>
        <w:tc>
          <w:tcPr>
            <w:tcW w:w="644" w:type="dxa"/>
            <w:tcBorders>
              <w:top w:val="single" w:sz="8" w:space="0" w:color="auto"/>
              <w:bottom w:val="single" w:sz="8" w:space="0" w:color="auto"/>
            </w:tcBorders>
            <w:shd w:val="clear" w:color="auto" w:fill="auto"/>
            <w:noWrap/>
            <w:tcMar>
              <w:left w:w="28" w:type="dxa"/>
              <w:right w:w="28" w:type="dxa"/>
            </w:tcMar>
            <w:vAlign w:val="center"/>
          </w:tcPr>
          <w:p w14:paraId="36924757"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2029</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24C79EF0"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2030</w:t>
            </w:r>
          </w:p>
        </w:tc>
        <w:tc>
          <w:tcPr>
            <w:tcW w:w="644" w:type="dxa"/>
            <w:tcBorders>
              <w:top w:val="single" w:sz="8" w:space="0" w:color="auto"/>
              <w:bottom w:val="single" w:sz="8" w:space="0" w:color="auto"/>
            </w:tcBorders>
            <w:shd w:val="clear" w:color="auto" w:fill="auto"/>
            <w:noWrap/>
            <w:tcMar>
              <w:left w:w="28" w:type="dxa"/>
              <w:right w:w="28" w:type="dxa"/>
            </w:tcMar>
            <w:vAlign w:val="center"/>
          </w:tcPr>
          <w:p w14:paraId="192917D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2031</w:t>
            </w:r>
          </w:p>
        </w:tc>
        <w:tc>
          <w:tcPr>
            <w:tcW w:w="747" w:type="dxa"/>
            <w:tcBorders>
              <w:top w:val="single" w:sz="8" w:space="0" w:color="auto"/>
              <w:bottom w:val="single" w:sz="8" w:space="0" w:color="auto"/>
            </w:tcBorders>
            <w:vAlign w:val="center"/>
          </w:tcPr>
          <w:p w14:paraId="58850F03"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2032</w:t>
            </w:r>
          </w:p>
        </w:tc>
      </w:tr>
      <w:tr w:rsidR="00497092" w:rsidRPr="00644F20" w14:paraId="1C254F47" w14:textId="77777777">
        <w:trPr>
          <w:trHeight w:val="189"/>
        </w:trPr>
        <w:tc>
          <w:tcPr>
            <w:tcW w:w="714" w:type="dxa"/>
            <w:tcBorders>
              <w:top w:val="single" w:sz="8" w:space="0" w:color="auto"/>
              <w:bottom w:val="single" w:sz="2" w:space="0" w:color="auto"/>
            </w:tcBorders>
            <w:shd w:val="clear" w:color="auto" w:fill="auto"/>
            <w:noWrap/>
            <w:tcMar>
              <w:left w:w="28" w:type="dxa"/>
              <w:right w:w="28" w:type="dxa"/>
            </w:tcMar>
            <w:vAlign w:val="center"/>
          </w:tcPr>
          <w:p w14:paraId="59BB7263"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Status quo</w:t>
            </w:r>
          </w:p>
        </w:tc>
        <w:tc>
          <w:tcPr>
            <w:tcW w:w="1118" w:type="dxa"/>
            <w:tcBorders>
              <w:top w:val="single" w:sz="8" w:space="0" w:color="auto"/>
              <w:bottom w:val="single" w:sz="2" w:space="0" w:color="auto"/>
            </w:tcBorders>
            <w:shd w:val="clear" w:color="auto" w:fill="auto"/>
            <w:noWrap/>
            <w:tcMar>
              <w:left w:w="28" w:type="dxa"/>
              <w:right w:w="28" w:type="dxa"/>
            </w:tcMar>
            <w:vAlign w:val="center"/>
          </w:tcPr>
          <w:p w14:paraId="072012E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7482516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4679D7A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4" w:type="dxa"/>
            <w:tcBorders>
              <w:top w:val="single" w:sz="8" w:space="0" w:color="auto"/>
              <w:bottom w:val="single" w:sz="2" w:space="0" w:color="auto"/>
            </w:tcBorders>
            <w:shd w:val="clear" w:color="auto" w:fill="auto"/>
            <w:noWrap/>
            <w:tcMar>
              <w:left w:w="28" w:type="dxa"/>
              <w:right w:w="28" w:type="dxa"/>
            </w:tcMar>
            <w:vAlign w:val="center"/>
          </w:tcPr>
          <w:p w14:paraId="4B53DA0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6AE0BBC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4" w:type="dxa"/>
            <w:tcBorders>
              <w:top w:val="single" w:sz="8" w:space="0" w:color="auto"/>
              <w:bottom w:val="single" w:sz="2" w:space="0" w:color="auto"/>
            </w:tcBorders>
            <w:shd w:val="clear" w:color="auto" w:fill="auto"/>
            <w:noWrap/>
            <w:tcMar>
              <w:left w:w="28" w:type="dxa"/>
              <w:right w:w="28" w:type="dxa"/>
            </w:tcMar>
            <w:vAlign w:val="center"/>
          </w:tcPr>
          <w:p w14:paraId="4A917F3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4ACA2F6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498A6F9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4" w:type="dxa"/>
            <w:tcBorders>
              <w:top w:val="single" w:sz="8" w:space="0" w:color="auto"/>
              <w:bottom w:val="single" w:sz="2" w:space="0" w:color="auto"/>
            </w:tcBorders>
            <w:shd w:val="clear" w:color="auto" w:fill="auto"/>
            <w:noWrap/>
            <w:tcMar>
              <w:left w:w="28" w:type="dxa"/>
              <w:right w:w="28" w:type="dxa"/>
            </w:tcMar>
            <w:vAlign w:val="center"/>
          </w:tcPr>
          <w:p w14:paraId="5EE8E66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27DAD2E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4" w:type="dxa"/>
            <w:tcBorders>
              <w:top w:val="single" w:sz="8" w:space="0" w:color="auto"/>
              <w:bottom w:val="single" w:sz="2" w:space="0" w:color="auto"/>
            </w:tcBorders>
            <w:shd w:val="clear" w:color="auto" w:fill="auto"/>
            <w:noWrap/>
            <w:tcMar>
              <w:left w:w="28" w:type="dxa"/>
              <w:right w:w="28" w:type="dxa"/>
            </w:tcMar>
            <w:vAlign w:val="center"/>
          </w:tcPr>
          <w:p w14:paraId="10D8F20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747" w:type="dxa"/>
            <w:tcBorders>
              <w:top w:val="single" w:sz="8" w:space="0" w:color="auto"/>
              <w:bottom w:val="single" w:sz="2" w:space="0" w:color="auto"/>
            </w:tcBorders>
            <w:vAlign w:val="center"/>
          </w:tcPr>
          <w:p w14:paraId="6DCAE7A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r>
      <w:tr w:rsidR="00497092" w:rsidRPr="00644F20" w14:paraId="2F6E4D2C" w14:textId="77777777">
        <w:trPr>
          <w:trHeight w:val="189"/>
        </w:trPr>
        <w:tc>
          <w:tcPr>
            <w:tcW w:w="714" w:type="dxa"/>
            <w:tcBorders>
              <w:top w:val="single" w:sz="2" w:space="0" w:color="auto"/>
              <w:bottom w:val="single" w:sz="2" w:space="0" w:color="auto"/>
            </w:tcBorders>
            <w:shd w:val="clear" w:color="auto" w:fill="auto"/>
            <w:noWrap/>
            <w:tcMar>
              <w:left w:w="28" w:type="dxa"/>
              <w:right w:w="28" w:type="dxa"/>
            </w:tcMar>
            <w:vAlign w:val="center"/>
          </w:tcPr>
          <w:p w14:paraId="5E5F2265"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1</w:t>
            </w:r>
          </w:p>
        </w:tc>
        <w:tc>
          <w:tcPr>
            <w:tcW w:w="1118" w:type="dxa"/>
            <w:tcBorders>
              <w:top w:val="single" w:sz="2" w:space="0" w:color="auto"/>
              <w:bottom w:val="single" w:sz="2" w:space="0" w:color="auto"/>
            </w:tcBorders>
            <w:shd w:val="clear" w:color="auto" w:fill="auto"/>
            <w:noWrap/>
            <w:tcMar>
              <w:left w:w="28" w:type="dxa"/>
              <w:right w:w="28" w:type="dxa"/>
            </w:tcMar>
            <w:vAlign w:val="center"/>
          </w:tcPr>
          <w:p w14:paraId="02B7611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1.049.823</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5014BED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46EA383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14.167</w:t>
            </w:r>
          </w:p>
        </w:tc>
        <w:tc>
          <w:tcPr>
            <w:tcW w:w="644" w:type="dxa"/>
            <w:tcBorders>
              <w:top w:val="single" w:sz="2" w:space="0" w:color="auto"/>
              <w:bottom w:val="single" w:sz="2" w:space="0" w:color="auto"/>
            </w:tcBorders>
            <w:shd w:val="clear" w:color="auto" w:fill="auto"/>
            <w:noWrap/>
            <w:tcMar>
              <w:left w:w="28" w:type="dxa"/>
              <w:right w:w="28" w:type="dxa"/>
            </w:tcMar>
            <w:vAlign w:val="center"/>
          </w:tcPr>
          <w:p w14:paraId="227C6FD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14.592</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1ADBC30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45.089</w:t>
            </w:r>
          </w:p>
        </w:tc>
        <w:tc>
          <w:tcPr>
            <w:tcW w:w="644" w:type="dxa"/>
            <w:tcBorders>
              <w:top w:val="single" w:sz="2" w:space="0" w:color="auto"/>
              <w:bottom w:val="single" w:sz="2" w:space="0" w:color="auto"/>
            </w:tcBorders>
            <w:shd w:val="clear" w:color="auto" w:fill="auto"/>
            <w:noWrap/>
            <w:tcMar>
              <w:left w:w="28" w:type="dxa"/>
              <w:right w:w="28" w:type="dxa"/>
            </w:tcMar>
            <w:vAlign w:val="center"/>
          </w:tcPr>
          <w:p w14:paraId="7BD6C72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77.402</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79A2FF8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159.449</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7D32C31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197.079</w:t>
            </w:r>
          </w:p>
        </w:tc>
        <w:tc>
          <w:tcPr>
            <w:tcW w:w="644" w:type="dxa"/>
            <w:tcBorders>
              <w:top w:val="single" w:sz="2" w:space="0" w:color="auto"/>
              <w:bottom w:val="single" w:sz="2" w:space="0" w:color="auto"/>
            </w:tcBorders>
            <w:shd w:val="clear" w:color="auto" w:fill="auto"/>
            <w:noWrap/>
            <w:tcMar>
              <w:left w:w="28" w:type="dxa"/>
              <w:right w:w="28" w:type="dxa"/>
            </w:tcMar>
            <w:vAlign w:val="center"/>
          </w:tcPr>
          <w:p w14:paraId="1F729DA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253.739</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0B17AD6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261.351</w:t>
            </w:r>
          </w:p>
        </w:tc>
        <w:tc>
          <w:tcPr>
            <w:tcW w:w="644" w:type="dxa"/>
            <w:tcBorders>
              <w:top w:val="single" w:sz="2" w:space="0" w:color="auto"/>
              <w:bottom w:val="single" w:sz="2" w:space="0" w:color="auto"/>
            </w:tcBorders>
            <w:shd w:val="clear" w:color="auto" w:fill="auto"/>
            <w:noWrap/>
            <w:tcMar>
              <w:left w:w="28" w:type="dxa"/>
              <w:right w:w="28" w:type="dxa"/>
            </w:tcMar>
            <w:vAlign w:val="center"/>
          </w:tcPr>
          <w:p w14:paraId="2662DFD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269.192</w:t>
            </w:r>
          </w:p>
        </w:tc>
        <w:tc>
          <w:tcPr>
            <w:tcW w:w="747" w:type="dxa"/>
            <w:tcBorders>
              <w:top w:val="single" w:sz="2" w:space="0" w:color="auto"/>
              <w:bottom w:val="single" w:sz="2" w:space="0" w:color="auto"/>
            </w:tcBorders>
            <w:vAlign w:val="center"/>
          </w:tcPr>
          <w:p w14:paraId="3A321C2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277.268</w:t>
            </w:r>
          </w:p>
        </w:tc>
      </w:tr>
      <w:tr w:rsidR="00497092" w:rsidRPr="00644F20" w14:paraId="67D947D8" w14:textId="77777777">
        <w:trPr>
          <w:trHeight w:val="189"/>
        </w:trPr>
        <w:tc>
          <w:tcPr>
            <w:tcW w:w="714" w:type="dxa"/>
            <w:tcBorders>
              <w:top w:val="single" w:sz="2" w:space="0" w:color="auto"/>
              <w:bottom w:val="single" w:sz="2" w:space="0" w:color="auto"/>
            </w:tcBorders>
            <w:shd w:val="clear" w:color="auto" w:fill="auto"/>
            <w:noWrap/>
            <w:tcMar>
              <w:left w:w="28" w:type="dxa"/>
              <w:right w:w="28" w:type="dxa"/>
            </w:tcMar>
            <w:vAlign w:val="center"/>
          </w:tcPr>
          <w:p w14:paraId="35935E63"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2</w:t>
            </w:r>
          </w:p>
        </w:tc>
        <w:tc>
          <w:tcPr>
            <w:tcW w:w="1118" w:type="dxa"/>
            <w:tcBorders>
              <w:top w:val="single" w:sz="2" w:space="0" w:color="auto"/>
              <w:bottom w:val="single" w:sz="2" w:space="0" w:color="auto"/>
            </w:tcBorders>
            <w:shd w:val="clear" w:color="auto" w:fill="auto"/>
            <w:noWrap/>
            <w:tcMar>
              <w:left w:w="28" w:type="dxa"/>
              <w:right w:w="28" w:type="dxa"/>
            </w:tcMar>
            <w:vAlign w:val="center"/>
          </w:tcPr>
          <w:p w14:paraId="7198C7CA"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1.392.520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0D3589B2"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59F0282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14.167</w:t>
            </w:r>
          </w:p>
        </w:tc>
        <w:tc>
          <w:tcPr>
            <w:tcW w:w="644" w:type="dxa"/>
            <w:tcBorders>
              <w:top w:val="single" w:sz="2" w:space="0" w:color="auto"/>
              <w:bottom w:val="single" w:sz="2" w:space="0" w:color="auto"/>
            </w:tcBorders>
            <w:shd w:val="clear" w:color="auto" w:fill="auto"/>
            <w:noWrap/>
            <w:tcMar>
              <w:left w:w="28" w:type="dxa"/>
              <w:right w:w="28" w:type="dxa"/>
            </w:tcMar>
            <w:vAlign w:val="center"/>
          </w:tcPr>
          <w:p w14:paraId="6D40A29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29.184</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63A9D5C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60.118</w:t>
            </w:r>
          </w:p>
        </w:tc>
        <w:tc>
          <w:tcPr>
            <w:tcW w:w="644" w:type="dxa"/>
            <w:tcBorders>
              <w:top w:val="single" w:sz="2" w:space="0" w:color="auto"/>
              <w:bottom w:val="single" w:sz="2" w:space="0" w:color="auto"/>
            </w:tcBorders>
            <w:shd w:val="clear" w:color="auto" w:fill="auto"/>
            <w:noWrap/>
            <w:tcMar>
              <w:left w:w="28" w:type="dxa"/>
              <w:right w:w="28" w:type="dxa"/>
            </w:tcMar>
            <w:vAlign w:val="center"/>
          </w:tcPr>
          <w:p w14:paraId="057A9D7E"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123.844</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4BF8A3B8"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191.339</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1CADA57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246.349</w:t>
            </w:r>
          </w:p>
        </w:tc>
        <w:tc>
          <w:tcPr>
            <w:tcW w:w="644" w:type="dxa"/>
            <w:tcBorders>
              <w:top w:val="single" w:sz="2" w:space="0" w:color="auto"/>
              <w:bottom w:val="single" w:sz="2" w:space="0" w:color="auto"/>
            </w:tcBorders>
            <w:shd w:val="clear" w:color="auto" w:fill="auto"/>
            <w:noWrap/>
            <w:tcMar>
              <w:left w:w="28" w:type="dxa"/>
              <w:right w:w="28" w:type="dxa"/>
            </w:tcMar>
            <w:vAlign w:val="center"/>
          </w:tcPr>
          <w:p w14:paraId="4CB23F2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338.319</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6D2D31A6"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348.468</w:t>
            </w:r>
          </w:p>
        </w:tc>
        <w:tc>
          <w:tcPr>
            <w:tcW w:w="644" w:type="dxa"/>
            <w:tcBorders>
              <w:top w:val="single" w:sz="2" w:space="0" w:color="auto"/>
              <w:bottom w:val="single" w:sz="2" w:space="0" w:color="auto"/>
            </w:tcBorders>
            <w:shd w:val="clear" w:color="auto" w:fill="auto"/>
            <w:noWrap/>
            <w:tcMar>
              <w:left w:w="28" w:type="dxa"/>
              <w:right w:w="28" w:type="dxa"/>
            </w:tcMar>
            <w:vAlign w:val="center"/>
          </w:tcPr>
          <w:p w14:paraId="79D6AAE2"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358.922</w:t>
            </w:r>
          </w:p>
        </w:tc>
        <w:tc>
          <w:tcPr>
            <w:tcW w:w="747" w:type="dxa"/>
            <w:tcBorders>
              <w:top w:val="single" w:sz="2" w:space="0" w:color="auto"/>
              <w:bottom w:val="single" w:sz="2" w:space="0" w:color="auto"/>
            </w:tcBorders>
            <w:vAlign w:val="center"/>
          </w:tcPr>
          <w:p w14:paraId="3B668A6D"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369.690</w:t>
            </w:r>
          </w:p>
        </w:tc>
      </w:tr>
      <w:tr w:rsidR="00497092" w:rsidRPr="00644F20" w14:paraId="7D903F79" w14:textId="77777777">
        <w:trPr>
          <w:trHeight w:val="189"/>
        </w:trPr>
        <w:tc>
          <w:tcPr>
            <w:tcW w:w="714" w:type="dxa"/>
            <w:tcBorders>
              <w:top w:val="single" w:sz="2" w:space="0" w:color="auto"/>
              <w:bottom w:val="single" w:sz="8" w:space="0" w:color="auto"/>
            </w:tcBorders>
            <w:shd w:val="clear" w:color="auto" w:fill="auto"/>
            <w:noWrap/>
            <w:tcMar>
              <w:left w:w="28" w:type="dxa"/>
              <w:right w:w="28" w:type="dxa"/>
            </w:tcMar>
            <w:vAlign w:val="center"/>
          </w:tcPr>
          <w:p w14:paraId="15A617EA"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3</w:t>
            </w:r>
          </w:p>
        </w:tc>
        <w:tc>
          <w:tcPr>
            <w:tcW w:w="1118" w:type="dxa"/>
            <w:tcBorders>
              <w:top w:val="single" w:sz="2" w:space="0" w:color="auto"/>
              <w:bottom w:val="single" w:sz="8" w:space="0" w:color="auto"/>
            </w:tcBorders>
            <w:shd w:val="clear" w:color="auto" w:fill="auto"/>
            <w:noWrap/>
            <w:tcMar>
              <w:left w:w="28" w:type="dxa"/>
              <w:right w:w="28" w:type="dxa"/>
            </w:tcMar>
            <w:vAlign w:val="center"/>
          </w:tcPr>
          <w:p w14:paraId="1FF03BC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1.688.740</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5E3338D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6E182BE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14.167</w:t>
            </w:r>
          </w:p>
        </w:tc>
        <w:tc>
          <w:tcPr>
            <w:tcW w:w="644" w:type="dxa"/>
            <w:tcBorders>
              <w:top w:val="single" w:sz="2" w:space="0" w:color="auto"/>
              <w:bottom w:val="single" w:sz="8" w:space="0" w:color="auto"/>
            </w:tcBorders>
            <w:shd w:val="clear" w:color="auto" w:fill="auto"/>
            <w:noWrap/>
            <w:tcMar>
              <w:left w:w="28" w:type="dxa"/>
              <w:right w:w="28" w:type="dxa"/>
            </w:tcMar>
            <w:vAlign w:val="center"/>
          </w:tcPr>
          <w:p w14:paraId="305925A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43.776</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6706E88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75.148</w:t>
            </w:r>
          </w:p>
        </w:tc>
        <w:tc>
          <w:tcPr>
            <w:tcW w:w="644" w:type="dxa"/>
            <w:tcBorders>
              <w:top w:val="single" w:sz="2" w:space="0" w:color="auto"/>
              <w:bottom w:val="single" w:sz="8" w:space="0" w:color="auto"/>
            </w:tcBorders>
            <w:shd w:val="clear" w:color="auto" w:fill="auto"/>
            <w:noWrap/>
            <w:tcMar>
              <w:left w:w="28" w:type="dxa"/>
              <w:right w:w="28" w:type="dxa"/>
            </w:tcMar>
            <w:vAlign w:val="center"/>
          </w:tcPr>
          <w:p w14:paraId="0F14B52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154.805</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2877698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223.229</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0817FBE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295.618</w:t>
            </w:r>
          </w:p>
        </w:tc>
        <w:tc>
          <w:tcPr>
            <w:tcW w:w="644" w:type="dxa"/>
            <w:tcBorders>
              <w:top w:val="single" w:sz="2" w:space="0" w:color="auto"/>
              <w:bottom w:val="single" w:sz="8" w:space="0" w:color="auto"/>
            </w:tcBorders>
            <w:shd w:val="clear" w:color="auto" w:fill="auto"/>
            <w:noWrap/>
            <w:tcMar>
              <w:left w:w="28" w:type="dxa"/>
              <w:right w:w="28" w:type="dxa"/>
            </w:tcMar>
            <w:vAlign w:val="center"/>
          </w:tcPr>
          <w:p w14:paraId="1B282FB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372.151</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6FBBC5B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435.585</w:t>
            </w:r>
          </w:p>
        </w:tc>
        <w:tc>
          <w:tcPr>
            <w:tcW w:w="644" w:type="dxa"/>
            <w:tcBorders>
              <w:top w:val="single" w:sz="2" w:space="0" w:color="auto"/>
              <w:bottom w:val="single" w:sz="8" w:space="0" w:color="auto"/>
            </w:tcBorders>
            <w:shd w:val="clear" w:color="auto" w:fill="auto"/>
            <w:noWrap/>
            <w:tcMar>
              <w:left w:w="28" w:type="dxa"/>
              <w:right w:w="28" w:type="dxa"/>
            </w:tcMar>
            <w:vAlign w:val="center"/>
          </w:tcPr>
          <w:p w14:paraId="119DD55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448.653</w:t>
            </w:r>
          </w:p>
        </w:tc>
        <w:tc>
          <w:tcPr>
            <w:tcW w:w="747" w:type="dxa"/>
            <w:tcBorders>
              <w:top w:val="single" w:sz="2" w:space="0" w:color="auto"/>
              <w:bottom w:val="single" w:sz="8" w:space="0" w:color="auto"/>
            </w:tcBorders>
            <w:vAlign w:val="center"/>
          </w:tcPr>
          <w:p w14:paraId="6F0DC01E"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462.113</w:t>
            </w:r>
          </w:p>
        </w:tc>
      </w:tr>
    </w:tbl>
    <w:p w14:paraId="21DFF979" w14:textId="77777777" w:rsidR="00497092" w:rsidRPr="00644F20" w:rsidRDefault="002F45E1" w:rsidP="0041506A">
      <w:pPr>
        <w:spacing w:before="120"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Укупне потенцијалне економске уштеде за три привредна сектора по основу смањења употребе ресурса и енергије за период од 2022. до 2032. године крећу се у интервалу између 1.049 и 1.668 милијарди динара (дисконтована вредност).</w:t>
      </w:r>
    </w:p>
    <w:p w14:paraId="28725BD1" w14:textId="77777777" w:rsidR="00497092" w:rsidRPr="00644F20" w:rsidRDefault="002F45E1" w:rsidP="0041506A">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Смањење употребе ресурса и енергије због примене принципа циркуларне економије има позитиван утицај на пораст продуктивности у посматраним привредним секторима што даље има за резултат и промену бруто домаћег производа. У наредној табели је приказано потенцијално повећање бруто домаћег производа у Републици Србији.</w:t>
      </w:r>
    </w:p>
    <w:p w14:paraId="463937FE" w14:textId="77777777" w:rsidR="001D1729" w:rsidRPr="00644F20" w:rsidRDefault="001D1729" w:rsidP="0041506A">
      <w:pPr>
        <w:spacing w:after="120" w:line="276" w:lineRule="auto"/>
        <w:ind w:firstLine="720"/>
        <w:jc w:val="both"/>
        <w:rPr>
          <w:rFonts w:ascii="Times New Roman" w:hAnsi="Times New Roman" w:cs="Times New Roman"/>
          <w:sz w:val="24"/>
          <w:szCs w:val="24"/>
          <w:lang w:val="sr-Cyrl-CS"/>
        </w:rPr>
      </w:pPr>
    </w:p>
    <w:p w14:paraId="1C25E7AA" w14:textId="77777777" w:rsidR="001D1729" w:rsidRPr="00644F20" w:rsidRDefault="001D1729" w:rsidP="0041506A">
      <w:pPr>
        <w:spacing w:after="120" w:line="276" w:lineRule="auto"/>
        <w:ind w:firstLine="720"/>
        <w:jc w:val="both"/>
        <w:rPr>
          <w:rFonts w:ascii="Times New Roman" w:hAnsi="Times New Roman" w:cs="Times New Roman"/>
          <w:sz w:val="24"/>
          <w:szCs w:val="24"/>
          <w:lang w:val="sr-Cyrl-CS"/>
        </w:rPr>
      </w:pPr>
    </w:p>
    <w:p w14:paraId="753516CF" w14:textId="77777777" w:rsidR="00497092" w:rsidRPr="00644F20" w:rsidRDefault="002F45E1">
      <w:pPr>
        <w:spacing w:after="60"/>
        <w:jc w:val="both"/>
        <w:rPr>
          <w:rFonts w:ascii="Times New Roman" w:hAnsi="Times New Roman" w:cs="Times New Roman"/>
          <w:lang w:val="sr-Cyrl-CS"/>
        </w:rPr>
      </w:pPr>
      <w:r w:rsidRPr="00644F20">
        <w:rPr>
          <w:rFonts w:ascii="Times New Roman" w:hAnsi="Times New Roman" w:cs="Times New Roman"/>
          <w:b/>
          <w:lang w:val="sr-Cyrl-CS"/>
        </w:rPr>
        <w:lastRenderedPageBreak/>
        <w:t>Табела 5.3</w:t>
      </w:r>
      <w:r w:rsidRPr="00644F20">
        <w:rPr>
          <w:rFonts w:ascii="Times New Roman" w:hAnsi="Times New Roman" w:cs="Times New Roman"/>
          <w:lang w:val="sr-Cyrl-CS"/>
        </w:rPr>
        <w:t xml:space="preserve"> </w:t>
      </w:r>
      <w:r w:rsidR="001B6E66" w:rsidRPr="00644F20">
        <w:rPr>
          <w:rFonts w:ascii="Times New Roman" w:hAnsi="Times New Roman" w:cs="Times New Roman"/>
          <w:lang w:val="sr-Cyrl-CS"/>
        </w:rPr>
        <w:t>БДП</w:t>
      </w:r>
      <w:r w:rsidRPr="00644F20">
        <w:rPr>
          <w:rFonts w:ascii="Times New Roman" w:hAnsi="Times New Roman" w:cs="Times New Roman"/>
          <w:lang w:val="sr-Cyrl-CS"/>
        </w:rPr>
        <w:t xml:space="preserve"> (промена у односу на status quo сценарио, милиони динара, константне цене из 2021. године)</w:t>
      </w:r>
    </w:p>
    <w:tbl>
      <w:tblPr>
        <w:tblW w:w="9000" w:type="dxa"/>
        <w:tblBorders>
          <w:top w:val="single" w:sz="4" w:space="0" w:color="auto"/>
          <w:bottom w:val="single" w:sz="4" w:space="0" w:color="auto"/>
        </w:tblBorders>
        <w:tblLayout w:type="fixed"/>
        <w:tblLook w:val="04A0" w:firstRow="1" w:lastRow="0" w:firstColumn="1" w:lastColumn="0" w:noHBand="0" w:noVBand="1"/>
      </w:tblPr>
      <w:tblGrid>
        <w:gridCol w:w="709"/>
        <w:gridCol w:w="1109"/>
        <w:gridCol w:w="638"/>
        <w:gridCol w:w="638"/>
        <w:gridCol w:w="638"/>
        <w:gridCol w:w="638"/>
        <w:gridCol w:w="638"/>
        <w:gridCol w:w="638"/>
        <w:gridCol w:w="638"/>
        <w:gridCol w:w="638"/>
        <w:gridCol w:w="638"/>
        <w:gridCol w:w="638"/>
        <w:gridCol w:w="802"/>
      </w:tblGrid>
      <w:tr w:rsidR="00497092" w:rsidRPr="00644F20" w14:paraId="52C33A31" w14:textId="77777777">
        <w:trPr>
          <w:trHeight w:val="131"/>
        </w:trPr>
        <w:tc>
          <w:tcPr>
            <w:tcW w:w="709" w:type="dxa"/>
            <w:tcBorders>
              <w:top w:val="single" w:sz="8" w:space="0" w:color="auto"/>
              <w:bottom w:val="single" w:sz="8" w:space="0" w:color="auto"/>
            </w:tcBorders>
            <w:shd w:val="clear" w:color="auto" w:fill="auto"/>
            <w:noWrap/>
            <w:tcMar>
              <w:left w:w="28" w:type="dxa"/>
              <w:right w:w="28" w:type="dxa"/>
            </w:tcMar>
            <w:vAlign w:val="center"/>
          </w:tcPr>
          <w:p w14:paraId="10B8E9EE" w14:textId="77777777" w:rsidR="00497092" w:rsidRPr="00644F20" w:rsidRDefault="002F45E1">
            <w:pPr>
              <w:spacing w:after="0" w:line="240" w:lineRule="auto"/>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Опција</w:t>
            </w:r>
          </w:p>
        </w:tc>
        <w:tc>
          <w:tcPr>
            <w:tcW w:w="1109" w:type="dxa"/>
            <w:tcBorders>
              <w:top w:val="single" w:sz="8" w:space="0" w:color="auto"/>
              <w:bottom w:val="single" w:sz="8" w:space="0" w:color="auto"/>
            </w:tcBorders>
            <w:shd w:val="clear" w:color="auto" w:fill="auto"/>
            <w:noWrap/>
            <w:tcMar>
              <w:left w:w="28" w:type="dxa"/>
              <w:right w:w="28" w:type="dxa"/>
            </w:tcMar>
            <w:vAlign w:val="center"/>
          </w:tcPr>
          <w:p w14:paraId="20F30423"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Дисконтована</w:t>
            </w:r>
          </w:p>
          <w:p w14:paraId="25F280CB"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вредност</w:t>
            </w:r>
          </w:p>
          <w:p w14:paraId="6343A98F"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(2022-2032)</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35CCCD88"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0CF5BA8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2023</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4A021BB2"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2024</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4DED5427"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2025</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24C249DD"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2026</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4C987A20"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2027</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10920B79"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2028</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4DCEDF5F"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2029</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145C251E"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2030</w:t>
            </w:r>
          </w:p>
        </w:tc>
        <w:tc>
          <w:tcPr>
            <w:tcW w:w="638" w:type="dxa"/>
            <w:tcBorders>
              <w:top w:val="single" w:sz="8" w:space="0" w:color="auto"/>
              <w:bottom w:val="single" w:sz="8" w:space="0" w:color="auto"/>
            </w:tcBorders>
            <w:shd w:val="clear" w:color="auto" w:fill="auto"/>
            <w:noWrap/>
            <w:tcMar>
              <w:left w:w="28" w:type="dxa"/>
              <w:right w:w="28" w:type="dxa"/>
            </w:tcMar>
            <w:vAlign w:val="center"/>
          </w:tcPr>
          <w:p w14:paraId="2E08AF10"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2031</w:t>
            </w:r>
          </w:p>
        </w:tc>
        <w:tc>
          <w:tcPr>
            <w:tcW w:w="802" w:type="dxa"/>
            <w:tcBorders>
              <w:top w:val="single" w:sz="8" w:space="0" w:color="auto"/>
              <w:bottom w:val="single" w:sz="8" w:space="0" w:color="auto"/>
            </w:tcBorders>
            <w:vAlign w:val="center"/>
          </w:tcPr>
          <w:p w14:paraId="1E30D760"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2032</w:t>
            </w:r>
          </w:p>
        </w:tc>
      </w:tr>
      <w:tr w:rsidR="00497092" w:rsidRPr="00644F20" w14:paraId="52CDF8FE" w14:textId="77777777">
        <w:trPr>
          <w:trHeight w:val="131"/>
        </w:trPr>
        <w:tc>
          <w:tcPr>
            <w:tcW w:w="709" w:type="dxa"/>
            <w:tcBorders>
              <w:top w:val="single" w:sz="8" w:space="0" w:color="auto"/>
              <w:bottom w:val="single" w:sz="2" w:space="0" w:color="auto"/>
            </w:tcBorders>
            <w:shd w:val="clear" w:color="auto" w:fill="auto"/>
            <w:noWrap/>
            <w:tcMar>
              <w:left w:w="28" w:type="dxa"/>
              <w:right w:w="28" w:type="dxa"/>
            </w:tcMar>
            <w:vAlign w:val="center"/>
          </w:tcPr>
          <w:p w14:paraId="269C4C1C"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Status quo</w:t>
            </w:r>
          </w:p>
        </w:tc>
        <w:tc>
          <w:tcPr>
            <w:tcW w:w="1109" w:type="dxa"/>
            <w:tcBorders>
              <w:top w:val="single" w:sz="8" w:space="0" w:color="auto"/>
              <w:bottom w:val="single" w:sz="2" w:space="0" w:color="auto"/>
            </w:tcBorders>
            <w:shd w:val="clear" w:color="auto" w:fill="auto"/>
            <w:noWrap/>
            <w:tcMar>
              <w:left w:w="28" w:type="dxa"/>
              <w:right w:w="28" w:type="dxa"/>
            </w:tcMar>
            <w:vAlign w:val="center"/>
          </w:tcPr>
          <w:p w14:paraId="55208DA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5CE67A4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10EE14B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189D944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704E8C4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1067B4B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758CAA5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306EDD7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2832D16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40985EF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8" w:space="0" w:color="auto"/>
              <w:bottom w:val="single" w:sz="2" w:space="0" w:color="auto"/>
            </w:tcBorders>
            <w:shd w:val="clear" w:color="auto" w:fill="auto"/>
            <w:noWrap/>
            <w:tcMar>
              <w:left w:w="28" w:type="dxa"/>
              <w:right w:w="28" w:type="dxa"/>
            </w:tcMar>
            <w:vAlign w:val="center"/>
          </w:tcPr>
          <w:p w14:paraId="307F2D6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802" w:type="dxa"/>
            <w:tcBorders>
              <w:top w:val="single" w:sz="8" w:space="0" w:color="auto"/>
              <w:bottom w:val="single" w:sz="2" w:space="0" w:color="auto"/>
            </w:tcBorders>
            <w:vAlign w:val="center"/>
          </w:tcPr>
          <w:p w14:paraId="19FE7B5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r>
      <w:tr w:rsidR="00497092" w:rsidRPr="00644F20" w14:paraId="718C314A" w14:textId="77777777">
        <w:trPr>
          <w:trHeight w:val="131"/>
        </w:trPr>
        <w:tc>
          <w:tcPr>
            <w:tcW w:w="709" w:type="dxa"/>
            <w:tcBorders>
              <w:top w:val="single" w:sz="2" w:space="0" w:color="auto"/>
              <w:bottom w:val="single" w:sz="2" w:space="0" w:color="auto"/>
            </w:tcBorders>
            <w:shd w:val="clear" w:color="auto" w:fill="auto"/>
            <w:noWrap/>
            <w:tcMar>
              <w:left w:w="28" w:type="dxa"/>
              <w:right w:w="28" w:type="dxa"/>
            </w:tcMar>
            <w:vAlign w:val="center"/>
          </w:tcPr>
          <w:p w14:paraId="42D5F9F2"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1</w:t>
            </w:r>
          </w:p>
        </w:tc>
        <w:tc>
          <w:tcPr>
            <w:tcW w:w="1109" w:type="dxa"/>
            <w:tcBorders>
              <w:top w:val="single" w:sz="2" w:space="0" w:color="auto"/>
              <w:bottom w:val="single" w:sz="2" w:space="0" w:color="auto"/>
            </w:tcBorders>
            <w:shd w:val="clear" w:color="auto" w:fill="auto"/>
            <w:noWrap/>
            <w:tcMar>
              <w:left w:w="28" w:type="dxa"/>
              <w:right w:w="28" w:type="dxa"/>
            </w:tcMar>
            <w:vAlign w:val="center"/>
          </w:tcPr>
          <w:p w14:paraId="25E2924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186.795</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0013889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086AC81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2.834</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038A002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5.840</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6034C6B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9.627</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63B7DCA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14.878</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1F998EB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21.719</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610519A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28.964</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1BB73D8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36.630</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5FC0D7B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44.737</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04202F4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53.304</w:t>
            </w:r>
          </w:p>
        </w:tc>
        <w:tc>
          <w:tcPr>
            <w:tcW w:w="802" w:type="dxa"/>
            <w:tcBorders>
              <w:top w:val="single" w:sz="2" w:space="0" w:color="auto"/>
              <w:bottom w:val="single" w:sz="2" w:space="0" w:color="auto"/>
            </w:tcBorders>
            <w:vAlign w:val="center"/>
          </w:tcPr>
          <w:p w14:paraId="61C22ED9"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62.353</w:t>
            </w:r>
          </w:p>
        </w:tc>
      </w:tr>
      <w:tr w:rsidR="00497092" w:rsidRPr="00644F20" w14:paraId="258C9A54" w14:textId="77777777">
        <w:trPr>
          <w:trHeight w:val="131"/>
        </w:trPr>
        <w:tc>
          <w:tcPr>
            <w:tcW w:w="709" w:type="dxa"/>
            <w:tcBorders>
              <w:top w:val="single" w:sz="2" w:space="0" w:color="auto"/>
              <w:bottom w:val="single" w:sz="2" w:space="0" w:color="auto"/>
            </w:tcBorders>
            <w:shd w:val="clear" w:color="auto" w:fill="auto"/>
            <w:noWrap/>
            <w:tcMar>
              <w:left w:w="28" w:type="dxa"/>
              <w:right w:w="28" w:type="dxa"/>
            </w:tcMar>
            <w:vAlign w:val="center"/>
          </w:tcPr>
          <w:p w14:paraId="2A4BEAC1"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2</w:t>
            </w:r>
          </w:p>
        </w:tc>
        <w:tc>
          <w:tcPr>
            <w:tcW w:w="1109" w:type="dxa"/>
            <w:tcBorders>
              <w:top w:val="single" w:sz="2" w:space="0" w:color="auto"/>
              <w:bottom w:val="single" w:sz="2" w:space="0" w:color="auto"/>
            </w:tcBorders>
            <w:shd w:val="clear" w:color="auto" w:fill="auto"/>
            <w:noWrap/>
            <w:tcMar>
              <w:left w:w="28" w:type="dxa"/>
              <w:right w:w="28" w:type="dxa"/>
            </w:tcMar>
            <w:vAlign w:val="center"/>
          </w:tcPr>
          <w:p w14:paraId="3D79C628"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411.471</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03B3B06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1F83C21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2.834</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1CB93E80"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6.424</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099F880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11.433</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4832FC2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17.981</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66FFCB5D"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31.316</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7E29AA4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52.063</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1F75D9BB"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80.906</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072EAB7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111.543</w:t>
            </w:r>
          </w:p>
        </w:tc>
        <w:tc>
          <w:tcPr>
            <w:tcW w:w="638" w:type="dxa"/>
            <w:tcBorders>
              <w:top w:val="single" w:sz="2" w:space="0" w:color="auto"/>
              <w:bottom w:val="single" w:sz="2" w:space="0" w:color="auto"/>
            </w:tcBorders>
            <w:shd w:val="clear" w:color="auto" w:fill="auto"/>
            <w:noWrap/>
            <w:tcMar>
              <w:left w:w="28" w:type="dxa"/>
              <w:right w:w="28" w:type="dxa"/>
            </w:tcMar>
            <w:vAlign w:val="center"/>
          </w:tcPr>
          <w:p w14:paraId="247571A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144.057</w:t>
            </w:r>
          </w:p>
        </w:tc>
        <w:tc>
          <w:tcPr>
            <w:tcW w:w="802" w:type="dxa"/>
            <w:tcBorders>
              <w:top w:val="single" w:sz="2" w:space="0" w:color="auto"/>
              <w:bottom w:val="single" w:sz="2" w:space="0" w:color="auto"/>
            </w:tcBorders>
            <w:vAlign w:val="center"/>
          </w:tcPr>
          <w:p w14:paraId="48955FE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178.539</w:t>
            </w:r>
          </w:p>
        </w:tc>
      </w:tr>
      <w:tr w:rsidR="00497092" w:rsidRPr="00644F20" w14:paraId="12018BDF" w14:textId="77777777">
        <w:trPr>
          <w:trHeight w:val="131"/>
        </w:trPr>
        <w:tc>
          <w:tcPr>
            <w:tcW w:w="709" w:type="dxa"/>
            <w:tcBorders>
              <w:top w:val="single" w:sz="2" w:space="0" w:color="auto"/>
              <w:bottom w:val="single" w:sz="8" w:space="0" w:color="auto"/>
            </w:tcBorders>
            <w:shd w:val="clear" w:color="auto" w:fill="auto"/>
            <w:noWrap/>
            <w:tcMar>
              <w:left w:w="28" w:type="dxa"/>
              <w:right w:w="28" w:type="dxa"/>
            </w:tcMar>
            <w:vAlign w:val="center"/>
          </w:tcPr>
          <w:p w14:paraId="1E093C98"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3</w:t>
            </w:r>
          </w:p>
        </w:tc>
        <w:tc>
          <w:tcPr>
            <w:tcW w:w="1109" w:type="dxa"/>
            <w:tcBorders>
              <w:top w:val="single" w:sz="2" w:space="0" w:color="auto"/>
              <w:bottom w:val="single" w:sz="8" w:space="0" w:color="auto"/>
            </w:tcBorders>
            <w:shd w:val="clear" w:color="auto" w:fill="auto"/>
            <w:noWrap/>
            <w:tcMar>
              <w:left w:w="28" w:type="dxa"/>
              <w:right w:w="28" w:type="dxa"/>
            </w:tcMar>
            <w:vAlign w:val="center"/>
          </w:tcPr>
          <w:p w14:paraId="63664FE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538.006</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67147C6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17F6593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2.834</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60C8360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7.008</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7BCD1E6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13.239</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0714454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21.085</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2FB2E2B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37.719</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7CAFDD6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65.287</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01CE3D6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101.413</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6016185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146.892</w:t>
            </w:r>
          </w:p>
        </w:tc>
        <w:tc>
          <w:tcPr>
            <w:tcW w:w="638" w:type="dxa"/>
            <w:tcBorders>
              <w:top w:val="single" w:sz="2" w:space="0" w:color="auto"/>
              <w:bottom w:val="single" w:sz="8" w:space="0" w:color="auto"/>
            </w:tcBorders>
            <w:shd w:val="clear" w:color="auto" w:fill="auto"/>
            <w:noWrap/>
            <w:tcMar>
              <w:left w:w="28" w:type="dxa"/>
              <w:right w:w="28" w:type="dxa"/>
            </w:tcMar>
            <w:vAlign w:val="center"/>
          </w:tcPr>
          <w:p w14:paraId="4AB0BAD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195.263</w:t>
            </w:r>
          </w:p>
        </w:tc>
        <w:tc>
          <w:tcPr>
            <w:tcW w:w="802" w:type="dxa"/>
            <w:tcBorders>
              <w:top w:val="single" w:sz="2" w:space="0" w:color="auto"/>
              <w:bottom w:val="single" w:sz="8" w:space="0" w:color="auto"/>
            </w:tcBorders>
            <w:vAlign w:val="center"/>
          </w:tcPr>
          <w:p w14:paraId="78FCB6E6"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246.668</w:t>
            </w:r>
          </w:p>
        </w:tc>
      </w:tr>
    </w:tbl>
    <w:p w14:paraId="605F964B" w14:textId="77777777" w:rsidR="00497092" w:rsidRPr="00644F20" w:rsidRDefault="002F45E1">
      <w:pPr>
        <w:spacing w:before="120"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Пројекција кретања БДП-а у наредном периоду од десет година за сваку од анализираних опција је дата на следећој слици.</w:t>
      </w:r>
    </w:p>
    <w:p w14:paraId="4E15A27F" w14:textId="77777777" w:rsidR="00497092" w:rsidRPr="00644F20" w:rsidRDefault="002F45E1">
      <w:pPr>
        <w:spacing w:before="120"/>
        <w:jc w:val="center"/>
        <w:rPr>
          <w:rFonts w:ascii="Times New Roman" w:hAnsi="Times New Roman" w:cs="Times New Roman"/>
          <w:lang w:val="sr-Cyrl-CS"/>
        </w:rPr>
      </w:pPr>
      <w:r w:rsidRPr="00644F20">
        <w:rPr>
          <w:noProof/>
        </w:rPr>
        <w:drawing>
          <wp:inline distT="0" distB="0" distL="0" distR="0" wp14:anchorId="0EF6D2E5" wp14:editId="2E0547B3">
            <wp:extent cx="4513580" cy="2669540"/>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4533840" cy="2681874"/>
                    </a:xfrm>
                    <a:prstGeom prst="rect">
                      <a:avLst/>
                    </a:prstGeom>
                    <a:noFill/>
                    <a:ln>
                      <a:noFill/>
                    </a:ln>
                  </pic:spPr>
                </pic:pic>
              </a:graphicData>
            </a:graphic>
          </wp:inline>
        </w:drawing>
      </w:r>
    </w:p>
    <w:p w14:paraId="2F07C784" w14:textId="77777777" w:rsidR="00497092" w:rsidRPr="00644F20" w:rsidRDefault="002F45E1">
      <w:pPr>
        <w:jc w:val="both"/>
        <w:rPr>
          <w:rFonts w:ascii="Times New Roman" w:hAnsi="Times New Roman" w:cs="Times New Roman"/>
          <w:lang w:val="sr-Cyrl-CS"/>
        </w:rPr>
      </w:pPr>
      <w:r w:rsidRPr="00644F20">
        <w:rPr>
          <w:rFonts w:ascii="Times New Roman" w:hAnsi="Times New Roman" w:cs="Times New Roman"/>
          <w:b/>
          <w:lang w:val="sr-Cyrl-CS"/>
        </w:rPr>
        <w:t>Слика 5.1.</w:t>
      </w:r>
      <w:r w:rsidRPr="00644F20">
        <w:rPr>
          <w:rFonts w:ascii="Times New Roman" w:hAnsi="Times New Roman" w:cs="Times New Roman"/>
          <w:lang w:val="sr-Cyrl-CS"/>
        </w:rPr>
        <w:t xml:space="preserve"> Пројекција БДП-а (2022-2032, милиони динара, константне цене из 2021. године)</w:t>
      </w:r>
    </w:p>
    <w:p w14:paraId="587DE393"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Када је у питању запосленост, досадашња емпиријска истраживања указују да је највећи позитиван утицај циркуларне економије видљив у сектору управљања отпадом (укључујући и рециклирање). С друге стране, може се појавити негативан утицај у сектору грађевинарства, као последица повећања продуктивности и коришћења нових техника грађења, али и у секторима који се односе на производњу трајних потрошних добара, попут електронике и моторних возила. Процењени ефекти на запосленост могу бити и другачији, зависно од степена механизације и аутоматизације тих послова. У предложеним опцијама се полази од претпоставке да ће секторска померања на тржишту рада услед примене концепта циркуларне економије у складу са овим програмом имати позитиван нето ефекат на укупну запосленост у привреди у наредном периоду.</w:t>
      </w:r>
    </w:p>
    <w:p w14:paraId="70906953" w14:textId="77777777" w:rsidR="00497092" w:rsidRPr="00644F20" w:rsidRDefault="002F45E1" w:rsidP="0041506A">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Наредна табела даје преглед пораста запослености по опцијама у односу на status quo.</w:t>
      </w:r>
    </w:p>
    <w:p w14:paraId="6F2576B5" w14:textId="77777777" w:rsidR="00497092" w:rsidRPr="00644F20" w:rsidRDefault="002F45E1">
      <w:pPr>
        <w:spacing w:after="60"/>
        <w:jc w:val="both"/>
        <w:rPr>
          <w:rFonts w:ascii="Times New Roman" w:hAnsi="Times New Roman" w:cs="Times New Roman"/>
          <w:lang w:val="sr-Cyrl-CS"/>
        </w:rPr>
      </w:pPr>
      <w:r w:rsidRPr="00644F20">
        <w:rPr>
          <w:rFonts w:ascii="Times New Roman" w:hAnsi="Times New Roman" w:cs="Times New Roman"/>
          <w:b/>
          <w:lang w:val="sr-Cyrl-CS"/>
        </w:rPr>
        <w:t>Табела 5.4</w:t>
      </w:r>
      <w:r w:rsidRPr="00644F20">
        <w:rPr>
          <w:rFonts w:ascii="Times New Roman" w:hAnsi="Times New Roman" w:cs="Times New Roman"/>
          <w:lang w:val="sr-Cyrl-CS"/>
        </w:rPr>
        <w:t xml:space="preserve"> Број запослених (промена у односу на status quo сценарио)</w:t>
      </w:r>
    </w:p>
    <w:tbl>
      <w:tblPr>
        <w:tblW w:w="8994" w:type="dxa"/>
        <w:tblBorders>
          <w:top w:val="single" w:sz="4" w:space="0" w:color="auto"/>
          <w:bottom w:val="single" w:sz="4" w:space="0" w:color="auto"/>
        </w:tblBorders>
        <w:tblLayout w:type="fixed"/>
        <w:tblLook w:val="04A0" w:firstRow="1" w:lastRow="0" w:firstColumn="1" w:lastColumn="0" w:noHBand="0" w:noVBand="1"/>
      </w:tblPr>
      <w:tblGrid>
        <w:gridCol w:w="851"/>
        <w:gridCol w:w="983"/>
        <w:gridCol w:w="643"/>
        <w:gridCol w:w="643"/>
        <w:gridCol w:w="643"/>
        <w:gridCol w:w="643"/>
        <w:gridCol w:w="643"/>
        <w:gridCol w:w="643"/>
        <w:gridCol w:w="643"/>
        <w:gridCol w:w="643"/>
        <w:gridCol w:w="643"/>
        <w:gridCol w:w="643"/>
        <w:gridCol w:w="730"/>
      </w:tblGrid>
      <w:tr w:rsidR="00497092" w:rsidRPr="00644F20" w14:paraId="4E692D0E" w14:textId="77777777">
        <w:trPr>
          <w:trHeight w:val="121"/>
        </w:trPr>
        <w:tc>
          <w:tcPr>
            <w:tcW w:w="851" w:type="dxa"/>
            <w:tcBorders>
              <w:top w:val="single" w:sz="8" w:space="0" w:color="auto"/>
              <w:bottom w:val="single" w:sz="8" w:space="0" w:color="auto"/>
            </w:tcBorders>
            <w:shd w:val="clear" w:color="auto" w:fill="auto"/>
            <w:noWrap/>
            <w:tcMar>
              <w:left w:w="28" w:type="dxa"/>
              <w:right w:w="28" w:type="dxa"/>
            </w:tcMar>
            <w:vAlign w:val="center"/>
          </w:tcPr>
          <w:p w14:paraId="0B47EAC7" w14:textId="77777777" w:rsidR="00497092" w:rsidRPr="00644F20" w:rsidRDefault="002F45E1">
            <w:pPr>
              <w:spacing w:after="0" w:line="240" w:lineRule="auto"/>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Опција</w:t>
            </w:r>
          </w:p>
        </w:tc>
        <w:tc>
          <w:tcPr>
            <w:tcW w:w="983" w:type="dxa"/>
            <w:tcBorders>
              <w:top w:val="single" w:sz="8" w:space="0" w:color="auto"/>
              <w:bottom w:val="single" w:sz="8" w:space="0" w:color="auto"/>
            </w:tcBorders>
            <w:shd w:val="clear" w:color="auto" w:fill="auto"/>
            <w:noWrap/>
            <w:tcMar>
              <w:left w:w="28" w:type="dxa"/>
              <w:right w:w="28" w:type="dxa"/>
            </w:tcMar>
            <w:vAlign w:val="center"/>
          </w:tcPr>
          <w:p w14:paraId="610692DB"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Укупно</w:t>
            </w:r>
          </w:p>
          <w:p w14:paraId="543CCF19"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(2022-2032)</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3BE1CF5E"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60DD2875"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2023</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1F65EC25"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2024</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2421008A"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2025</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211E7159"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2026</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27EF1430"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2027</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19E63966"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2028</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3034CE3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2029</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74D86E8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2030</w:t>
            </w:r>
          </w:p>
        </w:tc>
        <w:tc>
          <w:tcPr>
            <w:tcW w:w="643" w:type="dxa"/>
            <w:tcBorders>
              <w:top w:val="single" w:sz="8" w:space="0" w:color="auto"/>
              <w:bottom w:val="single" w:sz="8" w:space="0" w:color="auto"/>
            </w:tcBorders>
            <w:shd w:val="clear" w:color="auto" w:fill="auto"/>
            <w:noWrap/>
            <w:tcMar>
              <w:left w:w="28" w:type="dxa"/>
              <w:right w:w="28" w:type="dxa"/>
            </w:tcMar>
            <w:vAlign w:val="center"/>
          </w:tcPr>
          <w:p w14:paraId="2E15C4C8"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2031</w:t>
            </w:r>
          </w:p>
        </w:tc>
        <w:tc>
          <w:tcPr>
            <w:tcW w:w="730" w:type="dxa"/>
            <w:tcBorders>
              <w:top w:val="single" w:sz="8" w:space="0" w:color="auto"/>
              <w:bottom w:val="single" w:sz="8" w:space="0" w:color="auto"/>
            </w:tcBorders>
            <w:vAlign w:val="center"/>
          </w:tcPr>
          <w:p w14:paraId="142AF0E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2032</w:t>
            </w:r>
          </w:p>
        </w:tc>
      </w:tr>
      <w:tr w:rsidR="00497092" w:rsidRPr="00644F20" w14:paraId="492DF119" w14:textId="77777777">
        <w:trPr>
          <w:trHeight w:val="121"/>
        </w:trPr>
        <w:tc>
          <w:tcPr>
            <w:tcW w:w="851" w:type="dxa"/>
            <w:tcBorders>
              <w:top w:val="single" w:sz="8" w:space="0" w:color="auto"/>
              <w:bottom w:val="single" w:sz="2" w:space="0" w:color="auto"/>
            </w:tcBorders>
            <w:shd w:val="clear" w:color="auto" w:fill="auto"/>
            <w:noWrap/>
            <w:tcMar>
              <w:left w:w="28" w:type="dxa"/>
              <w:right w:w="28" w:type="dxa"/>
            </w:tcMar>
            <w:vAlign w:val="center"/>
          </w:tcPr>
          <w:p w14:paraId="33F24914"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Status quo</w:t>
            </w:r>
          </w:p>
        </w:tc>
        <w:tc>
          <w:tcPr>
            <w:tcW w:w="983" w:type="dxa"/>
            <w:tcBorders>
              <w:top w:val="single" w:sz="8" w:space="0" w:color="auto"/>
              <w:bottom w:val="single" w:sz="2" w:space="0" w:color="auto"/>
            </w:tcBorders>
            <w:shd w:val="clear" w:color="auto" w:fill="auto"/>
            <w:noWrap/>
            <w:tcMar>
              <w:left w:w="28" w:type="dxa"/>
              <w:right w:w="28" w:type="dxa"/>
            </w:tcMar>
            <w:vAlign w:val="center"/>
          </w:tcPr>
          <w:p w14:paraId="70EA59A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697F6B1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583CF79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35F38E0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5B9CC6D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2885CCB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300BB72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4C7DA31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0AE5857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223EDCB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8" w:space="0" w:color="auto"/>
              <w:bottom w:val="single" w:sz="2" w:space="0" w:color="auto"/>
            </w:tcBorders>
            <w:shd w:val="clear" w:color="auto" w:fill="auto"/>
            <w:noWrap/>
            <w:tcMar>
              <w:left w:w="28" w:type="dxa"/>
              <w:right w:w="28" w:type="dxa"/>
            </w:tcMar>
            <w:vAlign w:val="center"/>
          </w:tcPr>
          <w:p w14:paraId="60A6E75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730" w:type="dxa"/>
            <w:tcBorders>
              <w:top w:val="single" w:sz="8" w:space="0" w:color="auto"/>
              <w:bottom w:val="single" w:sz="2" w:space="0" w:color="auto"/>
            </w:tcBorders>
            <w:vAlign w:val="center"/>
          </w:tcPr>
          <w:p w14:paraId="7E060D02"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r>
      <w:tr w:rsidR="00497092" w:rsidRPr="00644F20" w14:paraId="128FFEE4" w14:textId="77777777">
        <w:trPr>
          <w:trHeight w:val="121"/>
        </w:trPr>
        <w:tc>
          <w:tcPr>
            <w:tcW w:w="851" w:type="dxa"/>
            <w:tcBorders>
              <w:top w:val="single" w:sz="2" w:space="0" w:color="auto"/>
              <w:bottom w:val="single" w:sz="2" w:space="0" w:color="auto"/>
            </w:tcBorders>
            <w:shd w:val="clear" w:color="auto" w:fill="auto"/>
            <w:noWrap/>
            <w:tcMar>
              <w:left w:w="28" w:type="dxa"/>
              <w:right w:w="28" w:type="dxa"/>
            </w:tcMar>
            <w:vAlign w:val="center"/>
          </w:tcPr>
          <w:p w14:paraId="0287312A"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1</w:t>
            </w:r>
          </w:p>
        </w:tc>
        <w:tc>
          <w:tcPr>
            <w:tcW w:w="983" w:type="dxa"/>
            <w:tcBorders>
              <w:top w:val="single" w:sz="2" w:space="0" w:color="auto"/>
              <w:bottom w:val="single" w:sz="2" w:space="0" w:color="auto"/>
            </w:tcBorders>
            <w:shd w:val="clear" w:color="auto" w:fill="auto"/>
            <w:noWrap/>
            <w:tcMar>
              <w:left w:w="28" w:type="dxa"/>
              <w:right w:w="28" w:type="dxa"/>
            </w:tcMar>
            <w:vAlign w:val="center"/>
          </w:tcPr>
          <w:p w14:paraId="1775CD0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50.777</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1D469AC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38AC6EA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230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4A1CE20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462</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511790E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1.626</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101E41B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3.502</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73CBB68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5.868</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69259FC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8.260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637037A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10.679</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631362F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13.123</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79C7CBF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15.594</w:t>
            </w:r>
          </w:p>
        </w:tc>
        <w:tc>
          <w:tcPr>
            <w:tcW w:w="730" w:type="dxa"/>
            <w:tcBorders>
              <w:top w:val="single" w:sz="2" w:space="0" w:color="auto"/>
              <w:bottom w:val="single" w:sz="2" w:space="0" w:color="auto"/>
            </w:tcBorders>
            <w:vAlign w:val="center"/>
          </w:tcPr>
          <w:p w14:paraId="00E955DF"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18.092</w:t>
            </w:r>
          </w:p>
        </w:tc>
      </w:tr>
      <w:tr w:rsidR="00497092" w:rsidRPr="00644F20" w14:paraId="7F157752" w14:textId="77777777">
        <w:trPr>
          <w:trHeight w:val="121"/>
        </w:trPr>
        <w:tc>
          <w:tcPr>
            <w:tcW w:w="851" w:type="dxa"/>
            <w:tcBorders>
              <w:top w:val="single" w:sz="2" w:space="0" w:color="auto"/>
              <w:bottom w:val="single" w:sz="2" w:space="0" w:color="auto"/>
            </w:tcBorders>
            <w:shd w:val="clear" w:color="auto" w:fill="auto"/>
            <w:noWrap/>
            <w:tcMar>
              <w:left w:w="28" w:type="dxa"/>
              <w:right w:w="28" w:type="dxa"/>
            </w:tcMar>
            <w:vAlign w:val="center"/>
          </w:tcPr>
          <w:p w14:paraId="3932311E"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2</w:t>
            </w:r>
          </w:p>
        </w:tc>
        <w:tc>
          <w:tcPr>
            <w:tcW w:w="983" w:type="dxa"/>
            <w:tcBorders>
              <w:top w:val="single" w:sz="2" w:space="0" w:color="auto"/>
              <w:bottom w:val="single" w:sz="2" w:space="0" w:color="auto"/>
            </w:tcBorders>
            <w:shd w:val="clear" w:color="auto" w:fill="auto"/>
            <w:noWrap/>
            <w:tcMar>
              <w:left w:w="28" w:type="dxa"/>
              <w:right w:w="28" w:type="dxa"/>
            </w:tcMar>
            <w:vAlign w:val="center"/>
          </w:tcPr>
          <w:p w14:paraId="55932B65"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84.275</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09F49B9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080261F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230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5E747C8B"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693</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35DAD576"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2.555</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273BD81A"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4.904</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3DDE14D1"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8.453</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0BD178AF"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12.753</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7E0F947B"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17.580</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36C03AC1"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22.464</w:t>
            </w:r>
          </w:p>
        </w:tc>
        <w:tc>
          <w:tcPr>
            <w:tcW w:w="643" w:type="dxa"/>
            <w:tcBorders>
              <w:top w:val="single" w:sz="2" w:space="0" w:color="auto"/>
              <w:bottom w:val="single" w:sz="2" w:space="0" w:color="auto"/>
            </w:tcBorders>
            <w:shd w:val="clear" w:color="auto" w:fill="auto"/>
            <w:noWrap/>
            <w:tcMar>
              <w:left w:w="28" w:type="dxa"/>
              <w:right w:w="28" w:type="dxa"/>
            </w:tcMar>
            <w:vAlign w:val="center"/>
          </w:tcPr>
          <w:p w14:paraId="079AD290"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27.406</w:t>
            </w:r>
          </w:p>
        </w:tc>
        <w:tc>
          <w:tcPr>
            <w:tcW w:w="730" w:type="dxa"/>
            <w:tcBorders>
              <w:top w:val="single" w:sz="2" w:space="0" w:color="auto"/>
              <w:bottom w:val="single" w:sz="2" w:space="0" w:color="auto"/>
            </w:tcBorders>
            <w:vAlign w:val="center"/>
          </w:tcPr>
          <w:p w14:paraId="598C869F"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32.407</w:t>
            </w:r>
          </w:p>
        </w:tc>
      </w:tr>
      <w:tr w:rsidR="00497092" w:rsidRPr="00644F20" w14:paraId="0F6D05BD" w14:textId="77777777">
        <w:trPr>
          <w:trHeight w:val="121"/>
        </w:trPr>
        <w:tc>
          <w:tcPr>
            <w:tcW w:w="851" w:type="dxa"/>
            <w:tcBorders>
              <w:top w:val="single" w:sz="2" w:space="0" w:color="auto"/>
              <w:bottom w:val="single" w:sz="8" w:space="0" w:color="auto"/>
            </w:tcBorders>
            <w:shd w:val="clear" w:color="auto" w:fill="auto"/>
            <w:noWrap/>
            <w:tcMar>
              <w:left w:w="28" w:type="dxa"/>
              <w:right w:w="28" w:type="dxa"/>
            </w:tcMar>
            <w:vAlign w:val="center"/>
          </w:tcPr>
          <w:p w14:paraId="758F84C3"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3</w:t>
            </w:r>
          </w:p>
        </w:tc>
        <w:tc>
          <w:tcPr>
            <w:tcW w:w="983" w:type="dxa"/>
            <w:tcBorders>
              <w:top w:val="single" w:sz="2" w:space="0" w:color="auto"/>
              <w:bottom w:val="single" w:sz="8" w:space="0" w:color="auto"/>
            </w:tcBorders>
            <w:shd w:val="clear" w:color="auto" w:fill="auto"/>
            <w:noWrap/>
            <w:tcMar>
              <w:left w:w="28" w:type="dxa"/>
              <w:right w:w="28" w:type="dxa"/>
            </w:tcMar>
            <w:vAlign w:val="center"/>
          </w:tcPr>
          <w:p w14:paraId="1DE5365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110.356</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7D6240B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3D5933D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230</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2225F80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924</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25A7E36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3.252</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34CACFB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6.773</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639054C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11.041</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331175A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15.832</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3FDBE20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21.872</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717A4C1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29.189</w:t>
            </w:r>
          </w:p>
        </w:tc>
        <w:tc>
          <w:tcPr>
            <w:tcW w:w="643" w:type="dxa"/>
            <w:tcBorders>
              <w:top w:val="single" w:sz="2" w:space="0" w:color="auto"/>
              <w:bottom w:val="single" w:sz="8" w:space="0" w:color="auto"/>
            </w:tcBorders>
            <w:shd w:val="clear" w:color="auto" w:fill="auto"/>
            <w:noWrap/>
            <w:tcMar>
              <w:left w:w="28" w:type="dxa"/>
              <w:right w:w="28" w:type="dxa"/>
            </w:tcMar>
            <w:vAlign w:val="center"/>
          </w:tcPr>
          <w:p w14:paraId="7BC6786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36.600</w:t>
            </w:r>
          </w:p>
        </w:tc>
        <w:tc>
          <w:tcPr>
            <w:tcW w:w="730" w:type="dxa"/>
            <w:tcBorders>
              <w:top w:val="single" w:sz="2" w:space="0" w:color="auto"/>
              <w:bottom w:val="single" w:sz="8" w:space="0" w:color="auto"/>
            </w:tcBorders>
            <w:vAlign w:val="center"/>
          </w:tcPr>
          <w:p w14:paraId="0806FEE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44.106</w:t>
            </w:r>
          </w:p>
        </w:tc>
      </w:tr>
    </w:tbl>
    <w:p w14:paraId="6481CAC5" w14:textId="77777777" w:rsidR="00497092" w:rsidRPr="00644F20" w:rsidRDefault="00497092">
      <w:pPr>
        <w:spacing w:after="60" w:line="276" w:lineRule="auto"/>
        <w:jc w:val="both"/>
        <w:rPr>
          <w:rFonts w:ascii="Times New Roman" w:hAnsi="Times New Roman" w:cs="Times New Roman"/>
          <w:lang w:val="sr-Cyrl-CS"/>
        </w:rPr>
      </w:pPr>
    </w:p>
    <w:p w14:paraId="624CE0B9"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Укупни пораст запослености за период од 2022. до 2032. године креће се у интервалу између 50 и 110 хиљада новозапослених.</w:t>
      </w:r>
    </w:p>
    <w:p w14:paraId="3A560E65"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Пројекција кретања запослености у наредном периоду од десет година за сваку од анализираних опција је дата на следећој слици.</w:t>
      </w:r>
    </w:p>
    <w:p w14:paraId="127315D5" w14:textId="77777777" w:rsidR="00497092" w:rsidRPr="00644F20" w:rsidRDefault="002F45E1">
      <w:pPr>
        <w:jc w:val="center"/>
        <w:rPr>
          <w:rFonts w:ascii="Times New Roman" w:hAnsi="Times New Roman" w:cs="Times New Roman"/>
          <w:lang w:val="sr-Cyrl-CS"/>
        </w:rPr>
      </w:pPr>
      <w:r w:rsidRPr="00644F20">
        <w:rPr>
          <w:noProof/>
        </w:rPr>
        <w:drawing>
          <wp:inline distT="0" distB="0" distL="0" distR="0" wp14:anchorId="1B9C73D3" wp14:editId="5C14184D">
            <wp:extent cx="5168900" cy="3057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5168900" cy="3057525"/>
                    </a:xfrm>
                    <a:prstGeom prst="rect">
                      <a:avLst/>
                    </a:prstGeom>
                    <a:noFill/>
                    <a:ln>
                      <a:noFill/>
                    </a:ln>
                  </pic:spPr>
                </pic:pic>
              </a:graphicData>
            </a:graphic>
          </wp:inline>
        </w:drawing>
      </w:r>
    </w:p>
    <w:p w14:paraId="64193763" w14:textId="77777777" w:rsidR="00497092" w:rsidRPr="00644F20" w:rsidRDefault="002F45E1">
      <w:pPr>
        <w:jc w:val="center"/>
        <w:rPr>
          <w:rFonts w:ascii="Times New Roman" w:hAnsi="Times New Roman" w:cs="Times New Roman"/>
          <w:lang w:val="sr-Cyrl-CS"/>
        </w:rPr>
      </w:pPr>
      <w:r w:rsidRPr="00644F20">
        <w:rPr>
          <w:rFonts w:ascii="Times New Roman" w:hAnsi="Times New Roman" w:cs="Times New Roman"/>
          <w:b/>
          <w:lang w:val="sr-Cyrl-CS"/>
        </w:rPr>
        <w:t>Слика 5.2.</w:t>
      </w:r>
      <w:r w:rsidRPr="00644F20">
        <w:rPr>
          <w:rFonts w:ascii="Times New Roman" w:hAnsi="Times New Roman" w:cs="Times New Roman"/>
          <w:lang w:val="sr-Cyrl-CS"/>
        </w:rPr>
        <w:t xml:space="preserve"> Пројекција кретања запослености у Србији (2022-2032)</w:t>
      </w:r>
    </w:p>
    <w:p w14:paraId="366EB4D8" w14:textId="77777777" w:rsidR="00497092" w:rsidRPr="00644F20" w:rsidRDefault="002F45E1" w:rsidP="0041506A">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Услед пораста запослености повећаће се просечан доходак домаћинстава. Такође, појединци и домаћинства ће остварити економске користи (уштеде) по основу дужег периода замене трајних потрошних добара, односно дужег животног века производа. У наредној табели су дате укупне економске користи за домаћинства.</w:t>
      </w:r>
    </w:p>
    <w:p w14:paraId="501CA12D" w14:textId="77777777" w:rsidR="00497092" w:rsidRPr="00644F20" w:rsidRDefault="002F45E1">
      <w:pPr>
        <w:spacing w:after="60"/>
        <w:jc w:val="both"/>
        <w:rPr>
          <w:rFonts w:ascii="Times New Roman" w:hAnsi="Times New Roman" w:cs="Times New Roman"/>
          <w:lang w:val="sr-Cyrl-CS"/>
        </w:rPr>
      </w:pPr>
      <w:r w:rsidRPr="00644F20">
        <w:rPr>
          <w:rFonts w:ascii="Times New Roman" w:hAnsi="Times New Roman" w:cs="Times New Roman"/>
          <w:b/>
          <w:lang w:val="sr-Cyrl-CS"/>
        </w:rPr>
        <w:t>Табела 5.5</w:t>
      </w:r>
      <w:r w:rsidRPr="00644F20">
        <w:rPr>
          <w:rFonts w:ascii="Times New Roman" w:hAnsi="Times New Roman" w:cs="Times New Roman"/>
          <w:lang w:val="sr-Cyrl-CS"/>
        </w:rPr>
        <w:t xml:space="preserve"> Укупне економске користи за домаћинства (промена у односу на Status quo сценарио, милиони динара, константне цене из 2021. године)</w:t>
      </w:r>
    </w:p>
    <w:tbl>
      <w:tblPr>
        <w:tblW w:w="9078" w:type="dxa"/>
        <w:tblBorders>
          <w:top w:val="single" w:sz="4" w:space="0" w:color="auto"/>
          <w:bottom w:val="single" w:sz="4" w:space="0" w:color="auto"/>
        </w:tblBorders>
        <w:tblLayout w:type="fixed"/>
        <w:tblLook w:val="04A0" w:firstRow="1" w:lastRow="0" w:firstColumn="1" w:lastColumn="0" w:noHBand="0" w:noVBand="1"/>
      </w:tblPr>
      <w:tblGrid>
        <w:gridCol w:w="851"/>
        <w:gridCol w:w="1276"/>
        <w:gridCol w:w="396"/>
        <w:gridCol w:w="655"/>
        <w:gridCol w:w="656"/>
        <w:gridCol w:w="655"/>
        <w:gridCol w:w="656"/>
        <w:gridCol w:w="655"/>
        <w:gridCol w:w="655"/>
        <w:gridCol w:w="656"/>
        <w:gridCol w:w="655"/>
        <w:gridCol w:w="656"/>
        <w:gridCol w:w="656"/>
      </w:tblGrid>
      <w:tr w:rsidR="00497092" w:rsidRPr="00644F20" w14:paraId="4D0BBB71" w14:textId="77777777">
        <w:trPr>
          <w:trHeight w:val="164"/>
        </w:trPr>
        <w:tc>
          <w:tcPr>
            <w:tcW w:w="851" w:type="dxa"/>
            <w:tcBorders>
              <w:top w:val="single" w:sz="8" w:space="0" w:color="auto"/>
              <w:bottom w:val="single" w:sz="8" w:space="0" w:color="auto"/>
            </w:tcBorders>
            <w:shd w:val="clear" w:color="auto" w:fill="auto"/>
            <w:noWrap/>
            <w:tcMar>
              <w:left w:w="28" w:type="dxa"/>
              <w:right w:w="28" w:type="dxa"/>
            </w:tcMar>
            <w:vAlign w:val="center"/>
          </w:tcPr>
          <w:p w14:paraId="75602BF6" w14:textId="77777777" w:rsidR="00497092" w:rsidRPr="00644F20" w:rsidRDefault="002F45E1">
            <w:pPr>
              <w:spacing w:after="0" w:line="240" w:lineRule="auto"/>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Опција</w:t>
            </w:r>
          </w:p>
        </w:tc>
        <w:tc>
          <w:tcPr>
            <w:tcW w:w="1276" w:type="dxa"/>
            <w:tcBorders>
              <w:top w:val="single" w:sz="8" w:space="0" w:color="auto"/>
              <w:bottom w:val="single" w:sz="8" w:space="0" w:color="auto"/>
            </w:tcBorders>
            <w:shd w:val="clear" w:color="auto" w:fill="auto"/>
            <w:noWrap/>
            <w:tcMar>
              <w:left w:w="28" w:type="dxa"/>
              <w:right w:w="28" w:type="dxa"/>
            </w:tcMar>
            <w:vAlign w:val="center"/>
          </w:tcPr>
          <w:p w14:paraId="05837CCC"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Дисконтована</w:t>
            </w:r>
          </w:p>
          <w:p w14:paraId="20575E7A"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вредност</w:t>
            </w:r>
          </w:p>
          <w:p w14:paraId="52D022EB"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(2022-2032)</w:t>
            </w:r>
          </w:p>
        </w:tc>
        <w:tc>
          <w:tcPr>
            <w:tcW w:w="396" w:type="dxa"/>
            <w:tcBorders>
              <w:top w:val="single" w:sz="8" w:space="0" w:color="auto"/>
              <w:bottom w:val="single" w:sz="8" w:space="0" w:color="auto"/>
            </w:tcBorders>
            <w:shd w:val="clear" w:color="auto" w:fill="auto"/>
            <w:noWrap/>
            <w:tcMar>
              <w:left w:w="28" w:type="dxa"/>
              <w:right w:w="28" w:type="dxa"/>
            </w:tcMar>
            <w:vAlign w:val="center"/>
          </w:tcPr>
          <w:p w14:paraId="15D87ED8"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w:t>
            </w:r>
          </w:p>
        </w:tc>
        <w:tc>
          <w:tcPr>
            <w:tcW w:w="655" w:type="dxa"/>
            <w:tcBorders>
              <w:top w:val="single" w:sz="8" w:space="0" w:color="auto"/>
              <w:bottom w:val="single" w:sz="8" w:space="0" w:color="auto"/>
            </w:tcBorders>
            <w:shd w:val="clear" w:color="auto" w:fill="auto"/>
            <w:noWrap/>
            <w:tcMar>
              <w:left w:w="28" w:type="dxa"/>
              <w:right w:w="28" w:type="dxa"/>
            </w:tcMar>
            <w:vAlign w:val="center"/>
          </w:tcPr>
          <w:p w14:paraId="2D86E668"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2023</w:t>
            </w:r>
          </w:p>
        </w:tc>
        <w:tc>
          <w:tcPr>
            <w:tcW w:w="656" w:type="dxa"/>
            <w:tcBorders>
              <w:top w:val="single" w:sz="8" w:space="0" w:color="auto"/>
              <w:bottom w:val="single" w:sz="8" w:space="0" w:color="auto"/>
            </w:tcBorders>
            <w:shd w:val="clear" w:color="auto" w:fill="auto"/>
            <w:noWrap/>
            <w:tcMar>
              <w:left w:w="28" w:type="dxa"/>
              <w:right w:w="28" w:type="dxa"/>
            </w:tcMar>
            <w:vAlign w:val="center"/>
          </w:tcPr>
          <w:p w14:paraId="2B41F7A1"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2024</w:t>
            </w:r>
          </w:p>
        </w:tc>
        <w:tc>
          <w:tcPr>
            <w:tcW w:w="655" w:type="dxa"/>
            <w:tcBorders>
              <w:top w:val="single" w:sz="8" w:space="0" w:color="auto"/>
              <w:bottom w:val="single" w:sz="8" w:space="0" w:color="auto"/>
            </w:tcBorders>
            <w:shd w:val="clear" w:color="auto" w:fill="auto"/>
            <w:noWrap/>
            <w:tcMar>
              <w:left w:w="28" w:type="dxa"/>
              <w:right w:w="28" w:type="dxa"/>
            </w:tcMar>
            <w:vAlign w:val="center"/>
          </w:tcPr>
          <w:p w14:paraId="1CC598C8"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2025</w:t>
            </w:r>
          </w:p>
        </w:tc>
        <w:tc>
          <w:tcPr>
            <w:tcW w:w="656" w:type="dxa"/>
            <w:tcBorders>
              <w:top w:val="single" w:sz="8" w:space="0" w:color="auto"/>
              <w:bottom w:val="single" w:sz="8" w:space="0" w:color="auto"/>
            </w:tcBorders>
            <w:shd w:val="clear" w:color="auto" w:fill="auto"/>
            <w:noWrap/>
            <w:tcMar>
              <w:left w:w="28" w:type="dxa"/>
              <w:right w:w="28" w:type="dxa"/>
            </w:tcMar>
            <w:vAlign w:val="center"/>
          </w:tcPr>
          <w:p w14:paraId="6382FA75"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2026</w:t>
            </w:r>
          </w:p>
        </w:tc>
        <w:tc>
          <w:tcPr>
            <w:tcW w:w="655" w:type="dxa"/>
            <w:tcBorders>
              <w:top w:val="single" w:sz="8" w:space="0" w:color="auto"/>
              <w:bottom w:val="single" w:sz="8" w:space="0" w:color="auto"/>
            </w:tcBorders>
            <w:shd w:val="clear" w:color="auto" w:fill="auto"/>
            <w:noWrap/>
            <w:tcMar>
              <w:left w:w="28" w:type="dxa"/>
              <w:right w:w="28" w:type="dxa"/>
            </w:tcMar>
            <w:vAlign w:val="center"/>
          </w:tcPr>
          <w:p w14:paraId="32CF577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2027</w:t>
            </w:r>
          </w:p>
        </w:tc>
        <w:tc>
          <w:tcPr>
            <w:tcW w:w="655" w:type="dxa"/>
            <w:tcBorders>
              <w:top w:val="single" w:sz="8" w:space="0" w:color="auto"/>
              <w:bottom w:val="single" w:sz="8" w:space="0" w:color="auto"/>
            </w:tcBorders>
            <w:shd w:val="clear" w:color="auto" w:fill="auto"/>
            <w:noWrap/>
            <w:tcMar>
              <w:left w:w="28" w:type="dxa"/>
              <w:right w:w="28" w:type="dxa"/>
            </w:tcMar>
            <w:vAlign w:val="center"/>
          </w:tcPr>
          <w:p w14:paraId="575C08F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2028</w:t>
            </w:r>
          </w:p>
        </w:tc>
        <w:tc>
          <w:tcPr>
            <w:tcW w:w="656" w:type="dxa"/>
            <w:tcBorders>
              <w:top w:val="single" w:sz="8" w:space="0" w:color="auto"/>
              <w:bottom w:val="single" w:sz="8" w:space="0" w:color="auto"/>
            </w:tcBorders>
            <w:shd w:val="clear" w:color="auto" w:fill="auto"/>
            <w:noWrap/>
            <w:tcMar>
              <w:left w:w="28" w:type="dxa"/>
              <w:right w:w="28" w:type="dxa"/>
            </w:tcMar>
            <w:vAlign w:val="center"/>
          </w:tcPr>
          <w:p w14:paraId="00D19CB1"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2029</w:t>
            </w:r>
          </w:p>
        </w:tc>
        <w:tc>
          <w:tcPr>
            <w:tcW w:w="655" w:type="dxa"/>
            <w:tcBorders>
              <w:top w:val="single" w:sz="8" w:space="0" w:color="auto"/>
              <w:bottom w:val="single" w:sz="8" w:space="0" w:color="auto"/>
            </w:tcBorders>
            <w:shd w:val="clear" w:color="auto" w:fill="auto"/>
            <w:noWrap/>
            <w:tcMar>
              <w:left w:w="28" w:type="dxa"/>
              <w:right w:w="28" w:type="dxa"/>
            </w:tcMar>
            <w:vAlign w:val="center"/>
          </w:tcPr>
          <w:p w14:paraId="0474F06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2030</w:t>
            </w:r>
          </w:p>
        </w:tc>
        <w:tc>
          <w:tcPr>
            <w:tcW w:w="656" w:type="dxa"/>
            <w:tcBorders>
              <w:top w:val="single" w:sz="8" w:space="0" w:color="auto"/>
              <w:bottom w:val="single" w:sz="8" w:space="0" w:color="auto"/>
            </w:tcBorders>
            <w:shd w:val="clear" w:color="auto" w:fill="auto"/>
            <w:noWrap/>
            <w:tcMar>
              <w:left w:w="28" w:type="dxa"/>
              <w:right w:w="28" w:type="dxa"/>
            </w:tcMar>
            <w:vAlign w:val="center"/>
          </w:tcPr>
          <w:p w14:paraId="1538029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2031</w:t>
            </w:r>
          </w:p>
        </w:tc>
        <w:tc>
          <w:tcPr>
            <w:tcW w:w="656" w:type="dxa"/>
            <w:tcBorders>
              <w:top w:val="single" w:sz="8" w:space="0" w:color="auto"/>
              <w:bottom w:val="single" w:sz="8" w:space="0" w:color="auto"/>
            </w:tcBorders>
            <w:vAlign w:val="center"/>
          </w:tcPr>
          <w:p w14:paraId="20C8A918"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2032</w:t>
            </w:r>
          </w:p>
        </w:tc>
      </w:tr>
      <w:tr w:rsidR="00497092" w:rsidRPr="00644F20" w14:paraId="767B743D" w14:textId="77777777">
        <w:trPr>
          <w:trHeight w:val="164"/>
        </w:trPr>
        <w:tc>
          <w:tcPr>
            <w:tcW w:w="851" w:type="dxa"/>
            <w:tcBorders>
              <w:top w:val="single" w:sz="8" w:space="0" w:color="auto"/>
              <w:bottom w:val="single" w:sz="2" w:space="0" w:color="auto"/>
            </w:tcBorders>
            <w:shd w:val="clear" w:color="auto" w:fill="auto"/>
            <w:noWrap/>
            <w:tcMar>
              <w:left w:w="28" w:type="dxa"/>
              <w:right w:w="28" w:type="dxa"/>
            </w:tcMar>
            <w:vAlign w:val="center"/>
          </w:tcPr>
          <w:p w14:paraId="5622B32B"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Status quo</w:t>
            </w:r>
          </w:p>
        </w:tc>
        <w:tc>
          <w:tcPr>
            <w:tcW w:w="1276" w:type="dxa"/>
            <w:tcBorders>
              <w:top w:val="single" w:sz="8" w:space="0" w:color="auto"/>
              <w:bottom w:val="single" w:sz="2" w:space="0" w:color="auto"/>
            </w:tcBorders>
            <w:shd w:val="clear" w:color="auto" w:fill="auto"/>
            <w:noWrap/>
            <w:tcMar>
              <w:left w:w="28" w:type="dxa"/>
              <w:right w:w="28" w:type="dxa"/>
            </w:tcMar>
            <w:vAlign w:val="center"/>
          </w:tcPr>
          <w:p w14:paraId="0C405FA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396" w:type="dxa"/>
            <w:tcBorders>
              <w:top w:val="single" w:sz="8" w:space="0" w:color="auto"/>
              <w:bottom w:val="single" w:sz="2" w:space="0" w:color="auto"/>
            </w:tcBorders>
            <w:shd w:val="clear" w:color="auto" w:fill="auto"/>
            <w:noWrap/>
            <w:tcMar>
              <w:left w:w="28" w:type="dxa"/>
              <w:right w:w="28" w:type="dxa"/>
            </w:tcMar>
            <w:vAlign w:val="center"/>
          </w:tcPr>
          <w:p w14:paraId="1CA233C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5" w:type="dxa"/>
            <w:tcBorders>
              <w:top w:val="single" w:sz="8" w:space="0" w:color="auto"/>
              <w:bottom w:val="single" w:sz="2" w:space="0" w:color="auto"/>
            </w:tcBorders>
            <w:shd w:val="clear" w:color="auto" w:fill="auto"/>
            <w:noWrap/>
            <w:tcMar>
              <w:left w:w="28" w:type="dxa"/>
              <w:right w:w="28" w:type="dxa"/>
            </w:tcMar>
            <w:vAlign w:val="center"/>
          </w:tcPr>
          <w:p w14:paraId="15A9364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6" w:type="dxa"/>
            <w:tcBorders>
              <w:top w:val="single" w:sz="8" w:space="0" w:color="auto"/>
              <w:bottom w:val="single" w:sz="2" w:space="0" w:color="auto"/>
            </w:tcBorders>
            <w:shd w:val="clear" w:color="auto" w:fill="auto"/>
            <w:noWrap/>
            <w:tcMar>
              <w:left w:w="28" w:type="dxa"/>
              <w:right w:w="28" w:type="dxa"/>
            </w:tcMar>
            <w:vAlign w:val="center"/>
          </w:tcPr>
          <w:p w14:paraId="17942B9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5" w:type="dxa"/>
            <w:tcBorders>
              <w:top w:val="single" w:sz="8" w:space="0" w:color="auto"/>
              <w:bottom w:val="single" w:sz="2" w:space="0" w:color="auto"/>
            </w:tcBorders>
            <w:shd w:val="clear" w:color="auto" w:fill="auto"/>
            <w:noWrap/>
            <w:tcMar>
              <w:left w:w="28" w:type="dxa"/>
              <w:right w:w="28" w:type="dxa"/>
            </w:tcMar>
            <w:vAlign w:val="center"/>
          </w:tcPr>
          <w:p w14:paraId="2A592BF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6" w:type="dxa"/>
            <w:tcBorders>
              <w:top w:val="single" w:sz="8" w:space="0" w:color="auto"/>
              <w:bottom w:val="single" w:sz="2" w:space="0" w:color="auto"/>
            </w:tcBorders>
            <w:shd w:val="clear" w:color="auto" w:fill="auto"/>
            <w:noWrap/>
            <w:tcMar>
              <w:left w:w="28" w:type="dxa"/>
              <w:right w:w="28" w:type="dxa"/>
            </w:tcMar>
            <w:vAlign w:val="center"/>
          </w:tcPr>
          <w:p w14:paraId="39F8F3C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5" w:type="dxa"/>
            <w:tcBorders>
              <w:top w:val="single" w:sz="8" w:space="0" w:color="auto"/>
              <w:bottom w:val="single" w:sz="2" w:space="0" w:color="auto"/>
            </w:tcBorders>
            <w:shd w:val="clear" w:color="auto" w:fill="auto"/>
            <w:noWrap/>
            <w:tcMar>
              <w:left w:w="28" w:type="dxa"/>
              <w:right w:w="28" w:type="dxa"/>
            </w:tcMar>
            <w:vAlign w:val="center"/>
          </w:tcPr>
          <w:p w14:paraId="1EAD10F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5" w:type="dxa"/>
            <w:tcBorders>
              <w:top w:val="single" w:sz="8" w:space="0" w:color="auto"/>
              <w:bottom w:val="single" w:sz="2" w:space="0" w:color="auto"/>
            </w:tcBorders>
            <w:shd w:val="clear" w:color="auto" w:fill="auto"/>
            <w:noWrap/>
            <w:tcMar>
              <w:left w:w="28" w:type="dxa"/>
              <w:right w:w="28" w:type="dxa"/>
            </w:tcMar>
            <w:vAlign w:val="center"/>
          </w:tcPr>
          <w:p w14:paraId="70703D8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6" w:type="dxa"/>
            <w:tcBorders>
              <w:top w:val="single" w:sz="8" w:space="0" w:color="auto"/>
              <w:bottom w:val="single" w:sz="2" w:space="0" w:color="auto"/>
            </w:tcBorders>
            <w:shd w:val="clear" w:color="auto" w:fill="auto"/>
            <w:noWrap/>
            <w:tcMar>
              <w:left w:w="28" w:type="dxa"/>
              <w:right w:w="28" w:type="dxa"/>
            </w:tcMar>
            <w:vAlign w:val="center"/>
          </w:tcPr>
          <w:p w14:paraId="1CF62D0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5" w:type="dxa"/>
            <w:tcBorders>
              <w:top w:val="single" w:sz="8" w:space="0" w:color="auto"/>
              <w:bottom w:val="single" w:sz="2" w:space="0" w:color="auto"/>
            </w:tcBorders>
            <w:shd w:val="clear" w:color="auto" w:fill="auto"/>
            <w:noWrap/>
            <w:tcMar>
              <w:left w:w="28" w:type="dxa"/>
              <w:right w:w="28" w:type="dxa"/>
            </w:tcMar>
            <w:vAlign w:val="center"/>
          </w:tcPr>
          <w:p w14:paraId="2B2B3C0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6" w:type="dxa"/>
            <w:tcBorders>
              <w:top w:val="single" w:sz="8" w:space="0" w:color="auto"/>
              <w:bottom w:val="single" w:sz="2" w:space="0" w:color="auto"/>
            </w:tcBorders>
            <w:shd w:val="clear" w:color="auto" w:fill="auto"/>
            <w:noWrap/>
            <w:tcMar>
              <w:left w:w="28" w:type="dxa"/>
              <w:right w:w="28" w:type="dxa"/>
            </w:tcMar>
            <w:vAlign w:val="center"/>
          </w:tcPr>
          <w:p w14:paraId="34AB303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6" w:type="dxa"/>
            <w:tcBorders>
              <w:top w:val="single" w:sz="8" w:space="0" w:color="auto"/>
              <w:bottom w:val="single" w:sz="2" w:space="0" w:color="auto"/>
            </w:tcBorders>
            <w:vAlign w:val="center"/>
          </w:tcPr>
          <w:p w14:paraId="2664722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r>
      <w:tr w:rsidR="00497092" w:rsidRPr="00644F20" w14:paraId="11647A9E" w14:textId="77777777">
        <w:trPr>
          <w:trHeight w:val="164"/>
        </w:trPr>
        <w:tc>
          <w:tcPr>
            <w:tcW w:w="851" w:type="dxa"/>
            <w:tcBorders>
              <w:top w:val="single" w:sz="2" w:space="0" w:color="auto"/>
              <w:bottom w:val="single" w:sz="2" w:space="0" w:color="auto"/>
            </w:tcBorders>
            <w:shd w:val="clear" w:color="auto" w:fill="auto"/>
            <w:noWrap/>
            <w:tcMar>
              <w:left w:w="28" w:type="dxa"/>
              <w:right w:w="28" w:type="dxa"/>
            </w:tcMar>
            <w:vAlign w:val="center"/>
          </w:tcPr>
          <w:p w14:paraId="79274BF5"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1</w:t>
            </w:r>
          </w:p>
        </w:tc>
        <w:tc>
          <w:tcPr>
            <w:tcW w:w="1276" w:type="dxa"/>
            <w:tcBorders>
              <w:top w:val="single" w:sz="2" w:space="0" w:color="auto"/>
              <w:bottom w:val="single" w:sz="2" w:space="0" w:color="auto"/>
            </w:tcBorders>
            <w:shd w:val="clear" w:color="auto" w:fill="auto"/>
            <w:noWrap/>
            <w:tcMar>
              <w:left w:w="28" w:type="dxa"/>
              <w:right w:w="28" w:type="dxa"/>
            </w:tcMar>
            <w:vAlign w:val="center"/>
          </w:tcPr>
          <w:p w14:paraId="7399E35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33.464</w:t>
            </w:r>
          </w:p>
        </w:tc>
        <w:tc>
          <w:tcPr>
            <w:tcW w:w="396" w:type="dxa"/>
            <w:tcBorders>
              <w:top w:val="single" w:sz="2" w:space="0" w:color="auto"/>
              <w:bottom w:val="single" w:sz="2" w:space="0" w:color="auto"/>
            </w:tcBorders>
            <w:shd w:val="clear" w:color="auto" w:fill="auto"/>
            <w:noWrap/>
            <w:tcMar>
              <w:left w:w="28" w:type="dxa"/>
              <w:right w:w="28" w:type="dxa"/>
            </w:tcMar>
            <w:vAlign w:val="center"/>
          </w:tcPr>
          <w:p w14:paraId="71B2C19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71B9A0F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152</w:t>
            </w:r>
          </w:p>
        </w:tc>
        <w:tc>
          <w:tcPr>
            <w:tcW w:w="656" w:type="dxa"/>
            <w:tcBorders>
              <w:top w:val="single" w:sz="2" w:space="0" w:color="auto"/>
              <w:bottom w:val="single" w:sz="2" w:space="0" w:color="auto"/>
            </w:tcBorders>
            <w:shd w:val="clear" w:color="auto" w:fill="auto"/>
            <w:noWrap/>
            <w:tcMar>
              <w:left w:w="28" w:type="dxa"/>
              <w:right w:w="28" w:type="dxa"/>
            </w:tcMar>
            <w:vAlign w:val="center"/>
          </w:tcPr>
          <w:p w14:paraId="7961C95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305</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37773C0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1.071</w:t>
            </w:r>
          </w:p>
        </w:tc>
        <w:tc>
          <w:tcPr>
            <w:tcW w:w="656" w:type="dxa"/>
            <w:tcBorders>
              <w:top w:val="single" w:sz="2" w:space="0" w:color="auto"/>
              <w:bottom w:val="single" w:sz="2" w:space="0" w:color="auto"/>
            </w:tcBorders>
            <w:shd w:val="clear" w:color="auto" w:fill="auto"/>
            <w:noWrap/>
            <w:tcMar>
              <w:left w:w="28" w:type="dxa"/>
              <w:right w:w="28" w:type="dxa"/>
            </w:tcMar>
            <w:vAlign w:val="center"/>
          </w:tcPr>
          <w:p w14:paraId="7446650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2.308</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4B9FB0B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3.867</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484C16C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5.444</w:t>
            </w:r>
          </w:p>
        </w:tc>
        <w:tc>
          <w:tcPr>
            <w:tcW w:w="656" w:type="dxa"/>
            <w:tcBorders>
              <w:top w:val="single" w:sz="2" w:space="0" w:color="auto"/>
              <w:bottom w:val="single" w:sz="2" w:space="0" w:color="auto"/>
            </w:tcBorders>
            <w:shd w:val="clear" w:color="auto" w:fill="auto"/>
            <w:noWrap/>
            <w:tcMar>
              <w:left w:w="28" w:type="dxa"/>
              <w:right w:w="28" w:type="dxa"/>
            </w:tcMar>
            <w:vAlign w:val="center"/>
          </w:tcPr>
          <w:p w14:paraId="2A13B60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7.037</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5139FDA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8.649</w:t>
            </w:r>
          </w:p>
        </w:tc>
        <w:tc>
          <w:tcPr>
            <w:tcW w:w="656" w:type="dxa"/>
            <w:tcBorders>
              <w:top w:val="single" w:sz="2" w:space="0" w:color="auto"/>
              <w:bottom w:val="single" w:sz="2" w:space="0" w:color="auto"/>
            </w:tcBorders>
            <w:shd w:val="clear" w:color="auto" w:fill="auto"/>
            <w:noWrap/>
            <w:tcMar>
              <w:left w:w="28" w:type="dxa"/>
              <w:right w:w="28" w:type="dxa"/>
            </w:tcMar>
            <w:vAlign w:val="center"/>
          </w:tcPr>
          <w:p w14:paraId="38C5FAB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10.277</w:t>
            </w:r>
          </w:p>
        </w:tc>
        <w:tc>
          <w:tcPr>
            <w:tcW w:w="656" w:type="dxa"/>
            <w:tcBorders>
              <w:top w:val="single" w:sz="2" w:space="0" w:color="auto"/>
              <w:bottom w:val="single" w:sz="2" w:space="0" w:color="auto"/>
            </w:tcBorders>
            <w:vAlign w:val="center"/>
          </w:tcPr>
          <w:p w14:paraId="1E2F2328"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11.923</w:t>
            </w:r>
          </w:p>
        </w:tc>
      </w:tr>
      <w:tr w:rsidR="00497092" w:rsidRPr="00644F20" w14:paraId="1A42E720" w14:textId="77777777">
        <w:trPr>
          <w:trHeight w:val="164"/>
        </w:trPr>
        <w:tc>
          <w:tcPr>
            <w:tcW w:w="851" w:type="dxa"/>
            <w:tcBorders>
              <w:top w:val="single" w:sz="2" w:space="0" w:color="auto"/>
              <w:bottom w:val="single" w:sz="2" w:space="0" w:color="auto"/>
            </w:tcBorders>
            <w:shd w:val="clear" w:color="auto" w:fill="auto"/>
            <w:noWrap/>
            <w:tcMar>
              <w:left w:w="28" w:type="dxa"/>
              <w:right w:w="28" w:type="dxa"/>
            </w:tcMar>
            <w:vAlign w:val="center"/>
          </w:tcPr>
          <w:p w14:paraId="56C0C501"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2</w:t>
            </w:r>
          </w:p>
        </w:tc>
        <w:tc>
          <w:tcPr>
            <w:tcW w:w="1276" w:type="dxa"/>
            <w:tcBorders>
              <w:top w:val="single" w:sz="2" w:space="0" w:color="auto"/>
              <w:bottom w:val="single" w:sz="2" w:space="0" w:color="auto"/>
            </w:tcBorders>
            <w:shd w:val="clear" w:color="auto" w:fill="auto"/>
            <w:noWrap/>
            <w:tcMar>
              <w:left w:w="28" w:type="dxa"/>
              <w:right w:w="28" w:type="dxa"/>
            </w:tcMar>
            <w:vAlign w:val="center"/>
          </w:tcPr>
          <w:p w14:paraId="3C52ADC0"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55.540</w:t>
            </w:r>
          </w:p>
        </w:tc>
        <w:tc>
          <w:tcPr>
            <w:tcW w:w="396" w:type="dxa"/>
            <w:tcBorders>
              <w:top w:val="single" w:sz="2" w:space="0" w:color="auto"/>
              <w:bottom w:val="single" w:sz="2" w:space="0" w:color="auto"/>
            </w:tcBorders>
            <w:shd w:val="clear" w:color="auto" w:fill="auto"/>
            <w:noWrap/>
            <w:tcMar>
              <w:left w:w="28" w:type="dxa"/>
              <w:right w:w="28" w:type="dxa"/>
            </w:tcMar>
            <w:vAlign w:val="center"/>
          </w:tcPr>
          <w:p w14:paraId="4AE0784A"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20738B0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152</w:t>
            </w:r>
          </w:p>
        </w:tc>
        <w:tc>
          <w:tcPr>
            <w:tcW w:w="656" w:type="dxa"/>
            <w:tcBorders>
              <w:top w:val="single" w:sz="2" w:space="0" w:color="auto"/>
              <w:bottom w:val="single" w:sz="2" w:space="0" w:color="auto"/>
            </w:tcBorders>
            <w:shd w:val="clear" w:color="auto" w:fill="auto"/>
            <w:noWrap/>
            <w:tcMar>
              <w:left w:w="28" w:type="dxa"/>
              <w:right w:w="28" w:type="dxa"/>
            </w:tcMar>
            <w:vAlign w:val="center"/>
          </w:tcPr>
          <w:p w14:paraId="0BAA0EE0"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457</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16094DBE"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1.684</w:t>
            </w:r>
          </w:p>
        </w:tc>
        <w:tc>
          <w:tcPr>
            <w:tcW w:w="656" w:type="dxa"/>
            <w:tcBorders>
              <w:top w:val="single" w:sz="2" w:space="0" w:color="auto"/>
              <w:bottom w:val="single" w:sz="2" w:space="0" w:color="auto"/>
            </w:tcBorders>
            <w:shd w:val="clear" w:color="auto" w:fill="auto"/>
            <w:noWrap/>
            <w:tcMar>
              <w:left w:w="28" w:type="dxa"/>
              <w:right w:w="28" w:type="dxa"/>
            </w:tcMar>
            <w:vAlign w:val="center"/>
          </w:tcPr>
          <w:p w14:paraId="7DF8257F"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3.232</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33C3712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5.571</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6BD97E85"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8.405</w:t>
            </w:r>
          </w:p>
        </w:tc>
        <w:tc>
          <w:tcPr>
            <w:tcW w:w="656" w:type="dxa"/>
            <w:tcBorders>
              <w:top w:val="single" w:sz="2" w:space="0" w:color="auto"/>
              <w:bottom w:val="single" w:sz="2" w:space="0" w:color="auto"/>
            </w:tcBorders>
            <w:shd w:val="clear" w:color="auto" w:fill="auto"/>
            <w:noWrap/>
            <w:tcMar>
              <w:left w:w="28" w:type="dxa"/>
              <w:right w:w="28" w:type="dxa"/>
            </w:tcMar>
            <w:vAlign w:val="center"/>
          </w:tcPr>
          <w:p w14:paraId="11D7B6D8"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11.586</w:t>
            </w:r>
          </w:p>
        </w:tc>
        <w:tc>
          <w:tcPr>
            <w:tcW w:w="655" w:type="dxa"/>
            <w:tcBorders>
              <w:top w:val="single" w:sz="2" w:space="0" w:color="auto"/>
              <w:bottom w:val="single" w:sz="2" w:space="0" w:color="auto"/>
            </w:tcBorders>
            <w:shd w:val="clear" w:color="auto" w:fill="auto"/>
            <w:noWrap/>
            <w:tcMar>
              <w:left w:w="28" w:type="dxa"/>
              <w:right w:w="28" w:type="dxa"/>
            </w:tcMar>
            <w:vAlign w:val="center"/>
          </w:tcPr>
          <w:p w14:paraId="1B8E4022"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14.805</w:t>
            </w:r>
          </w:p>
        </w:tc>
        <w:tc>
          <w:tcPr>
            <w:tcW w:w="656" w:type="dxa"/>
            <w:tcBorders>
              <w:top w:val="single" w:sz="2" w:space="0" w:color="auto"/>
              <w:bottom w:val="single" w:sz="2" w:space="0" w:color="auto"/>
            </w:tcBorders>
            <w:shd w:val="clear" w:color="auto" w:fill="auto"/>
            <w:noWrap/>
            <w:tcMar>
              <w:left w:w="28" w:type="dxa"/>
              <w:right w:w="28" w:type="dxa"/>
            </w:tcMar>
            <w:vAlign w:val="center"/>
          </w:tcPr>
          <w:p w14:paraId="3B3F0CA7"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18.062</w:t>
            </w:r>
          </w:p>
        </w:tc>
        <w:tc>
          <w:tcPr>
            <w:tcW w:w="656" w:type="dxa"/>
            <w:tcBorders>
              <w:top w:val="single" w:sz="2" w:space="0" w:color="auto"/>
              <w:bottom w:val="single" w:sz="2" w:space="0" w:color="auto"/>
            </w:tcBorders>
            <w:vAlign w:val="center"/>
          </w:tcPr>
          <w:p w14:paraId="7CD5344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21.357</w:t>
            </w:r>
          </w:p>
        </w:tc>
      </w:tr>
      <w:tr w:rsidR="00497092" w:rsidRPr="00644F20" w14:paraId="07CD88BA" w14:textId="77777777">
        <w:trPr>
          <w:trHeight w:val="164"/>
        </w:trPr>
        <w:tc>
          <w:tcPr>
            <w:tcW w:w="851" w:type="dxa"/>
            <w:tcBorders>
              <w:top w:val="single" w:sz="2" w:space="0" w:color="auto"/>
              <w:bottom w:val="single" w:sz="8" w:space="0" w:color="auto"/>
            </w:tcBorders>
            <w:shd w:val="clear" w:color="auto" w:fill="auto"/>
            <w:noWrap/>
            <w:tcMar>
              <w:left w:w="28" w:type="dxa"/>
              <w:right w:w="28" w:type="dxa"/>
            </w:tcMar>
            <w:vAlign w:val="center"/>
          </w:tcPr>
          <w:p w14:paraId="13A988F9"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3</w:t>
            </w:r>
          </w:p>
        </w:tc>
        <w:tc>
          <w:tcPr>
            <w:tcW w:w="1276" w:type="dxa"/>
            <w:tcBorders>
              <w:top w:val="single" w:sz="2" w:space="0" w:color="auto"/>
              <w:bottom w:val="single" w:sz="8" w:space="0" w:color="auto"/>
            </w:tcBorders>
            <w:shd w:val="clear" w:color="auto" w:fill="auto"/>
            <w:noWrap/>
            <w:tcMar>
              <w:left w:w="28" w:type="dxa"/>
              <w:right w:w="28" w:type="dxa"/>
            </w:tcMar>
            <w:vAlign w:val="center"/>
          </w:tcPr>
          <w:p w14:paraId="69F883D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72.728</w:t>
            </w:r>
          </w:p>
        </w:tc>
        <w:tc>
          <w:tcPr>
            <w:tcW w:w="396" w:type="dxa"/>
            <w:tcBorders>
              <w:top w:val="single" w:sz="2" w:space="0" w:color="auto"/>
              <w:bottom w:val="single" w:sz="8" w:space="0" w:color="auto"/>
            </w:tcBorders>
            <w:shd w:val="clear" w:color="auto" w:fill="auto"/>
            <w:noWrap/>
            <w:tcMar>
              <w:left w:w="28" w:type="dxa"/>
              <w:right w:w="28" w:type="dxa"/>
            </w:tcMar>
            <w:vAlign w:val="center"/>
          </w:tcPr>
          <w:p w14:paraId="7DE6783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5" w:type="dxa"/>
            <w:tcBorders>
              <w:top w:val="single" w:sz="2" w:space="0" w:color="auto"/>
              <w:bottom w:val="single" w:sz="8" w:space="0" w:color="auto"/>
            </w:tcBorders>
            <w:shd w:val="clear" w:color="auto" w:fill="auto"/>
            <w:noWrap/>
            <w:tcMar>
              <w:left w:w="28" w:type="dxa"/>
              <w:right w:w="28" w:type="dxa"/>
            </w:tcMar>
            <w:vAlign w:val="center"/>
          </w:tcPr>
          <w:p w14:paraId="0D9FB1A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152</w:t>
            </w:r>
          </w:p>
        </w:tc>
        <w:tc>
          <w:tcPr>
            <w:tcW w:w="656" w:type="dxa"/>
            <w:tcBorders>
              <w:top w:val="single" w:sz="2" w:space="0" w:color="auto"/>
              <w:bottom w:val="single" w:sz="8" w:space="0" w:color="auto"/>
            </w:tcBorders>
            <w:shd w:val="clear" w:color="auto" w:fill="auto"/>
            <w:noWrap/>
            <w:tcMar>
              <w:left w:w="28" w:type="dxa"/>
              <w:right w:w="28" w:type="dxa"/>
            </w:tcMar>
            <w:vAlign w:val="center"/>
          </w:tcPr>
          <w:p w14:paraId="426EFFF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609</w:t>
            </w:r>
          </w:p>
        </w:tc>
        <w:tc>
          <w:tcPr>
            <w:tcW w:w="655" w:type="dxa"/>
            <w:tcBorders>
              <w:top w:val="single" w:sz="2" w:space="0" w:color="auto"/>
              <w:bottom w:val="single" w:sz="8" w:space="0" w:color="auto"/>
            </w:tcBorders>
            <w:shd w:val="clear" w:color="auto" w:fill="auto"/>
            <w:noWrap/>
            <w:tcMar>
              <w:left w:w="28" w:type="dxa"/>
              <w:right w:w="28" w:type="dxa"/>
            </w:tcMar>
            <w:vAlign w:val="center"/>
          </w:tcPr>
          <w:p w14:paraId="375DF48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2.143</w:t>
            </w:r>
          </w:p>
        </w:tc>
        <w:tc>
          <w:tcPr>
            <w:tcW w:w="656" w:type="dxa"/>
            <w:tcBorders>
              <w:top w:val="single" w:sz="2" w:space="0" w:color="auto"/>
              <w:bottom w:val="single" w:sz="8" w:space="0" w:color="auto"/>
            </w:tcBorders>
            <w:shd w:val="clear" w:color="auto" w:fill="auto"/>
            <w:noWrap/>
            <w:tcMar>
              <w:left w:w="28" w:type="dxa"/>
              <w:right w:w="28" w:type="dxa"/>
            </w:tcMar>
            <w:vAlign w:val="center"/>
          </w:tcPr>
          <w:p w14:paraId="2A7AC46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4.464</w:t>
            </w:r>
          </w:p>
        </w:tc>
        <w:tc>
          <w:tcPr>
            <w:tcW w:w="655" w:type="dxa"/>
            <w:tcBorders>
              <w:top w:val="single" w:sz="2" w:space="0" w:color="auto"/>
              <w:bottom w:val="single" w:sz="8" w:space="0" w:color="auto"/>
            </w:tcBorders>
            <w:shd w:val="clear" w:color="auto" w:fill="auto"/>
            <w:noWrap/>
            <w:tcMar>
              <w:left w:w="28" w:type="dxa"/>
              <w:right w:w="28" w:type="dxa"/>
            </w:tcMar>
            <w:vAlign w:val="center"/>
          </w:tcPr>
          <w:p w14:paraId="42CE33D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7.276</w:t>
            </w:r>
          </w:p>
        </w:tc>
        <w:tc>
          <w:tcPr>
            <w:tcW w:w="655" w:type="dxa"/>
            <w:tcBorders>
              <w:top w:val="single" w:sz="2" w:space="0" w:color="auto"/>
              <w:bottom w:val="single" w:sz="8" w:space="0" w:color="auto"/>
            </w:tcBorders>
            <w:shd w:val="clear" w:color="auto" w:fill="auto"/>
            <w:noWrap/>
            <w:tcMar>
              <w:left w:w="28" w:type="dxa"/>
              <w:right w:w="28" w:type="dxa"/>
            </w:tcMar>
            <w:vAlign w:val="center"/>
          </w:tcPr>
          <w:p w14:paraId="7BA8437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10.434</w:t>
            </w:r>
          </w:p>
        </w:tc>
        <w:tc>
          <w:tcPr>
            <w:tcW w:w="656" w:type="dxa"/>
            <w:tcBorders>
              <w:top w:val="single" w:sz="2" w:space="0" w:color="auto"/>
              <w:bottom w:val="single" w:sz="8" w:space="0" w:color="auto"/>
            </w:tcBorders>
            <w:shd w:val="clear" w:color="auto" w:fill="auto"/>
            <w:noWrap/>
            <w:tcMar>
              <w:left w:w="28" w:type="dxa"/>
              <w:right w:w="28" w:type="dxa"/>
            </w:tcMar>
            <w:vAlign w:val="center"/>
          </w:tcPr>
          <w:p w14:paraId="0131A73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14.415</w:t>
            </w:r>
          </w:p>
        </w:tc>
        <w:tc>
          <w:tcPr>
            <w:tcW w:w="655" w:type="dxa"/>
            <w:tcBorders>
              <w:top w:val="single" w:sz="2" w:space="0" w:color="auto"/>
              <w:bottom w:val="single" w:sz="8" w:space="0" w:color="auto"/>
            </w:tcBorders>
            <w:shd w:val="clear" w:color="auto" w:fill="auto"/>
            <w:noWrap/>
            <w:tcMar>
              <w:left w:w="28" w:type="dxa"/>
              <w:right w:w="28" w:type="dxa"/>
            </w:tcMar>
            <w:vAlign w:val="center"/>
          </w:tcPr>
          <w:p w14:paraId="68E9BC2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19.236</w:t>
            </w:r>
          </w:p>
        </w:tc>
        <w:tc>
          <w:tcPr>
            <w:tcW w:w="656" w:type="dxa"/>
            <w:tcBorders>
              <w:top w:val="single" w:sz="2" w:space="0" w:color="auto"/>
              <w:bottom w:val="single" w:sz="8" w:space="0" w:color="auto"/>
            </w:tcBorders>
            <w:shd w:val="clear" w:color="auto" w:fill="auto"/>
            <w:noWrap/>
            <w:tcMar>
              <w:left w:w="28" w:type="dxa"/>
              <w:right w:w="28" w:type="dxa"/>
            </w:tcMar>
            <w:vAlign w:val="center"/>
          </w:tcPr>
          <w:p w14:paraId="69E5159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24.120</w:t>
            </w:r>
          </w:p>
        </w:tc>
        <w:tc>
          <w:tcPr>
            <w:tcW w:w="656" w:type="dxa"/>
            <w:tcBorders>
              <w:top w:val="single" w:sz="2" w:space="0" w:color="auto"/>
              <w:bottom w:val="single" w:sz="8" w:space="0" w:color="auto"/>
            </w:tcBorders>
            <w:vAlign w:val="center"/>
          </w:tcPr>
          <w:p w14:paraId="14792D5A"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29.067</w:t>
            </w:r>
          </w:p>
        </w:tc>
      </w:tr>
    </w:tbl>
    <w:p w14:paraId="7302EF6E" w14:textId="77777777" w:rsidR="00497092" w:rsidRPr="00644F20" w:rsidRDefault="002F45E1" w:rsidP="0041506A">
      <w:pPr>
        <w:spacing w:before="120"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Укупне потенцијалне економске користи за домаћинства по основу примене концепта циркуларне економије за период од 2022. до 2032. године крећу се у интервалу између 33 и 72 милијарди динара (дисконтована вредност).</w:t>
      </w:r>
    </w:p>
    <w:p w14:paraId="52A84113" w14:textId="77777777" w:rsidR="00497092" w:rsidRPr="00644F20" w:rsidRDefault="002F45E1" w:rsidP="0041506A">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Пораст продуктивности рада, БДП-а и запослености ће имати позитиван утицај и на буџетске приходе јединица локалне самоуправе и државе. У наредним табелама је приказано потенцијално повећање укупних буџетских прихода јединица локалне самоуправе, као и буџетских прихода државе.</w:t>
      </w:r>
    </w:p>
    <w:p w14:paraId="1BD56852" w14:textId="77777777" w:rsidR="00497092" w:rsidRPr="00644F20" w:rsidRDefault="002F45E1">
      <w:pPr>
        <w:spacing w:after="60"/>
        <w:jc w:val="both"/>
        <w:rPr>
          <w:rFonts w:ascii="Times New Roman" w:hAnsi="Times New Roman" w:cs="Times New Roman"/>
          <w:lang w:val="sr-Cyrl-CS"/>
        </w:rPr>
      </w:pPr>
      <w:r w:rsidRPr="00644F20">
        <w:rPr>
          <w:rFonts w:ascii="Times New Roman" w:hAnsi="Times New Roman" w:cs="Times New Roman"/>
          <w:b/>
          <w:lang w:val="sr-Cyrl-CS"/>
        </w:rPr>
        <w:t>Табела 5.6</w:t>
      </w:r>
      <w:r w:rsidRPr="00644F20">
        <w:rPr>
          <w:rFonts w:ascii="Times New Roman" w:hAnsi="Times New Roman" w:cs="Times New Roman"/>
          <w:lang w:val="sr-Cyrl-CS"/>
        </w:rPr>
        <w:t xml:space="preserve"> Промена буџетских прихода ЈЛС (промена у односу на Status quo сценарио, милиони динара, константне цене из 2021. године)</w:t>
      </w:r>
    </w:p>
    <w:tbl>
      <w:tblPr>
        <w:tblW w:w="9007" w:type="dxa"/>
        <w:tblBorders>
          <w:top w:val="single" w:sz="4" w:space="0" w:color="auto"/>
          <w:bottom w:val="single" w:sz="4" w:space="0" w:color="auto"/>
        </w:tblBorders>
        <w:tblLayout w:type="fixed"/>
        <w:tblLook w:val="04A0" w:firstRow="1" w:lastRow="0" w:firstColumn="1" w:lastColumn="0" w:noHBand="0" w:noVBand="1"/>
      </w:tblPr>
      <w:tblGrid>
        <w:gridCol w:w="722"/>
        <w:gridCol w:w="1130"/>
        <w:gridCol w:w="650"/>
        <w:gridCol w:w="650"/>
        <w:gridCol w:w="651"/>
        <w:gridCol w:w="650"/>
        <w:gridCol w:w="651"/>
        <w:gridCol w:w="650"/>
        <w:gridCol w:w="650"/>
        <w:gridCol w:w="651"/>
        <w:gridCol w:w="650"/>
        <w:gridCol w:w="651"/>
        <w:gridCol w:w="651"/>
      </w:tblGrid>
      <w:tr w:rsidR="00497092" w:rsidRPr="00644F20" w14:paraId="75D40D12" w14:textId="77777777">
        <w:trPr>
          <w:trHeight w:val="164"/>
        </w:trPr>
        <w:tc>
          <w:tcPr>
            <w:tcW w:w="722" w:type="dxa"/>
            <w:tcBorders>
              <w:top w:val="single" w:sz="8" w:space="0" w:color="auto"/>
              <w:bottom w:val="single" w:sz="8" w:space="0" w:color="auto"/>
            </w:tcBorders>
            <w:shd w:val="clear" w:color="auto" w:fill="auto"/>
            <w:noWrap/>
            <w:tcMar>
              <w:left w:w="28" w:type="dxa"/>
              <w:right w:w="28" w:type="dxa"/>
            </w:tcMar>
            <w:vAlign w:val="center"/>
          </w:tcPr>
          <w:p w14:paraId="650FD346" w14:textId="77777777" w:rsidR="00497092" w:rsidRPr="00644F20" w:rsidRDefault="002F45E1">
            <w:pPr>
              <w:spacing w:after="0" w:line="240" w:lineRule="auto"/>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Опција</w:t>
            </w:r>
          </w:p>
        </w:tc>
        <w:tc>
          <w:tcPr>
            <w:tcW w:w="1130" w:type="dxa"/>
            <w:tcBorders>
              <w:top w:val="single" w:sz="8" w:space="0" w:color="auto"/>
              <w:bottom w:val="single" w:sz="8" w:space="0" w:color="auto"/>
            </w:tcBorders>
            <w:shd w:val="clear" w:color="auto" w:fill="auto"/>
            <w:noWrap/>
            <w:tcMar>
              <w:left w:w="28" w:type="dxa"/>
              <w:right w:w="28" w:type="dxa"/>
            </w:tcMar>
            <w:vAlign w:val="center"/>
          </w:tcPr>
          <w:p w14:paraId="2B291B31"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Дисконтована</w:t>
            </w:r>
          </w:p>
          <w:p w14:paraId="6304FCD1"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вредност</w:t>
            </w:r>
          </w:p>
          <w:p w14:paraId="5163CBD8"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(2022-2032)</w:t>
            </w:r>
          </w:p>
        </w:tc>
        <w:tc>
          <w:tcPr>
            <w:tcW w:w="650" w:type="dxa"/>
            <w:tcBorders>
              <w:top w:val="single" w:sz="8" w:space="0" w:color="auto"/>
              <w:bottom w:val="single" w:sz="8" w:space="0" w:color="auto"/>
            </w:tcBorders>
            <w:shd w:val="clear" w:color="auto" w:fill="auto"/>
            <w:noWrap/>
            <w:tcMar>
              <w:left w:w="28" w:type="dxa"/>
              <w:right w:w="28" w:type="dxa"/>
            </w:tcMar>
            <w:vAlign w:val="center"/>
          </w:tcPr>
          <w:p w14:paraId="7C900936"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w:t>
            </w:r>
          </w:p>
        </w:tc>
        <w:tc>
          <w:tcPr>
            <w:tcW w:w="650" w:type="dxa"/>
            <w:tcBorders>
              <w:top w:val="single" w:sz="8" w:space="0" w:color="auto"/>
              <w:bottom w:val="single" w:sz="8" w:space="0" w:color="auto"/>
            </w:tcBorders>
            <w:shd w:val="clear" w:color="auto" w:fill="auto"/>
            <w:noWrap/>
            <w:tcMar>
              <w:left w:w="28" w:type="dxa"/>
              <w:right w:w="28" w:type="dxa"/>
            </w:tcMar>
            <w:vAlign w:val="center"/>
          </w:tcPr>
          <w:p w14:paraId="3CBE6476"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2023</w:t>
            </w:r>
          </w:p>
        </w:tc>
        <w:tc>
          <w:tcPr>
            <w:tcW w:w="651" w:type="dxa"/>
            <w:tcBorders>
              <w:top w:val="single" w:sz="8" w:space="0" w:color="auto"/>
              <w:bottom w:val="single" w:sz="8" w:space="0" w:color="auto"/>
            </w:tcBorders>
            <w:shd w:val="clear" w:color="auto" w:fill="auto"/>
            <w:noWrap/>
            <w:tcMar>
              <w:left w:w="28" w:type="dxa"/>
              <w:right w:w="28" w:type="dxa"/>
            </w:tcMar>
            <w:vAlign w:val="center"/>
          </w:tcPr>
          <w:p w14:paraId="6F20E8D8"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2024</w:t>
            </w:r>
          </w:p>
        </w:tc>
        <w:tc>
          <w:tcPr>
            <w:tcW w:w="650" w:type="dxa"/>
            <w:tcBorders>
              <w:top w:val="single" w:sz="8" w:space="0" w:color="auto"/>
              <w:bottom w:val="single" w:sz="8" w:space="0" w:color="auto"/>
            </w:tcBorders>
            <w:shd w:val="clear" w:color="auto" w:fill="auto"/>
            <w:noWrap/>
            <w:tcMar>
              <w:left w:w="28" w:type="dxa"/>
              <w:right w:w="28" w:type="dxa"/>
            </w:tcMar>
            <w:vAlign w:val="center"/>
          </w:tcPr>
          <w:p w14:paraId="5C918879"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2025</w:t>
            </w:r>
          </w:p>
        </w:tc>
        <w:tc>
          <w:tcPr>
            <w:tcW w:w="651" w:type="dxa"/>
            <w:tcBorders>
              <w:top w:val="single" w:sz="8" w:space="0" w:color="auto"/>
              <w:bottom w:val="single" w:sz="8" w:space="0" w:color="auto"/>
            </w:tcBorders>
            <w:shd w:val="clear" w:color="auto" w:fill="auto"/>
            <w:noWrap/>
            <w:tcMar>
              <w:left w:w="28" w:type="dxa"/>
              <w:right w:w="28" w:type="dxa"/>
            </w:tcMar>
            <w:vAlign w:val="center"/>
          </w:tcPr>
          <w:p w14:paraId="562D7A46"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2026</w:t>
            </w:r>
          </w:p>
        </w:tc>
        <w:tc>
          <w:tcPr>
            <w:tcW w:w="650" w:type="dxa"/>
            <w:tcBorders>
              <w:top w:val="single" w:sz="8" w:space="0" w:color="auto"/>
              <w:bottom w:val="single" w:sz="8" w:space="0" w:color="auto"/>
            </w:tcBorders>
            <w:shd w:val="clear" w:color="auto" w:fill="auto"/>
            <w:noWrap/>
            <w:tcMar>
              <w:left w:w="28" w:type="dxa"/>
              <w:right w:w="28" w:type="dxa"/>
            </w:tcMar>
            <w:vAlign w:val="center"/>
          </w:tcPr>
          <w:p w14:paraId="29B8B3F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2027</w:t>
            </w:r>
          </w:p>
        </w:tc>
        <w:tc>
          <w:tcPr>
            <w:tcW w:w="650" w:type="dxa"/>
            <w:tcBorders>
              <w:top w:val="single" w:sz="8" w:space="0" w:color="auto"/>
              <w:bottom w:val="single" w:sz="8" w:space="0" w:color="auto"/>
            </w:tcBorders>
            <w:shd w:val="clear" w:color="auto" w:fill="auto"/>
            <w:noWrap/>
            <w:tcMar>
              <w:left w:w="28" w:type="dxa"/>
              <w:right w:w="28" w:type="dxa"/>
            </w:tcMar>
            <w:vAlign w:val="center"/>
          </w:tcPr>
          <w:p w14:paraId="2DDD9B3F"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2028</w:t>
            </w:r>
          </w:p>
        </w:tc>
        <w:tc>
          <w:tcPr>
            <w:tcW w:w="651" w:type="dxa"/>
            <w:tcBorders>
              <w:top w:val="single" w:sz="8" w:space="0" w:color="auto"/>
              <w:bottom w:val="single" w:sz="8" w:space="0" w:color="auto"/>
            </w:tcBorders>
            <w:shd w:val="clear" w:color="auto" w:fill="auto"/>
            <w:noWrap/>
            <w:tcMar>
              <w:left w:w="28" w:type="dxa"/>
              <w:right w:w="28" w:type="dxa"/>
            </w:tcMar>
            <w:vAlign w:val="center"/>
          </w:tcPr>
          <w:p w14:paraId="29998B6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2029</w:t>
            </w:r>
          </w:p>
        </w:tc>
        <w:tc>
          <w:tcPr>
            <w:tcW w:w="650" w:type="dxa"/>
            <w:tcBorders>
              <w:top w:val="single" w:sz="8" w:space="0" w:color="auto"/>
              <w:bottom w:val="single" w:sz="8" w:space="0" w:color="auto"/>
            </w:tcBorders>
            <w:shd w:val="clear" w:color="auto" w:fill="auto"/>
            <w:noWrap/>
            <w:tcMar>
              <w:left w:w="28" w:type="dxa"/>
              <w:right w:w="28" w:type="dxa"/>
            </w:tcMar>
            <w:vAlign w:val="center"/>
          </w:tcPr>
          <w:p w14:paraId="02863EF3"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2030</w:t>
            </w:r>
          </w:p>
        </w:tc>
        <w:tc>
          <w:tcPr>
            <w:tcW w:w="651" w:type="dxa"/>
            <w:tcBorders>
              <w:top w:val="single" w:sz="8" w:space="0" w:color="auto"/>
              <w:bottom w:val="single" w:sz="8" w:space="0" w:color="auto"/>
            </w:tcBorders>
            <w:shd w:val="clear" w:color="auto" w:fill="auto"/>
            <w:noWrap/>
            <w:tcMar>
              <w:left w:w="28" w:type="dxa"/>
              <w:right w:w="28" w:type="dxa"/>
            </w:tcMar>
            <w:vAlign w:val="center"/>
          </w:tcPr>
          <w:p w14:paraId="732990C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2031</w:t>
            </w:r>
          </w:p>
        </w:tc>
        <w:tc>
          <w:tcPr>
            <w:tcW w:w="651" w:type="dxa"/>
            <w:tcBorders>
              <w:top w:val="single" w:sz="8" w:space="0" w:color="auto"/>
              <w:bottom w:val="single" w:sz="8" w:space="0" w:color="auto"/>
            </w:tcBorders>
            <w:vAlign w:val="center"/>
          </w:tcPr>
          <w:p w14:paraId="1CA4B582"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2032</w:t>
            </w:r>
          </w:p>
        </w:tc>
      </w:tr>
      <w:tr w:rsidR="00497092" w:rsidRPr="00644F20" w14:paraId="600696F5" w14:textId="77777777">
        <w:trPr>
          <w:trHeight w:val="164"/>
        </w:trPr>
        <w:tc>
          <w:tcPr>
            <w:tcW w:w="722" w:type="dxa"/>
            <w:tcBorders>
              <w:top w:val="single" w:sz="8" w:space="0" w:color="auto"/>
              <w:bottom w:val="single" w:sz="2" w:space="0" w:color="auto"/>
            </w:tcBorders>
            <w:shd w:val="clear" w:color="auto" w:fill="auto"/>
            <w:noWrap/>
            <w:tcMar>
              <w:left w:w="28" w:type="dxa"/>
              <w:right w:w="28" w:type="dxa"/>
            </w:tcMar>
            <w:vAlign w:val="center"/>
          </w:tcPr>
          <w:p w14:paraId="63066B5D"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Status quo</w:t>
            </w:r>
          </w:p>
        </w:tc>
        <w:tc>
          <w:tcPr>
            <w:tcW w:w="1130" w:type="dxa"/>
            <w:tcBorders>
              <w:top w:val="single" w:sz="8" w:space="0" w:color="auto"/>
              <w:bottom w:val="single" w:sz="2" w:space="0" w:color="auto"/>
            </w:tcBorders>
            <w:shd w:val="clear" w:color="auto" w:fill="auto"/>
            <w:noWrap/>
            <w:tcMar>
              <w:left w:w="28" w:type="dxa"/>
              <w:right w:w="28" w:type="dxa"/>
            </w:tcMar>
            <w:vAlign w:val="center"/>
          </w:tcPr>
          <w:p w14:paraId="0851CA7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8" w:space="0" w:color="auto"/>
              <w:bottom w:val="single" w:sz="2" w:space="0" w:color="auto"/>
            </w:tcBorders>
            <w:shd w:val="clear" w:color="auto" w:fill="auto"/>
            <w:noWrap/>
            <w:tcMar>
              <w:left w:w="28" w:type="dxa"/>
              <w:right w:w="28" w:type="dxa"/>
            </w:tcMar>
            <w:vAlign w:val="center"/>
          </w:tcPr>
          <w:p w14:paraId="44D2195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8" w:space="0" w:color="auto"/>
              <w:bottom w:val="single" w:sz="2" w:space="0" w:color="auto"/>
            </w:tcBorders>
            <w:shd w:val="clear" w:color="auto" w:fill="auto"/>
            <w:noWrap/>
            <w:tcMar>
              <w:left w:w="28" w:type="dxa"/>
              <w:right w:w="28" w:type="dxa"/>
            </w:tcMar>
            <w:vAlign w:val="center"/>
          </w:tcPr>
          <w:p w14:paraId="4B23091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1" w:type="dxa"/>
            <w:tcBorders>
              <w:top w:val="single" w:sz="8" w:space="0" w:color="auto"/>
              <w:bottom w:val="single" w:sz="2" w:space="0" w:color="auto"/>
            </w:tcBorders>
            <w:shd w:val="clear" w:color="auto" w:fill="auto"/>
            <w:noWrap/>
            <w:tcMar>
              <w:left w:w="28" w:type="dxa"/>
              <w:right w:w="28" w:type="dxa"/>
            </w:tcMar>
            <w:vAlign w:val="center"/>
          </w:tcPr>
          <w:p w14:paraId="1A20226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8" w:space="0" w:color="auto"/>
              <w:bottom w:val="single" w:sz="2" w:space="0" w:color="auto"/>
            </w:tcBorders>
            <w:shd w:val="clear" w:color="auto" w:fill="auto"/>
            <w:noWrap/>
            <w:tcMar>
              <w:left w:w="28" w:type="dxa"/>
              <w:right w:w="28" w:type="dxa"/>
            </w:tcMar>
            <w:vAlign w:val="center"/>
          </w:tcPr>
          <w:p w14:paraId="5DD39C1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1" w:type="dxa"/>
            <w:tcBorders>
              <w:top w:val="single" w:sz="8" w:space="0" w:color="auto"/>
              <w:bottom w:val="single" w:sz="2" w:space="0" w:color="auto"/>
            </w:tcBorders>
            <w:shd w:val="clear" w:color="auto" w:fill="auto"/>
            <w:noWrap/>
            <w:tcMar>
              <w:left w:w="28" w:type="dxa"/>
              <w:right w:w="28" w:type="dxa"/>
            </w:tcMar>
            <w:vAlign w:val="center"/>
          </w:tcPr>
          <w:p w14:paraId="1A18B2D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8" w:space="0" w:color="auto"/>
              <w:bottom w:val="single" w:sz="2" w:space="0" w:color="auto"/>
            </w:tcBorders>
            <w:shd w:val="clear" w:color="auto" w:fill="auto"/>
            <w:noWrap/>
            <w:tcMar>
              <w:left w:w="28" w:type="dxa"/>
              <w:right w:w="28" w:type="dxa"/>
            </w:tcMar>
            <w:vAlign w:val="center"/>
          </w:tcPr>
          <w:p w14:paraId="4091C5A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8" w:space="0" w:color="auto"/>
              <w:bottom w:val="single" w:sz="2" w:space="0" w:color="auto"/>
            </w:tcBorders>
            <w:shd w:val="clear" w:color="auto" w:fill="auto"/>
            <w:noWrap/>
            <w:tcMar>
              <w:left w:w="28" w:type="dxa"/>
              <w:right w:w="28" w:type="dxa"/>
            </w:tcMar>
            <w:vAlign w:val="center"/>
          </w:tcPr>
          <w:p w14:paraId="3359B3C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1" w:type="dxa"/>
            <w:tcBorders>
              <w:top w:val="single" w:sz="8" w:space="0" w:color="auto"/>
              <w:bottom w:val="single" w:sz="2" w:space="0" w:color="auto"/>
            </w:tcBorders>
            <w:shd w:val="clear" w:color="auto" w:fill="auto"/>
            <w:noWrap/>
            <w:tcMar>
              <w:left w:w="28" w:type="dxa"/>
              <w:right w:w="28" w:type="dxa"/>
            </w:tcMar>
            <w:vAlign w:val="center"/>
          </w:tcPr>
          <w:p w14:paraId="13528DA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8" w:space="0" w:color="auto"/>
              <w:bottom w:val="single" w:sz="2" w:space="0" w:color="auto"/>
            </w:tcBorders>
            <w:shd w:val="clear" w:color="auto" w:fill="auto"/>
            <w:noWrap/>
            <w:tcMar>
              <w:left w:w="28" w:type="dxa"/>
              <w:right w:w="28" w:type="dxa"/>
            </w:tcMar>
            <w:vAlign w:val="center"/>
          </w:tcPr>
          <w:p w14:paraId="6111B1A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1" w:type="dxa"/>
            <w:tcBorders>
              <w:top w:val="single" w:sz="8" w:space="0" w:color="auto"/>
              <w:bottom w:val="single" w:sz="2" w:space="0" w:color="auto"/>
            </w:tcBorders>
            <w:shd w:val="clear" w:color="auto" w:fill="auto"/>
            <w:noWrap/>
            <w:tcMar>
              <w:left w:w="28" w:type="dxa"/>
              <w:right w:w="28" w:type="dxa"/>
            </w:tcMar>
            <w:vAlign w:val="center"/>
          </w:tcPr>
          <w:p w14:paraId="7EDA7B3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1" w:type="dxa"/>
            <w:tcBorders>
              <w:top w:val="single" w:sz="8" w:space="0" w:color="auto"/>
              <w:bottom w:val="single" w:sz="2" w:space="0" w:color="auto"/>
            </w:tcBorders>
            <w:vAlign w:val="center"/>
          </w:tcPr>
          <w:p w14:paraId="1EB6A5E2"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r>
      <w:tr w:rsidR="00497092" w:rsidRPr="00644F20" w14:paraId="4DE88196" w14:textId="77777777">
        <w:trPr>
          <w:trHeight w:val="164"/>
        </w:trPr>
        <w:tc>
          <w:tcPr>
            <w:tcW w:w="722" w:type="dxa"/>
            <w:tcBorders>
              <w:top w:val="single" w:sz="2" w:space="0" w:color="auto"/>
              <w:bottom w:val="single" w:sz="2" w:space="0" w:color="auto"/>
            </w:tcBorders>
            <w:shd w:val="clear" w:color="auto" w:fill="auto"/>
            <w:noWrap/>
            <w:tcMar>
              <w:left w:w="28" w:type="dxa"/>
              <w:right w:w="28" w:type="dxa"/>
            </w:tcMar>
            <w:vAlign w:val="center"/>
          </w:tcPr>
          <w:p w14:paraId="77DA1642"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1</w:t>
            </w:r>
          </w:p>
        </w:tc>
        <w:tc>
          <w:tcPr>
            <w:tcW w:w="1130" w:type="dxa"/>
            <w:tcBorders>
              <w:top w:val="single" w:sz="2" w:space="0" w:color="auto"/>
              <w:bottom w:val="single" w:sz="2" w:space="0" w:color="auto"/>
            </w:tcBorders>
            <w:shd w:val="clear" w:color="auto" w:fill="auto"/>
            <w:noWrap/>
            <w:tcMar>
              <w:left w:w="28" w:type="dxa"/>
              <w:right w:w="28" w:type="dxa"/>
            </w:tcMar>
            <w:vAlign w:val="center"/>
          </w:tcPr>
          <w:p w14:paraId="0494D95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6.693</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5D629FB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2B9629C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30</w:t>
            </w:r>
          </w:p>
        </w:tc>
        <w:tc>
          <w:tcPr>
            <w:tcW w:w="651" w:type="dxa"/>
            <w:tcBorders>
              <w:top w:val="single" w:sz="2" w:space="0" w:color="auto"/>
              <w:bottom w:val="single" w:sz="2" w:space="0" w:color="auto"/>
            </w:tcBorders>
            <w:shd w:val="clear" w:color="auto" w:fill="auto"/>
            <w:noWrap/>
            <w:tcMar>
              <w:left w:w="28" w:type="dxa"/>
              <w:right w:w="28" w:type="dxa"/>
            </w:tcMar>
            <w:vAlign w:val="center"/>
          </w:tcPr>
          <w:p w14:paraId="3ACD087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61</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66CA82E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214</w:t>
            </w:r>
          </w:p>
        </w:tc>
        <w:tc>
          <w:tcPr>
            <w:tcW w:w="651" w:type="dxa"/>
            <w:tcBorders>
              <w:top w:val="single" w:sz="2" w:space="0" w:color="auto"/>
              <w:bottom w:val="single" w:sz="2" w:space="0" w:color="auto"/>
            </w:tcBorders>
            <w:shd w:val="clear" w:color="auto" w:fill="auto"/>
            <w:noWrap/>
            <w:tcMar>
              <w:left w:w="28" w:type="dxa"/>
              <w:right w:w="28" w:type="dxa"/>
            </w:tcMar>
            <w:vAlign w:val="center"/>
          </w:tcPr>
          <w:p w14:paraId="020D220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462</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4CDE2F6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773</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02CDF86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1.089</w:t>
            </w:r>
          </w:p>
        </w:tc>
        <w:tc>
          <w:tcPr>
            <w:tcW w:w="651" w:type="dxa"/>
            <w:tcBorders>
              <w:top w:val="single" w:sz="2" w:space="0" w:color="auto"/>
              <w:bottom w:val="single" w:sz="2" w:space="0" w:color="auto"/>
            </w:tcBorders>
            <w:shd w:val="clear" w:color="auto" w:fill="auto"/>
            <w:noWrap/>
            <w:tcMar>
              <w:left w:w="28" w:type="dxa"/>
              <w:right w:w="28" w:type="dxa"/>
            </w:tcMar>
            <w:vAlign w:val="center"/>
          </w:tcPr>
          <w:p w14:paraId="32BFAB2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1.407</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7E15332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1.730</w:t>
            </w:r>
          </w:p>
        </w:tc>
        <w:tc>
          <w:tcPr>
            <w:tcW w:w="651" w:type="dxa"/>
            <w:tcBorders>
              <w:top w:val="single" w:sz="2" w:space="0" w:color="auto"/>
              <w:bottom w:val="single" w:sz="2" w:space="0" w:color="auto"/>
            </w:tcBorders>
            <w:shd w:val="clear" w:color="auto" w:fill="auto"/>
            <w:noWrap/>
            <w:tcMar>
              <w:left w:w="28" w:type="dxa"/>
              <w:right w:w="28" w:type="dxa"/>
            </w:tcMar>
            <w:vAlign w:val="center"/>
          </w:tcPr>
          <w:p w14:paraId="0E5792E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2.055</w:t>
            </w:r>
          </w:p>
        </w:tc>
        <w:tc>
          <w:tcPr>
            <w:tcW w:w="651" w:type="dxa"/>
            <w:tcBorders>
              <w:top w:val="single" w:sz="2" w:space="0" w:color="auto"/>
              <w:bottom w:val="single" w:sz="2" w:space="0" w:color="auto"/>
            </w:tcBorders>
            <w:vAlign w:val="center"/>
          </w:tcPr>
          <w:p w14:paraId="50AB124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2.385</w:t>
            </w:r>
          </w:p>
        </w:tc>
      </w:tr>
      <w:tr w:rsidR="00497092" w:rsidRPr="00644F20" w14:paraId="57C39726" w14:textId="77777777">
        <w:trPr>
          <w:trHeight w:val="164"/>
        </w:trPr>
        <w:tc>
          <w:tcPr>
            <w:tcW w:w="722" w:type="dxa"/>
            <w:tcBorders>
              <w:top w:val="single" w:sz="2" w:space="0" w:color="auto"/>
              <w:bottom w:val="single" w:sz="2" w:space="0" w:color="auto"/>
            </w:tcBorders>
            <w:shd w:val="clear" w:color="auto" w:fill="auto"/>
            <w:noWrap/>
            <w:tcMar>
              <w:left w:w="28" w:type="dxa"/>
              <w:right w:w="28" w:type="dxa"/>
            </w:tcMar>
            <w:vAlign w:val="center"/>
          </w:tcPr>
          <w:p w14:paraId="6BC02AE3"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2</w:t>
            </w:r>
          </w:p>
        </w:tc>
        <w:tc>
          <w:tcPr>
            <w:tcW w:w="1130" w:type="dxa"/>
            <w:tcBorders>
              <w:top w:val="single" w:sz="2" w:space="0" w:color="auto"/>
              <w:bottom w:val="single" w:sz="2" w:space="0" w:color="auto"/>
            </w:tcBorders>
            <w:shd w:val="clear" w:color="auto" w:fill="auto"/>
            <w:noWrap/>
            <w:tcMar>
              <w:left w:w="28" w:type="dxa"/>
              <w:right w:w="28" w:type="dxa"/>
            </w:tcMar>
            <w:vAlign w:val="center"/>
          </w:tcPr>
          <w:p w14:paraId="463A26A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11.108</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3FEA7704"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20E4A8D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30</w:t>
            </w:r>
          </w:p>
        </w:tc>
        <w:tc>
          <w:tcPr>
            <w:tcW w:w="651" w:type="dxa"/>
            <w:tcBorders>
              <w:top w:val="single" w:sz="2" w:space="0" w:color="auto"/>
              <w:bottom w:val="single" w:sz="2" w:space="0" w:color="auto"/>
            </w:tcBorders>
            <w:shd w:val="clear" w:color="auto" w:fill="auto"/>
            <w:noWrap/>
            <w:tcMar>
              <w:left w:w="28" w:type="dxa"/>
              <w:right w:w="28" w:type="dxa"/>
            </w:tcMar>
            <w:vAlign w:val="center"/>
          </w:tcPr>
          <w:p w14:paraId="7F2D6E5B"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91</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0CEF92BF"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337</w:t>
            </w:r>
          </w:p>
        </w:tc>
        <w:tc>
          <w:tcPr>
            <w:tcW w:w="651" w:type="dxa"/>
            <w:tcBorders>
              <w:top w:val="single" w:sz="2" w:space="0" w:color="auto"/>
              <w:bottom w:val="single" w:sz="2" w:space="0" w:color="auto"/>
            </w:tcBorders>
            <w:shd w:val="clear" w:color="auto" w:fill="auto"/>
            <w:noWrap/>
            <w:tcMar>
              <w:left w:w="28" w:type="dxa"/>
              <w:right w:w="28" w:type="dxa"/>
            </w:tcMar>
            <w:vAlign w:val="center"/>
          </w:tcPr>
          <w:p w14:paraId="5DDD5C4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646</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10295CFF"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1.114</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1DE15045"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1.681</w:t>
            </w:r>
          </w:p>
        </w:tc>
        <w:tc>
          <w:tcPr>
            <w:tcW w:w="651" w:type="dxa"/>
            <w:tcBorders>
              <w:top w:val="single" w:sz="2" w:space="0" w:color="auto"/>
              <w:bottom w:val="single" w:sz="2" w:space="0" w:color="auto"/>
            </w:tcBorders>
            <w:shd w:val="clear" w:color="auto" w:fill="auto"/>
            <w:noWrap/>
            <w:tcMar>
              <w:left w:w="28" w:type="dxa"/>
              <w:right w:w="28" w:type="dxa"/>
            </w:tcMar>
            <w:vAlign w:val="center"/>
          </w:tcPr>
          <w:p w14:paraId="67D1324B"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2.317</w:t>
            </w:r>
          </w:p>
        </w:tc>
        <w:tc>
          <w:tcPr>
            <w:tcW w:w="650" w:type="dxa"/>
            <w:tcBorders>
              <w:top w:val="single" w:sz="2" w:space="0" w:color="auto"/>
              <w:bottom w:val="single" w:sz="2" w:space="0" w:color="auto"/>
            </w:tcBorders>
            <w:shd w:val="clear" w:color="auto" w:fill="auto"/>
            <w:noWrap/>
            <w:tcMar>
              <w:left w:w="28" w:type="dxa"/>
              <w:right w:w="28" w:type="dxa"/>
            </w:tcMar>
            <w:vAlign w:val="center"/>
          </w:tcPr>
          <w:p w14:paraId="5F834F2C"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2.961</w:t>
            </w:r>
          </w:p>
        </w:tc>
        <w:tc>
          <w:tcPr>
            <w:tcW w:w="651" w:type="dxa"/>
            <w:tcBorders>
              <w:top w:val="single" w:sz="2" w:space="0" w:color="auto"/>
              <w:bottom w:val="single" w:sz="2" w:space="0" w:color="auto"/>
            </w:tcBorders>
            <w:shd w:val="clear" w:color="auto" w:fill="auto"/>
            <w:noWrap/>
            <w:tcMar>
              <w:left w:w="28" w:type="dxa"/>
              <w:right w:w="28" w:type="dxa"/>
            </w:tcMar>
            <w:vAlign w:val="center"/>
          </w:tcPr>
          <w:p w14:paraId="4B81225A"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3.612</w:t>
            </w:r>
          </w:p>
        </w:tc>
        <w:tc>
          <w:tcPr>
            <w:tcW w:w="651" w:type="dxa"/>
            <w:tcBorders>
              <w:top w:val="single" w:sz="2" w:space="0" w:color="auto"/>
              <w:bottom w:val="single" w:sz="2" w:space="0" w:color="auto"/>
            </w:tcBorders>
            <w:vAlign w:val="center"/>
          </w:tcPr>
          <w:p w14:paraId="340FA898"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4.271</w:t>
            </w:r>
          </w:p>
        </w:tc>
      </w:tr>
      <w:tr w:rsidR="00497092" w:rsidRPr="00644F20" w14:paraId="7FFC2B90" w14:textId="77777777">
        <w:trPr>
          <w:trHeight w:val="164"/>
        </w:trPr>
        <w:tc>
          <w:tcPr>
            <w:tcW w:w="722" w:type="dxa"/>
            <w:tcBorders>
              <w:top w:val="single" w:sz="2" w:space="0" w:color="auto"/>
              <w:bottom w:val="single" w:sz="8" w:space="0" w:color="auto"/>
            </w:tcBorders>
            <w:shd w:val="clear" w:color="auto" w:fill="auto"/>
            <w:noWrap/>
            <w:tcMar>
              <w:left w:w="28" w:type="dxa"/>
              <w:right w:w="28" w:type="dxa"/>
            </w:tcMar>
            <w:vAlign w:val="center"/>
          </w:tcPr>
          <w:p w14:paraId="058A7509"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3</w:t>
            </w:r>
          </w:p>
        </w:tc>
        <w:tc>
          <w:tcPr>
            <w:tcW w:w="1130" w:type="dxa"/>
            <w:tcBorders>
              <w:top w:val="single" w:sz="2" w:space="0" w:color="auto"/>
              <w:bottom w:val="single" w:sz="8" w:space="0" w:color="auto"/>
            </w:tcBorders>
            <w:shd w:val="clear" w:color="auto" w:fill="auto"/>
            <w:noWrap/>
            <w:tcMar>
              <w:left w:w="28" w:type="dxa"/>
              <w:right w:w="28" w:type="dxa"/>
            </w:tcMar>
            <w:vAlign w:val="center"/>
          </w:tcPr>
          <w:p w14:paraId="2BB880C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14.546</w:t>
            </w:r>
          </w:p>
        </w:tc>
        <w:tc>
          <w:tcPr>
            <w:tcW w:w="650" w:type="dxa"/>
            <w:tcBorders>
              <w:top w:val="single" w:sz="2" w:space="0" w:color="auto"/>
              <w:bottom w:val="single" w:sz="8" w:space="0" w:color="auto"/>
            </w:tcBorders>
            <w:shd w:val="clear" w:color="auto" w:fill="auto"/>
            <w:noWrap/>
            <w:tcMar>
              <w:left w:w="28" w:type="dxa"/>
              <w:right w:w="28" w:type="dxa"/>
            </w:tcMar>
            <w:vAlign w:val="center"/>
          </w:tcPr>
          <w:p w14:paraId="6031606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50" w:type="dxa"/>
            <w:tcBorders>
              <w:top w:val="single" w:sz="2" w:space="0" w:color="auto"/>
              <w:bottom w:val="single" w:sz="8" w:space="0" w:color="auto"/>
            </w:tcBorders>
            <w:shd w:val="clear" w:color="auto" w:fill="auto"/>
            <w:noWrap/>
            <w:tcMar>
              <w:left w:w="28" w:type="dxa"/>
              <w:right w:w="28" w:type="dxa"/>
            </w:tcMar>
            <w:vAlign w:val="center"/>
          </w:tcPr>
          <w:p w14:paraId="614D4BC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30</w:t>
            </w:r>
          </w:p>
        </w:tc>
        <w:tc>
          <w:tcPr>
            <w:tcW w:w="651" w:type="dxa"/>
            <w:tcBorders>
              <w:top w:val="single" w:sz="2" w:space="0" w:color="auto"/>
              <w:bottom w:val="single" w:sz="8" w:space="0" w:color="auto"/>
            </w:tcBorders>
            <w:shd w:val="clear" w:color="auto" w:fill="auto"/>
            <w:noWrap/>
            <w:tcMar>
              <w:left w:w="28" w:type="dxa"/>
              <w:right w:w="28" w:type="dxa"/>
            </w:tcMar>
            <w:vAlign w:val="center"/>
          </w:tcPr>
          <w:p w14:paraId="6D60054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122</w:t>
            </w:r>
          </w:p>
        </w:tc>
        <w:tc>
          <w:tcPr>
            <w:tcW w:w="650" w:type="dxa"/>
            <w:tcBorders>
              <w:top w:val="single" w:sz="2" w:space="0" w:color="auto"/>
              <w:bottom w:val="single" w:sz="8" w:space="0" w:color="auto"/>
            </w:tcBorders>
            <w:shd w:val="clear" w:color="auto" w:fill="auto"/>
            <w:noWrap/>
            <w:tcMar>
              <w:left w:w="28" w:type="dxa"/>
              <w:right w:w="28" w:type="dxa"/>
            </w:tcMar>
            <w:vAlign w:val="center"/>
          </w:tcPr>
          <w:p w14:paraId="17B655C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429</w:t>
            </w:r>
          </w:p>
        </w:tc>
        <w:tc>
          <w:tcPr>
            <w:tcW w:w="651" w:type="dxa"/>
            <w:tcBorders>
              <w:top w:val="single" w:sz="2" w:space="0" w:color="auto"/>
              <w:bottom w:val="single" w:sz="8" w:space="0" w:color="auto"/>
            </w:tcBorders>
            <w:shd w:val="clear" w:color="auto" w:fill="auto"/>
            <w:noWrap/>
            <w:tcMar>
              <w:left w:w="28" w:type="dxa"/>
              <w:right w:w="28" w:type="dxa"/>
            </w:tcMar>
            <w:vAlign w:val="center"/>
          </w:tcPr>
          <w:p w14:paraId="49063C2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893</w:t>
            </w:r>
          </w:p>
        </w:tc>
        <w:tc>
          <w:tcPr>
            <w:tcW w:w="650" w:type="dxa"/>
            <w:tcBorders>
              <w:top w:val="single" w:sz="2" w:space="0" w:color="auto"/>
              <w:bottom w:val="single" w:sz="8" w:space="0" w:color="auto"/>
            </w:tcBorders>
            <w:shd w:val="clear" w:color="auto" w:fill="auto"/>
            <w:noWrap/>
            <w:tcMar>
              <w:left w:w="28" w:type="dxa"/>
              <w:right w:w="28" w:type="dxa"/>
            </w:tcMar>
            <w:vAlign w:val="center"/>
          </w:tcPr>
          <w:p w14:paraId="0F3EF4E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1.455</w:t>
            </w:r>
          </w:p>
        </w:tc>
        <w:tc>
          <w:tcPr>
            <w:tcW w:w="650" w:type="dxa"/>
            <w:tcBorders>
              <w:top w:val="single" w:sz="2" w:space="0" w:color="auto"/>
              <w:bottom w:val="single" w:sz="8" w:space="0" w:color="auto"/>
            </w:tcBorders>
            <w:shd w:val="clear" w:color="auto" w:fill="auto"/>
            <w:noWrap/>
            <w:tcMar>
              <w:left w:w="28" w:type="dxa"/>
              <w:right w:w="28" w:type="dxa"/>
            </w:tcMar>
            <w:vAlign w:val="center"/>
          </w:tcPr>
          <w:p w14:paraId="7D46B72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2.087</w:t>
            </w:r>
          </w:p>
        </w:tc>
        <w:tc>
          <w:tcPr>
            <w:tcW w:w="651" w:type="dxa"/>
            <w:tcBorders>
              <w:top w:val="single" w:sz="2" w:space="0" w:color="auto"/>
              <w:bottom w:val="single" w:sz="8" w:space="0" w:color="auto"/>
            </w:tcBorders>
            <w:shd w:val="clear" w:color="auto" w:fill="auto"/>
            <w:noWrap/>
            <w:tcMar>
              <w:left w:w="28" w:type="dxa"/>
              <w:right w:w="28" w:type="dxa"/>
            </w:tcMar>
            <w:vAlign w:val="center"/>
          </w:tcPr>
          <w:p w14:paraId="1CED66E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2.883</w:t>
            </w:r>
          </w:p>
        </w:tc>
        <w:tc>
          <w:tcPr>
            <w:tcW w:w="650" w:type="dxa"/>
            <w:tcBorders>
              <w:top w:val="single" w:sz="2" w:space="0" w:color="auto"/>
              <w:bottom w:val="single" w:sz="8" w:space="0" w:color="auto"/>
            </w:tcBorders>
            <w:shd w:val="clear" w:color="auto" w:fill="auto"/>
            <w:noWrap/>
            <w:tcMar>
              <w:left w:w="28" w:type="dxa"/>
              <w:right w:w="28" w:type="dxa"/>
            </w:tcMar>
            <w:vAlign w:val="center"/>
          </w:tcPr>
          <w:p w14:paraId="5A92736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3.847</w:t>
            </w:r>
          </w:p>
        </w:tc>
        <w:tc>
          <w:tcPr>
            <w:tcW w:w="651" w:type="dxa"/>
            <w:tcBorders>
              <w:top w:val="single" w:sz="2" w:space="0" w:color="auto"/>
              <w:bottom w:val="single" w:sz="8" w:space="0" w:color="auto"/>
            </w:tcBorders>
            <w:shd w:val="clear" w:color="auto" w:fill="auto"/>
            <w:noWrap/>
            <w:tcMar>
              <w:left w:w="28" w:type="dxa"/>
              <w:right w:w="28" w:type="dxa"/>
            </w:tcMar>
            <w:vAlign w:val="center"/>
          </w:tcPr>
          <w:p w14:paraId="3F631AE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4.824</w:t>
            </w:r>
          </w:p>
        </w:tc>
        <w:tc>
          <w:tcPr>
            <w:tcW w:w="651" w:type="dxa"/>
            <w:tcBorders>
              <w:top w:val="single" w:sz="2" w:space="0" w:color="auto"/>
              <w:bottom w:val="single" w:sz="8" w:space="0" w:color="auto"/>
            </w:tcBorders>
            <w:vAlign w:val="center"/>
          </w:tcPr>
          <w:p w14:paraId="580CD960"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5.813</w:t>
            </w:r>
          </w:p>
        </w:tc>
      </w:tr>
    </w:tbl>
    <w:p w14:paraId="08201E8A" w14:textId="77777777" w:rsidR="00497092" w:rsidRPr="00644F20" w:rsidRDefault="002F45E1" w:rsidP="0041506A">
      <w:pPr>
        <w:spacing w:before="120"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Укупно повећање буџетских прихода јединица локалних самоуправа у Србији за период од 2022. до 2032. године креће се у интервалу између 6 и 14 милијарди динара (дисконтована вредност).</w:t>
      </w:r>
    </w:p>
    <w:p w14:paraId="534044E9" w14:textId="77777777" w:rsidR="00497092" w:rsidRPr="00644F20" w:rsidRDefault="002F45E1">
      <w:pPr>
        <w:spacing w:after="60"/>
        <w:jc w:val="both"/>
        <w:rPr>
          <w:rFonts w:ascii="Times New Roman" w:hAnsi="Times New Roman" w:cs="Times New Roman"/>
          <w:lang w:val="sr-Cyrl-CS"/>
        </w:rPr>
      </w:pPr>
      <w:r w:rsidRPr="00644F20">
        <w:rPr>
          <w:rFonts w:ascii="Times New Roman" w:hAnsi="Times New Roman" w:cs="Times New Roman"/>
          <w:b/>
          <w:lang w:val="sr-Cyrl-CS"/>
        </w:rPr>
        <w:t>Табела 5.7</w:t>
      </w:r>
      <w:r w:rsidRPr="00644F20">
        <w:rPr>
          <w:rFonts w:ascii="Times New Roman" w:hAnsi="Times New Roman" w:cs="Times New Roman"/>
          <w:lang w:val="sr-Cyrl-CS"/>
        </w:rPr>
        <w:t xml:space="preserve"> Промена прихода државног буџета (промена у односу на Status quo сценарио, милиони динара, константне цене из 2021. године)</w:t>
      </w:r>
    </w:p>
    <w:tbl>
      <w:tblPr>
        <w:tblW w:w="8957" w:type="dxa"/>
        <w:tblBorders>
          <w:top w:val="single" w:sz="4" w:space="0" w:color="auto"/>
          <w:bottom w:val="single" w:sz="4" w:space="0" w:color="auto"/>
        </w:tblBorders>
        <w:tblLayout w:type="fixed"/>
        <w:tblLook w:val="04A0" w:firstRow="1" w:lastRow="0" w:firstColumn="1" w:lastColumn="0" w:noHBand="0" w:noVBand="1"/>
      </w:tblPr>
      <w:tblGrid>
        <w:gridCol w:w="711"/>
        <w:gridCol w:w="1114"/>
        <w:gridCol w:w="640"/>
        <w:gridCol w:w="640"/>
        <w:gridCol w:w="641"/>
        <w:gridCol w:w="640"/>
        <w:gridCol w:w="641"/>
        <w:gridCol w:w="640"/>
        <w:gridCol w:w="640"/>
        <w:gridCol w:w="641"/>
        <w:gridCol w:w="640"/>
        <w:gridCol w:w="641"/>
        <w:gridCol w:w="728"/>
      </w:tblGrid>
      <w:tr w:rsidR="00497092" w:rsidRPr="00644F20" w14:paraId="33CB289B" w14:textId="77777777">
        <w:trPr>
          <w:trHeight w:val="153"/>
        </w:trPr>
        <w:tc>
          <w:tcPr>
            <w:tcW w:w="711" w:type="dxa"/>
            <w:tcBorders>
              <w:top w:val="single" w:sz="8" w:space="0" w:color="auto"/>
              <w:bottom w:val="single" w:sz="8" w:space="0" w:color="auto"/>
            </w:tcBorders>
            <w:shd w:val="clear" w:color="auto" w:fill="auto"/>
            <w:noWrap/>
            <w:tcMar>
              <w:left w:w="28" w:type="dxa"/>
              <w:right w:w="28" w:type="dxa"/>
            </w:tcMar>
            <w:vAlign w:val="center"/>
          </w:tcPr>
          <w:p w14:paraId="63A081FF" w14:textId="77777777" w:rsidR="00497092" w:rsidRPr="00644F20" w:rsidRDefault="002F45E1">
            <w:pPr>
              <w:spacing w:after="0" w:line="240" w:lineRule="auto"/>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Опција</w:t>
            </w:r>
          </w:p>
        </w:tc>
        <w:tc>
          <w:tcPr>
            <w:tcW w:w="1114" w:type="dxa"/>
            <w:tcBorders>
              <w:top w:val="single" w:sz="8" w:space="0" w:color="auto"/>
              <w:bottom w:val="single" w:sz="8" w:space="0" w:color="auto"/>
            </w:tcBorders>
            <w:shd w:val="clear" w:color="auto" w:fill="auto"/>
            <w:noWrap/>
            <w:tcMar>
              <w:left w:w="28" w:type="dxa"/>
              <w:right w:w="28" w:type="dxa"/>
            </w:tcMar>
            <w:vAlign w:val="center"/>
          </w:tcPr>
          <w:p w14:paraId="1FA80E4C"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Дисконтована</w:t>
            </w:r>
          </w:p>
          <w:p w14:paraId="0D393A5A"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вредност</w:t>
            </w:r>
          </w:p>
          <w:p w14:paraId="67803FC5"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(2022-2032)</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3E1B67C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3C69C0E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2023</w:t>
            </w:r>
          </w:p>
        </w:tc>
        <w:tc>
          <w:tcPr>
            <w:tcW w:w="641" w:type="dxa"/>
            <w:tcBorders>
              <w:top w:val="single" w:sz="8" w:space="0" w:color="auto"/>
              <w:bottom w:val="single" w:sz="8" w:space="0" w:color="auto"/>
            </w:tcBorders>
            <w:shd w:val="clear" w:color="auto" w:fill="auto"/>
            <w:noWrap/>
            <w:tcMar>
              <w:left w:w="28" w:type="dxa"/>
              <w:right w:w="28" w:type="dxa"/>
            </w:tcMar>
            <w:vAlign w:val="center"/>
          </w:tcPr>
          <w:p w14:paraId="401ADFF9"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2024</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620F1CCF"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2025</w:t>
            </w:r>
          </w:p>
        </w:tc>
        <w:tc>
          <w:tcPr>
            <w:tcW w:w="641" w:type="dxa"/>
            <w:tcBorders>
              <w:top w:val="single" w:sz="8" w:space="0" w:color="auto"/>
              <w:bottom w:val="single" w:sz="8" w:space="0" w:color="auto"/>
            </w:tcBorders>
            <w:shd w:val="clear" w:color="auto" w:fill="auto"/>
            <w:noWrap/>
            <w:tcMar>
              <w:left w:w="28" w:type="dxa"/>
              <w:right w:w="28" w:type="dxa"/>
            </w:tcMar>
            <w:vAlign w:val="center"/>
          </w:tcPr>
          <w:p w14:paraId="78D12ABB"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2026</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0B61399A"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2027</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2BEB918D"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2028</w:t>
            </w:r>
          </w:p>
        </w:tc>
        <w:tc>
          <w:tcPr>
            <w:tcW w:w="641" w:type="dxa"/>
            <w:tcBorders>
              <w:top w:val="single" w:sz="8" w:space="0" w:color="auto"/>
              <w:bottom w:val="single" w:sz="8" w:space="0" w:color="auto"/>
            </w:tcBorders>
            <w:shd w:val="clear" w:color="auto" w:fill="auto"/>
            <w:noWrap/>
            <w:tcMar>
              <w:left w:w="28" w:type="dxa"/>
              <w:right w:w="28" w:type="dxa"/>
            </w:tcMar>
            <w:vAlign w:val="center"/>
          </w:tcPr>
          <w:p w14:paraId="073BA871"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2029</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16B99ED7"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2030</w:t>
            </w:r>
          </w:p>
        </w:tc>
        <w:tc>
          <w:tcPr>
            <w:tcW w:w="641" w:type="dxa"/>
            <w:tcBorders>
              <w:top w:val="single" w:sz="8" w:space="0" w:color="auto"/>
              <w:bottom w:val="single" w:sz="8" w:space="0" w:color="auto"/>
            </w:tcBorders>
            <w:shd w:val="clear" w:color="auto" w:fill="auto"/>
            <w:noWrap/>
            <w:tcMar>
              <w:left w:w="28" w:type="dxa"/>
              <w:right w:w="28" w:type="dxa"/>
            </w:tcMar>
            <w:vAlign w:val="center"/>
          </w:tcPr>
          <w:p w14:paraId="6A0F62E3"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2031</w:t>
            </w:r>
          </w:p>
        </w:tc>
        <w:tc>
          <w:tcPr>
            <w:tcW w:w="728" w:type="dxa"/>
            <w:tcBorders>
              <w:top w:val="single" w:sz="8" w:space="0" w:color="auto"/>
              <w:bottom w:val="single" w:sz="8" w:space="0" w:color="auto"/>
            </w:tcBorders>
            <w:vAlign w:val="center"/>
          </w:tcPr>
          <w:p w14:paraId="6B5194ED"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2032</w:t>
            </w:r>
          </w:p>
        </w:tc>
      </w:tr>
      <w:tr w:rsidR="00497092" w:rsidRPr="00644F20" w14:paraId="3FF02DEA" w14:textId="77777777">
        <w:trPr>
          <w:trHeight w:val="153"/>
        </w:trPr>
        <w:tc>
          <w:tcPr>
            <w:tcW w:w="711" w:type="dxa"/>
            <w:tcBorders>
              <w:top w:val="single" w:sz="8" w:space="0" w:color="auto"/>
              <w:bottom w:val="single" w:sz="2" w:space="0" w:color="auto"/>
            </w:tcBorders>
            <w:shd w:val="clear" w:color="auto" w:fill="auto"/>
            <w:noWrap/>
            <w:tcMar>
              <w:left w:w="28" w:type="dxa"/>
              <w:right w:w="28" w:type="dxa"/>
            </w:tcMar>
            <w:vAlign w:val="center"/>
          </w:tcPr>
          <w:p w14:paraId="13E19A5A"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Status quo</w:t>
            </w:r>
          </w:p>
        </w:tc>
        <w:tc>
          <w:tcPr>
            <w:tcW w:w="1114" w:type="dxa"/>
            <w:tcBorders>
              <w:top w:val="single" w:sz="8" w:space="0" w:color="auto"/>
              <w:bottom w:val="single" w:sz="2" w:space="0" w:color="auto"/>
            </w:tcBorders>
            <w:shd w:val="clear" w:color="auto" w:fill="auto"/>
            <w:noWrap/>
            <w:tcMar>
              <w:left w:w="28" w:type="dxa"/>
              <w:right w:w="28" w:type="dxa"/>
            </w:tcMar>
            <w:vAlign w:val="center"/>
          </w:tcPr>
          <w:p w14:paraId="50EB329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6A00475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27BD737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1" w:type="dxa"/>
            <w:tcBorders>
              <w:top w:val="single" w:sz="8" w:space="0" w:color="auto"/>
              <w:bottom w:val="single" w:sz="2" w:space="0" w:color="auto"/>
            </w:tcBorders>
            <w:shd w:val="clear" w:color="auto" w:fill="auto"/>
            <w:noWrap/>
            <w:tcMar>
              <w:left w:w="28" w:type="dxa"/>
              <w:right w:w="28" w:type="dxa"/>
            </w:tcMar>
            <w:vAlign w:val="center"/>
          </w:tcPr>
          <w:p w14:paraId="2A03E2D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7223266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1" w:type="dxa"/>
            <w:tcBorders>
              <w:top w:val="single" w:sz="8" w:space="0" w:color="auto"/>
              <w:bottom w:val="single" w:sz="2" w:space="0" w:color="auto"/>
            </w:tcBorders>
            <w:shd w:val="clear" w:color="auto" w:fill="auto"/>
            <w:noWrap/>
            <w:tcMar>
              <w:left w:w="28" w:type="dxa"/>
              <w:right w:w="28" w:type="dxa"/>
            </w:tcMar>
            <w:vAlign w:val="center"/>
          </w:tcPr>
          <w:p w14:paraId="4986244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3A29807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65315D0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1" w:type="dxa"/>
            <w:tcBorders>
              <w:top w:val="single" w:sz="8" w:space="0" w:color="auto"/>
              <w:bottom w:val="single" w:sz="2" w:space="0" w:color="auto"/>
            </w:tcBorders>
            <w:shd w:val="clear" w:color="auto" w:fill="auto"/>
            <w:noWrap/>
            <w:tcMar>
              <w:left w:w="28" w:type="dxa"/>
              <w:right w:w="28" w:type="dxa"/>
            </w:tcMar>
            <w:vAlign w:val="center"/>
          </w:tcPr>
          <w:p w14:paraId="31CB61B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6270607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1" w:type="dxa"/>
            <w:tcBorders>
              <w:top w:val="single" w:sz="8" w:space="0" w:color="auto"/>
              <w:bottom w:val="single" w:sz="2" w:space="0" w:color="auto"/>
            </w:tcBorders>
            <w:shd w:val="clear" w:color="auto" w:fill="auto"/>
            <w:noWrap/>
            <w:tcMar>
              <w:left w:w="28" w:type="dxa"/>
              <w:right w:w="28" w:type="dxa"/>
            </w:tcMar>
            <w:vAlign w:val="center"/>
          </w:tcPr>
          <w:p w14:paraId="0C320E9A"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728" w:type="dxa"/>
            <w:tcBorders>
              <w:top w:val="single" w:sz="8" w:space="0" w:color="auto"/>
              <w:bottom w:val="single" w:sz="2" w:space="0" w:color="auto"/>
            </w:tcBorders>
            <w:vAlign w:val="center"/>
          </w:tcPr>
          <w:p w14:paraId="7766DB18"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r>
      <w:tr w:rsidR="00497092" w:rsidRPr="00644F20" w14:paraId="05BF908F" w14:textId="77777777">
        <w:trPr>
          <w:trHeight w:val="153"/>
        </w:trPr>
        <w:tc>
          <w:tcPr>
            <w:tcW w:w="711" w:type="dxa"/>
            <w:tcBorders>
              <w:top w:val="single" w:sz="2" w:space="0" w:color="auto"/>
              <w:bottom w:val="single" w:sz="2" w:space="0" w:color="auto"/>
            </w:tcBorders>
            <w:shd w:val="clear" w:color="auto" w:fill="auto"/>
            <w:noWrap/>
            <w:tcMar>
              <w:left w:w="28" w:type="dxa"/>
              <w:right w:w="28" w:type="dxa"/>
            </w:tcMar>
            <w:vAlign w:val="center"/>
          </w:tcPr>
          <w:p w14:paraId="7C1E5022"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1</w:t>
            </w:r>
          </w:p>
        </w:tc>
        <w:tc>
          <w:tcPr>
            <w:tcW w:w="1114" w:type="dxa"/>
            <w:tcBorders>
              <w:top w:val="single" w:sz="2" w:space="0" w:color="auto"/>
              <w:bottom w:val="single" w:sz="2" w:space="0" w:color="auto"/>
            </w:tcBorders>
            <w:shd w:val="clear" w:color="auto" w:fill="auto"/>
            <w:noWrap/>
            <w:tcMar>
              <w:left w:w="28" w:type="dxa"/>
              <w:right w:w="28" w:type="dxa"/>
            </w:tcMar>
            <w:vAlign w:val="center"/>
          </w:tcPr>
          <w:p w14:paraId="31F5184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56.039</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22B1DD7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1C8A37D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850</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7D8CCE2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1.752</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1DCD9DF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2.888</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7431C08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4.463</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33B3026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6.516</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75703F3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8.689</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6E35652F"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10.989</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1177BE6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13.421</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39CF3DE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15.991</w:t>
            </w:r>
          </w:p>
        </w:tc>
        <w:tc>
          <w:tcPr>
            <w:tcW w:w="728" w:type="dxa"/>
            <w:tcBorders>
              <w:top w:val="single" w:sz="2" w:space="0" w:color="auto"/>
              <w:bottom w:val="single" w:sz="2" w:space="0" w:color="auto"/>
            </w:tcBorders>
            <w:vAlign w:val="center"/>
          </w:tcPr>
          <w:p w14:paraId="5E87406D"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18.706</w:t>
            </w:r>
          </w:p>
        </w:tc>
      </w:tr>
      <w:tr w:rsidR="00497092" w:rsidRPr="00644F20" w14:paraId="26B5B733" w14:textId="77777777">
        <w:trPr>
          <w:trHeight w:val="153"/>
        </w:trPr>
        <w:tc>
          <w:tcPr>
            <w:tcW w:w="711" w:type="dxa"/>
            <w:tcBorders>
              <w:top w:val="single" w:sz="2" w:space="0" w:color="auto"/>
              <w:bottom w:val="single" w:sz="2" w:space="0" w:color="auto"/>
            </w:tcBorders>
            <w:shd w:val="clear" w:color="auto" w:fill="auto"/>
            <w:noWrap/>
            <w:tcMar>
              <w:left w:w="28" w:type="dxa"/>
              <w:right w:w="28" w:type="dxa"/>
            </w:tcMar>
            <w:vAlign w:val="center"/>
          </w:tcPr>
          <w:p w14:paraId="21197433"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2</w:t>
            </w:r>
          </w:p>
        </w:tc>
        <w:tc>
          <w:tcPr>
            <w:tcW w:w="1114" w:type="dxa"/>
            <w:tcBorders>
              <w:top w:val="single" w:sz="2" w:space="0" w:color="auto"/>
              <w:bottom w:val="single" w:sz="2" w:space="0" w:color="auto"/>
            </w:tcBorders>
            <w:shd w:val="clear" w:color="auto" w:fill="auto"/>
            <w:noWrap/>
            <w:tcMar>
              <w:left w:w="28" w:type="dxa"/>
              <w:right w:w="28" w:type="dxa"/>
            </w:tcMar>
            <w:vAlign w:val="center"/>
          </w:tcPr>
          <w:p w14:paraId="688B8F7B"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123.441</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4D0C6269"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6F28323B"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850</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741BE456"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1.927</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6D13AE7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3.430</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271871AF"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5.394</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6FCDFC72"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9.395</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4C5A9241"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15.619</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49A9B6BB"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24.272</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0ED40C16"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33.463</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77E06DE6"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43.217</w:t>
            </w:r>
          </w:p>
        </w:tc>
        <w:tc>
          <w:tcPr>
            <w:tcW w:w="728" w:type="dxa"/>
            <w:tcBorders>
              <w:top w:val="single" w:sz="2" w:space="0" w:color="auto"/>
              <w:bottom w:val="single" w:sz="2" w:space="0" w:color="auto"/>
            </w:tcBorders>
            <w:vAlign w:val="center"/>
          </w:tcPr>
          <w:p w14:paraId="77E4FC7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53.562</w:t>
            </w:r>
          </w:p>
        </w:tc>
      </w:tr>
      <w:tr w:rsidR="00497092" w:rsidRPr="00644F20" w14:paraId="13957CBB" w14:textId="77777777">
        <w:trPr>
          <w:trHeight w:val="153"/>
        </w:trPr>
        <w:tc>
          <w:tcPr>
            <w:tcW w:w="711" w:type="dxa"/>
            <w:tcBorders>
              <w:top w:val="single" w:sz="2" w:space="0" w:color="auto"/>
              <w:bottom w:val="single" w:sz="8" w:space="0" w:color="auto"/>
            </w:tcBorders>
            <w:shd w:val="clear" w:color="auto" w:fill="auto"/>
            <w:noWrap/>
            <w:tcMar>
              <w:left w:w="28" w:type="dxa"/>
              <w:right w:w="28" w:type="dxa"/>
            </w:tcMar>
            <w:vAlign w:val="center"/>
          </w:tcPr>
          <w:p w14:paraId="2441D6E7"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3</w:t>
            </w:r>
          </w:p>
        </w:tc>
        <w:tc>
          <w:tcPr>
            <w:tcW w:w="1114" w:type="dxa"/>
            <w:tcBorders>
              <w:top w:val="single" w:sz="2" w:space="0" w:color="auto"/>
              <w:bottom w:val="single" w:sz="8" w:space="0" w:color="auto"/>
            </w:tcBorders>
            <w:shd w:val="clear" w:color="auto" w:fill="auto"/>
            <w:noWrap/>
            <w:tcMar>
              <w:left w:w="28" w:type="dxa"/>
              <w:right w:w="28" w:type="dxa"/>
            </w:tcMar>
            <w:vAlign w:val="center"/>
          </w:tcPr>
          <w:p w14:paraId="0CDE185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161.402</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3F5777F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19A26D2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850</w:t>
            </w:r>
          </w:p>
        </w:tc>
        <w:tc>
          <w:tcPr>
            <w:tcW w:w="641" w:type="dxa"/>
            <w:tcBorders>
              <w:top w:val="single" w:sz="2" w:space="0" w:color="auto"/>
              <w:bottom w:val="single" w:sz="8" w:space="0" w:color="auto"/>
            </w:tcBorders>
            <w:shd w:val="clear" w:color="auto" w:fill="auto"/>
            <w:noWrap/>
            <w:tcMar>
              <w:left w:w="28" w:type="dxa"/>
              <w:right w:w="28" w:type="dxa"/>
            </w:tcMar>
            <w:vAlign w:val="center"/>
          </w:tcPr>
          <w:p w14:paraId="0742B8B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2.102</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25B4A01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3.972</w:t>
            </w:r>
          </w:p>
        </w:tc>
        <w:tc>
          <w:tcPr>
            <w:tcW w:w="641" w:type="dxa"/>
            <w:tcBorders>
              <w:top w:val="single" w:sz="2" w:space="0" w:color="auto"/>
              <w:bottom w:val="single" w:sz="8" w:space="0" w:color="auto"/>
            </w:tcBorders>
            <w:shd w:val="clear" w:color="auto" w:fill="auto"/>
            <w:noWrap/>
            <w:tcMar>
              <w:left w:w="28" w:type="dxa"/>
              <w:right w:w="28" w:type="dxa"/>
            </w:tcMar>
            <w:vAlign w:val="center"/>
          </w:tcPr>
          <w:p w14:paraId="1D6D7B6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6.325</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0C22EB7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11.316</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32B0FD8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19.586</w:t>
            </w:r>
          </w:p>
        </w:tc>
        <w:tc>
          <w:tcPr>
            <w:tcW w:w="641" w:type="dxa"/>
            <w:tcBorders>
              <w:top w:val="single" w:sz="2" w:space="0" w:color="auto"/>
              <w:bottom w:val="single" w:sz="8" w:space="0" w:color="auto"/>
            </w:tcBorders>
            <w:shd w:val="clear" w:color="auto" w:fill="auto"/>
            <w:noWrap/>
            <w:tcMar>
              <w:left w:w="28" w:type="dxa"/>
              <w:right w:w="28" w:type="dxa"/>
            </w:tcMar>
            <w:vAlign w:val="center"/>
          </w:tcPr>
          <w:p w14:paraId="4AFB7CE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30.424</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2CF2DD91"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44.068</w:t>
            </w:r>
          </w:p>
        </w:tc>
        <w:tc>
          <w:tcPr>
            <w:tcW w:w="641" w:type="dxa"/>
            <w:tcBorders>
              <w:top w:val="single" w:sz="2" w:space="0" w:color="auto"/>
              <w:bottom w:val="single" w:sz="8" w:space="0" w:color="auto"/>
            </w:tcBorders>
            <w:shd w:val="clear" w:color="auto" w:fill="auto"/>
            <w:noWrap/>
            <w:tcMar>
              <w:left w:w="28" w:type="dxa"/>
              <w:right w:w="28" w:type="dxa"/>
            </w:tcMar>
            <w:vAlign w:val="center"/>
          </w:tcPr>
          <w:p w14:paraId="7C2AD9F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58.579</w:t>
            </w:r>
          </w:p>
        </w:tc>
        <w:tc>
          <w:tcPr>
            <w:tcW w:w="728" w:type="dxa"/>
            <w:tcBorders>
              <w:top w:val="single" w:sz="2" w:space="0" w:color="auto"/>
              <w:bottom w:val="single" w:sz="8" w:space="0" w:color="auto"/>
            </w:tcBorders>
            <w:vAlign w:val="center"/>
          </w:tcPr>
          <w:p w14:paraId="12F9C8B5"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74.001</w:t>
            </w:r>
          </w:p>
        </w:tc>
      </w:tr>
    </w:tbl>
    <w:p w14:paraId="68DED584" w14:textId="77777777" w:rsidR="00497092" w:rsidRPr="00644F20" w:rsidRDefault="002F45E1" w:rsidP="0041506A">
      <w:pPr>
        <w:spacing w:before="120"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Укупно повећање прихода државног буџета </w:t>
      </w:r>
      <w:r w:rsidR="0041506A" w:rsidRPr="00644F20">
        <w:rPr>
          <w:rFonts w:ascii="Times New Roman" w:hAnsi="Times New Roman" w:cs="Times New Roman"/>
          <w:sz w:val="24"/>
          <w:szCs w:val="24"/>
          <w:lang w:val="sr-Cyrl-CS"/>
        </w:rPr>
        <w:t xml:space="preserve">Републике </w:t>
      </w:r>
      <w:r w:rsidRPr="00644F20">
        <w:rPr>
          <w:rFonts w:ascii="Times New Roman" w:hAnsi="Times New Roman" w:cs="Times New Roman"/>
          <w:sz w:val="24"/>
          <w:szCs w:val="24"/>
          <w:lang w:val="sr-Cyrl-CS"/>
        </w:rPr>
        <w:t>Србије за период од 2022. до 2032. године креће се у интервалу између 56 и 161 милијарде динара (дисконтована вредност).</w:t>
      </w:r>
    </w:p>
    <w:p w14:paraId="47B22303" w14:textId="77777777" w:rsidR="00497092" w:rsidRPr="00644F20" w:rsidRDefault="001D1729">
      <w:pPr>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Примена концепта циркуларне економије ће имати за резултат и смањење емисија CO</w:t>
      </w:r>
      <w:r w:rsidR="002F45E1" w:rsidRPr="00644F20">
        <w:rPr>
          <w:rFonts w:ascii="Times New Roman" w:hAnsi="Times New Roman" w:cs="Times New Roman"/>
          <w:sz w:val="24"/>
          <w:szCs w:val="24"/>
          <w:vertAlign w:val="subscript"/>
          <w:lang w:val="sr-Cyrl-CS"/>
        </w:rPr>
        <w:t>2</w:t>
      </w:r>
      <w:r w:rsidR="002F45E1" w:rsidRPr="00644F20">
        <w:rPr>
          <w:rFonts w:ascii="Times New Roman" w:hAnsi="Times New Roman" w:cs="Times New Roman"/>
          <w:sz w:val="24"/>
          <w:szCs w:val="24"/>
          <w:lang w:val="sr-Cyrl-CS"/>
        </w:rPr>
        <w:t>. Поред значајног утицаја на побољшање квалитета животне средине, смањење емисија CO</w:t>
      </w:r>
      <w:r w:rsidR="002F45E1" w:rsidRPr="00644F20">
        <w:rPr>
          <w:rFonts w:ascii="Times New Roman" w:hAnsi="Times New Roman" w:cs="Times New Roman"/>
          <w:sz w:val="24"/>
          <w:szCs w:val="24"/>
          <w:vertAlign w:val="subscript"/>
          <w:lang w:val="sr-Cyrl-CS"/>
        </w:rPr>
        <w:t>2</w:t>
      </w:r>
      <w:r w:rsidR="002F45E1" w:rsidRPr="00644F20">
        <w:rPr>
          <w:rFonts w:ascii="Times New Roman" w:hAnsi="Times New Roman" w:cs="Times New Roman"/>
          <w:sz w:val="24"/>
          <w:szCs w:val="24"/>
          <w:lang w:val="sr-Cyrl-CS"/>
        </w:rPr>
        <w:t xml:space="preserve"> ће имати утицаја и на конкурентност српске привреде и довести до значајних економских уштеда. У „Зеленом договору</w:t>
      </w:r>
      <w:r w:rsidR="0041506A" w:rsidRPr="00644F20">
        <w:rPr>
          <w:rFonts w:ascii="Times New Roman" w:hAnsi="Times New Roman" w:cs="Times New Roman"/>
          <w:sz w:val="24"/>
          <w:szCs w:val="24"/>
          <w:lang w:val="sr-Cyrl-CS"/>
        </w:rPr>
        <w:t>”</w:t>
      </w:r>
      <w:r w:rsidR="002F45E1" w:rsidRPr="00644F20">
        <w:rPr>
          <w:rFonts w:ascii="Times New Roman" w:hAnsi="Times New Roman" w:cs="Times New Roman"/>
          <w:sz w:val="24"/>
          <w:szCs w:val="24"/>
          <w:lang w:val="sr-Cyrl-CS"/>
        </w:rPr>
        <w:t xml:space="preserve"> Европске уније јасно се дефинише неопходност смањења емисија угљеника у производном циклусу као услов пласирања производа на тржишту </w:t>
      </w:r>
      <w:r w:rsidRPr="00644F20">
        <w:rPr>
          <w:rFonts w:ascii="Times New Roman" w:hAnsi="Times New Roman" w:cs="Times New Roman"/>
          <w:sz w:val="24"/>
          <w:szCs w:val="24"/>
          <w:lang w:val="sr-Cyrl-CS"/>
        </w:rPr>
        <w:t>Европске уније</w:t>
      </w:r>
      <w:r w:rsidR="002F45E1" w:rsidRPr="00644F20">
        <w:rPr>
          <w:rFonts w:ascii="Times New Roman" w:hAnsi="Times New Roman" w:cs="Times New Roman"/>
          <w:sz w:val="24"/>
          <w:szCs w:val="24"/>
          <w:lang w:val="sr-Cyrl-CS"/>
        </w:rPr>
        <w:t xml:space="preserve">. Због тога је неопходно угљенични отисак производних циклуса у Србији спустити најмање на просечан ниво земаља </w:t>
      </w:r>
      <w:r w:rsidRPr="00644F20">
        <w:rPr>
          <w:rFonts w:ascii="Times New Roman" w:hAnsi="Times New Roman" w:cs="Times New Roman"/>
          <w:sz w:val="24"/>
          <w:szCs w:val="24"/>
          <w:lang w:val="sr-Cyrl-CS"/>
        </w:rPr>
        <w:t>Европске уније</w:t>
      </w:r>
      <w:r w:rsidR="002F45E1" w:rsidRPr="00644F20">
        <w:rPr>
          <w:rFonts w:ascii="Times New Roman" w:hAnsi="Times New Roman" w:cs="Times New Roman"/>
          <w:sz w:val="24"/>
          <w:szCs w:val="24"/>
          <w:lang w:val="sr-Cyrl-CS"/>
        </w:rPr>
        <w:t xml:space="preserve"> како би српски производи остали конкурентни на овом тржишту, односно како се на њих не би приликом увоза обрачунавала додатна царина.</w:t>
      </w:r>
    </w:p>
    <w:p w14:paraId="17F5FFD0" w14:textId="77777777" w:rsidR="00497092" w:rsidRPr="00644F20" w:rsidRDefault="001D1729">
      <w:pPr>
        <w:spacing w:after="12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У наредној табели су приказане потенцијалне економске уштеде које настају због смањења емисије CO</w:t>
      </w:r>
      <w:r w:rsidR="002F45E1" w:rsidRPr="00644F20">
        <w:rPr>
          <w:rFonts w:ascii="Times New Roman" w:hAnsi="Times New Roman" w:cs="Times New Roman"/>
          <w:sz w:val="24"/>
          <w:szCs w:val="24"/>
          <w:vertAlign w:val="subscript"/>
          <w:lang w:val="sr-Cyrl-CS"/>
        </w:rPr>
        <w:t>2</w:t>
      </w:r>
      <w:r w:rsidR="002F45E1" w:rsidRPr="00644F20">
        <w:rPr>
          <w:rFonts w:ascii="Times New Roman" w:hAnsi="Times New Roman" w:cs="Times New Roman"/>
          <w:sz w:val="24"/>
          <w:szCs w:val="24"/>
          <w:lang w:val="sr-Cyrl-CS"/>
        </w:rPr>
        <w:t>.</w:t>
      </w:r>
    </w:p>
    <w:p w14:paraId="53637A3F" w14:textId="77777777" w:rsidR="00497092" w:rsidRPr="00644F20" w:rsidRDefault="002F45E1">
      <w:pPr>
        <w:spacing w:after="60"/>
        <w:jc w:val="both"/>
        <w:rPr>
          <w:rFonts w:ascii="Times New Roman" w:hAnsi="Times New Roman" w:cs="Times New Roman"/>
          <w:lang w:val="sr-Cyrl-CS"/>
        </w:rPr>
      </w:pPr>
      <w:r w:rsidRPr="00644F20">
        <w:rPr>
          <w:rFonts w:ascii="Times New Roman" w:hAnsi="Times New Roman" w:cs="Times New Roman"/>
          <w:b/>
          <w:lang w:val="sr-Cyrl-CS"/>
        </w:rPr>
        <w:t>Табела 5.8</w:t>
      </w:r>
      <w:r w:rsidRPr="00644F20">
        <w:rPr>
          <w:rFonts w:ascii="Times New Roman" w:hAnsi="Times New Roman" w:cs="Times New Roman"/>
          <w:lang w:val="sr-Cyrl-CS"/>
        </w:rPr>
        <w:t xml:space="preserve"> Економске уштеде по основу смањења емисије CO</w:t>
      </w:r>
      <w:r w:rsidRPr="00644F20">
        <w:rPr>
          <w:rFonts w:ascii="Times New Roman" w:hAnsi="Times New Roman" w:cs="Times New Roman"/>
          <w:vertAlign w:val="subscript"/>
          <w:lang w:val="sr-Cyrl-CS"/>
        </w:rPr>
        <w:t>2</w:t>
      </w:r>
      <w:r w:rsidRPr="00644F20">
        <w:rPr>
          <w:rFonts w:ascii="Times New Roman" w:hAnsi="Times New Roman" w:cs="Times New Roman"/>
          <w:lang w:val="sr-Cyrl-CS"/>
        </w:rPr>
        <w:t xml:space="preserve"> (промена у односу на Status quo сценарио, милиони динара, константне цене из 2021. године)</w:t>
      </w:r>
    </w:p>
    <w:tbl>
      <w:tblPr>
        <w:tblW w:w="8957" w:type="dxa"/>
        <w:tblBorders>
          <w:top w:val="single" w:sz="4" w:space="0" w:color="auto"/>
          <w:bottom w:val="single" w:sz="4" w:space="0" w:color="auto"/>
        </w:tblBorders>
        <w:tblLayout w:type="fixed"/>
        <w:tblLook w:val="04A0" w:firstRow="1" w:lastRow="0" w:firstColumn="1" w:lastColumn="0" w:noHBand="0" w:noVBand="1"/>
      </w:tblPr>
      <w:tblGrid>
        <w:gridCol w:w="711"/>
        <w:gridCol w:w="1114"/>
        <w:gridCol w:w="640"/>
        <w:gridCol w:w="640"/>
        <w:gridCol w:w="641"/>
        <w:gridCol w:w="640"/>
        <w:gridCol w:w="641"/>
        <w:gridCol w:w="640"/>
        <w:gridCol w:w="640"/>
        <w:gridCol w:w="641"/>
        <w:gridCol w:w="640"/>
        <w:gridCol w:w="641"/>
        <w:gridCol w:w="728"/>
      </w:tblGrid>
      <w:tr w:rsidR="00497092" w:rsidRPr="00644F20" w14:paraId="467516D8" w14:textId="77777777">
        <w:trPr>
          <w:trHeight w:val="153"/>
        </w:trPr>
        <w:tc>
          <w:tcPr>
            <w:tcW w:w="711" w:type="dxa"/>
            <w:tcBorders>
              <w:top w:val="single" w:sz="8" w:space="0" w:color="auto"/>
              <w:bottom w:val="single" w:sz="8" w:space="0" w:color="auto"/>
            </w:tcBorders>
            <w:shd w:val="clear" w:color="auto" w:fill="auto"/>
            <w:noWrap/>
            <w:tcMar>
              <w:left w:w="28" w:type="dxa"/>
              <w:right w:w="28" w:type="dxa"/>
            </w:tcMar>
            <w:vAlign w:val="center"/>
          </w:tcPr>
          <w:p w14:paraId="2A5598C2" w14:textId="77777777" w:rsidR="00497092" w:rsidRPr="00644F20" w:rsidRDefault="002F45E1">
            <w:pPr>
              <w:spacing w:after="0" w:line="240" w:lineRule="auto"/>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Опција</w:t>
            </w:r>
          </w:p>
        </w:tc>
        <w:tc>
          <w:tcPr>
            <w:tcW w:w="1114" w:type="dxa"/>
            <w:tcBorders>
              <w:top w:val="single" w:sz="8" w:space="0" w:color="auto"/>
              <w:bottom w:val="single" w:sz="8" w:space="0" w:color="auto"/>
            </w:tcBorders>
            <w:shd w:val="clear" w:color="auto" w:fill="auto"/>
            <w:noWrap/>
            <w:tcMar>
              <w:left w:w="28" w:type="dxa"/>
              <w:right w:w="28" w:type="dxa"/>
            </w:tcMar>
            <w:vAlign w:val="center"/>
          </w:tcPr>
          <w:p w14:paraId="30D20419"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Дисконтована</w:t>
            </w:r>
          </w:p>
          <w:p w14:paraId="03F400B6"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вредност</w:t>
            </w:r>
          </w:p>
          <w:p w14:paraId="42CC007D" w14:textId="77777777" w:rsidR="00497092" w:rsidRPr="00644F20" w:rsidRDefault="002F45E1">
            <w:pPr>
              <w:spacing w:after="0" w:line="240" w:lineRule="auto"/>
              <w:jc w:val="center"/>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(2022-2032)</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273B81FF"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2022</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30F6CB29"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2023</w:t>
            </w:r>
          </w:p>
        </w:tc>
        <w:tc>
          <w:tcPr>
            <w:tcW w:w="641" w:type="dxa"/>
            <w:tcBorders>
              <w:top w:val="single" w:sz="8" w:space="0" w:color="auto"/>
              <w:bottom w:val="single" w:sz="8" w:space="0" w:color="auto"/>
            </w:tcBorders>
            <w:shd w:val="clear" w:color="auto" w:fill="auto"/>
            <w:noWrap/>
            <w:tcMar>
              <w:left w:w="28" w:type="dxa"/>
              <w:right w:w="28" w:type="dxa"/>
            </w:tcMar>
            <w:vAlign w:val="center"/>
          </w:tcPr>
          <w:p w14:paraId="06DCAE3A"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2024</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5B14A1BD"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2025</w:t>
            </w:r>
          </w:p>
        </w:tc>
        <w:tc>
          <w:tcPr>
            <w:tcW w:w="641" w:type="dxa"/>
            <w:tcBorders>
              <w:top w:val="single" w:sz="8" w:space="0" w:color="auto"/>
              <w:bottom w:val="single" w:sz="8" w:space="0" w:color="auto"/>
            </w:tcBorders>
            <w:shd w:val="clear" w:color="auto" w:fill="auto"/>
            <w:noWrap/>
            <w:tcMar>
              <w:left w:w="28" w:type="dxa"/>
              <w:right w:w="28" w:type="dxa"/>
            </w:tcMar>
            <w:vAlign w:val="center"/>
          </w:tcPr>
          <w:p w14:paraId="418DB21E"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2026</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73F6F64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2027</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6453B3CC"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2028</w:t>
            </w:r>
          </w:p>
        </w:tc>
        <w:tc>
          <w:tcPr>
            <w:tcW w:w="641" w:type="dxa"/>
            <w:tcBorders>
              <w:top w:val="single" w:sz="8" w:space="0" w:color="auto"/>
              <w:bottom w:val="single" w:sz="8" w:space="0" w:color="auto"/>
            </w:tcBorders>
            <w:shd w:val="clear" w:color="auto" w:fill="auto"/>
            <w:noWrap/>
            <w:tcMar>
              <w:left w:w="28" w:type="dxa"/>
              <w:right w:w="28" w:type="dxa"/>
            </w:tcMar>
            <w:vAlign w:val="center"/>
          </w:tcPr>
          <w:p w14:paraId="7A25926A"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2029</w:t>
            </w:r>
          </w:p>
        </w:tc>
        <w:tc>
          <w:tcPr>
            <w:tcW w:w="640" w:type="dxa"/>
            <w:tcBorders>
              <w:top w:val="single" w:sz="8" w:space="0" w:color="auto"/>
              <w:bottom w:val="single" w:sz="8" w:space="0" w:color="auto"/>
            </w:tcBorders>
            <w:shd w:val="clear" w:color="auto" w:fill="auto"/>
            <w:noWrap/>
            <w:tcMar>
              <w:left w:w="28" w:type="dxa"/>
              <w:right w:w="28" w:type="dxa"/>
            </w:tcMar>
            <w:vAlign w:val="center"/>
          </w:tcPr>
          <w:p w14:paraId="0E6EEFA3"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2030</w:t>
            </w:r>
          </w:p>
        </w:tc>
        <w:tc>
          <w:tcPr>
            <w:tcW w:w="641" w:type="dxa"/>
            <w:tcBorders>
              <w:top w:val="single" w:sz="8" w:space="0" w:color="auto"/>
              <w:bottom w:val="single" w:sz="8" w:space="0" w:color="auto"/>
            </w:tcBorders>
            <w:shd w:val="clear" w:color="auto" w:fill="auto"/>
            <w:noWrap/>
            <w:tcMar>
              <w:left w:w="28" w:type="dxa"/>
              <w:right w:w="28" w:type="dxa"/>
            </w:tcMar>
            <w:vAlign w:val="center"/>
          </w:tcPr>
          <w:p w14:paraId="50EBEEE5"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2031</w:t>
            </w:r>
          </w:p>
        </w:tc>
        <w:tc>
          <w:tcPr>
            <w:tcW w:w="728" w:type="dxa"/>
            <w:tcBorders>
              <w:top w:val="single" w:sz="8" w:space="0" w:color="auto"/>
              <w:bottom w:val="single" w:sz="8" w:space="0" w:color="auto"/>
            </w:tcBorders>
            <w:vAlign w:val="center"/>
          </w:tcPr>
          <w:p w14:paraId="0638A741" w14:textId="77777777" w:rsidR="00497092" w:rsidRPr="00644F20" w:rsidRDefault="002F45E1">
            <w:pPr>
              <w:spacing w:after="0" w:line="240" w:lineRule="auto"/>
              <w:jc w:val="right"/>
              <w:rPr>
                <w:rFonts w:ascii="Times New Roman" w:eastAsia="Times New Roman" w:hAnsi="Times New Roman" w:cs="Times New Roman"/>
                <w:b/>
                <w:sz w:val="16"/>
                <w:szCs w:val="16"/>
                <w:lang w:val="sr-Cyrl-CS"/>
              </w:rPr>
            </w:pPr>
            <w:r w:rsidRPr="00644F20">
              <w:rPr>
                <w:rFonts w:ascii="Times New Roman" w:eastAsia="Times New Roman" w:hAnsi="Times New Roman" w:cs="Times New Roman"/>
                <w:b/>
                <w:sz w:val="16"/>
                <w:szCs w:val="16"/>
                <w:lang w:val="sr-Cyrl-CS"/>
              </w:rPr>
              <w:t>2032</w:t>
            </w:r>
          </w:p>
        </w:tc>
      </w:tr>
      <w:tr w:rsidR="00497092" w:rsidRPr="00644F20" w14:paraId="73C1A770" w14:textId="77777777">
        <w:trPr>
          <w:trHeight w:val="153"/>
        </w:trPr>
        <w:tc>
          <w:tcPr>
            <w:tcW w:w="711" w:type="dxa"/>
            <w:tcBorders>
              <w:top w:val="single" w:sz="8" w:space="0" w:color="auto"/>
              <w:bottom w:val="single" w:sz="2" w:space="0" w:color="auto"/>
            </w:tcBorders>
            <w:shd w:val="clear" w:color="auto" w:fill="auto"/>
            <w:noWrap/>
            <w:tcMar>
              <w:left w:w="28" w:type="dxa"/>
              <w:right w:w="28" w:type="dxa"/>
            </w:tcMar>
            <w:vAlign w:val="center"/>
          </w:tcPr>
          <w:p w14:paraId="14FA3915"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Status quo</w:t>
            </w:r>
          </w:p>
        </w:tc>
        <w:tc>
          <w:tcPr>
            <w:tcW w:w="1114" w:type="dxa"/>
            <w:tcBorders>
              <w:top w:val="single" w:sz="8" w:space="0" w:color="auto"/>
              <w:bottom w:val="single" w:sz="2" w:space="0" w:color="auto"/>
            </w:tcBorders>
            <w:shd w:val="clear" w:color="auto" w:fill="auto"/>
            <w:noWrap/>
            <w:tcMar>
              <w:left w:w="28" w:type="dxa"/>
              <w:right w:w="28" w:type="dxa"/>
            </w:tcMar>
            <w:vAlign w:val="center"/>
          </w:tcPr>
          <w:p w14:paraId="5E6CA19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087FD1D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2AA29AA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1" w:type="dxa"/>
            <w:tcBorders>
              <w:top w:val="single" w:sz="8" w:space="0" w:color="auto"/>
              <w:bottom w:val="single" w:sz="2" w:space="0" w:color="auto"/>
            </w:tcBorders>
            <w:shd w:val="clear" w:color="auto" w:fill="auto"/>
            <w:noWrap/>
            <w:tcMar>
              <w:left w:w="28" w:type="dxa"/>
              <w:right w:w="28" w:type="dxa"/>
            </w:tcMar>
            <w:vAlign w:val="center"/>
          </w:tcPr>
          <w:p w14:paraId="3B138ED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785BEBA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1" w:type="dxa"/>
            <w:tcBorders>
              <w:top w:val="single" w:sz="8" w:space="0" w:color="auto"/>
              <w:bottom w:val="single" w:sz="2" w:space="0" w:color="auto"/>
            </w:tcBorders>
            <w:shd w:val="clear" w:color="auto" w:fill="auto"/>
            <w:noWrap/>
            <w:tcMar>
              <w:left w:w="28" w:type="dxa"/>
              <w:right w:w="28" w:type="dxa"/>
            </w:tcMar>
            <w:vAlign w:val="center"/>
          </w:tcPr>
          <w:p w14:paraId="796D4BA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70FD013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35238A7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1" w:type="dxa"/>
            <w:tcBorders>
              <w:top w:val="single" w:sz="8" w:space="0" w:color="auto"/>
              <w:bottom w:val="single" w:sz="2" w:space="0" w:color="auto"/>
            </w:tcBorders>
            <w:shd w:val="clear" w:color="auto" w:fill="auto"/>
            <w:noWrap/>
            <w:tcMar>
              <w:left w:w="28" w:type="dxa"/>
              <w:right w:w="28" w:type="dxa"/>
            </w:tcMar>
            <w:vAlign w:val="center"/>
          </w:tcPr>
          <w:p w14:paraId="2F83029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0" w:type="dxa"/>
            <w:tcBorders>
              <w:top w:val="single" w:sz="8" w:space="0" w:color="auto"/>
              <w:bottom w:val="single" w:sz="2" w:space="0" w:color="auto"/>
            </w:tcBorders>
            <w:shd w:val="clear" w:color="auto" w:fill="auto"/>
            <w:noWrap/>
            <w:tcMar>
              <w:left w:w="28" w:type="dxa"/>
              <w:right w:w="28" w:type="dxa"/>
            </w:tcMar>
            <w:vAlign w:val="center"/>
          </w:tcPr>
          <w:p w14:paraId="500655A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641" w:type="dxa"/>
            <w:tcBorders>
              <w:top w:val="single" w:sz="8" w:space="0" w:color="auto"/>
              <w:bottom w:val="single" w:sz="2" w:space="0" w:color="auto"/>
            </w:tcBorders>
            <w:shd w:val="clear" w:color="auto" w:fill="auto"/>
            <w:noWrap/>
            <w:tcMar>
              <w:left w:w="28" w:type="dxa"/>
              <w:right w:w="28" w:type="dxa"/>
            </w:tcMar>
            <w:vAlign w:val="center"/>
          </w:tcPr>
          <w:p w14:paraId="1E10035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0</w:t>
            </w:r>
          </w:p>
        </w:tc>
        <w:tc>
          <w:tcPr>
            <w:tcW w:w="728" w:type="dxa"/>
            <w:tcBorders>
              <w:top w:val="single" w:sz="8" w:space="0" w:color="auto"/>
              <w:bottom w:val="single" w:sz="2" w:space="0" w:color="auto"/>
            </w:tcBorders>
            <w:vAlign w:val="center"/>
          </w:tcPr>
          <w:p w14:paraId="675CF220"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0</w:t>
            </w:r>
          </w:p>
        </w:tc>
      </w:tr>
      <w:tr w:rsidR="00497092" w:rsidRPr="00644F20" w14:paraId="4C4F28BC" w14:textId="77777777">
        <w:trPr>
          <w:trHeight w:val="153"/>
        </w:trPr>
        <w:tc>
          <w:tcPr>
            <w:tcW w:w="711" w:type="dxa"/>
            <w:tcBorders>
              <w:top w:val="single" w:sz="2" w:space="0" w:color="auto"/>
              <w:bottom w:val="single" w:sz="2" w:space="0" w:color="auto"/>
            </w:tcBorders>
            <w:shd w:val="clear" w:color="auto" w:fill="auto"/>
            <w:noWrap/>
            <w:tcMar>
              <w:left w:w="28" w:type="dxa"/>
              <w:right w:w="28" w:type="dxa"/>
            </w:tcMar>
            <w:vAlign w:val="center"/>
          </w:tcPr>
          <w:p w14:paraId="67417084"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1</w:t>
            </w:r>
          </w:p>
        </w:tc>
        <w:tc>
          <w:tcPr>
            <w:tcW w:w="1114" w:type="dxa"/>
            <w:tcBorders>
              <w:top w:val="single" w:sz="2" w:space="0" w:color="auto"/>
              <w:bottom w:val="single" w:sz="2" w:space="0" w:color="auto"/>
            </w:tcBorders>
            <w:shd w:val="clear" w:color="auto" w:fill="auto"/>
            <w:noWrap/>
            <w:tcMar>
              <w:left w:w="28" w:type="dxa"/>
              <w:right w:w="28" w:type="dxa"/>
            </w:tcMar>
            <w:vAlign w:val="center"/>
          </w:tcPr>
          <w:p w14:paraId="5486697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16.801</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4389018D"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304</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7A0D59B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627</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6D376CA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968</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024F9B09"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1.329</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42FB587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1.710</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3F7D05C0"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2.112</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3A527CA7"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2.537</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0984EDB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2.985</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4BA006D4"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3.457</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5532D73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3.954</w:t>
            </w:r>
          </w:p>
        </w:tc>
        <w:tc>
          <w:tcPr>
            <w:tcW w:w="728" w:type="dxa"/>
            <w:tcBorders>
              <w:top w:val="single" w:sz="2" w:space="0" w:color="auto"/>
              <w:bottom w:val="single" w:sz="2" w:space="0" w:color="auto"/>
            </w:tcBorders>
            <w:vAlign w:val="center"/>
          </w:tcPr>
          <w:p w14:paraId="1A766D6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4.478</w:t>
            </w:r>
          </w:p>
        </w:tc>
      </w:tr>
      <w:tr w:rsidR="00497092" w:rsidRPr="00644F20" w14:paraId="652BDAE9" w14:textId="77777777">
        <w:trPr>
          <w:trHeight w:val="153"/>
        </w:trPr>
        <w:tc>
          <w:tcPr>
            <w:tcW w:w="711" w:type="dxa"/>
            <w:tcBorders>
              <w:top w:val="single" w:sz="2" w:space="0" w:color="auto"/>
              <w:bottom w:val="single" w:sz="2" w:space="0" w:color="auto"/>
            </w:tcBorders>
            <w:shd w:val="clear" w:color="auto" w:fill="auto"/>
            <w:noWrap/>
            <w:tcMar>
              <w:left w:w="28" w:type="dxa"/>
              <w:right w:w="28" w:type="dxa"/>
            </w:tcMar>
            <w:vAlign w:val="center"/>
          </w:tcPr>
          <w:p w14:paraId="13DA8FDD"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2</w:t>
            </w:r>
          </w:p>
        </w:tc>
        <w:tc>
          <w:tcPr>
            <w:tcW w:w="1114" w:type="dxa"/>
            <w:tcBorders>
              <w:top w:val="single" w:sz="2" w:space="0" w:color="auto"/>
              <w:bottom w:val="single" w:sz="2" w:space="0" w:color="auto"/>
            </w:tcBorders>
            <w:shd w:val="clear" w:color="auto" w:fill="auto"/>
            <w:noWrap/>
            <w:tcMar>
              <w:left w:w="28" w:type="dxa"/>
              <w:right w:w="28" w:type="dxa"/>
            </w:tcMar>
            <w:vAlign w:val="center"/>
          </w:tcPr>
          <w:p w14:paraId="42CDC36A"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33.495</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6ACE80D6"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609</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0F318EF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1.253</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7B45C7D5"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1.934</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3F102220"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2.653</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68FA0741"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3.413</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5AF53C7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4.214</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0D1D00F1"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5.059</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2CB9C603"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5.949</w:t>
            </w:r>
          </w:p>
        </w:tc>
        <w:tc>
          <w:tcPr>
            <w:tcW w:w="640" w:type="dxa"/>
            <w:tcBorders>
              <w:top w:val="single" w:sz="2" w:space="0" w:color="auto"/>
              <w:bottom w:val="single" w:sz="2" w:space="0" w:color="auto"/>
            </w:tcBorders>
            <w:shd w:val="clear" w:color="auto" w:fill="auto"/>
            <w:noWrap/>
            <w:tcMar>
              <w:left w:w="28" w:type="dxa"/>
              <w:right w:w="28" w:type="dxa"/>
            </w:tcMar>
            <w:vAlign w:val="center"/>
          </w:tcPr>
          <w:p w14:paraId="6DEE3E39"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6.887</w:t>
            </w:r>
          </w:p>
        </w:tc>
        <w:tc>
          <w:tcPr>
            <w:tcW w:w="641" w:type="dxa"/>
            <w:tcBorders>
              <w:top w:val="single" w:sz="2" w:space="0" w:color="auto"/>
              <w:bottom w:val="single" w:sz="2" w:space="0" w:color="auto"/>
            </w:tcBorders>
            <w:shd w:val="clear" w:color="auto" w:fill="auto"/>
            <w:noWrap/>
            <w:tcMar>
              <w:left w:w="28" w:type="dxa"/>
              <w:right w:w="28" w:type="dxa"/>
            </w:tcMar>
            <w:vAlign w:val="center"/>
          </w:tcPr>
          <w:p w14:paraId="67D60871"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7.874</w:t>
            </w:r>
          </w:p>
        </w:tc>
        <w:tc>
          <w:tcPr>
            <w:tcW w:w="728" w:type="dxa"/>
            <w:tcBorders>
              <w:top w:val="single" w:sz="2" w:space="0" w:color="auto"/>
              <w:bottom w:val="single" w:sz="2" w:space="0" w:color="auto"/>
            </w:tcBorders>
            <w:vAlign w:val="center"/>
          </w:tcPr>
          <w:p w14:paraId="190EBB15"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8.913</w:t>
            </w:r>
          </w:p>
        </w:tc>
      </w:tr>
      <w:tr w:rsidR="00497092" w:rsidRPr="00644F20" w14:paraId="2B001E43" w14:textId="77777777">
        <w:trPr>
          <w:trHeight w:val="153"/>
        </w:trPr>
        <w:tc>
          <w:tcPr>
            <w:tcW w:w="711" w:type="dxa"/>
            <w:tcBorders>
              <w:top w:val="single" w:sz="2" w:space="0" w:color="auto"/>
              <w:bottom w:val="single" w:sz="8" w:space="0" w:color="auto"/>
            </w:tcBorders>
            <w:shd w:val="clear" w:color="auto" w:fill="auto"/>
            <w:noWrap/>
            <w:tcMar>
              <w:left w:w="28" w:type="dxa"/>
              <w:right w:w="28" w:type="dxa"/>
            </w:tcMar>
            <w:vAlign w:val="center"/>
          </w:tcPr>
          <w:p w14:paraId="5E7A0505" w14:textId="77777777" w:rsidR="00497092" w:rsidRPr="00644F20" w:rsidRDefault="002F45E1">
            <w:pPr>
              <w:spacing w:after="0" w:line="240" w:lineRule="auto"/>
              <w:rPr>
                <w:rFonts w:ascii="Times New Roman" w:eastAsia="Times New Roman" w:hAnsi="Times New Roman" w:cs="Times New Roman"/>
                <w:sz w:val="16"/>
                <w:szCs w:val="16"/>
                <w:lang w:val="sr-Cyrl-CS"/>
              </w:rPr>
            </w:pPr>
            <w:r w:rsidRPr="00644F20">
              <w:rPr>
                <w:rFonts w:ascii="Times New Roman" w:eastAsia="Times New Roman" w:hAnsi="Times New Roman" w:cs="Times New Roman"/>
                <w:sz w:val="16"/>
                <w:szCs w:val="16"/>
                <w:lang w:val="sr-Cyrl-CS"/>
              </w:rPr>
              <w:t>Опција 3</w:t>
            </w:r>
          </w:p>
        </w:tc>
        <w:tc>
          <w:tcPr>
            <w:tcW w:w="1114" w:type="dxa"/>
            <w:tcBorders>
              <w:top w:val="single" w:sz="2" w:space="0" w:color="auto"/>
              <w:bottom w:val="single" w:sz="8" w:space="0" w:color="auto"/>
            </w:tcBorders>
            <w:shd w:val="clear" w:color="auto" w:fill="auto"/>
            <w:noWrap/>
            <w:tcMar>
              <w:left w:w="28" w:type="dxa"/>
              <w:right w:w="28" w:type="dxa"/>
            </w:tcMar>
            <w:vAlign w:val="center"/>
          </w:tcPr>
          <w:p w14:paraId="0A1F6BA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50.084</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7270DF0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913</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6F28B35B"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1.878</w:t>
            </w:r>
          </w:p>
        </w:tc>
        <w:tc>
          <w:tcPr>
            <w:tcW w:w="641" w:type="dxa"/>
            <w:tcBorders>
              <w:top w:val="single" w:sz="2" w:space="0" w:color="auto"/>
              <w:bottom w:val="single" w:sz="8" w:space="0" w:color="auto"/>
            </w:tcBorders>
            <w:shd w:val="clear" w:color="auto" w:fill="auto"/>
            <w:noWrap/>
            <w:tcMar>
              <w:left w:w="28" w:type="dxa"/>
              <w:right w:w="28" w:type="dxa"/>
            </w:tcMar>
            <w:vAlign w:val="center"/>
          </w:tcPr>
          <w:p w14:paraId="0775A3AC"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2.898</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4714A97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3.974</w:t>
            </w:r>
          </w:p>
        </w:tc>
        <w:tc>
          <w:tcPr>
            <w:tcW w:w="641" w:type="dxa"/>
            <w:tcBorders>
              <w:top w:val="single" w:sz="2" w:space="0" w:color="auto"/>
              <w:bottom w:val="single" w:sz="8" w:space="0" w:color="auto"/>
            </w:tcBorders>
            <w:shd w:val="clear" w:color="auto" w:fill="auto"/>
            <w:noWrap/>
            <w:tcMar>
              <w:left w:w="28" w:type="dxa"/>
              <w:right w:w="28" w:type="dxa"/>
            </w:tcMar>
            <w:vAlign w:val="center"/>
          </w:tcPr>
          <w:p w14:paraId="7EB62BF8"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5.109</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2DC1BEF5"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6.306</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7CC78C33"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7.566</w:t>
            </w:r>
          </w:p>
        </w:tc>
        <w:tc>
          <w:tcPr>
            <w:tcW w:w="641" w:type="dxa"/>
            <w:tcBorders>
              <w:top w:val="single" w:sz="2" w:space="0" w:color="auto"/>
              <w:bottom w:val="single" w:sz="8" w:space="0" w:color="auto"/>
            </w:tcBorders>
            <w:shd w:val="clear" w:color="auto" w:fill="auto"/>
            <w:noWrap/>
            <w:tcMar>
              <w:left w:w="28" w:type="dxa"/>
              <w:right w:w="28" w:type="dxa"/>
            </w:tcMar>
            <w:vAlign w:val="center"/>
          </w:tcPr>
          <w:p w14:paraId="0E5A8082"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8.894</w:t>
            </w:r>
          </w:p>
        </w:tc>
        <w:tc>
          <w:tcPr>
            <w:tcW w:w="640" w:type="dxa"/>
            <w:tcBorders>
              <w:top w:val="single" w:sz="2" w:space="0" w:color="auto"/>
              <w:bottom w:val="single" w:sz="8" w:space="0" w:color="auto"/>
            </w:tcBorders>
            <w:shd w:val="clear" w:color="auto" w:fill="auto"/>
            <w:noWrap/>
            <w:tcMar>
              <w:left w:w="28" w:type="dxa"/>
              <w:right w:w="28" w:type="dxa"/>
            </w:tcMar>
            <w:vAlign w:val="center"/>
          </w:tcPr>
          <w:p w14:paraId="4100B7FE"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10.291</w:t>
            </w:r>
          </w:p>
        </w:tc>
        <w:tc>
          <w:tcPr>
            <w:tcW w:w="641" w:type="dxa"/>
            <w:tcBorders>
              <w:top w:val="single" w:sz="2" w:space="0" w:color="auto"/>
              <w:bottom w:val="single" w:sz="8" w:space="0" w:color="auto"/>
            </w:tcBorders>
            <w:shd w:val="clear" w:color="auto" w:fill="auto"/>
            <w:noWrap/>
            <w:tcMar>
              <w:left w:w="28" w:type="dxa"/>
              <w:right w:w="28" w:type="dxa"/>
            </w:tcMar>
            <w:vAlign w:val="center"/>
          </w:tcPr>
          <w:p w14:paraId="539F7106" w14:textId="77777777" w:rsidR="00497092" w:rsidRPr="00644F20" w:rsidRDefault="002F45E1">
            <w:pPr>
              <w:spacing w:after="0" w:line="240" w:lineRule="auto"/>
              <w:jc w:val="right"/>
              <w:rPr>
                <w:rFonts w:ascii="Times New Roman" w:eastAsia="Times New Roman" w:hAnsi="Times New Roman" w:cs="Times New Roman"/>
                <w:sz w:val="16"/>
                <w:szCs w:val="16"/>
                <w:lang w:val="sr-Cyrl-CS"/>
              </w:rPr>
            </w:pPr>
            <w:r w:rsidRPr="00644F20">
              <w:rPr>
                <w:rFonts w:ascii="Times New Roman" w:hAnsi="Times New Roman" w:cs="Times New Roman"/>
                <w:sz w:val="16"/>
                <w:szCs w:val="16"/>
                <w:lang w:val="sr-Cyrl-CS"/>
              </w:rPr>
              <w:t>11.760</w:t>
            </w:r>
          </w:p>
        </w:tc>
        <w:tc>
          <w:tcPr>
            <w:tcW w:w="728" w:type="dxa"/>
            <w:tcBorders>
              <w:top w:val="single" w:sz="2" w:space="0" w:color="auto"/>
              <w:bottom w:val="single" w:sz="8" w:space="0" w:color="auto"/>
            </w:tcBorders>
            <w:vAlign w:val="center"/>
          </w:tcPr>
          <w:p w14:paraId="26BFE6A5" w14:textId="77777777" w:rsidR="00497092" w:rsidRPr="00644F20" w:rsidRDefault="002F45E1">
            <w:pPr>
              <w:spacing w:after="0" w:line="240" w:lineRule="auto"/>
              <w:jc w:val="right"/>
              <w:rPr>
                <w:rFonts w:ascii="Times New Roman" w:hAnsi="Times New Roman" w:cs="Times New Roman"/>
                <w:sz w:val="16"/>
                <w:szCs w:val="16"/>
                <w:lang w:val="sr-Cyrl-CS"/>
              </w:rPr>
            </w:pPr>
            <w:r w:rsidRPr="00644F20">
              <w:rPr>
                <w:rFonts w:ascii="Times New Roman" w:hAnsi="Times New Roman" w:cs="Times New Roman"/>
                <w:sz w:val="16"/>
                <w:szCs w:val="16"/>
                <w:lang w:val="sr-Cyrl-CS"/>
              </w:rPr>
              <w:t>13.305</w:t>
            </w:r>
          </w:p>
        </w:tc>
      </w:tr>
    </w:tbl>
    <w:p w14:paraId="3E95AD68" w14:textId="77777777" w:rsidR="00497092" w:rsidRPr="00644F20" w:rsidRDefault="002F45E1" w:rsidP="0041506A">
      <w:pPr>
        <w:spacing w:before="120"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Укупне економске уштеде по основу смањења емисије CO</w:t>
      </w:r>
      <w:r w:rsidRPr="00644F20">
        <w:rPr>
          <w:rFonts w:ascii="Times New Roman" w:hAnsi="Times New Roman" w:cs="Times New Roman"/>
          <w:sz w:val="24"/>
          <w:szCs w:val="24"/>
          <w:vertAlign w:val="subscript"/>
          <w:lang w:val="sr-Cyrl-CS"/>
        </w:rPr>
        <w:t xml:space="preserve">2 </w:t>
      </w:r>
      <w:r w:rsidRPr="00644F20">
        <w:rPr>
          <w:rFonts w:ascii="Times New Roman" w:hAnsi="Times New Roman" w:cs="Times New Roman"/>
          <w:sz w:val="24"/>
          <w:szCs w:val="24"/>
          <w:lang w:val="sr-Cyrl-CS"/>
        </w:rPr>
        <w:t>за период од 2022. до 2032. године креће се у интервалу између 16 и 50 милијарди динара (дисконтована вредност).</w:t>
      </w:r>
    </w:p>
    <w:p w14:paraId="0F2A4A0C" w14:textId="77777777" w:rsidR="00497092" w:rsidRPr="00644F20" w:rsidRDefault="002F45E1">
      <w:pPr>
        <w:keepNext/>
        <w:keepLines/>
        <w:spacing w:before="240" w:after="120"/>
        <w:outlineLvl w:val="1"/>
        <w:rPr>
          <w:rFonts w:ascii="Times New Roman" w:eastAsiaTheme="majorEastAsia" w:hAnsi="Times New Roman" w:cstheme="majorBidi"/>
          <w:b/>
          <w:bCs/>
          <w:sz w:val="28"/>
          <w:szCs w:val="28"/>
          <w:lang w:val="sr-Cyrl-CS"/>
        </w:rPr>
      </w:pPr>
      <w:bookmarkStart w:id="34" w:name="_Toc93923083"/>
      <w:r w:rsidRPr="00644F20">
        <w:rPr>
          <w:rFonts w:ascii="Times New Roman" w:eastAsiaTheme="majorEastAsia" w:hAnsi="Times New Roman" w:cstheme="majorBidi"/>
          <w:b/>
          <w:bCs/>
          <w:sz w:val="28"/>
          <w:szCs w:val="28"/>
          <w:lang w:val="sr-Cyrl-CS"/>
        </w:rPr>
        <w:t>5.3. Образложење прихваћене опције</w:t>
      </w:r>
      <w:bookmarkEnd w:id="34"/>
    </w:p>
    <w:p w14:paraId="64676AF9"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Заштита животне средине представља један од најважнијих проблема са којим се данас суочавају креатори јавних политика. Велики утицај на животну средину има начин на који је организована производња материјалних добара, начини испољавања фаза животног циклуса производа (у зависности од врсте делатности и сектора привреде, као што су експлоатација сировина, дистрибуција/логистика), начини коришћења/употребе добара и њихово одлагање на крају животног века. Традиционални производни процеси не узимају у обзир проблеме попут загађења и деградације квалитета животне средине и исцрпљивања природних ресурса. Уколико се економском (фискалном) политиком не интернализују индиректни екстерни трошкови, произвођачи неће обратити пажњу на ефекте својих пословних активности на животну средину. Поред повећања загађености животне средине, пораст цена ресурса, </w:t>
      </w:r>
      <w:r w:rsidRPr="00644F20">
        <w:rPr>
          <w:rFonts w:ascii="Times New Roman" w:hAnsi="Times New Roman" w:cs="Times New Roman"/>
          <w:sz w:val="24"/>
          <w:szCs w:val="24"/>
          <w:lang w:val="sr-Cyrl-CS"/>
        </w:rPr>
        <w:lastRenderedPageBreak/>
        <w:t>материјала и енергије, као и пораст броја становника пре свега у урбаним насељима захтева од предузећа и креатора јавних политика на свим нивоима да усвоје стратегије и акционе планове за смањење екстракције нових ресурса из природе и количине отпада која настаје на крају животног века производа.</w:t>
      </w:r>
    </w:p>
    <w:p w14:paraId="6E7FD0A2"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За разлику од традиционалне економије каква је тренутно заступљена у Републици Србији, циркуларна економија подразумева да је основни извор економског раста што већа поновна употреба великог броја материјала добијених из производа који су завршили свој животни циклус, а што мања екстракција нових ресурса. На тај начин предузећа могу остварити значајне економске уштеде по основу употребе мањих количина ресурса и енергије.</w:t>
      </w:r>
    </w:p>
    <w:p w14:paraId="3873D28F" w14:textId="77777777" w:rsidR="00497092" w:rsidRPr="00644F20" w:rsidRDefault="002F45E1" w:rsidP="00EE58FE">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Економске користи од увођења циркуларне економије остварују се на три нивоа: на нивоу привреде, предузећа и потрошача. За привреду се значајне материјалне уштеде огледају у смањивању ризика ценовне нестабилности и смањене понуде, повећању стопе запослености и продуктивности (мултипликативни ефекат) и дугорочних општих користи (смањење екстерних ефеката). Циркуларна економија омогућава привредама одржив раст, смањење зависности од промена на тржиштима ресурса и мању изложеност наглим променама цена.</w:t>
      </w:r>
    </w:p>
    <w:p w14:paraId="4E618D97"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Користи које предузећа имају од циркуларне економије настају по неколико основа. Прво, претпоставља се да ће предузећа смањити трошкове набавке материјала. Друго, побољшава се интеракција са купцима и повећава њихова лојалност. Треће, смањује се комплексност финалних производа захваљујући чему се лакше управља њиховим животним циклусом. Као резултат сарадње произвођача са научним и образовним институцијама и иноваторима, али и као резултат ангажовања својих интерних ресурса, произвођачи су у стању да пројектују своје производе тако да се смањи потрошња природних ресурса, редукује генерисање отпада и емисија и минимизира (до елиминације) употреба штетних супстанци у свим фазама.</w:t>
      </w:r>
    </w:p>
    <w:p w14:paraId="0F81CB4D"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Потрошачи и корисници производа такође остварују користи у циркуларној у односу на линеарну економију, при чему се оне не огледају само у претпостављеној промени цене финалних производа. Прво, потрошачи имају користи од мањих трошкова због продуженог века трајања производа. Такође, потрошачи имају користи од повећане могућности избора и прилагођавања производа купцима. Потрошачи у циркуларној економији имају и тзв. секундарне користи када производи имају више функција од своје основне и на тај начин задовољавају потребе за које првобитно нису намењени.</w:t>
      </w:r>
    </w:p>
    <w:p w14:paraId="0160FC9A"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Транзиција ка циркуларној економији, осим промена у производним процесима и пословним моделима, утиче и на промене на тржишту рада. Тај утицај се огледа и у промени броја радних места у појединачним секторима привреде и у знањима и вештинама које морају да поседују радници у привреди која уводи концепт циркуларне економије. Да би се развиле адекватне вештине код запослених за спровођење принципа циркуларне економије неопходна је блиска сарадња између образовних и научних институција и предузећа.</w:t>
      </w:r>
    </w:p>
    <w:p w14:paraId="00C75932"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Да би се остварила транзиција ка циркуларној економији и реализовале све претходно наведене користи, неопходно је плански приступити одређеним активностима на нивоу државе, јединица локалне самоуправе, предузећа и домаћинстава. На основу анализе три предложене опције (плус status quo опција) уочава се да се спровођењем опције 3 остварују највише вредности свих посматраних економских индикатора (економске уштеде по основу мањег утрошка енергије и ресурса, пораста БДП-а и запослености, економских уштеда по основу смањења емисија СО</w:t>
      </w:r>
      <w:r w:rsidRPr="00644F20">
        <w:rPr>
          <w:rFonts w:ascii="Times New Roman" w:hAnsi="Times New Roman" w:cs="Times New Roman"/>
          <w:sz w:val="24"/>
          <w:szCs w:val="24"/>
          <w:vertAlign w:val="subscript"/>
          <w:lang w:val="sr-Cyrl-CS"/>
        </w:rPr>
        <w:t>2</w:t>
      </w:r>
      <w:r w:rsidRPr="00644F20">
        <w:rPr>
          <w:rFonts w:ascii="Times New Roman" w:hAnsi="Times New Roman" w:cs="Times New Roman"/>
          <w:sz w:val="24"/>
          <w:szCs w:val="24"/>
          <w:lang w:val="sr-Cyrl-CS"/>
        </w:rPr>
        <w:t xml:space="preserve">, економских уштеда за домаћинства, односно потрошаче и </w:t>
      </w:r>
      <w:r w:rsidRPr="00644F20">
        <w:rPr>
          <w:rFonts w:ascii="Times New Roman" w:hAnsi="Times New Roman" w:cs="Times New Roman"/>
          <w:sz w:val="24"/>
          <w:szCs w:val="24"/>
          <w:lang w:val="sr-Cyrl-CS"/>
        </w:rPr>
        <w:lastRenderedPageBreak/>
        <w:t>потенцијалних прихода за буџете јединица локалне самоуправе и државе). Уколико би се циркуларна економија развијала само кроз подршку одређеним друштвеним субјектима (као што је то предвиђено у опцијама 1 и 2), економске користи за целокупну привреду, али и за појединачне произвођаче и потрошаче би биле вишеструко мање.</w:t>
      </w:r>
    </w:p>
    <w:p w14:paraId="7AB57DF2" w14:textId="77777777" w:rsidR="00497092" w:rsidRPr="00644F20" w:rsidRDefault="002F45E1">
      <w:pPr>
        <w:keepNext/>
        <w:keepLines/>
        <w:spacing w:before="480" w:after="360" w:line="276" w:lineRule="auto"/>
        <w:outlineLvl w:val="0"/>
        <w:rPr>
          <w:rFonts w:ascii="Times New Roman" w:eastAsiaTheme="majorEastAsia" w:hAnsi="Times New Roman" w:cs="Times New Roman"/>
          <w:bCs/>
          <w:sz w:val="32"/>
          <w:szCs w:val="32"/>
          <w:lang w:val="sr-Cyrl-CS"/>
        </w:rPr>
      </w:pPr>
      <w:r w:rsidRPr="00644F20">
        <w:rPr>
          <w:rFonts w:ascii="Times New Roman" w:eastAsiaTheme="majorEastAsia" w:hAnsi="Times New Roman" w:cs="Times New Roman"/>
          <w:b/>
          <w:bCs/>
          <w:sz w:val="32"/>
          <w:szCs w:val="32"/>
          <w:lang w:val="sr-Cyrl-CS"/>
        </w:rPr>
        <w:t xml:space="preserve">6. ПОСЕБНИ ЦИЉЕВИ ПРОГРАМА И МЕРЕ ЗА ЊИХОВО ОСТВАРИВАЊЕ </w:t>
      </w:r>
    </w:p>
    <w:p w14:paraId="1FADADC1" w14:textId="77777777" w:rsidR="00497092" w:rsidRPr="00644F20" w:rsidRDefault="002F45E1">
      <w:pPr>
        <w:spacing w:before="240" w:after="120" w:line="276" w:lineRule="auto"/>
        <w:jc w:val="both"/>
        <w:rPr>
          <w:rFonts w:ascii="Times New Roman" w:hAnsi="Times New Roman" w:cs="Times New Roman"/>
          <w:b/>
          <w:sz w:val="28"/>
          <w:szCs w:val="28"/>
          <w:lang w:val="sr-Cyrl-CS"/>
        </w:rPr>
      </w:pPr>
      <w:r w:rsidRPr="00644F20">
        <w:rPr>
          <w:rFonts w:ascii="Times New Roman" w:hAnsi="Times New Roman" w:cs="Times New Roman"/>
          <w:b/>
          <w:sz w:val="28"/>
          <w:szCs w:val="28"/>
          <w:lang w:val="sr-Cyrl-CS"/>
        </w:rPr>
        <w:t>Посебан циљ 1: Подршка привредном сектору у трансформацији на циркуларни модел пословања</w:t>
      </w:r>
    </w:p>
    <w:p w14:paraId="64EF8194" w14:textId="77777777" w:rsidR="00497092" w:rsidRPr="00644F20" w:rsidRDefault="002F45E1" w:rsidP="0041506A">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Привреда има веома важну улогу у транзицији ка циркуларној економији и један је од кључних учесника у том процесу. Сходно томе, овај посебан циљ се односи на пружање подршке привреди и постављање основа за трансформацију привреде на циркуларни модел пословања. Планирана је реализација мера које укључују едукацију привредних субјеката, развој додатних механизама финансијских подстицаја за привреду и пружање директне техничке помоћи одабраном броју предузећа у изради пословних акционих планова за усвајање принципа циркуларне економије, као и подстицање сарадње између научноистраживачких организација и привредних субјеката у области иновација и оптимизације производње.</w:t>
      </w:r>
    </w:p>
    <w:p w14:paraId="534AFB02"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Иновације су саставни део транзиције ка циркуларној економији. Прелазак привреде на циркуларни модел пословања захтева развој и примену иновативних решења у свим фазама производње (од пројектовања производа и процеса, вођења производње, паковања и пласмана на тржиште) као и у постпродајној фази која укључује сервисирање и одржавање до краја животног века производа. Фокус ових решења је на ефикаснијем коришћењу ресурса, сировина и енергије, а циљ је заштита животне средине, што захтева добро познавање материјала и савремених техника за анализу њихових хемијских и физичких својстава, моделовање процеса, као и приступ специјализованој истраживачкој опреми. Иновативна решења  представљају значајан изазов за привредне субјекте у Републици Србији, које већином чине микро, мала и средња предузећа са ограниченим капацитетима за истраживање и развој. Недостатак капацитета у привреди може да се превазиђе подстицањем сарадње између привреде и научноистраживачких организација. Истовремено, постојећи истраживачки капацитети у научним организацијама биће ефикасније и потпуније искоришћени. </w:t>
      </w:r>
    </w:p>
    <w:p w14:paraId="7E8C594F" w14:textId="77777777" w:rsidR="00497092" w:rsidRPr="00644F20" w:rsidRDefault="002F45E1" w:rsidP="0041506A">
      <w:pPr>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праћење остваривања посебног циља као показатељ користиће се </w:t>
      </w:r>
      <w:r w:rsidRPr="00644F20">
        <w:rPr>
          <w:rFonts w:ascii="Times New Roman" w:hAnsi="Times New Roman" w:cs="Times New Roman"/>
          <w:i/>
          <w:sz w:val="24"/>
          <w:szCs w:val="24"/>
          <w:lang w:val="sr-Cyrl-CS"/>
        </w:rPr>
        <w:t>Стопа кружне употребе материјала (%)</w:t>
      </w:r>
      <w:r w:rsidRPr="00644F20">
        <w:rPr>
          <w:rFonts w:ascii="Times New Roman" w:hAnsi="Times New Roman" w:cs="Times New Roman"/>
          <w:sz w:val="24"/>
          <w:szCs w:val="24"/>
          <w:lang w:val="sr-Cyrl-CS"/>
        </w:rPr>
        <w:t xml:space="preserve">, а као референтна (базна) вредност користиће се његова вредност из 2019. године. </w:t>
      </w:r>
    </w:p>
    <w:p w14:paraId="694B26E1" w14:textId="77777777" w:rsidR="00497092" w:rsidRPr="00644F20" w:rsidRDefault="002F45E1">
      <w:pPr>
        <w:spacing w:before="240" w:after="120" w:line="276" w:lineRule="auto"/>
        <w:jc w:val="both"/>
        <w:rPr>
          <w:rFonts w:ascii="Times New Roman" w:hAnsi="Times New Roman"/>
          <w:sz w:val="26"/>
          <w:szCs w:val="26"/>
          <w:lang w:val="sr-Cyrl-CS"/>
        </w:rPr>
      </w:pPr>
      <w:r w:rsidRPr="00644F20">
        <w:rPr>
          <w:rFonts w:ascii="Times New Roman" w:hAnsi="Times New Roman"/>
          <w:b/>
          <w:sz w:val="26"/>
          <w:szCs w:val="26"/>
          <w:lang w:val="sr-Cyrl-CS"/>
        </w:rPr>
        <w:t>Мера 1.1:</w:t>
      </w:r>
      <w:r w:rsidRPr="00644F20">
        <w:rPr>
          <w:rFonts w:ascii="Times New Roman" w:hAnsi="Times New Roman"/>
          <w:sz w:val="26"/>
          <w:szCs w:val="26"/>
          <w:lang w:val="sr-Cyrl-CS"/>
        </w:rPr>
        <w:t xml:space="preserve"> </w:t>
      </w:r>
      <w:r w:rsidRPr="00644F20">
        <w:rPr>
          <w:rFonts w:ascii="Times New Roman" w:hAnsi="Times New Roman"/>
          <w:b/>
          <w:sz w:val="26"/>
          <w:szCs w:val="26"/>
          <w:lang w:val="sr-Cyrl-CS"/>
        </w:rPr>
        <w:t>Едукација специфичних група привредних субјеката за примену концепта циркуларне економије</w:t>
      </w:r>
    </w:p>
    <w:p w14:paraId="031F7742"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прелазак привредних субјеката на циркуларну економију неопходни су адекватни технички капацитети, стога је мером предвиђена едукација стручних лица која су у позицији да изнесу ову транзицију. Очекује се да ће стечена знања иницирати трагање за идејама о </w:t>
      </w:r>
      <w:r w:rsidRPr="00644F20">
        <w:rPr>
          <w:rFonts w:ascii="Times New Roman" w:hAnsi="Times New Roman" w:cs="Times New Roman"/>
          <w:sz w:val="24"/>
          <w:szCs w:val="24"/>
          <w:lang w:val="sr-Cyrl-CS"/>
        </w:rPr>
        <w:lastRenderedPageBreak/>
        <w:t>примени техничко-технолошких, организационих и пословних иновација и другим променама производних процеса у циљу смањења потрошње ресурса и повећања енергетске ефикасности.</w:t>
      </w:r>
    </w:p>
    <w:p w14:paraId="692ED991" w14:textId="77777777" w:rsidR="00497092" w:rsidRPr="00644F20" w:rsidRDefault="002F45E1" w:rsidP="0041506A">
      <w:pPr>
        <w:spacing w:after="60" w:line="276" w:lineRule="auto"/>
        <w:ind w:firstLine="357"/>
        <w:jc w:val="both"/>
        <w:rPr>
          <w:rFonts w:ascii="Times New Roman" w:hAnsi="Times New Roman"/>
          <w:sz w:val="24"/>
          <w:lang w:val="sr-Cyrl-CS"/>
        </w:rPr>
      </w:pPr>
      <w:r w:rsidRPr="00644F20">
        <w:rPr>
          <w:rFonts w:ascii="Times New Roman" w:hAnsi="Times New Roman" w:cs="Times New Roman"/>
          <w:sz w:val="24"/>
          <w:szCs w:val="24"/>
          <w:lang w:val="sr-Cyrl-CS"/>
        </w:rPr>
        <w:t>Фокус мере је на едукацији</w:t>
      </w:r>
      <w:r w:rsidRPr="00644F20">
        <w:rPr>
          <w:rFonts w:ascii="Times New Roman" w:hAnsi="Times New Roman"/>
          <w:sz w:val="24"/>
          <w:lang w:val="sr-Cyrl-CS"/>
        </w:rPr>
        <w:t xml:space="preserve"> специфичних група привредних субјеката</w:t>
      </w:r>
      <w:r w:rsidRPr="00644F20">
        <w:rPr>
          <w:rFonts w:ascii="Times New Roman" w:hAnsi="Times New Roman" w:cs="Times New Roman"/>
          <w:sz w:val="24"/>
          <w:szCs w:val="24"/>
          <w:vertAlign w:val="superscript"/>
          <w:lang w:val="sr-Cyrl-CS"/>
        </w:rPr>
        <w:footnoteReference w:id="66"/>
      </w:r>
      <w:r w:rsidRPr="00644F20">
        <w:rPr>
          <w:rFonts w:ascii="Times New Roman" w:hAnsi="Times New Roman" w:cs="Times New Roman"/>
          <w:sz w:val="24"/>
          <w:szCs w:val="24"/>
          <w:lang w:val="sr-Cyrl-CS"/>
        </w:rPr>
        <w:t>, као што су</w:t>
      </w:r>
      <w:r w:rsidRPr="00644F20">
        <w:rPr>
          <w:rFonts w:ascii="Times New Roman" w:hAnsi="Times New Roman"/>
          <w:sz w:val="24"/>
          <w:lang w:val="sr-Cyrl-CS"/>
        </w:rPr>
        <w:t>:</w:t>
      </w:r>
    </w:p>
    <w:p w14:paraId="455D9187" w14:textId="77777777" w:rsidR="0041506A" w:rsidRPr="00644F20" w:rsidRDefault="00087E58">
      <w:pPr>
        <w:numPr>
          <w:ilvl w:val="0"/>
          <w:numId w:val="17"/>
        </w:numPr>
        <w:spacing w:after="60" w:line="276" w:lineRule="auto"/>
        <w:ind w:left="714" w:hanging="357"/>
        <w:jc w:val="both"/>
        <w:rPr>
          <w:rFonts w:ascii="Times New Roman" w:hAnsi="Times New Roman"/>
          <w:sz w:val="24"/>
          <w:lang w:val="sr-Cyrl-CS"/>
        </w:rPr>
      </w:pPr>
      <w:r w:rsidRPr="00644F20">
        <w:rPr>
          <w:rFonts w:ascii="Times New Roman" w:hAnsi="Times New Roman" w:cs="Times New Roman"/>
          <w:sz w:val="24"/>
          <w:szCs w:val="24"/>
          <w:lang w:val="sr-Cyrl-CS"/>
        </w:rPr>
        <w:t>o</w:t>
      </w:r>
      <w:r w:rsidRPr="00644F20">
        <w:rPr>
          <w:rFonts w:ascii="Times New Roman" w:hAnsi="Times New Roman"/>
          <w:sz w:val="24"/>
          <w:lang w:val="sr-Cyrl-CS"/>
        </w:rPr>
        <w:t xml:space="preserve">ператери </w:t>
      </w:r>
      <w:r w:rsidR="002F45E1" w:rsidRPr="00644F20">
        <w:rPr>
          <w:rFonts w:ascii="Times New Roman" w:hAnsi="Times New Roman"/>
          <w:sz w:val="24"/>
          <w:lang w:val="sr-Cyrl-CS"/>
        </w:rPr>
        <w:t xml:space="preserve">који су у обавези добијања интегрисане дозволе на тему примене најбољих </w:t>
      </w:r>
    </w:p>
    <w:p w14:paraId="31A4D092" w14:textId="77777777" w:rsidR="00497092" w:rsidRPr="00644F20" w:rsidRDefault="002F45E1" w:rsidP="0041506A">
      <w:pPr>
        <w:spacing w:after="60" w:line="276" w:lineRule="auto"/>
        <w:jc w:val="both"/>
        <w:rPr>
          <w:rFonts w:ascii="Times New Roman" w:hAnsi="Times New Roman"/>
          <w:sz w:val="24"/>
          <w:lang w:val="sr-Cyrl-CS"/>
        </w:rPr>
      </w:pPr>
      <w:r w:rsidRPr="00644F20">
        <w:rPr>
          <w:rFonts w:ascii="Times New Roman" w:hAnsi="Times New Roman"/>
          <w:sz w:val="24"/>
          <w:lang w:val="sr-Cyrl-CS"/>
        </w:rPr>
        <w:t xml:space="preserve">доступних техника и достизања граничних вредности емисија прописаних БРЕФ документима уз помоћ концепта циркуларне економије и у циљу: смањења настајања отпада, добијања енергетски ефикасних процеса и производа, унaпређења управљања водама и отпадним водама; </w:t>
      </w:r>
    </w:p>
    <w:p w14:paraId="1AE2336E" w14:textId="77777777" w:rsidR="0041506A" w:rsidRPr="00644F20" w:rsidRDefault="00087E58">
      <w:pPr>
        <w:numPr>
          <w:ilvl w:val="0"/>
          <w:numId w:val="17"/>
        </w:numPr>
        <w:spacing w:after="60" w:line="276" w:lineRule="auto"/>
        <w:ind w:left="714" w:hanging="357"/>
        <w:jc w:val="both"/>
        <w:rPr>
          <w:rFonts w:ascii="Times New Roman" w:hAnsi="Times New Roman"/>
          <w:sz w:val="24"/>
          <w:lang w:val="sr-Cyrl-CS"/>
        </w:rPr>
      </w:pPr>
      <w:r w:rsidRPr="00644F20">
        <w:rPr>
          <w:rFonts w:ascii="Times New Roman" w:hAnsi="Times New Roman"/>
          <w:sz w:val="24"/>
          <w:lang w:val="sr-Cyrl-CS"/>
        </w:rPr>
        <w:t xml:space="preserve">произвођачи </w:t>
      </w:r>
      <w:r w:rsidR="002F45E1" w:rsidRPr="00644F20">
        <w:rPr>
          <w:rFonts w:ascii="Times New Roman" w:hAnsi="Times New Roman"/>
          <w:sz w:val="24"/>
          <w:lang w:val="sr-Cyrl-CS"/>
        </w:rPr>
        <w:t xml:space="preserve">амбалаже на тему циркуларног дизајна производа, употребе </w:t>
      </w:r>
    </w:p>
    <w:p w14:paraId="72DBB3E3" w14:textId="77777777" w:rsidR="00497092" w:rsidRPr="00644F20" w:rsidRDefault="002F45E1" w:rsidP="0041506A">
      <w:pPr>
        <w:spacing w:after="60" w:line="276" w:lineRule="auto"/>
        <w:jc w:val="both"/>
        <w:rPr>
          <w:rFonts w:ascii="Times New Roman" w:hAnsi="Times New Roman"/>
          <w:sz w:val="24"/>
          <w:lang w:val="sr-Cyrl-CS"/>
        </w:rPr>
      </w:pPr>
      <w:r w:rsidRPr="00644F20">
        <w:rPr>
          <w:rFonts w:ascii="Times New Roman" w:hAnsi="Times New Roman"/>
          <w:sz w:val="24"/>
          <w:lang w:val="sr-Cyrl-CS"/>
        </w:rPr>
        <w:t>алтернативних материјалa којима се генерише мање отпада, као и материјала за замену једнократне пластике;</w:t>
      </w:r>
    </w:p>
    <w:p w14:paraId="7190FCC1" w14:textId="77777777" w:rsidR="0041506A" w:rsidRPr="00644F20" w:rsidRDefault="00087E58">
      <w:pPr>
        <w:numPr>
          <w:ilvl w:val="0"/>
          <w:numId w:val="17"/>
        </w:numPr>
        <w:spacing w:after="60" w:line="276" w:lineRule="auto"/>
        <w:ind w:left="714" w:hanging="357"/>
        <w:jc w:val="both"/>
        <w:rPr>
          <w:rFonts w:ascii="Times New Roman" w:hAnsi="Times New Roman"/>
          <w:sz w:val="24"/>
          <w:lang w:val="sr-Cyrl-CS"/>
        </w:rPr>
      </w:pPr>
      <w:r w:rsidRPr="00644F20">
        <w:rPr>
          <w:rFonts w:ascii="Times New Roman" w:hAnsi="Times New Roman"/>
          <w:sz w:val="24"/>
          <w:lang w:val="sr-Cyrl-CS"/>
        </w:rPr>
        <w:t xml:space="preserve">субјекти </w:t>
      </w:r>
      <w:r w:rsidR="002F45E1" w:rsidRPr="00644F20">
        <w:rPr>
          <w:rFonts w:ascii="Times New Roman" w:hAnsi="Times New Roman"/>
          <w:sz w:val="24"/>
          <w:lang w:val="sr-Cyrl-CS"/>
        </w:rPr>
        <w:t xml:space="preserve">из сектора пољопривреде на тему искоришћења споредних производа, </w:t>
      </w:r>
    </w:p>
    <w:p w14:paraId="623D6A87" w14:textId="77777777" w:rsidR="00497092" w:rsidRPr="00644F20" w:rsidRDefault="002F45E1" w:rsidP="0041506A">
      <w:pPr>
        <w:spacing w:after="60" w:line="276" w:lineRule="auto"/>
        <w:jc w:val="both"/>
        <w:rPr>
          <w:rFonts w:ascii="Times New Roman" w:hAnsi="Times New Roman"/>
          <w:sz w:val="24"/>
          <w:lang w:val="sr-Cyrl-CS"/>
        </w:rPr>
      </w:pPr>
      <w:r w:rsidRPr="00644F20">
        <w:rPr>
          <w:rFonts w:ascii="Times New Roman" w:hAnsi="Times New Roman"/>
          <w:sz w:val="24"/>
          <w:lang w:val="sr-Cyrl-CS"/>
        </w:rPr>
        <w:t>производње енергије из обновљивих извора енергије;</w:t>
      </w:r>
    </w:p>
    <w:p w14:paraId="692CA4F7" w14:textId="77777777" w:rsidR="0041506A" w:rsidRPr="00644F20" w:rsidRDefault="00087E58">
      <w:pPr>
        <w:numPr>
          <w:ilvl w:val="0"/>
          <w:numId w:val="17"/>
        </w:numPr>
        <w:spacing w:after="60" w:line="276" w:lineRule="auto"/>
        <w:jc w:val="both"/>
        <w:rPr>
          <w:rFonts w:ascii="Times New Roman" w:hAnsi="Times New Roman"/>
          <w:sz w:val="24"/>
          <w:lang w:val="sr-Cyrl-CS"/>
        </w:rPr>
      </w:pPr>
      <w:r w:rsidRPr="00644F20">
        <w:rPr>
          <w:rFonts w:ascii="Times New Roman" w:hAnsi="Times New Roman"/>
          <w:sz w:val="24"/>
          <w:lang w:val="sr-Cyrl-CS"/>
        </w:rPr>
        <w:t xml:space="preserve">предузећа </w:t>
      </w:r>
      <w:r w:rsidR="002F45E1" w:rsidRPr="00644F20">
        <w:rPr>
          <w:rFonts w:ascii="Times New Roman" w:hAnsi="Times New Roman"/>
          <w:sz w:val="24"/>
          <w:lang w:val="sr-Cyrl-CS"/>
        </w:rPr>
        <w:t>из сектора прерађивачке индустрије (</w:t>
      </w:r>
      <w:r w:rsidR="002F45E1" w:rsidRPr="00644F20">
        <w:rPr>
          <w:rFonts w:ascii="Times New Roman" w:hAnsi="Times New Roman" w:cs="Times New Roman"/>
          <w:sz w:val="24"/>
          <w:szCs w:val="24"/>
          <w:lang w:val="sr-Cyrl-CS"/>
        </w:rPr>
        <w:t xml:space="preserve">производња електричне и електронске </w:t>
      </w:r>
    </w:p>
    <w:p w14:paraId="70C19575" w14:textId="77777777" w:rsidR="00497092" w:rsidRPr="00644F20" w:rsidRDefault="002F45E1" w:rsidP="0041506A">
      <w:pPr>
        <w:spacing w:after="60" w:line="276" w:lineRule="auto"/>
        <w:jc w:val="both"/>
        <w:rPr>
          <w:rFonts w:ascii="Times New Roman" w:hAnsi="Times New Roman"/>
          <w:sz w:val="24"/>
          <w:lang w:val="sr-Cyrl-CS"/>
        </w:rPr>
      </w:pPr>
      <w:r w:rsidRPr="00644F20">
        <w:rPr>
          <w:rFonts w:ascii="Times New Roman" w:hAnsi="Times New Roman" w:cs="Times New Roman"/>
          <w:sz w:val="24"/>
          <w:szCs w:val="24"/>
          <w:lang w:val="sr-Cyrl-CS"/>
        </w:rPr>
        <w:t xml:space="preserve">опреме, батерија и возила, намештаја, производа од пластике, текстила и сл), </w:t>
      </w:r>
      <w:r w:rsidRPr="00644F20">
        <w:rPr>
          <w:rFonts w:ascii="Times New Roman" w:hAnsi="Times New Roman"/>
          <w:sz w:val="24"/>
          <w:lang w:val="sr-Cyrl-CS"/>
        </w:rPr>
        <w:t>на тему ефикасног коришћења сировина и енергије, циркуларног дизајна производа</w:t>
      </w:r>
      <w:r w:rsidRPr="00644F20">
        <w:rPr>
          <w:rFonts w:ascii="Times New Roman" w:hAnsi="Times New Roman" w:cs="Times New Roman"/>
          <w:sz w:val="24"/>
          <w:szCs w:val="24"/>
          <w:lang w:val="sr-Cyrl-CS"/>
        </w:rPr>
        <w:t>,</w:t>
      </w:r>
      <w:r w:rsidRPr="00644F20">
        <w:rPr>
          <w:rFonts w:ascii="Times New Roman" w:hAnsi="Times New Roman"/>
          <w:sz w:val="24"/>
          <w:lang w:val="sr-Cyrl-CS"/>
        </w:rPr>
        <w:t xml:space="preserve"> хемијског лизинга и у</w:t>
      </w:r>
      <w:r w:rsidR="00087E58" w:rsidRPr="00644F20">
        <w:rPr>
          <w:rFonts w:ascii="Times New Roman" w:hAnsi="Times New Roman"/>
          <w:sz w:val="24"/>
          <w:lang w:val="sr-Cyrl-CS"/>
        </w:rPr>
        <w:t>вођења добровољних инструмената;</w:t>
      </w:r>
    </w:p>
    <w:p w14:paraId="4D8FA1C3" w14:textId="77777777" w:rsidR="0041506A" w:rsidRPr="00644F20" w:rsidRDefault="00087E58">
      <w:pPr>
        <w:numPr>
          <w:ilvl w:val="0"/>
          <w:numId w:val="17"/>
        </w:numPr>
        <w:spacing w:after="60" w:line="276" w:lineRule="auto"/>
        <w:jc w:val="both"/>
        <w:rPr>
          <w:rFonts w:ascii="Times New Roman" w:hAnsi="Times New Roman"/>
          <w:sz w:val="24"/>
          <w:lang w:val="sr-Cyrl-CS"/>
        </w:rPr>
      </w:pPr>
      <w:r w:rsidRPr="00644F20">
        <w:rPr>
          <w:rFonts w:ascii="Times New Roman" w:hAnsi="Times New Roman"/>
          <w:sz w:val="24"/>
          <w:lang w:val="sr-Cyrl-CS"/>
        </w:rPr>
        <w:t xml:space="preserve">мала </w:t>
      </w:r>
      <w:r w:rsidR="002F45E1" w:rsidRPr="00644F20">
        <w:rPr>
          <w:rFonts w:ascii="Times New Roman" w:hAnsi="Times New Roman"/>
          <w:sz w:val="24"/>
          <w:lang w:val="sr-Cyrl-CS"/>
        </w:rPr>
        <w:t xml:space="preserve">и средња предузећа у производњи која приликом пројектовања производа треба </w:t>
      </w:r>
    </w:p>
    <w:p w14:paraId="1A3DA436" w14:textId="77777777" w:rsidR="00497092" w:rsidRPr="00644F20" w:rsidRDefault="002F45E1" w:rsidP="0041506A">
      <w:pPr>
        <w:spacing w:after="60" w:line="276" w:lineRule="auto"/>
        <w:jc w:val="both"/>
        <w:rPr>
          <w:rFonts w:ascii="Times New Roman" w:hAnsi="Times New Roman"/>
          <w:sz w:val="24"/>
          <w:lang w:val="sr-Cyrl-CS"/>
        </w:rPr>
      </w:pPr>
      <w:r w:rsidRPr="00644F20">
        <w:rPr>
          <w:rFonts w:ascii="Times New Roman" w:hAnsi="Times New Roman"/>
          <w:sz w:val="24"/>
          <w:lang w:val="sr-Cyrl-CS"/>
        </w:rPr>
        <w:t>да примене захтеве еко-дизајна за производе када су ти захтеви прописани посебним техничким прописима.</w:t>
      </w:r>
    </w:p>
    <w:p w14:paraId="49D17472" w14:textId="77777777" w:rsidR="00497092" w:rsidRPr="00644F20" w:rsidRDefault="002F45E1" w:rsidP="0041506A">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Ефикасна едукација специфичних група привредних субјеката подразумева детаљну анализу и идентификацију њихових потреба за новим знањима и добро осмишљен план јачања капацитета привредних субјеката, који укључује програм обука и динамику реализације. Поред тога, планирана је израда специјализованих приручника и другог информативно – едукативног материјала, на теме које су посебно значајне за разумевање и примену концепта циркуларне економије. </w:t>
      </w:r>
    </w:p>
    <w:p w14:paraId="036D2889" w14:textId="77777777" w:rsidR="00497092" w:rsidRPr="00644F20" w:rsidRDefault="002F45E1" w:rsidP="0041506A">
      <w:pPr>
        <w:spacing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Одговорна институција за реализацију мере је министарство надлежно за послове заштите животне средине Републике Србије, а предвиђено је да се она реализује у сарадњи са министарством надлежним за послове привреде Републике Србије, П</w:t>
      </w:r>
      <w:r w:rsidR="0041506A" w:rsidRPr="00644F20">
        <w:rPr>
          <w:rFonts w:ascii="Times New Roman" w:hAnsi="Times New Roman" w:cs="Times New Roman"/>
          <w:sz w:val="24"/>
          <w:szCs w:val="24"/>
          <w:lang w:val="sr-Cyrl-CS"/>
        </w:rPr>
        <w:t>КС-ом</w:t>
      </w:r>
      <w:r w:rsidRPr="00644F20">
        <w:rPr>
          <w:rFonts w:ascii="Times New Roman" w:hAnsi="Times New Roman" w:cs="Times New Roman"/>
          <w:sz w:val="24"/>
          <w:szCs w:val="24"/>
          <w:lang w:val="sr-Cyrl-CS"/>
        </w:rPr>
        <w:t xml:space="preserve">, </w:t>
      </w:r>
      <w:r w:rsidR="0041506A" w:rsidRPr="00644F20">
        <w:rPr>
          <w:rFonts w:ascii="Times New Roman" w:hAnsi="Times New Roman" w:cs="Times New Roman"/>
          <w:sz w:val="24"/>
          <w:szCs w:val="24"/>
          <w:lang w:val="sr-Cyrl-CS"/>
        </w:rPr>
        <w:t>НАЛЕД-ом</w:t>
      </w:r>
      <w:r w:rsidRPr="00644F20">
        <w:rPr>
          <w:rFonts w:ascii="Times New Roman" w:hAnsi="Times New Roman" w:cs="Times New Roman"/>
          <w:sz w:val="24"/>
          <w:szCs w:val="24"/>
          <w:lang w:val="sr-Cyrl-CS"/>
        </w:rPr>
        <w:t xml:space="preserve"> и </w:t>
      </w:r>
      <w:r w:rsidR="0041506A" w:rsidRPr="00644F20">
        <w:rPr>
          <w:rFonts w:ascii="Times New Roman" w:hAnsi="Times New Roman" w:cs="Times New Roman"/>
          <w:sz w:val="24"/>
          <w:szCs w:val="24"/>
          <w:lang w:val="sr-Cyrl-CS"/>
        </w:rPr>
        <w:t>ОЦД-ом</w:t>
      </w:r>
      <w:r w:rsidRPr="00644F20">
        <w:rPr>
          <w:rFonts w:ascii="Times New Roman" w:hAnsi="Times New Roman" w:cs="Times New Roman"/>
          <w:sz w:val="24"/>
          <w:szCs w:val="24"/>
          <w:lang w:val="sr-Cyrl-CS"/>
        </w:rPr>
        <w:t xml:space="preserve">. Део активности предвиђених мером ће реализовати запослени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у оквиру свог редовног посла, што ће бити покривено средствима која се редовно издвајају из буџета Републике Србије. За реализацију активности које се односе на израду специјализованих приручника и организацију радионица биће обезбеђена додатна средства од међународних донатора у износу од 4.285.000 динара. Степен реализације мере биће праћен преко укупног броја израђених специјализованих приручника намењених привредним субјектима и укупног броја привредних субјеката који су учествовали на организованим радио</w:t>
      </w:r>
      <w:r w:rsidR="006B5B6B" w:rsidRPr="00644F20">
        <w:rPr>
          <w:rFonts w:ascii="Times New Roman" w:hAnsi="Times New Roman" w:cs="Times New Roman"/>
          <w:sz w:val="24"/>
          <w:szCs w:val="24"/>
          <w:lang w:val="sr-Cyrl-CS"/>
        </w:rPr>
        <w:t>ницама.</w:t>
      </w:r>
    </w:p>
    <w:p w14:paraId="0DB8D18F" w14:textId="77777777" w:rsidR="00497092" w:rsidRPr="00644F20" w:rsidRDefault="002F45E1" w:rsidP="0041506A">
      <w:pPr>
        <w:spacing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064C20DC" w14:textId="77777777" w:rsidR="00574278" w:rsidRPr="00644F20" w:rsidRDefault="00574278" w:rsidP="0041506A">
      <w:pPr>
        <w:spacing w:line="276" w:lineRule="auto"/>
        <w:ind w:firstLine="720"/>
        <w:jc w:val="both"/>
        <w:rPr>
          <w:rFonts w:ascii="Times New Roman" w:hAnsi="Times New Roman" w:cs="Times New Roman"/>
          <w:sz w:val="24"/>
          <w:szCs w:val="24"/>
          <w:lang w:val="sr-Cyrl-CS"/>
        </w:rPr>
      </w:pPr>
    </w:p>
    <w:p w14:paraId="31955D75" w14:textId="77777777" w:rsidR="00497092" w:rsidRPr="00644F20" w:rsidRDefault="002F45E1">
      <w:pPr>
        <w:spacing w:before="240" w:after="120" w:line="276" w:lineRule="auto"/>
        <w:jc w:val="both"/>
        <w:rPr>
          <w:rFonts w:ascii="Times New Roman" w:hAnsi="Times New Roman"/>
          <w:sz w:val="26"/>
          <w:szCs w:val="26"/>
          <w:lang w:val="sr-Cyrl-CS"/>
        </w:rPr>
      </w:pPr>
      <w:r w:rsidRPr="00644F20">
        <w:rPr>
          <w:rFonts w:ascii="Times New Roman" w:hAnsi="Times New Roman"/>
          <w:b/>
          <w:sz w:val="26"/>
          <w:szCs w:val="26"/>
          <w:lang w:val="sr-Cyrl-CS"/>
        </w:rPr>
        <w:lastRenderedPageBreak/>
        <w:t>Мера 1.2:</w:t>
      </w:r>
      <w:r w:rsidRPr="00644F20">
        <w:rPr>
          <w:rFonts w:ascii="Times New Roman" w:hAnsi="Times New Roman"/>
          <w:sz w:val="26"/>
          <w:szCs w:val="26"/>
          <w:lang w:val="sr-Cyrl-CS"/>
        </w:rPr>
        <w:t xml:space="preserve"> </w:t>
      </w:r>
      <w:r w:rsidRPr="00644F20">
        <w:rPr>
          <w:rFonts w:ascii="Times New Roman" w:hAnsi="Times New Roman" w:cs="Times New Roman"/>
          <w:b/>
          <w:sz w:val="26"/>
          <w:szCs w:val="26"/>
          <w:lang w:val="sr-Cyrl-CS"/>
        </w:rPr>
        <w:t xml:space="preserve">Подршка привредним субјектима у проналажењу подстицаја и финансијских инструмената </w:t>
      </w:r>
    </w:p>
    <w:p w14:paraId="4A2F1A8F" w14:textId="77777777" w:rsidR="00497092" w:rsidRPr="00644F20" w:rsidRDefault="0041506A">
      <w:pPr>
        <w:tabs>
          <w:tab w:val="left" w:pos="990"/>
        </w:tabs>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Прелазак на циркуларну економију подразумева одређене трошкове, што је главна препрека привредним субјектима да модернизују своју производњу и да улажу у иновације. Повећање улагања привредних субјеката у примену модела циркуларне економије може се остварити кроз одговарајуће програме за доделу бесповратних средстава или коришћење повољних кредита и благовремено и адекватно информисање предузећа о програмима/изворима финансирања који су им доступни.</w:t>
      </w:r>
    </w:p>
    <w:p w14:paraId="0C1ABD9D" w14:textId="77777777" w:rsidR="00497092" w:rsidRPr="00644F20" w:rsidRDefault="0041506A">
      <w:pPr>
        <w:tabs>
          <w:tab w:val="left" w:pos="990"/>
        </w:tabs>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Постојећи нивои улагања су још увек недовољни како би се транзиција ка циркуларној економији развијала на свеобухватној основи. Економски и фискални подстицаји су у претходном периоду доминантно били усмерени ка превазилажењу негативних последица кризе изазване пандемијом вируса COVID-19. Такви подстицаји су у ствари представљали подстицај линеарном економском систему, а не инвестирање у трансформацију српске привреде ка одрживој економији. Због тога је неопходно спровести анализу фискалне политике и административних процедура у циљу дефинисања предлога механизама подстицаја за привредне субјекте за брже и једноставније увођење и примену принципа циркуларне економије у пословању.</w:t>
      </w:r>
    </w:p>
    <w:p w14:paraId="78E8E575" w14:textId="77777777" w:rsidR="00497092" w:rsidRPr="00644F20" w:rsidRDefault="0041506A">
      <w:pPr>
        <w:tabs>
          <w:tab w:val="left" w:pos="990"/>
        </w:tabs>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Такође, неопходно је прилагодити критеријуме за доделу средстава кроз јавне позиве (грантове) у оквиру доступних програма/фондова тако да подрже примену принципа циркуларне економије. Истовремено, у циљу боље апсорпције доступних финансијских средстава, потребно је обезбедити подршку привредним субјектима у припреми и подношењу пријава на јавне позиве у складу са дефинисаним процедурама јавних позива.</w:t>
      </w:r>
    </w:p>
    <w:p w14:paraId="19B7A6E7" w14:textId="77777777" w:rsidR="00497092" w:rsidRPr="00644F20" w:rsidRDefault="0041506A">
      <w:pPr>
        <w:tabs>
          <w:tab w:val="left" w:pos="990"/>
        </w:tabs>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 xml:space="preserve">Повезивање владиних институција и пословних банака кроз консултативне активности у циљу проналажења лакшег приступа средствима за финансирање пројеката предузећа у области циркуларне економије (кредита, субвенција и сл) је веома важно. Да би улога банака у том смеру била подстицајна, неопходно је да банке развију и уграде у своје пословање опште схватање значаја и начина функционисања циркуларне економије. Банке би требало да направе и издају широко прихваћене и препознате водиче за финансирање пројеката из области циркуларне економије. Неопходно је и да банке прилагоде постојеће финансијске моделе или развију потпуно нове за пројекте у области циркуларне економије. То значи да је у постојеће или нове финансијске моделе потребно укључити друштвене користи и трошкове који се односе на животну средину. </w:t>
      </w:r>
    </w:p>
    <w:p w14:paraId="358AA6E3" w14:textId="77777777" w:rsidR="00497092" w:rsidRPr="00644F20" w:rsidRDefault="0041506A">
      <w:pPr>
        <w:tabs>
          <w:tab w:val="left" w:pos="990"/>
        </w:tabs>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 xml:space="preserve">Тренутно у Републици Србији банке које нуде ,,зелене кредите” у ствари финансирају у највећој мери пројекте из области енергетске ефикасности, али не и оне из области циркуларне економије. Због тога је важно увођење нових кредитних линија малим, средњим и великим предузећима које ће пратити циркуларне пословне активности. Пословне банке би такође требало да раде на усавршавању својих кадрова који би ефективно могли да процене ризике и рањивост циркуларних пројеката. </w:t>
      </w:r>
    </w:p>
    <w:p w14:paraId="23312A6F" w14:textId="77777777" w:rsidR="00497092" w:rsidRPr="00644F20" w:rsidRDefault="002F45E1" w:rsidP="0041506A">
      <w:pPr>
        <w:spacing w:after="60" w:line="276" w:lineRule="auto"/>
        <w:ind w:firstLine="720"/>
        <w:jc w:val="both"/>
        <w:rPr>
          <w:lang w:val="sr-Cyrl-CS"/>
        </w:rPr>
      </w:pPr>
      <w:r w:rsidRPr="00644F20">
        <w:rPr>
          <w:rFonts w:ascii="Times New Roman" w:hAnsi="Times New Roman" w:cs="Times New Roman"/>
          <w:sz w:val="24"/>
          <w:szCs w:val="24"/>
          <w:lang w:val="sr-Cyrl-CS"/>
        </w:rPr>
        <w:t>Пружање помоћи привредним субјектима да обезбеде повољна финансијска средства за увођење принципа циркуларне економије утицаће на њихову конкурентност на домаћем и иностраном тржишту, а такође и на квалитет медијума животне средине, смањење климатских промена и последично на здравље и опште благостање грађана.</w:t>
      </w:r>
    </w:p>
    <w:p w14:paraId="3035A13E" w14:textId="77777777" w:rsidR="00497092" w:rsidRPr="00644F20" w:rsidRDefault="002F45E1" w:rsidP="0041506A">
      <w:pPr>
        <w:spacing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 xml:space="preserve">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предвиђено је да се она реализује у сарадњи са М</w:t>
      </w:r>
      <w:r w:rsidR="0041506A" w:rsidRPr="00644F20">
        <w:rPr>
          <w:rFonts w:ascii="Times New Roman" w:hAnsi="Times New Roman" w:cs="Times New Roman"/>
          <w:sz w:val="24"/>
          <w:szCs w:val="24"/>
          <w:lang w:val="sr-Cyrl-CS"/>
        </w:rPr>
        <w:t xml:space="preserve">П </w:t>
      </w:r>
      <w:r w:rsidRPr="00644F20">
        <w:rPr>
          <w:rFonts w:ascii="Times New Roman" w:hAnsi="Times New Roman" w:cs="Times New Roman"/>
          <w:sz w:val="24"/>
          <w:szCs w:val="24"/>
          <w:lang w:val="sr-Cyrl-CS"/>
        </w:rPr>
        <w:t xml:space="preserve"> и М</w:t>
      </w:r>
      <w:r w:rsidR="0041506A" w:rsidRPr="00644F20">
        <w:rPr>
          <w:rFonts w:ascii="Times New Roman" w:hAnsi="Times New Roman" w:cs="Times New Roman"/>
          <w:sz w:val="24"/>
          <w:szCs w:val="24"/>
          <w:lang w:val="sr-Cyrl-CS"/>
        </w:rPr>
        <w:t>Ф</w:t>
      </w:r>
      <w:r w:rsidRPr="00644F20">
        <w:rPr>
          <w:rFonts w:ascii="Times New Roman" w:hAnsi="Times New Roman" w:cs="Times New Roman"/>
          <w:sz w:val="24"/>
          <w:szCs w:val="24"/>
          <w:lang w:val="sr-Cyrl-CS"/>
        </w:rPr>
        <w:t>,</w:t>
      </w:r>
      <w:r w:rsidR="0041506A" w:rsidRPr="00644F20">
        <w:rPr>
          <w:rFonts w:ascii="Times New Roman" w:hAnsi="Times New Roman" w:cs="Times New Roman"/>
          <w:sz w:val="24"/>
          <w:szCs w:val="24"/>
          <w:lang w:val="sr-Cyrl-CS"/>
        </w:rPr>
        <w:t xml:space="preserve"> ПКС, </w:t>
      </w:r>
      <w:r w:rsidRPr="00644F20">
        <w:rPr>
          <w:rFonts w:ascii="Times New Roman" w:hAnsi="Times New Roman" w:cs="Times New Roman"/>
          <w:sz w:val="24"/>
          <w:szCs w:val="24"/>
          <w:lang w:val="sr-Cyrl-CS"/>
        </w:rPr>
        <w:t xml:space="preserve">Удружењем банака Србије, </w:t>
      </w:r>
      <w:r w:rsidR="0041506A" w:rsidRPr="00644F20">
        <w:rPr>
          <w:rFonts w:ascii="Times New Roman" w:hAnsi="Times New Roman" w:cs="Times New Roman"/>
          <w:sz w:val="24"/>
          <w:szCs w:val="24"/>
          <w:lang w:val="sr-Cyrl-CS"/>
        </w:rPr>
        <w:t>НАЛЕД-ом</w:t>
      </w:r>
      <w:r w:rsidRPr="00644F20">
        <w:rPr>
          <w:rFonts w:ascii="Times New Roman" w:hAnsi="Times New Roman" w:cs="Times New Roman"/>
          <w:sz w:val="24"/>
          <w:szCs w:val="24"/>
          <w:lang w:val="sr-Cyrl-CS"/>
        </w:rPr>
        <w:t xml:space="preserve"> и привредним субјектима. Део активности предвиђених мером ће реализовати запослени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у оквиру свог редовног посла, што ће бити покривено средствима која се редовно издвајају из буџета Републике Србије. За реализацију активности које се односе на прилагођавање критеријума за доделу средстава и израду анализе фискалне политике и административних процедура биће обезбеђена додатна средства од међународних донатора у износу од 1.500.000 динара. Степен реализације мере биће праћен преко укупног броја пословних банака које су биле укључене у консултативне активности, укупног броја континуирано доступних програма/фондова који подржавају увођење принципа циркуларне економије и израђеном анализом фискалне политике и предлога механизама подстицаја за увођење циркуларне економије. </w:t>
      </w:r>
    </w:p>
    <w:p w14:paraId="147794DA" w14:textId="77777777" w:rsidR="00497092" w:rsidRPr="00644F20" w:rsidRDefault="002F45E1" w:rsidP="0041506A">
      <w:pPr>
        <w:spacing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подстицајног типа.</w:t>
      </w:r>
    </w:p>
    <w:p w14:paraId="4A96340E" w14:textId="77777777" w:rsidR="00497092" w:rsidRPr="00644F20" w:rsidRDefault="002F45E1">
      <w:pPr>
        <w:spacing w:before="240" w:after="120" w:line="276" w:lineRule="auto"/>
        <w:jc w:val="both"/>
        <w:rPr>
          <w:rFonts w:ascii="Times New Roman" w:hAnsi="Times New Roman" w:cs="Times New Roman"/>
          <w:b/>
          <w:sz w:val="26"/>
          <w:szCs w:val="26"/>
          <w:lang w:val="sr-Cyrl-CS"/>
        </w:rPr>
      </w:pPr>
      <w:r w:rsidRPr="00644F20">
        <w:rPr>
          <w:rFonts w:ascii="Times New Roman" w:hAnsi="Times New Roman"/>
          <w:b/>
          <w:sz w:val="26"/>
          <w:szCs w:val="26"/>
          <w:lang w:val="sr-Cyrl-CS"/>
        </w:rPr>
        <w:t xml:space="preserve">Мера 1.3: </w:t>
      </w:r>
      <w:r w:rsidRPr="00644F20">
        <w:rPr>
          <w:rFonts w:ascii="Times New Roman" w:hAnsi="Times New Roman" w:cs="Times New Roman"/>
          <w:b/>
          <w:sz w:val="26"/>
          <w:szCs w:val="26"/>
          <w:lang w:val="sr-Cyrl-CS"/>
        </w:rPr>
        <w:t>Анализа потенцијала за примену модела циркуларне економије у одређеним областима прерађивачке индустрије и подршка одабраним привредним субјектима</w:t>
      </w:r>
    </w:p>
    <w:p w14:paraId="7F57D426" w14:textId="77777777" w:rsidR="00497092" w:rsidRPr="00644F20" w:rsidRDefault="002F45E1" w:rsidP="0041506A">
      <w:pPr>
        <w:spacing w:after="0" w:line="276" w:lineRule="auto"/>
        <w:ind w:firstLine="357"/>
        <w:jc w:val="both"/>
        <w:rPr>
          <w:rFonts w:ascii="Times New Roman" w:hAnsi="Times New Roman"/>
          <w:sz w:val="24"/>
          <w:lang w:val="sr-Cyrl-CS"/>
        </w:rPr>
      </w:pPr>
      <w:r w:rsidRPr="00644F20">
        <w:rPr>
          <w:rFonts w:ascii="Times New Roman" w:hAnsi="Times New Roman"/>
          <w:sz w:val="24"/>
          <w:lang w:val="sr-Cyrl-CS"/>
        </w:rPr>
        <w:t>M</w:t>
      </w:r>
      <w:r w:rsidRPr="00644F20">
        <w:rPr>
          <w:rFonts w:ascii="Times New Roman" w:eastAsia="Calibri" w:hAnsi="Times New Roman" w:cs="Times New Roman"/>
          <w:sz w:val="24"/>
          <w:szCs w:val="24"/>
          <w:lang w:val="sr-Cyrl-CS"/>
        </w:rPr>
        <w:t>ера подразумева одабир</w:t>
      </w:r>
      <w:r w:rsidRPr="00644F20">
        <w:rPr>
          <w:rFonts w:ascii="Times New Roman" w:hAnsi="Times New Roman"/>
          <w:sz w:val="24"/>
          <w:lang w:val="sr-Cyrl-CS"/>
        </w:rPr>
        <w:t xml:space="preserve"> и детаљну анализу најмање две различите области прерађивачке индустрије како би се сагледали </w:t>
      </w:r>
      <w:r w:rsidRPr="00644F20">
        <w:rPr>
          <w:rFonts w:ascii="Times New Roman" w:hAnsi="Times New Roman" w:cs="Times New Roman"/>
          <w:sz w:val="24"/>
          <w:szCs w:val="24"/>
          <w:lang w:val="sr-Cyrl-CS"/>
        </w:rPr>
        <w:t xml:space="preserve">потенцијали и неопходне инвестиције за прелазак на </w:t>
      </w:r>
      <w:r w:rsidRPr="00644F20">
        <w:rPr>
          <w:rFonts w:ascii="Times New Roman" w:hAnsi="Times New Roman"/>
          <w:sz w:val="24"/>
          <w:lang w:val="sr-Cyrl-CS"/>
        </w:rPr>
        <w:t xml:space="preserve">циркуларну економију. Основу анализе треба да представљају процеси и активности које спроводе привредни субјекти, а које се најчешће доводе у везу са циљевима циркуларне економије, као што су: </w:t>
      </w:r>
    </w:p>
    <w:p w14:paraId="6772B88D" w14:textId="77777777" w:rsidR="00497092" w:rsidRPr="00644F20" w:rsidRDefault="002F45E1" w:rsidP="0041506A">
      <w:pPr>
        <w:pStyle w:val="ListParagraph"/>
        <w:numPr>
          <w:ilvl w:val="0"/>
          <w:numId w:val="18"/>
        </w:numPr>
        <w:spacing w:after="0"/>
        <w:jc w:val="both"/>
        <w:rPr>
          <w:rFonts w:ascii="Times New Roman" w:hAnsi="Times New Roman"/>
          <w:sz w:val="24"/>
          <w:lang w:val="sr-Cyrl-CS"/>
        </w:rPr>
      </w:pPr>
      <w:r w:rsidRPr="00644F20">
        <w:rPr>
          <w:rFonts w:ascii="Times New Roman" w:hAnsi="Times New Roman"/>
          <w:sz w:val="24"/>
          <w:lang w:val="sr-Cyrl-CS"/>
        </w:rPr>
        <w:t>повећање енергетске ефикасности на нивоу постројења или појединих његових делова</w:t>
      </w:r>
    </w:p>
    <w:p w14:paraId="371EF814" w14:textId="77777777" w:rsidR="0041506A" w:rsidRPr="00644F20" w:rsidRDefault="002F45E1" w:rsidP="0041506A">
      <w:pPr>
        <w:numPr>
          <w:ilvl w:val="0"/>
          <w:numId w:val="18"/>
        </w:numPr>
        <w:spacing w:after="0" w:line="276" w:lineRule="auto"/>
        <w:ind w:left="714" w:hanging="357"/>
        <w:jc w:val="both"/>
        <w:rPr>
          <w:rFonts w:ascii="Times New Roman" w:hAnsi="Times New Roman"/>
          <w:sz w:val="24"/>
          <w:lang w:val="sr-Cyrl-CS"/>
        </w:rPr>
      </w:pPr>
      <w:r w:rsidRPr="00644F20">
        <w:rPr>
          <w:rFonts w:ascii="Times New Roman" w:hAnsi="Times New Roman"/>
          <w:sz w:val="24"/>
          <w:lang w:val="sr-Cyrl-CS"/>
        </w:rPr>
        <w:t xml:space="preserve">смањење коришћења природних ресурса као резултат примене најбољих доступних </w:t>
      </w:r>
    </w:p>
    <w:p w14:paraId="3A1FDE99" w14:textId="77777777" w:rsidR="00497092" w:rsidRPr="00644F20" w:rsidRDefault="002F45E1" w:rsidP="0041506A">
      <w:pPr>
        <w:spacing w:after="0" w:line="276" w:lineRule="auto"/>
        <w:jc w:val="both"/>
        <w:rPr>
          <w:rFonts w:ascii="Times New Roman" w:hAnsi="Times New Roman"/>
          <w:sz w:val="24"/>
          <w:lang w:val="sr-Cyrl-CS"/>
        </w:rPr>
      </w:pPr>
      <w:r w:rsidRPr="00644F20">
        <w:rPr>
          <w:rFonts w:ascii="Times New Roman" w:hAnsi="Times New Roman"/>
          <w:sz w:val="24"/>
          <w:lang w:val="sr-Cyrl-CS"/>
        </w:rPr>
        <w:t xml:space="preserve">техника; </w:t>
      </w:r>
    </w:p>
    <w:p w14:paraId="73AB6A6C" w14:textId="77777777" w:rsidR="00497092" w:rsidRPr="00644F20" w:rsidRDefault="002F45E1" w:rsidP="0041506A">
      <w:pPr>
        <w:numPr>
          <w:ilvl w:val="0"/>
          <w:numId w:val="18"/>
        </w:numPr>
        <w:spacing w:after="0" w:line="276" w:lineRule="auto"/>
        <w:ind w:left="714" w:hanging="357"/>
        <w:jc w:val="both"/>
        <w:rPr>
          <w:rFonts w:ascii="Times New Roman" w:hAnsi="Times New Roman"/>
          <w:sz w:val="24"/>
          <w:lang w:val="sr-Cyrl-CS"/>
        </w:rPr>
      </w:pPr>
      <w:r w:rsidRPr="00644F20">
        <w:rPr>
          <w:rFonts w:ascii="Times New Roman" w:hAnsi="Times New Roman"/>
          <w:sz w:val="24"/>
          <w:lang w:val="sr-Cyrl-CS"/>
        </w:rPr>
        <w:t>смањење стварања отпада;</w:t>
      </w:r>
    </w:p>
    <w:p w14:paraId="121E9F15" w14:textId="77777777" w:rsidR="00497092" w:rsidRPr="00644F20" w:rsidRDefault="002F45E1" w:rsidP="0041506A">
      <w:pPr>
        <w:numPr>
          <w:ilvl w:val="0"/>
          <w:numId w:val="18"/>
        </w:numPr>
        <w:spacing w:after="0" w:line="276" w:lineRule="auto"/>
        <w:ind w:left="714" w:hanging="357"/>
        <w:jc w:val="both"/>
        <w:rPr>
          <w:rFonts w:ascii="Times New Roman" w:hAnsi="Times New Roman"/>
          <w:sz w:val="24"/>
          <w:lang w:val="sr-Cyrl-CS"/>
        </w:rPr>
      </w:pPr>
      <w:r w:rsidRPr="00644F20">
        <w:rPr>
          <w:rFonts w:ascii="Times New Roman" w:hAnsi="Times New Roman"/>
          <w:sz w:val="24"/>
          <w:lang w:val="sr-Cyrl-CS"/>
        </w:rPr>
        <w:t>смaњење загађења ваздуха, воде и земљишта;</w:t>
      </w:r>
    </w:p>
    <w:p w14:paraId="3BC9A732" w14:textId="77777777" w:rsidR="00497092" w:rsidRPr="00644F20" w:rsidRDefault="002F45E1" w:rsidP="0041506A">
      <w:pPr>
        <w:numPr>
          <w:ilvl w:val="0"/>
          <w:numId w:val="18"/>
        </w:numPr>
        <w:spacing w:after="0" w:line="276" w:lineRule="auto"/>
        <w:ind w:left="714" w:hanging="357"/>
        <w:jc w:val="both"/>
        <w:rPr>
          <w:rFonts w:ascii="Times New Roman" w:hAnsi="Times New Roman"/>
          <w:sz w:val="24"/>
          <w:lang w:val="sr-Cyrl-CS"/>
        </w:rPr>
      </w:pPr>
      <w:r w:rsidRPr="00644F20">
        <w:rPr>
          <w:rFonts w:ascii="Times New Roman" w:hAnsi="Times New Roman"/>
          <w:sz w:val="24"/>
          <w:lang w:val="sr-Cyrl-CS"/>
        </w:rPr>
        <w:t xml:space="preserve">коришћење обновљивих извора енергије и материјала; </w:t>
      </w:r>
    </w:p>
    <w:p w14:paraId="421FF657" w14:textId="77777777" w:rsidR="00497092" w:rsidRPr="00644F20" w:rsidRDefault="002F45E1" w:rsidP="0041506A">
      <w:pPr>
        <w:numPr>
          <w:ilvl w:val="0"/>
          <w:numId w:val="18"/>
        </w:numPr>
        <w:spacing w:after="0" w:line="276" w:lineRule="auto"/>
        <w:ind w:left="714" w:hanging="357"/>
        <w:jc w:val="both"/>
        <w:rPr>
          <w:rFonts w:ascii="Times New Roman" w:hAnsi="Times New Roman"/>
          <w:sz w:val="24"/>
          <w:lang w:val="sr-Cyrl-CS"/>
        </w:rPr>
      </w:pPr>
      <w:r w:rsidRPr="00644F20">
        <w:rPr>
          <w:rFonts w:ascii="Times New Roman" w:hAnsi="Times New Roman"/>
          <w:sz w:val="24"/>
          <w:lang w:val="sr-Cyrl-CS"/>
        </w:rPr>
        <w:t>примена нових технологија и замена сировина мање штетним и обновљивим;</w:t>
      </w:r>
    </w:p>
    <w:p w14:paraId="5F3A44E4" w14:textId="77777777" w:rsidR="00497092" w:rsidRPr="00644F20" w:rsidRDefault="002F45E1">
      <w:pPr>
        <w:numPr>
          <w:ilvl w:val="0"/>
          <w:numId w:val="18"/>
        </w:numPr>
        <w:spacing w:after="60" w:line="276" w:lineRule="auto"/>
        <w:ind w:left="714" w:hanging="357"/>
        <w:jc w:val="both"/>
        <w:rPr>
          <w:rFonts w:ascii="Times New Roman" w:hAnsi="Times New Roman"/>
          <w:sz w:val="24"/>
          <w:lang w:val="sr-Cyrl-CS"/>
        </w:rPr>
      </w:pPr>
      <w:r w:rsidRPr="00644F20">
        <w:rPr>
          <w:rFonts w:ascii="Times New Roman" w:hAnsi="Times New Roman"/>
          <w:sz w:val="24"/>
          <w:lang w:val="sr-Cyrl-CS"/>
        </w:rPr>
        <w:t xml:space="preserve">продужавање животног века производа кроз пројектовање и одржавање; </w:t>
      </w:r>
    </w:p>
    <w:p w14:paraId="5971BE23" w14:textId="77777777" w:rsidR="00497092" w:rsidRPr="00644F20" w:rsidRDefault="002F45E1">
      <w:pPr>
        <w:numPr>
          <w:ilvl w:val="0"/>
          <w:numId w:val="18"/>
        </w:numPr>
        <w:spacing w:after="60" w:line="276" w:lineRule="auto"/>
        <w:ind w:left="714" w:hanging="357"/>
        <w:jc w:val="both"/>
        <w:rPr>
          <w:rFonts w:ascii="Times New Roman" w:hAnsi="Times New Roman"/>
          <w:sz w:val="24"/>
          <w:lang w:val="sr-Cyrl-CS"/>
        </w:rPr>
      </w:pPr>
      <w:r w:rsidRPr="00644F20">
        <w:rPr>
          <w:rFonts w:ascii="Times New Roman" w:hAnsi="Times New Roman"/>
          <w:sz w:val="24"/>
          <w:lang w:val="sr-Cyrl-CS"/>
        </w:rPr>
        <w:t xml:space="preserve">поновна прерада и рециклажа одређених компоненти и материјала; </w:t>
      </w:r>
    </w:p>
    <w:p w14:paraId="7B982059" w14:textId="77777777" w:rsidR="00497092" w:rsidRPr="00644F20" w:rsidRDefault="002F45E1">
      <w:pPr>
        <w:numPr>
          <w:ilvl w:val="0"/>
          <w:numId w:val="18"/>
        </w:numPr>
        <w:spacing w:after="60" w:line="276" w:lineRule="auto"/>
        <w:ind w:left="714" w:hanging="357"/>
        <w:jc w:val="both"/>
        <w:rPr>
          <w:rFonts w:ascii="Times New Roman" w:hAnsi="Times New Roman"/>
          <w:sz w:val="24"/>
          <w:lang w:val="sr-Cyrl-CS"/>
        </w:rPr>
      </w:pPr>
      <w:r w:rsidRPr="00644F20">
        <w:rPr>
          <w:rFonts w:ascii="Times New Roman" w:hAnsi="Times New Roman"/>
          <w:sz w:val="24"/>
          <w:lang w:val="sr-Cyrl-CS"/>
        </w:rPr>
        <w:t xml:space="preserve">истраживачки пројекти и иновације; </w:t>
      </w:r>
    </w:p>
    <w:p w14:paraId="161DFC28" w14:textId="77777777" w:rsidR="00497092" w:rsidRPr="00644F20" w:rsidRDefault="002F45E1">
      <w:pPr>
        <w:numPr>
          <w:ilvl w:val="0"/>
          <w:numId w:val="18"/>
        </w:numPr>
        <w:spacing w:after="60" w:line="276" w:lineRule="auto"/>
        <w:ind w:left="714" w:hanging="357"/>
        <w:jc w:val="both"/>
        <w:rPr>
          <w:rFonts w:ascii="Times New Roman" w:hAnsi="Times New Roman"/>
          <w:sz w:val="24"/>
          <w:lang w:val="sr-Cyrl-CS"/>
        </w:rPr>
      </w:pPr>
      <w:r w:rsidRPr="00644F20">
        <w:rPr>
          <w:rFonts w:ascii="Times New Roman" w:hAnsi="Times New Roman"/>
          <w:sz w:val="24"/>
          <w:lang w:val="sr-Cyrl-CS"/>
        </w:rPr>
        <w:t>дигитализација.</w:t>
      </w:r>
    </w:p>
    <w:p w14:paraId="175F4DE5" w14:textId="77777777" w:rsidR="00497092" w:rsidRPr="00644F20" w:rsidRDefault="0041506A">
      <w:pPr>
        <w:tabs>
          <w:tab w:val="left" w:pos="990"/>
        </w:tabs>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Анализа појединих области треба да укаже на потенцијале у увођењу циркуларне економије  и послужи као основ за покретање интензивније и обимније сарадње међу привредницима различитих сектора индустрије, као и између научноистраживачких организација и образовних институција са привредом.</w:t>
      </w:r>
    </w:p>
    <w:p w14:paraId="3E3C08FB" w14:textId="77777777" w:rsidR="00497092" w:rsidRPr="00644F20" w:rsidRDefault="0041506A">
      <w:pPr>
        <w:tabs>
          <w:tab w:val="left" w:pos="990"/>
        </w:tabs>
        <w:spacing w:after="6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Планирано је да се за сваку од анализираних области прерађивачке индустрије одаберу представници - привредни субјекти, за које ће бити израђен пословни акциони план за прелазак на циркуларну економију на основу детаљне процене актуелног стања, као и анализе поте</w:t>
      </w:r>
      <w:r w:rsidR="006E7971">
        <w:rPr>
          <w:rFonts w:ascii="Times New Roman" w:hAnsi="Times New Roman" w:cs="Times New Roman"/>
          <w:sz w:val="24"/>
          <w:szCs w:val="24"/>
          <w:lang w:val="sr-Cyrl-CS"/>
        </w:rPr>
        <w:t>н</w:t>
      </w:r>
      <w:r w:rsidR="002F45E1" w:rsidRPr="00644F20">
        <w:rPr>
          <w:rFonts w:ascii="Times New Roman" w:hAnsi="Times New Roman" w:cs="Times New Roman"/>
          <w:sz w:val="24"/>
          <w:szCs w:val="24"/>
          <w:lang w:val="sr-Cyrl-CS"/>
        </w:rPr>
        <w:t xml:space="preserve">цијала за примену модела циркуларне економије. За анализу је потребно користити савремене алате, као што су индикатори циркуларности, анализа животног циклуса, и др.  </w:t>
      </w:r>
      <w:r w:rsidR="002F45E1" w:rsidRPr="00644F20">
        <w:rPr>
          <w:rFonts w:ascii="Times New Roman" w:hAnsi="Times New Roman"/>
          <w:sz w:val="24"/>
          <w:lang w:val="sr-Cyrl-CS"/>
        </w:rPr>
        <w:t xml:space="preserve">  </w:t>
      </w:r>
    </w:p>
    <w:p w14:paraId="20316744" w14:textId="77777777" w:rsidR="00497092" w:rsidRPr="00644F20" w:rsidRDefault="002F45E1" w:rsidP="0041506A">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Осим повећања конкурентности привредних субјеката на домаћем и иностраном тржишту, имплеме</w:t>
      </w:r>
      <w:r w:rsidR="006E7971">
        <w:rPr>
          <w:rFonts w:ascii="Times New Roman" w:hAnsi="Times New Roman" w:cs="Times New Roman"/>
          <w:sz w:val="24"/>
          <w:szCs w:val="24"/>
          <w:lang w:val="sr-Cyrl-CS"/>
        </w:rPr>
        <w:t>н</w:t>
      </w:r>
      <w:r w:rsidRPr="00644F20">
        <w:rPr>
          <w:rFonts w:ascii="Times New Roman" w:hAnsi="Times New Roman" w:cs="Times New Roman"/>
          <w:sz w:val="24"/>
          <w:szCs w:val="24"/>
          <w:lang w:val="sr-Cyrl-CS"/>
        </w:rPr>
        <w:t>тација пословних акционих планова за прелазак на циркуларну економију допринеће ефикаснијем коришћењу ресурса, смањењу загађења, побољшању услова рада у одабраним компанијама, као и запошљавању додатних кадрова. Успешно имплементирани пословни акциони планови могу да послуже као студије случаја и пример добре праксе за остале компаније у обухваћеним областима производне индустрије.</w:t>
      </w:r>
    </w:p>
    <w:p w14:paraId="22536CA1" w14:textId="77777777" w:rsidR="00497092" w:rsidRPr="00644F20" w:rsidRDefault="002F45E1" w:rsidP="0041506A">
      <w:pPr>
        <w:spacing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Финансијска средства за реализацију мере у износу од 10.000.000 динара биће обезбеђена из међународне донаторске помоћи.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а предвиђено је да се она реализује у сарадњи са </w:t>
      </w:r>
      <w:r w:rsidR="0041506A" w:rsidRPr="00644F20">
        <w:rPr>
          <w:rFonts w:ascii="Times New Roman" w:hAnsi="Times New Roman" w:cs="Times New Roman"/>
          <w:sz w:val="24"/>
          <w:szCs w:val="24"/>
          <w:lang w:val="sr-Cyrl-CS"/>
        </w:rPr>
        <w:t>МП и ПКС</w:t>
      </w:r>
      <w:r w:rsidRPr="00644F20">
        <w:rPr>
          <w:rFonts w:ascii="Times New Roman" w:hAnsi="Times New Roman" w:cs="Times New Roman"/>
          <w:sz w:val="24"/>
          <w:szCs w:val="24"/>
          <w:lang w:val="sr-Cyrl-CS"/>
        </w:rPr>
        <w:t xml:space="preserve">. Степен реализације мере биће праћен преко укупног броја области прерађивачке индустрије обухваћених анализом потенцијала за примену циркуларне економије и укупног броја привредних субјеката који имају израђене пословне акционе планове за прелазак на циркуларну економију. </w:t>
      </w:r>
    </w:p>
    <w:p w14:paraId="757B168E" w14:textId="77777777" w:rsidR="00497092" w:rsidRPr="00644F20" w:rsidRDefault="002F45E1" w:rsidP="005E21F7">
      <w:pPr>
        <w:spacing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0E1D3D06" w14:textId="77777777" w:rsidR="00497092" w:rsidRPr="00644F20" w:rsidRDefault="002F45E1">
      <w:pPr>
        <w:tabs>
          <w:tab w:val="left" w:pos="990"/>
        </w:tabs>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 xml:space="preserve">Мера 1.4: </w:t>
      </w:r>
      <w:r w:rsidRPr="00644F20">
        <w:rPr>
          <w:rFonts w:ascii="Times New Roman" w:hAnsi="Times New Roman" w:cs="Times New Roman"/>
          <w:b/>
          <w:sz w:val="26"/>
          <w:szCs w:val="26"/>
          <w:lang w:val="sr-Cyrl-CS"/>
        </w:rPr>
        <w:t>Подстицање сарадње између научноистраживачких организација и привредних субјеката у области иновација и оптимизације производње</w:t>
      </w:r>
    </w:p>
    <w:p w14:paraId="12BAD757"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Имајући у виду да је прелазак на модел циркуларне економије уско повезан са развојем и применом иновативних решења у производњи и пословању и захтева значајне истраживачке и развојне активности, неопходно је подстаћи сарадњу између привредних субјеката и научноистраживачких организација у остварењу тог циља. </w:t>
      </w:r>
    </w:p>
    <w:p w14:paraId="24E3D503"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Сходно томе, мером је предвиђено успостављање програма за доделу финансијских средстава за увођење иновативних и других техничких решења у предузећима, у циљу преласка на модел циркуларне економије. Програми финансирања треба да се остваре кроз специјализоване јавне позиве који ће подржавати сарадњу привредн</w:t>
      </w:r>
      <w:r w:rsidR="006E7971">
        <w:rPr>
          <w:rFonts w:ascii="Times New Roman" w:hAnsi="Times New Roman" w:cs="Times New Roman"/>
          <w:sz w:val="24"/>
          <w:szCs w:val="24"/>
          <w:lang w:val="sr-Cyrl-CS"/>
        </w:rPr>
        <w:t>и</w:t>
      </w:r>
      <w:r w:rsidRPr="00644F20">
        <w:rPr>
          <w:rFonts w:ascii="Times New Roman" w:hAnsi="Times New Roman" w:cs="Times New Roman"/>
          <w:sz w:val="24"/>
          <w:szCs w:val="24"/>
          <w:lang w:val="sr-Cyrl-CS"/>
        </w:rPr>
        <w:t xml:space="preserve">х субјеката и научноистраживачких организација на приоритетним темама за развој националне привреде, као што су нпр. развој паметне амбалаже, развој нових адитива (пуниоца, пигмената), дигитализација процеса и др. </w:t>
      </w:r>
    </w:p>
    <w:p w14:paraId="536F949A"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w:t>
      </w:r>
      <w:r w:rsidR="00BE4F0A" w:rsidRPr="00644F20">
        <w:rPr>
          <w:rFonts w:ascii="Times New Roman" w:hAnsi="Times New Roman" w:cs="Times New Roman"/>
          <w:sz w:val="24"/>
          <w:szCs w:val="24"/>
          <w:lang w:val="sr-Cyrl-CS"/>
        </w:rPr>
        <w:t>напређење сарадње између научно</w:t>
      </w:r>
      <w:r w:rsidRPr="00644F20">
        <w:rPr>
          <w:rFonts w:ascii="Times New Roman" w:hAnsi="Times New Roman" w:cs="Times New Roman"/>
          <w:sz w:val="24"/>
          <w:szCs w:val="24"/>
          <w:lang w:val="sr-Cyrl-CS"/>
        </w:rPr>
        <w:t xml:space="preserve">истраживачких организација и привреде и повећање иновативних перформанси утиче на све секторе привреде и представља мотор економског раста и основу одрживог привредног развоја. </w:t>
      </w:r>
    </w:p>
    <w:p w14:paraId="7AA4C0D7" w14:textId="77777777" w:rsidR="00497092" w:rsidRPr="00644F20" w:rsidRDefault="002F45E1" w:rsidP="005E21F7">
      <w:pPr>
        <w:spacing w:after="24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Финансијска средства за реализацију мере биће обезбеђена из буџета Републике Србије, са пројекта „Смањење угљеничног отиска локалних заједница применом при</w:t>
      </w:r>
      <w:r w:rsidR="00574278" w:rsidRPr="00644F20">
        <w:rPr>
          <w:rFonts w:ascii="Times New Roman" w:hAnsi="Times New Roman" w:cs="Times New Roman"/>
          <w:sz w:val="24"/>
          <w:szCs w:val="24"/>
          <w:lang w:val="sr-Cyrl-CS"/>
        </w:rPr>
        <w:t>нципа циркуларне економије у Републици Србији</w:t>
      </w:r>
      <w:r w:rsidR="005E21F7"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у износу од 10.800.000 динара и од ГЕФ</w:t>
      </w:r>
      <w:r w:rsidR="00574278" w:rsidRPr="00644F20">
        <w:rPr>
          <w:rFonts w:ascii="Times New Roman" w:hAnsi="Times New Roman" w:cs="Times New Roman"/>
          <w:sz w:val="24"/>
          <w:szCs w:val="24"/>
          <w:lang w:val="sr-Cyrl-CS"/>
        </w:rPr>
        <w:t>-а</w:t>
      </w:r>
      <w:r w:rsidRPr="00644F20">
        <w:rPr>
          <w:rFonts w:ascii="Times New Roman" w:hAnsi="Times New Roman" w:cs="Times New Roman"/>
          <w:sz w:val="24"/>
          <w:szCs w:val="24"/>
          <w:lang w:val="sr-Cyrl-CS"/>
        </w:rPr>
        <w:t xml:space="preserve"> у износу од 3.600.000 динара.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предвиђено је да се она реализује у сарадњи са Ф</w:t>
      </w:r>
      <w:r w:rsidR="005E21F7" w:rsidRPr="00644F20">
        <w:rPr>
          <w:rFonts w:ascii="Times New Roman" w:hAnsi="Times New Roman" w:cs="Times New Roman"/>
          <w:sz w:val="24"/>
          <w:szCs w:val="24"/>
          <w:lang w:val="sr-Cyrl-CS"/>
        </w:rPr>
        <w:t>ондом за иновационе делатности УНДП</w:t>
      </w:r>
      <w:r w:rsidR="00BE4F0A" w:rsidRPr="00644F20">
        <w:rPr>
          <w:rFonts w:ascii="Times New Roman" w:hAnsi="Times New Roman" w:cs="Times New Roman"/>
          <w:sz w:val="24"/>
          <w:szCs w:val="24"/>
          <w:lang w:val="sr-Cyrl-CS"/>
        </w:rPr>
        <w:t>, научно</w:t>
      </w:r>
      <w:r w:rsidRPr="00644F20">
        <w:rPr>
          <w:rFonts w:ascii="Times New Roman" w:hAnsi="Times New Roman" w:cs="Times New Roman"/>
          <w:sz w:val="24"/>
          <w:szCs w:val="24"/>
          <w:lang w:val="sr-Cyrl-CS"/>
        </w:rPr>
        <w:t>истраживачким организацијама и привредним субјектима. Степен реализације мере биће праћен преко укупног броја објављених јавних позива за пројекте везане за увођење иновативних и других техничких решења у циљу примене модела циркуларне економије и укупног броја привредних субјеката који</w:t>
      </w:r>
      <w:r w:rsidR="00BE4F0A" w:rsidRPr="00644F20">
        <w:rPr>
          <w:rFonts w:ascii="Times New Roman" w:hAnsi="Times New Roman" w:cs="Times New Roman"/>
          <w:sz w:val="24"/>
          <w:szCs w:val="24"/>
          <w:lang w:val="sr-Cyrl-CS"/>
        </w:rPr>
        <w:t xml:space="preserve"> су остварили сарадњу са научно</w:t>
      </w:r>
      <w:r w:rsidRPr="00644F20">
        <w:rPr>
          <w:rFonts w:ascii="Times New Roman" w:hAnsi="Times New Roman" w:cs="Times New Roman"/>
          <w:sz w:val="24"/>
          <w:szCs w:val="24"/>
          <w:lang w:val="sr-Cyrl-CS"/>
        </w:rPr>
        <w:t xml:space="preserve">истраживачким организацијама кроз поменуте позиве. </w:t>
      </w:r>
    </w:p>
    <w:p w14:paraId="1D8703B3" w14:textId="77777777" w:rsidR="00497092" w:rsidRPr="00644F20" w:rsidRDefault="002F45E1" w:rsidP="005E21F7">
      <w:pPr>
        <w:spacing w:after="24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подстицајног типа.</w:t>
      </w:r>
    </w:p>
    <w:p w14:paraId="5FA5ACC9" w14:textId="77777777" w:rsidR="00497092" w:rsidRPr="00644F20" w:rsidRDefault="002F45E1">
      <w:pPr>
        <w:spacing w:before="240" w:after="120"/>
        <w:jc w:val="both"/>
        <w:rPr>
          <w:rFonts w:ascii="Times New Roman" w:hAnsi="Times New Roman" w:cs="Times New Roman"/>
          <w:b/>
          <w:sz w:val="28"/>
          <w:szCs w:val="28"/>
          <w:lang w:val="sr-Cyrl-CS"/>
        </w:rPr>
      </w:pPr>
      <w:r w:rsidRPr="00644F20">
        <w:rPr>
          <w:rFonts w:ascii="Times New Roman" w:hAnsi="Times New Roman" w:cs="Times New Roman"/>
          <w:b/>
          <w:sz w:val="28"/>
          <w:szCs w:val="28"/>
          <w:lang w:val="sr-Cyrl-CS"/>
        </w:rPr>
        <w:lastRenderedPageBreak/>
        <w:t>Посебан циљ 2: Подршка локалним самоуправама у стварању циркуларних заједница</w:t>
      </w:r>
    </w:p>
    <w:p w14:paraId="71E29526" w14:textId="77777777" w:rsidR="00497092" w:rsidRPr="00644F20" w:rsidRDefault="002F45E1" w:rsidP="005E21F7">
      <w:pPr>
        <w:spacing w:after="120" w:line="276" w:lineRule="auto"/>
        <w:ind w:firstLine="720"/>
        <w:jc w:val="both"/>
        <w:rPr>
          <w:rFonts w:ascii="Times New Roman" w:hAnsi="Times New Roman"/>
          <w:sz w:val="24"/>
          <w:lang w:val="sr-Cyrl-CS"/>
        </w:rPr>
      </w:pPr>
      <w:r w:rsidRPr="00644F20">
        <w:rPr>
          <w:rFonts w:ascii="Times New Roman" w:hAnsi="Times New Roman" w:cs="Times New Roman"/>
          <w:sz w:val="24"/>
          <w:szCs w:val="24"/>
          <w:lang w:val="sr-Cyrl-CS"/>
        </w:rPr>
        <w:t xml:space="preserve">Јачање капацитета локалних самоуправа је неопходан корак у спровођењу било које врсте реформи на националном нивоу, а посебно је значајан за циркуларну економију у којој поред привреде директно учествују и грађани, као потрошачи и корисници услуга. </w:t>
      </w:r>
    </w:p>
    <w:p w14:paraId="1C80D5DB"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Јаз између постојећег стања у локалним самоуправама и стања у заједници која функционише у складу са принципима циркуларне економије у погледу коришћења ресурса, управљања отпадом и водама, коришћења енергије, урбане мобилности и друго, отвара огроман потенцијал за унапређење, али представља и велики изазов за ЈЛС. За потпуно искоришћење тог потенцијала потребна су специфична знања и вештине, а додатни изазов представља и чињеница да сваку ЈЛС карактерише специфичан друштвени, економски и територијални контекст. </w:t>
      </w:r>
    </w:p>
    <w:p w14:paraId="15990090"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Полазна тачка је израда локалне мапе пута за циркуларну економију, у којој се постављају оствариви циљеви на основу утврђеног реалног стања и која узима у обзир специфичности локалне заједнице. Локална мапа пута је свеобухватни документ у коме је сагледано уграђивање принципа циркуларне економије у локалне политике и путоказ за транзицију на модел циркуларне економије, коме су подједнако у фокусу економски развој, заштита животне средине и здравља људи и очување ресурса. Пружањем стручне подршке у том кораку постављају се сигурни темељи за одрживи развој ЈЛС заснован на принципима циркуларне економије. </w:t>
      </w:r>
    </w:p>
    <w:p w14:paraId="29B74B29"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Спроведена анализа постојећег стања у Републици Србији указала је да приоритетне области за циркуларну економију на локалном нивоу, поред управљања отпадом и мобилности, треба да буду управљање водама и енергетска ефикасност. </w:t>
      </w:r>
    </w:p>
    <w:p w14:paraId="77CB3C3B"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sz w:val="24"/>
          <w:lang w:val="sr-Cyrl-CS"/>
        </w:rPr>
        <w:t xml:space="preserve">Реализацијом циља омогућава се преношење неопходних знања за увођење циркуларне економије на локалном нивоу, чиме се обезбеђују капацитети за остваривање транзиције. </w:t>
      </w:r>
      <w:r w:rsidRPr="00644F20">
        <w:rPr>
          <w:rFonts w:ascii="Times New Roman" w:hAnsi="Times New Roman" w:cs="Times New Roman"/>
          <w:sz w:val="24"/>
          <w:szCs w:val="24"/>
          <w:lang w:val="sr-Cyrl-CS"/>
        </w:rPr>
        <w:t>У ширем контексту пружа се подршка локалним самоуправама да својим грађанима осигурају бољи квалитет живота у здравијој средини и отвара пут ка формирању мреже циркуларних заједница које ресурсе и енергију користе на одржив начин чиме смањују свој угљенични отисак.</w:t>
      </w:r>
    </w:p>
    <w:p w14:paraId="4AD2A98E" w14:textId="77777777" w:rsidR="00497092" w:rsidRPr="00644F20" w:rsidRDefault="002F45E1" w:rsidP="005E21F7">
      <w:pPr>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праћење остваривања посебног циља као показатељ користиће се </w:t>
      </w:r>
      <w:r w:rsidRPr="00644F20">
        <w:rPr>
          <w:rFonts w:ascii="Times New Roman" w:hAnsi="Times New Roman" w:cs="Times New Roman"/>
          <w:i/>
          <w:sz w:val="24"/>
          <w:szCs w:val="24"/>
          <w:lang w:val="sr-Cyrl-CS"/>
        </w:rPr>
        <w:t>Укупан број ЈЛС којима је кроз програм пружена подршка у увођењу концепта циркуларне економије</w:t>
      </w:r>
      <w:r w:rsidRPr="00644F20">
        <w:rPr>
          <w:rFonts w:ascii="Times New Roman" w:hAnsi="Times New Roman" w:cs="Times New Roman"/>
          <w:sz w:val="24"/>
          <w:szCs w:val="24"/>
          <w:lang w:val="sr-Cyrl-CS"/>
        </w:rPr>
        <w:t xml:space="preserve">. </w:t>
      </w:r>
    </w:p>
    <w:p w14:paraId="0EBF8BD3"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Мера 2.1: Подршка одабраним јединицама локалне самоуправе у припреми локалних мапа пута за циркуларну економију</w:t>
      </w:r>
    </w:p>
    <w:p w14:paraId="6563CBF5"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Мера подразумева пружање помоћи одабраним ЈЛС у припреми локалне мапе пута за циркуларну економију кроз пилот пројекте. </w:t>
      </w:r>
    </w:p>
    <w:p w14:paraId="40945995"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оквиру пројеката представници надлежних органа ће у сарадњи са групом ангажованих експерата из области циркуларне економије радити на анализи постојећег стања у њиховој ЈЛС (преглед институционалних капацитета и локалне регулативе, утврђивање токова материјала и енергије), као и на дефинисању потребних мера и изради локалне мапе пута на основу изведене анализе. Пројекти ће се реализовати кроз сарадњу са локалним органима власти, јавним и комуналним предузећима и заинтересованим привредним субјектима на територији локалне самоуправе. Током сарадње са експертима, представници </w:t>
      </w:r>
      <w:r w:rsidRPr="00644F20">
        <w:rPr>
          <w:rFonts w:ascii="Times New Roman" w:hAnsi="Times New Roman" w:cs="Times New Roman"/>
          <w:sz w:val="24"/>
          <w:szCs w:val="24"/>
          <w:lang w:val="sr-Cyrl-CS"/>
        </w:rPr>
        <w:lastRenderedPageBreak/>
        <w:t xml:space="preserve">ЈЛС ће истовремено стећи и неопходна знања да изнесу мере предвиђене у мапи пута, а израђени документи послужиће као студије случаја и пример добре праксе за друге локалне самоуправе. Локалне мапе пута је потребно повезати и ускладити са постојећим документима ЈЛС, као што су стратегије нискоугљеничне производње или планови управљања отпадом. Планирано је да се локалне мапе пута за циркуларну економију на овај начин припреме за </w:t>
      </w:r>
      <w:r w:rsidR="00810C1D" w:rsidRPr="00644F20">
        <w:rPr>
          <w:rFonts w:ascii="Times New Roman" w:hAnsi="Times New Roman" w:cs="Times New Roman"/>
          <w:sz w:val="24"/>
          <w:szCs w:val="24"/>
          <w:lang w:val="sr-Cyrl-CS"/>
        </w:rPr>
        <w:t>пет</w:t>
      </w:r>
      <w:r w:rsidRPr="00644F20">
        <w:rPr>
          <w:rFonts w:ascii="Times New Roman" w:hAnsi="Times New Roman" w:cs="Times New Roman"/>
          <w:sz w:val="24"/>
          <w:szCs w:val="24"/>
          <w:lang w:val="sr-Cyrl-CS"/>
        </w:rPr>
        <w:t xml:space="preserve"> изабраних ЈЛС. Избор ЈЛС треба спровести на основу претходно дефинисаних критеријума, који поред величине ЈЛС треба да укључе и степен развијености, утицај на животну средину, угроженост здравља људи, као и расположиве капацитете.</w:t>
      </w:r>
    </w:p>
    <w:p w14:paraId="163D9255" w14:textId="77777777" w:rsidR="00497092" w:rsidRPr="00644F20" w:rsidRDefault="002F45E1" w:rsidP="005E21F7">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Финансијска средства за реализацију мере у износу од 4.900.000 динара биће обезбеђена од  </w:t>
      </w:r>
      <w:r w:rsidR="005E21F7" w:rsidRPr="00644F20">
        <w:rPr>
          <w:rFonts w:ascii="Times New Roman" w:hAnsi="Times New Roman" w:cs="Times New Roman"/>
          <w:sz w:val="24"/>
          <w:szCs w:val="24"/>
          <w:lang w:val="sr-Cyrl-CS"/>
        </w:rPr>
        <w:t>ГЕФ-а</w:t>
      </w:r>
      <w:r w:rsidRPr="00644F20">
        <w:rPr>
          <w:rFonts w:ascii="Times New Roman" w:hAnsi="Times New Roman" w:cs="Times New Roman"/>
          <w:sz w:val="24"/>
          <w:szCs w:val="24"/>
          <w:lang w:val="sr-Cyrl-CS"/>
        </w:rPr>
        <w:t xml:space="preserve">.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а предвиђено је да се она реализује у сарадњи са </w:t>
      </w:r>
      <w:r w:rsidR="00810C1D" w:rsidRPr="00644F20">
        <w:rPr>
          <w:rFonts w:ascii="Times New Roman" w:hAnsi="Times New Roman" w:cs="Times New Roman"/>
          <w:sz w:val="24"/>
          <w:szCs w:val="24"/>
          <w:lang w:val="sr-Cyrl-CS"/>
        </w:rPr>
        <w:t>ЈЛС</w:t>
      </w:r>
      <w:r w:rsidRPr="00644F20">
        <w:rPr>
          <w:rFonts w:ascii="Times New Roman" w:hAnsi="Times New Roman" w:cs="Times New Roman"/>
          <w:sz w:val="24"/>
          <w:szCs w:val="24"/>
          <w:lang w:val="sr-Cyrl-CS"/>
        </w:rPr>
        <w:t xml:space="preserve">, </w:t>
      </w:r>
      <w:r w:rsidR="005E21F7" w:rsidRPr="00644F20">
        <w:rPr>
          <w:rFonts w:ascii="Times New Roman" w:hAnsi="Times New Roman" w:cs="Times New Roman"/>
          <w:sz w:val="24"/>
          <w:szCs w:val="24"/>
          <w:lang w:val="sr-Cyrl-CS"/>
        </w:rPr>
        <w:t>СКГО</w:t>
      </w:r>
      <w:r w:rsidR="00810C1D" w:rsidRPr="00644F20">
        <w:rPr>
          <w:rFonts w:ascii="Times New Roman" w:hAnsi="Times New Roman" w:cs="Times New Roman"/>
          <w:sz w:val="24"/>
          <w:szCs w:val="24"/>
          <w:lang w:val="sr-Cyrl-CS"/>
        </w:rPr>
        <w:t>,</w:t>
      </w:r>
      <w:r w:rsidR="005E21F7" w:rsidRPr="00644F20">
        <w:rPr>
          <w:rFonts w:ascii="Times New Roman" w:hAnsi="Times New Roman" w:cs="Times New Roman"/>
          <w:sz w:val="24"/>
          <w:szCs w:val="24"/>
          <w:lang w:val="sr-Cyrl-CS"/>
        </w:rPr>
        <w:t xml:space="preserve"> НАЛЕД-ом</w:t>
      </w:r>
      <w:r w:rsidRPr="00644F20">
        <w:rPr>
          <w:rFonts w:ascii="Times New Roman" w:hAnsi="Times New Roman" w:cs="Times New Roman"/>
          <w:sz w:val="24"/>
          <w:szCs w:val="24"/>
          <w:lang w:val="sr-Cyrl-CS"/>
        </w:rPr>
        <w:t xml:space="preserve"> и канцеларијом </w:t>
      </w:r>
      <w:r w:rsidR="005E21F7" w:rsidRPr="00644F20">
        <w:rPr>
          <w:rFonts w:ascii="Times New Roman" w:hAnsi="Times New Roman" w:cs="Times New Roman"/>
          <w:sz w:val="24"/>
          <w:szCs w:val="24"/>
          <w:lang w:val="sr-Cyrl-CS"/>
        </w:rPr>
        <w:t>УНДП</w:t>
      </w:r>
      <w:r w:rsidRPr="00644F20">
        <w:rPr>
          <w:rFonts w:ascii="Times New Roman" w:hAnsi="Times New Roman" w:cs="Times New Roman"/>
          <w:sz w:val="24"/>
          <w:szCs w:val="24"/>
          <w:lang w:val="sr-Cyrl-CS"/>
        </w:rPr>
        <w:t xml:space="preserve">. За праћење степена реализације мере као показатељ биће коришћен укупан број ЈЛС зa које су израђене локалне мапе пута. </w:t>
      </w:r>
    </w:p>
    <w:p w14:paraId="53237B41" w14:textId="77777777" w:rsidR="00497092" w:rsidRPr="00644F20" w:rsidRDefault="002F45E1" w:rsidP="005E21F7">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133C452E"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Мера 2.2: Подизање свести надлежних органа локалних самоуправа, јавних и комуналних предузећа и локалне привреде о концепту циркуларне економије</w:t>
      </w:r>
    </w:p>
    <w:p w14:paraId="0A36C404"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Израда локалних мапа пута за неколико одабраних ЈЛС није довољна да се остваре потребне промене на националном нивоу, због чега је неопходно радити на преношењу знања у ширем обиму.</w:t>
      </w:r>
    </w:p>
    <w:p w14:paraId="720A79CF" w14:textId="77777777" w:rsidR="00497092" w:rsidRPr="00644F20" w:rsidRDefault="002F45E1" w:rsidP="005E21F7">
      <w:pPr>
        <w:spacing w:after="60" w:line="276" w:lineRule="auto"/>
        <w:ind w:firstLine="720"/>
        <w:jc w:val="both"/>
        <w:rPr>
          <w:rFonts w:ascii="Times New Roman" w:hAnsi="Times New Roman"/>
          <w:sz w:val="24"/>
          <w:lang w:val="sr-Cyrl-CS"/>
        </w:rPr>
      </w:pPr>
      <w:r w:rsidRPr="00644F20">
        <w:rPr>
          <w:rFonts w:ascii="Times New Roman" w:hAnsi="Times New Roman" w:cs="Times New Roman"/>
          <w:sz w:val="24"/>
          <w:szCs w:val="24"/>
          <w:lang w:val="sr-Cyrl-CS"/>
        </w:rPr>
        <w:t>У првом кораку потребно је припремити водич</w:t>
      </w:r>
      <w:r w:rsidRPr="00644F20">
        <w:rPr>
          <w:rFonts w:ascii="Times New Roman" w:hAnsi="Times New Roman"/>
          <w:sz w:val="24"/>
          <w:lang w:val="sr-Cyrl-CS"/>
        </w:rPr>
        <w:t xml:space="preserve"> који садржи метод и принципе </w:t>
      </w:r>
      <w:r w:rsidRPr="00644F20">
        <w:rPr>
          <w:rFonts w:ascii="Times New Roman" w:hAnsi="Times New Roman" w:cs="Times New Roman"/>
          <w:sz w:val="24"/>
          <w:szCs w:val="24"/>
          <w:lang w:val="sr-Cyrl-CS"/>
        </w:rPr>
        <w:t>за</w:t>
      </w:r>
      <w:r w:rsidRPr="00644F20">
        <w:rPr>
          <w:rFonts w:ascii="Times New Roman" w:hAnsi="Times New Roman"/>
          <w:sz w:val="24"/>
          <w:lang w:val="sr-Cyrl-CS"/>
        </w:rPr>
        <w:t xml:space="preserve"> </w:t>
      </w:r>
      <w:r w:rsidRPr="00644F20">
        <w:rPr>
          <w:rFonts w:ascii="Times New Roman" w:hAnsi="Times New Roman" w:cs="Times New Roman"/>
          <w:sz w:val="24"/>
          <w:szCs w:val="24"/>
          <w:lang w:val="sr-Cyrl-CS"/>
        </w:rPr>
        <w:t xml:space="preserve">правилну идентификацију </w:t>
      </w:r>
      <w:r w:rsidRPr="00644F20">
        <w:rPr>
          <w:rFonts w:ascii="Times New Roman" w:hAnsi="Times New Roman"/>
          <w:sz w:val="24"/>
          <w:lang w:val="sr-Cyrl-CS"/>
        </w:rPr>
        <w:t xml:space="preserve">и </w:t>
      </w:r>
      <w:r w:rsidRPr="00644F20">
        <w:rPr>
          <w:rFonts w:ascii="Times New Roman" w:hAnsi="Times New Roman" w:cs="Times New Roman"/>
          <w:sz w:val="24"/>
          <w:szCs w:val="24"/>
          <w:lang w:val="sr-Cyrl-CS"/>
        </w:rPr>
        <w:t>квантификацију постојећих</w:t>
      </w:r>
      <w:r w:rsidRPr="00644F20">
        <w:rPr>
          <w:rFonts w:ascii="Times New Roman" w:hAnsi="Times New Roman"/>
          <w:sz w:val="24"/>
          <w:lang w:val="sr-Cyrl-CS"/>
        </w:rPr>
        <w:t xml:space="preserve"> </w:t>
      </w:r>
      <w:r w:rsidRPr="00644F20">
        <w:rPr>
          <w:rFonts w:ascii="Times New Roman" w:hAnsi="Times New Roman" w:cs="Times New Roman"/>
          <w:sz w:val="24"/>
          <w:szCs w:val="24"/>
          <w:lang w:val="sr-Cyrl-CS"/>
        </w:rPr>
        <w:t xml:space="preserve">потенцијала </w:t>
      </w:r>
      <w:r w:rsidRPr="00644F20">
        <w:rPr>
          <w:rFonts w:ascii="Times New Roman" w:hAnsi="Times New Roman"/>
          <w:sz w:val="24"/>
          <w:lang w:val="sr-Cyrl-CS"/>
        </w:rPr>
        <w:t>за примену циркуларне економије</w:t>
      </w:r>
      <w:r w:rsidRPr="00644F20">
        <w:rPr>
          <w:rFonts w:ascii="Times New Roman" w:hAnsi="Times New Roman" w:cs="Times New Roman"/>
          <w:sz w:val="24"/>
          <w:szCs w:val="24"/>
          <w:lang w:val="sr-Cyrl-CS"/>
        </w:rPr>
        <w:t xml:space="preserve"> (анализа тока материјала и енергије, утицај на животну средину и сл),</w:t>
      </w:r>
      <w:r w:rsidRPr="00644F20">
        <w:rPr>
          <w:rFonts w:ascii="Times New Roman" w:hAnsi="Times New Roman"/>
          <w:sz w:val="24"/>
          <w:lang w:val="sr-Cyrl-CS"/>
        </w:rPr>
        <w:t xml:space="preserve"> као и смернице за правилно дефинисање мера за мапу пута, у погледу потребних инвестиција и добити. </w:t>
      </w:r>
    </w:p>
    <w:p w14:paraId="16EFE86C" w14:textId="77777777" w:rsidR="00497092" w:rsidRPr="00644F20" w:rsidRDefault="002F45E1" w:rsidP="005E21F7">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У другом кораку неопходно је реализовати д</w:t>
      </w:r>
      <w:r w:rsidRPr="00644F20">
        <w:rPr>
          <w:rFonts w:ascii="Times New Roman" w:hAnsi="Times New Roman" w:cs="Times New Roman"/>
          <w:sz w:val="24"/>
          <w:szCs w:val="24"/>
          <w:lang w:val="sr-Cyrl-CS"/>
        </w:rPr>
        <w:t xml:space="preserve">истрибуцију припремљеног водича коју треба да прати одговарајућа промотивна кампања, која укључује организацију радионица и семинара за локалне самоуправе, јавна и комунална предузећа и друге заинтересоване стране (представници привреде, удружења и сл). Ови промотивни скупови су прилика да се учесницима представе и </w:t>
      </w:r>
      <w:r w:rsidRPr="00644F20">
        <w:rPr>
          <w:rFonts w:ascii="Times New Roman" w:hAnsi="Times New Roman"/>
          <w:sz w:val="24"/>
          <w:lang w:val="sr-Cyrl-CS"/>
        </w:rPr>
        <w:t xml:space="preserve">претходно израђене локалне мапе пута за изабране ЈЛС, као и да се они </w:t>
      </w:r>
      <w:r w:rsidRPr="00644F20">
        <w:rPr>
          <w:rFonts w:ascii="Times New Roman" w:hAnsi="Times New Roman" w:cs="Times New Roman"/>
          <w:sz w:val="24"/>
          <w:szCs w:val="24"/>
          <w:lang w:val="sr-Cyrl-CS"/>
        </w:rPr>
        <w:t>међусобно упознају, размене искуства и усмере на даље повезивање и умрежавање.</w:t>
      </w:r>
      <w:r w:rsidRPr="00644F20">
        <w:rPr>
          <w:rFonts w:ascii="Times New Roman" w:hAnsi="Times New Roman"/>
          <w:sz w:val="24"/>
          <w:lang w:val="sr-Cyrl-CS"/>
        </w:rPr>
        <w:t xml:space="preserve"> </w:t>
      </w:r>
      <w:r w:rsidRPr="00644F20">
        <w:rPr>
          <w:rFonts w:ascii="Times New Roman" w:hAnsi="Times New Roman" w:cs="Times New Roman"/>
          <w:sz w:val="24"/>
          <w:szCs w:val="24"/>
          <w:lang w:val="sr-Cyrl-CS"/>
        </w:rPr>
        <w:t xml:space="preserve">Важан сегмент кампање свакако треба да буде и преношење информација о доступним фондовима и програмима финансирања помоћу којих могу да се реализују мере и пројекти предвиђени у локалној мапи пута. У </w:t>
      </w:r>
      <w:r w:rsidRPr="00644F20">
        <w:rPr>
          <w:rFonts w:ascii="Times New Roman" w:hAnsi="Times New Roman"/>
          <w:sz w:val="24"/>
          <w:lang w:val="sr-Cyrl-CS"/>
        </w:rPr>
        <w:t xml:space="preserve">циљу </w:t>
      </w:r>
      <w:r w:rsidRPr="00644F20">
        <w:rPr>
          <w:rFonts w:ascii="Times New Roman" w:hAnsi="Times New Roman" w:cs="Times New Roman"/>
          <w:sz w:val="24"/>
          <w:szCs w:val="24"/>
          <w:lang w:val="sr-Cyrl-CS"/>
        </w:rPr>
        <w:t xml:space="preserve">додатног </w:t>
      </w:r>
      <w:r w:rsidRPr="00644F20">
        <w:rPr>
          <w:rFonts w:ascii="Times New Roman" w:hAnsi="Times New Roman"/>
          <w:sz w:val="24"/>
          <w:lang w:val="sr-Cyrl-CS"/>
        </w:rPr>
        <w:t>јачања капацитета</w:t>
      </w:r>
      <w:r w:rsidRPr="00644F20">
        <w:rPr>
          <w:rFonts w:ascii="Times New Roman" w:hAnsi="Times New Roman" w:cs="Times New Roman"/>
          <w:sz w:val="24"/>
          <w:szCs w:val="24"/>
          <w:lang w:val="sr-Cyrl-CS"/>
        </w:rPr>
        <w:t>,</w:t>
      </w:r>
      <w:r w:rsidRPr="00644F20">
        <w:rPr>
          <w:rFonts w:ascii="Times New Roman" w:hAnsi="Times New Roman"/>
          <w:sz w:val="24"/>
          <w:lang w:val="sr-Cyrl-CS"/>
        </w:rPr>
        <w:t xml:space="preserve"> у оквиру кампање</w:t>
      </w:r>
      <w:r w:rsidRPr="00644F20">
        <w:rPr>
          <w:rFonts w:ascii="Times New Roman" w:hAnsi="Times New Roman" w:cs="Times New Roman"/>
          <w:sz w:val="24"/>
          <w:szCs w:val="24"/>
          <w:lang w:val="sr-Cyrl-CS"/>
        </w:rPr>
        <w:t>,</w:t>
      </w:r>
      <w:r w:rsidRPr="00644F20">
        <w:rPr>
          <w:rFonts w:ascii="Times New Roman" w:hAnsi="Times New Roman"/>
          <w:sz w:val="24"/>
          <w:lang w:val="sr-Cyrl-CS"/>
        </w:rPr>
        <w:t xml:space="preserve"> могу се организовати и студијска путовања за представнике ЈЛС</w:t>
      </w:r>
      <w:r w:rsidRPr="00644F20">
        <w:rPr>
          <w:rFonts w:ascii="Times New Roman" w:hAnsi="Times New Roman" w:cs="Times New Roman"/>
          <w:sz w:val="24"/>
          <w:szCs w:val="24"/>
          <w:lang w:val="sr-Cyrl-CS"/>
        </w:rPr>
        <w:t xml:space="preserve"> и заинтересованих страна у земље </w:t>
      </w:r>
      <w:r w:rsidR="007F484C" w:rsidRPr="00644F20">
        <w:rPr>
          <w:rFonts w:ascii="Times New Roman" w:hAnsi="Times New Roman" w:cs="Times New Roman"/>
          <w:sz w:val="24"/>
          <w:szCs w:val="24"/>
          <w:lang w:val="sr-Cyrl-CS"/>
        </w:rPr>
        <w:t>Европске уније</w:t>
      </w:r>
      <w:r w:rsidRPr="00644F20">
        <w:rPr>
          <w:rFonts w:ascii="Times New Roman" w:hAnsi="Times New Roman" w:cs="Times New Roman"/>
          <w:sz w:val="24"/>
          <w:szCs w:val="24"/>
          <w:lang w:val="sr-Cyrl-CS"/>
        </w:rPr>
        <w:t xml:space="preserve"> и градове који су већ достигли ниво циркуларних одрживих заједница</w:t>
      </w:r>
      <w:r w:rsidRPr="00644F20">
        <w:rPr>
          <w:rFonts w:ascii="Times New Roman" w:hAnsi="Times New Roman"/>
          <w:sz w:val="24"/>
          <w:lang w:val="sr-Cyrl-CS"/>
        </w:rPr>
        <w:t xml:space="preserve">. </w:t>
      </w:r>
    </w:p>
    <w:p w14:paraId="0CB43235" w14:textId="77777777" w:rsidR="00810C1D" w:rsidRPr="00644F20" w:rsidRDefault="002F45E1" w:rsidP="005E21F7">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Финансијска средства за реализацију мере у износу од 1.683.000 динара биће обезбеђена из буџета Републике Србије, са пројекта „Смањење угљеничног отиска локалних заједница применом принципа циркуларне економије у Републици Србији”.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предвиђено је да се она реализује у сарадњи са С</w:t>
      </w:r>
      <w:r w:rsidR="005E21F7" w:rsidRPr="00644F20">
        <w:rPr>
          <w:rFonts w:ascii="Times New Roman" w:hAnsi="Times New Roman" w:cs="Times New Roman"/>
          <w:sz w:val="24"/>
          <w:szCs w:val="24"/>
          <w:lang w:val="sr-Cyrl-CS"/>
        </w:rPr>
        <w:t>КГО</w:t>
      </w:r>
      <w:r w:rsidR="00810C1D" w:rsidRPr="00644F20">
        <w:rPr>
          <w:rFonts w:ascii="Times New Roman" w:hAnsi="Times New Roman" w:cs="Times New Roman"/>
          <w:sz w:val="24"/>
          <w:szCs w:val="24"/>
          <w:lang w:val="sr-Cyrl-CS"/>
        </w:rPr>
        <w:t xml:space="preserve">, </w:t>
      </w:r>
      <w:r w:rsidR="005E21F7" w:rsidRPr="00644F20">
        <w:rPr>
          <w:rFonts w:ascii="Times New Roman" w:hAnsi="Times New Roman" w:cs="Times New Roman"/>
          <w:sz w:val="24"/>
          <w:szCs w:val="24"/>
          <w:lang w:val="sr-Cyrl-CS"/>
        </w:rPr>
        <w:t xml:space="preserve"> НАЛЕД</w:t>
      </w:r>
      <w:r w:rsidR="00810C1D" w:rsidRPr="00644F20">
        <w:rPr>
          <w:rFonts w:ascii="Times New Roman" w:hAnsi="Times New Roman" w:cs="Times New Roman"/>
          <w:sz w:val="24"/>
          <w:szCs w:val="24"/>
          <w:lang w:val="sr-Cyrl-CS"/>
        </w:rPr>
        <w:t>-ом</w:t>
      </w:r>
      <w:r w:rsidRPr="00644F20">
        <w:rPr>
          <w:rFonts w:ascii="Times New Roman" w:hAnsi="Times New Roman" w:cs="Times New Roman"/>
          <w:sz w:val="24"/>
          <w:szCs w:val="24"/>
          <w:lang w:val="sr-Cyrl-CS"/>
        </w:rPr>
        <w:t xml:space="preserve"> и </w:t>
      </w:r>
      <w:r w:rsidR="005E21F7" w:rsidRPr="00644F20">
        <w:rPr>
          <w:rFonts w:ascii="Times New Roman" w:hAnsi="Times New Roman" w:cs="Times New Roman"/>
          <w:sz w:val="24"/>
          <w:szCs w:val="24"/>
          <w:lang w:val="sr-Cyrl-CS"/>
        </w:rPr>
        <w:t>ОЦД</w:t>
      </w:r>
      <w:r w:rsidR="00810C1D" w:rsidRPr="00644F20">
        <w:rPr>
          <w:rFonts w:ascii="Times New Roman" w:hAnsi="Times New Roman" w:cs="Times New Roman"/>
          <w:sz w:val="24"/>
          <w:szCs w:val="24"/>
          <w:lang w:val="sr-Cyrl-CS"/>
        </w:rPr>
        <w:t>-ом</w:t>
      </w:r>
      <w:r w:rsidRPr="00644F20">
        <w:rPr>
          <w:rFonts w:ascii="Times New Roman" w:hAnsi="Times New Roman" w:cs="Times New Roman"/>
          <w:sz w:val="24"/>
          <w:szCs w:val="24"/>
          <w:lang w:val="sr-Cyrl-CS"/>
        </w:rPr>
        <w:t xml:space="preserve">. За праћење степена реализације мере као показатељ биће коришћен укупан број ЈЛС обухваћених активностима за јачање капацитета за увођење циркуларне економије. </w:t>
      </w:r>
    </w:p>
    <w:p w14:paraId="77F6CCDA" w14:textId="77777777" w:rsidR="00497092" w:rsidRPr="00644F20" w:rsidRDefault="002F45E1" w:rsidP="005E21F7">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Предвиђена мера је информативно-едукативног карактера.</w:t>
      </w:r>
    </w:p>
    <w:p w14:paraId="521DD0D6" w14:textId="77777777" w:rsidR="00497092" w:rsidRPr="00644F20" w:rsidRDefault="002F45E1">
      <w:pPr>
        <w:spacing w:before="240" w:after="120"/>
        <w:jc w:val="both"/>
        <w:rPr>
          <w:rFonts w:ascii="Times New Roman" w:hAnsi="Times New Roman" w:cs="Times New Roman"/>
          <w:b/>
          <w:sz w:val="28"/>
          <w:szCs w:val="28"/>
          <w:lang w:val="sr-Cyrl-CS"/>
        </w:rPr>
      </w:pPr>
      <w:r w:rsidRPr="00644F20">
        <w:rPr>
          <w:rFonts w:ascii="Times New Roman" w:hAnsi="Times New Roman" w:cs="Times New Roman"/>
          <w:b/>
          <w:sz w:val="28"/>
          <w:szCs w:val="28"/>
          <w:lang w:val="sr-Cyrl-CS"/>
        </w:rPr>
        <w:t>Посебан циљ 3: Унапређење система управљања отпадом кроз ефикасније коришћење отпада у циркуларној економији</w:t>
      </w:r>
    </w:p>
    <w:p w14:paraId="5CE19581" w14:textId="77777777" w:rsidR="00497092" w:rsidRPr="00644F20" w:rsidRDefault="002F45E1" w:rsidP="005E21F7">
      <w:pPr>
        <w:spacing w:after="60" w:line="276" w:lineRule="auto"/>
        <w:ind w:firstLine="720"/>
        <w:jc w:val="both"/>
        <w:rPr>
          <w:rFonts w:ascii="Times New Roman" w:hAnsi="Times New Roman"/>
          <w:sz w:val="24"/>
          <w:lang w:val="sr-Cyrl-CS"/>
        </w:rPr>
      </w:pPr>
      <w:r w:rsidRPr="00644F20">
        <w:rPr>
          <w:rFonts w:ascii="Times New Roman" w:hAnsi="Times New Roman" w:cs="Times New Roman"/>
          <w:sz w:val="24"/>
          <w:szCs w:val="24"/>
          <w:lang w:val="sr-Cyrl-CS"/>
        </w:rPr>
        <w:t xml:space="preserve">Овим циљем обухваћене су мере и активности које ће допринети даљем развоју </w:t>
      </w:r>
      <w:r w:rsidRPr="00644F20">
        <w:rPr>
          <w:rFonts w:ascii="Times New Roman" w:hAnsi="Times New Roman"/>
          <w:sz w:val="24"/>
          <w:lang w:val="sr-Cyrl-CS"/>
        </w:rPr>
        <w:t>циркуларне економије у Републици Србији у области управљања отпадом</w:t>
      </w:r>
      <w:r w:rsidRPr="00644F20">
        <w:rPr>
          <w:rFonts w:ascii="Times New Roman" w:hAnsi="Times New Roman" w:cs="Times New Roman"/>
          <w:sz w:val="24"/>
          <w:szCs w:val="24"/>
          <w:lang w:val="sr-Cyrl-CS"/>
        </w:rPr>
        <w:t>. Реализација планираних мера допринеће</w:t>
      </w:r>
      <w:r w:rsidRPr="00644F20">
        <w:rPr>
          <w:rFonts w:ascii="Times New Roman" w:hAnsi="Times New Roman"/>
          <w:sz w:val="24"/>
          <w:lang w:val="sr-Cyrl-CS"/>
        </w:rPr>
        <w:t xml:space="preserve"> </w:t>
      </w:r>
      <w:r w:rsidRPr="00644F20">
        <w:rPr>
          <w:rFonts w:ascii="Times New Roman" w:hAnsi="Times New Roman" w:cs="Times New Roman"/>
          <w:sz w:val="24"/>
          <w:szCs w:val="24"/>
          <w:lang w:val="sr-Cyrl-CS"/>
        </w:rPr>
        <w:t xml:space="preserve">смањењу настајања отпада од пластике, ефикаснијој </w:t>
      </w:r>
      <w:r w:rsidRPr="00644F20">
        <w:rPr>
          <w:rFonts w:ascii="Times New Roman" w:hAnsi="Times New Roman"/>
          <w:sz w:val="24"/>
          <w:lang w:val="sr-Cyrl-CS"/>
        </w:rPr>
        <w:t xml:space="preserve">рециклажи неопасног грађевинског отпада, </w:t>
      </w:r>
      <w:r w:rsidRPr="00644F20">
        <w:rPr>
          <w:rFonts w:ascii="Times New Roman" w:hAnsi="Times New Roman" w:cs="Times New Roman"/>
          <w:sz w:val="24"/>
          <w:szCs w:val="24"/>
          <w:lang w:val="sr-Cyrl-CS"/>
        </w:rPr>
        <w:t>као и унапређењу рециклажних процеса и обезбеђењу</w:t>
      </w:r>
      <w:r w:rsidRPr="00644F20">
        <w:rPr>
          <w:rFonts w:ascii="Times New Roman" w:hAnsi="Times New Roman"/>
          <w:sz w:val="24"/>
          <w:lang w:val="sr-Cyrl-CS"/>
        </w:rPr>
        <w:t xml:space="preserve"> </w:t>
      </w:r>
      <w:r w:rsidRPr="00644F20">
        <w:rPr>
          <w:rFonts w:ascii="Times New Roman" w:hAnsi="Times New Roman" w:cs="Times New Roman"/>
          <w:sz w:val="24"/>
          <w:szCs w:val="24"/>
          <w:lang w:val="sr-Cyrl-CS"/>
        </w:rPr>
        <w:t>циркуларности</w:t>
      </w:r>
      <w:r w:rsidRPr="00644F20">
        <w:rPr>
          <w:rFonts w:ascii="Times New Roman" w:hAnsi="Times New Roman"/>
          <w:sz w:val="24"/>
          <w:lang w:val="sr-Cyrl-CS"/>
        </w:rPr>
        <w:t xml:space="preserve"> рециклата што </w:t>
      </w:r>
      <w:r w:rsidRPr="00644F20">
        <w:rPr>
          <w:rFonts w:ascii="Times New Roman" w:hAnsi="Times New Roman" w:cs="Times New Roman"/>
          <w:sz w:val="24"/>
          <w:szCs w:val="24"/>
          <w:lang w:val="sr-Cyrl-CS"/>
        </w:rPr>
        <w:t xml:space="preserve">ће </w:t>
      </w:r>
      <w:r w:rsidRPr="00644F20">
        <w:rPr>
          <w:rFonts w:ascii="Times New Roman" w:hAnsi="Times New Roman"/>
          <w:sz w:val="24"/>
          <w:lang w:val="sr-Cyrl-CS"/>
        </w:rPr>
        <w:t xml:space="preserve">се постићи провером присуства и уклањањем најопаснијих хемикалија које могу да контаминирају циркуларне токове. </w:t>
      </w:r>
      <w:r w:rsidRPr="00644F20">
        <w:rPr>
          <w:rFonts w:ascii="Times New Roman" w:hAnsi="Times New Roman" w:cs="Times New Roman"/>
          <w:sz w:val="24"/>
          <w:szCs w:val="24"/>
          <w:lang w:val="sr-Cyrl-CS"/>
        </w:rPr>
        <w:t xml:space="preserve">Осим тога, развој индустријске симбиозе ће омогућити успостављање тржишних механизама у погледу понуде остатака из производних процеса и потражње ових остатака који се могу користити као ресурс у производним циклусима. Такође, унапређење система управљања храном и рационалнија набавка хране допринеће да се вишкови хране на одговарајући начин искористе и смањи количина отпада који се одлаже на депоније, а повећа искоришћење отпада од хране </w:t>
      </w:r>
      <w:r w:rsidRPr="00644F20">
        <w:rPr>
          <w:rFonts w:ascii="Times New Roman" w:hAnsi="Times New Roman"/>
          <w:sz w:val="24"/>
          <w:lang w:val="sr-Cyrl-CS"/>
        </w:rPr>
        <w:t xml:space="preserve">у погледу производње компоста или енергије. </w:t>
      </w:r>
    </w:p>
    <w:p w14:paraId="5531680E" w14:textId="77777777" w:rsidR="00497092" w:rsidRPr="00644F20" w:rsidRDefault="002F45E1" w:rsidP="005E21F7">
      <w:pPr>
        <w:spacing w:after="120" w:line="276" w:lineRule="auto"/>
        <w:ind w:firstLine="720"/>
        <w:jc w:val="both"/>
        <w:rPr>
          <w:rFonts w:ascii="Times New Roman" w:hAnsi="Times New Roman"/>
          <w:sz w:val="24"/>
          <w:lang w:val="sr-Cyrl-CS"/>
        </w:rPr>
      </w:pPr>
      <w:r w:rsidRPr="00644F20">
        <w:rPr>
          <w:rFonts w:ascii="Times New Roman" w:hAnsi="Times New Roman" w:cs="Times New Roman"/>
          <w:sz w:val="24"/>
          <w:szCs w:val="24"/>
          <w:lang w:val="sr-Cyrl-CS"/>
        </w:rPr>
        <w:t xml:space="preserve">За праћење остваривања посебног циља као показатељ користиће се </w:t>
      </w:r>
      <w:r w:rsidRPr="00644F20">
        <w:rPr>
          <w:rFonts w:ascii="Times New Roman" w:hAnsi="Times New Roman" w:cs="Times New Roman"/>
          <w:i/>
          <w:sz w:val="24"/>
          <w:szCs w:val="24"/>
          <w:lang w:val="sr-Cyrl-CS"/>
        </w:rPr>
        <w:t>укупан број израђених докумената и укупан број радионица и промотивних активности за унапређење система управљања отпадом</w:t>
      </w:r>
      <w:r w:rsidRPr="00644F20">
        <w:rPr>
          <w:rFonts w:ascii="Times New Roman" w:hAnsi="Times New Roman" w:cs="Times New Roman"/>
          <w:sz w:val="24"/>
          <w:szCs w:val="24"/>
          <w:lang w:val="sr-Cyrl-CS"/>
        </w:rPr>
        <w:t>, а као референтна (базна) вредност користиће се вредност из 2021. године.</w:t>
      </w:r>
    </w:p>
    <w:p w14:paraId="6371B408"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Мера 3.1: Смањење настајања отпада од пластичних производа за једнократну употребу</w:t>
      </w:r>
    </w:p>
    <w:p w14:paraId="1C1473AC"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Директива (ЕУ) 2019/904 Европског Парламента о смањењу утицаја одређених пластичних производа на животну средину, ступила је на снагу у 2019. години. Захтеви и прописани циљеви усмерени су ка успостављању модела циркуларне економије, као концепту за креирање вредности за економију и друштво у целини, уз смањење коришћења ресурса и утицаја на животну средину. Одредбе ове директиве још нису транспоноване у законодавство Републике Србије и имплементација прописаних мера за смањење и забрану коришћења одређених производа као и циљева које треба достићи у погледу удела рециклиране пластике у боцама за пиће које се стављају на тржиште а</w:t>
      </w:r>
      <w:r w:rsidRPr="00644F20">
        <w:rPr>
          <w:lang w:val="sr-Cyrl-CS"/>
        </w:rPr>
        <w:t xml:space="preserve"> </w:t>
      </w:r>
      <w:r w:rsidRPr="00644F20">
        <w:rPr>
          <w:rFonts w:ascii="Times New Roman" w:hAnsi="Times New Roman" w:cs="Times New Roman"/>
          <w:sz w:val="24"/>
          <w:szCs w:val="24"/>
          <w:lang w:val="sr-Cyrl-CS"/>
        </w:rPr>
        <w:t>које су произведене од полиетилен терефталата као главне компоненте (ПЕТ боца) још нису обавезујуће за нашу земљу. Захтеви поменуте директиве су веома јасни, али треба имати у виду да је њихово спровођење сложено. Из тог разлога потребно је реализовати припремне активности које ће допринети успостављању циркуларног модела управљања производима од пластике за једнократну употребу и развити коришћење одрживијих материјала.</w:t>
      </w:r>
    </w:p>
    <w:p w14:paraId="57A63C04"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обухвата израду анализе у циљу сагледавања врста и количина производа од пластике за једнократну употребу који се стављају на тржиште у Републици Србији. На основу резултата анализе мером је обухваћена израда смерница за коришћење одрживијих материјала за наведене производе укључујући и препоруке за постепено достизање циљева у погледу удела рециклиране пластике у боцама за пиће произведеним од полиетилен терефталата као главне компоненте.</w:t>
      </w:r>
    </w:p>
    <w:p w14:paraId="1F593794" w14:textId="77777777" w:rsidR="00497092" w:rsidRPr="00644F20" w:rsidRDefault="002F45E1" w:rsidP="005E21F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Мером се утиче на смањење настајања отпада од пластике и подстиче коришћење производа за вишекратну употребу, који када постану отпад могу да се усмере у рециклажне процесе.</w:t>
      </w:r>
    </w:p>
    <w:p w14:paraId="3CB5DF3D" w14:textId="77777777" w:rsidR="00497092" w:rsidRPr="00644F20" w:rsidRDefault="002F45E1" w:rsidP="005E21F7">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Финансијска средства за реализацију мере у износу од 2.400.000 динара биће обезбеђена из међународне донаторске помоћи.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а предвиђено је да се она реализује у сарадњи са </w:t>
      </w:r>
      <w:r w:rsidR="007F484C" w:rsidRPr="00644F20">
        <w:rPr>
          <w:rFonts w:ascii="Times New Roman" w:hAnsi="Times New Roman" w:cs="Times New Roman"/>
          <w:sz w:val="24"/>
          <w:szCs w:val="24"/>
          <w:lang w:val="sr-Cyrl-CS"/>
        </w:rPr>
        <w:t>МП, ПКС, АЗЖС</w:t>
      </w:r>
      <w:r w:rsidRPr="00644F20">
        <w:rPr>
          <w:rFonts w:ascii="Times New Roman" w:hAnsi="Times New Roman" w:cs="Times New Roman"/>
          <w:sz w:val="24"/>
          <w:szCs w:val="24"/>
          <w:lang w:val="sr-Cyrl-CS"/>
        </w:rPr>
        <w:t>. Реализација мере доказаће се израђеним документима, Анализа тржишта једнократне пластике у Р</w:t>
      </w:r>
      <w:r w:rsidR="00961040" w:rsidRPr="00644F20">
        <w:rPr>
          <w:rFonts w:ascii="Times New Roman" w:hAnsi="Times New Roman" w:cs="Times New Roman"/>
          <w:sz w:val="24"/>
          <w:szCs w:val="24"/>
          <w:lang w:val="sr-Cyrl-CS"/>
        </w:rPr>
        <w:t xml:space="preserve">епублици </w:t>
      </w:r>
      <w:r w:rsidRPr="00644F20">
        <w:rPr>
          <w:rFonts w:ascii="Times New Roman" w:hAnsi="Times New Roman" w:cs="Times New Roman"/>
          <w:sz w:val="24"/>
          <w:szCs w:val="24"/>
          <w:lang w:val="sr-Cyrl-CS"/>
        </w:rPr>
        <w:t>С</w:t>
      </w:r>
      <w:r w:rsidR="00961040" w:rsidRPr="00644F20">
        <w:rPr>
          <w:rFonts w:ascii="Times New Roman" w:hAnsi="Times New Roman" w:cs="Times New Roman"/>
          <w:sz w:val="24"/>
          <w:szCs w:val="24"/>
          <w:lang w:val="sr-Cyrl-CS"/>
        </w:rPr>
        <w:t>рбији</w:t>
      </w:r>
      <w:r w:rsidRPr="00644F20">
        <w:rPr>
          <w:rFonts w:ascii="Times New Roman" w:hAnsi="Times New Roman" w:cs="Times New Roman"/>
          <w:sz w:val="24"/>
          <w:szCs w:val="24"/>
          <w:lang w:val="sr-Cyrl-CS"/>
        </w:rPr>
        <w:t xml:space="preserve"> и Смернице за замену једнократне пластике одрживијим  материјалима. </w:t>
      </w:r>
    </w:p>
    <w:p w14:paraId="28420306" w14:textId="77777777" w:rsidR="00497092" w:rsidRPr="00644F20" w:rsidRDefault="002F45E1" w:rsidP="005E21F7">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077ACB2F" w14:textId="77777777" w:rsidR="00497092" w:rsidRPr="00644F20" w:rsidRDefault="002F45E1">
      <w:pPr>
        <w:spacing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 xml:space="preserve">Мера 3.2: Унапређење индустријске симбиозе у циљу оптимизације коришћења ресурса и смањивања количине отпада </w:t>
      </w:r>
    </w:p>
    <w:p w14:paraId="0CD180ED" w14:textId="77777777" w:rsidR="00497092" w:rsidRPr="00644F20" w:rsidRDefault="00B533A9">
      <w:pPr>
        <w:tabs>
          <w:tab w:val="left" w:pos="990"/>
        </w:tabs>
        <w:spacing w:after="60" w:line="276" w:lineRule="auto"/>
        <w:jc w:val="both"/>
        <w:rPr>
          <w:rFonts w:ascii="Times New Roman" w:hAnsi="Times New Roman"/>
          <w:sz w:val="24"/>
          <w:lang w:val="sr-Cyrl-CS"/>
        </w:rPr>
      </w:pPr>
      <w:r w:rsidRPr="00644F20">
        <w:rPr>
          <w:rFonts w:ascii="Times New Roman" w:hAnsi="Times New Roman"/>
          <w:sz w:val="24"/>
          <w:lang w:val="sr-Cyrl-CS"/>
        </w:rPr>
        <w:tab/>
      </w:r>
      <w:r w:rsidR="002F45E1" w:rsidRPr="00644F20">
        <w:rPr>
          <w:rFonts w:ascii="Times New Roman" w:hAnsi="Times New Roman"/>
          <w:sz w:val="24"/>
          <w:lang w:val="sr-Cyrl-CS"/>
        </w:rPr>
        <w:t xml:space="preserve">Поновна употреба искоришћених ресурса је један од принципа циркуларне економије за чију примену постоји значајан потенцијал у индустрији у којој се поједини токови отпадних материјала могу ефикасно користити у различитим производним процесима. Овај потенцијал се може у већој мери остварити уколико се омогући боља размена података између привредних субјеката о расположивим производним остацима који се могу потенцијално пласирати на тржиште као нус-производ или као материјал којем је престао статус отпада. Постојећи систем регистровања нус-производа и краја статуса отпада подразумева да привредни субјекат који жели да региструје нуспроизвод или да остатку из производње престане статус отпада има важећи уговор са другим привредним субјектом који ће их користити у свом производном процесу. </w:t>
      </w:r>
    </w:p>
    <w:p w14:paraId="5C4BB613" w14:textId="77777777" w:rsidR="00497092" w:rsidRPr="00644F20" w:rsidRDefault="00B533A9">
      <w:pPr>
        <w:tabs>
          <w:tab w:val="left" w:pos="990"/>
        </w:tabs>
        <w:spacing w:after="60" w:line="276" w:lineRule="auto"/>
        <w:jc w:val="both"/>
        <w:rPr>
          <w:rFonts w:ascii="Times New Roman" w:hAnsi="Times New Roman"/>
          <w:sz w:val="24"/>
          <w:lang w:val="sr-Cyrl-CS"/>
        </w:rPr>
      </w:pPr>
      <w:r w:rsidRPr="00644F20">
        <w:rPr>
          <w:rFonts w:ascii="Times New Roman" w:hAnsi="Times New Roman"/>
          <w:sz w:val="24"/>
          <w:lang w:val="sr-Cyrl-CS"/>
        </w:rPr>
        <w:tab/>
      </w:r>
      <w:r w:rsidR="002F45E1" w:rsidRPr="00644F20">
        <w:rPr>
          <w:rFonts w:ascii="Times New Roman" w:hAnsi="Times New Roman"/>
          <w:sz w:val="24"/>
          <w:lang w:val="sr-Cyrl-CS"/>
        </w:rPr>
        <w:t>Мером је предвиђено успостављање дигиталне базе привредних субјеката која ће допринети бољем међусобном повезивању и размени информација, како у погледу расположивих остатака из производних процеса, тако и у погледу потражње остатака који се могу користити код истих или других привредних субјеката као ресурс у производним циклусима, односно развоју берзе секундарних сировина. У том циљу неопходно је претходно предузети одређене измене подзаконских аката - правилника који се односе на нуспроизводе и престанак статуса отпада да би се убрзало и олакшало уписивање производних остатака или одређених врста отпада у одговарајуће регистре.</w:t>
      </w:r>
    </w:p>
    <w:p w14:paraId="5F94D6A9" w14:textId="77777777" w:rsidR="00497092" w:rsidRPr="00644F20" w:rsidRDefault="002F45E1" w:rsidP="00B533A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Финансијска средства за реализацију мере у износу од 11.200.000 динара биће обезбеђена од  </w:t>
      </w:r>
      <w:r w:rsidR="00B533A9" w:rsidRPr="00644F20">
        <w:rPr>
          <w:rFonts w:ascii="Times New Roman" w:hAnsi="Times New Roman" w:cs="Times New Roman"/>
          <w:sz w:val="24"/>
          <w:szCs w:val="24"/>
          <w:lang w:val="sr-Cyrl-CS"/>
        </w:rPr>
        <w:t>ГЕФ</w:t>
      </w:r>
      <w:r w:rsidRPr="00644F20">
        <w:rPr>
          <w:rFonts w:ascii="Times New Roman" w:hAnsi="Times New Roman" w:cs="Times New Roman"/>
          <w:sz w:val="24"/>
          <w:szCs w:val="24"/>
          <w:lang w:val="sr-Cyrl-CS"/>
        </w:rPr>
        <w:t xml:space="preserve">.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предвиђено је да се она реализује у сарадњи са М</w:t>
      </w:r>
      <w:r w:rsidR="00B533A9" w:rsidRPr="00644F20">
        <w:rPr>
          <w:rFonts w:ascii="Times New Roman" w:hAnsi="Times New Roman" w:cs="Times New Roman"/>
          <w:sz w:val="24"/>
          <w:szCs w:val="24"/>
          <w:lang w:val="sr-Cyrl-CS"/>
        </w:rPr>
        <w:t>П, ПКС и  АЗЖС</w:t>
      </w:r>
      <w:r w:rsidRPr="00644F20">
        <w:rPr>
          <w:rFonts w:ascii="Times New Roman" w:hAnsi="Times New Roman" w:cs="Times New Roman"/>
          <w:sz w:val="24"/>
          <w:szCs w:val="24"/>
          <w:lang w:val="sr-Cyrl-CS"/>
        </w:rPr>
        <w:t xml:space="preserve">. Реализација мере пратиће се преко укупног броја издатих потврда о упису у Регистар нуспроизвода и укупног броја издатих потврда за поједине врсте отпада о престанку статуса отпада, као и доказати израђеном и успостављеном базом за размену информација. </w:t>
      </w:r>
    </w:p>
    <w:p w14:paraId="6BFBF07A" w14:textId="77777777" w:rsidR="00497092" w:rsidRPr="00644F20" w:rsidRDefault="002F45E1" w:rsidP="00B533A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регулаторног типа.</w:t>
      </w:r>
    </w:p>
    <w:p w14:paraId="3B45656B"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Мера 3.3: Подршка грађевинском сектору у развоју система управљања отпадом од грађења и рушења</w:t>
      </w:r>
    </w:p>
    <w:p w14:paraId="70507F54" w14:textId="77777777" w:rsidR="00497092" w:rsidRPr="00644F20" w:rsidRDefault="002F45E1" w:rsidP="00B533A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 xml:space="preserve">Мером је предвиђена израда анализе тренутног стања поступања са отпадом од грађења и рушења и потенцијала за рециклажу у грађевинском сектору у Републици Србији, која треба да послужи као основ за успостављање мреже постројења за рециклирање неопасног отпада од грађења и рушења. Поред тога, за потребе додатне едукације грађевинског сектора, </w:t>
      </w:r>
      <w:r w:rsidRPr="00644F20">
        <w:rPr>
          <w:rFonts w:ascii="Times New Roman" w:hAnsi="Times New Roman"/>
          <w:sz w:val="24"/>
          <w:lang w:val="sr-Cyrl-CS"/>
        </w:rPr>
        <w:lastRenderedPageBreak/>
        <w:t xml:space="preserve">предвиђена је израда и презентација стручног водича о правилном поступању са овим отпадом, законодавним захтевима, као и економским ефектима његове употребе након рециклаже.    </w:t>
      </w:r>
    </w:p>
    <w:p w14:paraId="5B31A1F7" w14:textId="77777777" w:rsidR="00497092" w:rsidRPr="00644F20" w:rsidRDefault="002F45E1" w:rsidP="00B533A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Отпад од грађења и рушења има један од највећих потенцијала за развој циркуларне економије, а реализацијом мере унапредиће се управљање овом врстом отпада, које је на нивоу државе практично тек у зачетку.</w:t>
      </w:r>
    </w:p>
    <w:p w14:paraId="1A1F62AA" w14:textId="77777777" w:rsidR="00497092" w:rsidRPr="00644F20" w:rsidRDefault="002F45E1" w:rsidP="00B533A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Финансијска средства за реализацију мере у износу од 1.698.000 динара биће обезбеђена из међународне донаторске помоћи, а предвиђено је да се она реализује у сарадњи са М</w:t>
      </w:r>
      <w:r w:rsidR="00961040" w:rsidRPr="00644F20">
        <w:rPr>
          <w:rFonts w:ascii="Times New Roman" w:hAnsi="Times New Roman" w:cs="Times New Roman"/>
          <w:sz w:val="24"/>
          <w:szCs w:val="24"/>
          <w:lang w:val="sr-Cyrl-CS"/>
        </w:rPr>
        <w:t xml:space="preserve">ГСИ </w:t>
      </w:r>
      <w:r w:rsidRPr="00644F20">
        <w:rPr>
          <w:rFonts w:ascii="Times New Roman" w:hAnsi="Times New Roman" w:cs="Times New Roman"/>
          <w:sz w:val="24"/>
          <w:szCs w:val="24"/>
          <w:lang w:val="sr-Cyrl-CS"/>
        </w:rPr>
        <w:t xml:space="preserve">и </w:t>
      </w:r>
      <w:r w:rsidR="00961040" w:rsidRPr="00644F20">
        <w:rPr>
          <w:rFonts w:ascii="Times New Roman" w:hAnsi="Times New Roman" w:cs="Times New Roman"/>
          <w:sz w:val="24"/>
          <w:szCs w:val="24"/>
          <w:lang w:val="sr-Cyrl-CS"/>
        </w:rPr>
        <w:t>ПКС</w:t>
      </w:r>
      <w:r w:rsidRPr="00644F20">
        <w:rPr>
          <w:rFonts w:ascii="Times New Roman" w:hAnsi="Times New Roman" w:cs="Times New Roman"/>
          <w:sz w:val="24"/>
          <w:szCs w:val="24"/>
          <w:lang w:val="sr-Cyrl-CS"/>
        </w:rPr>
        <w:t xml:space="preserve">. Испуњеност задатака предвиђених мером доказаће се израђеном анализом тренутног стања поступања са отпадом од грађења и рушења и потенцијала за рециклажу у грађевинском сектору и израђеним водичом о правилном поступању са отпадом од грађења и рушења. </w:t>
      </w:r>
    </w:p>
    <w:p w14:paraId="4118D6BE" w14:textId="77777777" w:rsidR="00497092" w:rsidRPr="00644F20" w:rsidRDefault="002F45E1" w:rsidP="00B533A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70F31FB2"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Мера 3.4: Подршка рециклажном сектору за унапређење рециклажних процеса за поједине токове отпада у односу на супстанце које изазивају забринутост</w:t>
      </w:r>
    </w:p>
    <w:p w14:paraId="3A13E65A" w14:textId="77777777" w:rsidR="00497092" w:rsidRPr="00644F20" w:rsidRDefault="002F45E1" w:rsidP="00B533A9">
      <w:pPr>
        <w:spacing w:after="120" w:line="276" w:lineRule="auto"/>
        <w:ind w:firstLine="720"/>
        <w:jc w:val="both"/>
        <w:rPr>
          <w:rFonts w:ascii="Times New Roman" w:hAnsi="Times New Roman"/>
          <w:sz w:val="24"/>
          <w:lang w:val="sr-Cyrl-CS"/>
        </w:rPr>
      </w:pPr>
      <w:r w:rsidRPr="00644F20">
        <w:rPr>
          <w:rFonts w:ascii="Times New Roman" w:hAnsi="Times New Roman"/>
          <w:sz w:val="24"/>
          <w:lang w:val="sr-Cyrl-CS"/>
        </w:rPr>
        <w:t>Мером је предвиђена израда анализа потенцијала за унапређење рециклажних процеса за одабране токове отпада, односно типове производа који се рециклирају</w:t>
      </w:r>
      <w:r w:rsidRPr="00644F20">
        <w:rPr>
          <w:rFonts w:ascii="Times New Roman" w:hAnsi="Times New Roman" w:cs="Times New Roman"/>
          <w:sz w:val="24"/>
          <w:szCs w:val="24"/>
          <w:lang w:val="sr-Cyrl-CS"/>
        </w:rPr>
        <w:t xml:space="preserve"> (нпр. електронски и електрични отпад, отпадна пластика или текстил), са посебним акцентом на најопасније хемикалије које могу да контаминирају циркуларне токове.</w:t>
      </w:r>
      <w:r w:rsidRPr="00644F20">
        <w:rPr>
          <w:rFonts w:ascii="Times New Roman" w:hAnsi="Times New Roman"/>
          <w:sz w:val="24"/>
          <w:lang w:val="sr-Cyrl-CS"/>
        </w:rPr>
        <w:t xml:space="preserve"> </w:t>
      </w:r>
    </w:p>
    <w:p w14:paraId="2878D9BF" w14:textId="77777777" w:rsidR="00497092" w:rsidRPr="00644F20" w:rsidRDefault="002F45E1" w:rsidP="00B533A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Поред тога, потребно је израдити и приручник или сличну публикацију (у штампаној и електронској форми) који ће садржати информације о методама и техникама које се могу користити за контролу супстанци које изазивају забринутост у рециклажним процесима, укључујући технике за њихову детекцију, квантификацију и уклањање.</w:t>
      </w:r>
    </w:p>
    <w:p w14:paraId="3F464011" w14:textId="77777777" w:rsidR="00497092" w:rsidRPr="00644F20" w:rsidRDefault="002F45E1" w:rsidP="00B533A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 xml:space="preserve">Резултате изведених анализа потенцијала за унапређење рециклажних процеса за одабране токове отпада, као и информације из приручника за контролу супстанци које изазивају забринутост у рециклажним процесима потребно је представити на релевантним радионицама/семинарима намењеним рециклажној индустрији, удружењима рециклера и другим организацијама који раде у области управљања отпадом. </w:t>
      </w:r>
    </w:p>
    <w:p w14:paraId="05149130" w14:textId="77777777" w:rsidR="00497092" w:rsidRPr="00644F20" w:rsidRDefault="002F45E1" w:rsidP="00B533A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sz w:val="24"/>
          <w:lang w:val="sr-Cyrl-CS"/>
        </w:rPr>
        <w:t>Реализација активности планираних овом мером подстаћи ће укључивање рециклажне индустрије у циркуларне процесе и помоћи ће обезбеђивању циркуларности рециклата, као и рационалнијем коришћењу ресурса и заштиту здравља људи и животне средине</w:t>
      </w:r>
      <w:r w:rsidRPr="00644F20">
        <w:rPr>
          <w:rFonts w:ascii="Times New Roman" w:hAnsi="Times New Roman"/>
          <w:bCs/>
          <w:sz w:val="24"/>
          <w:lang w:val="sr-Cyrl-CS"/>
        </w:rPr>
        <w:t xml:space="preserve">. </w:t>
      </w:r>
      <w:r w:rsidRPr="00644F20">
        <w:rPr>
          <w:rFonts w:ascii="Times New Roman" w:hAnsi="Times New Roman" w:cs="Times New Roman"/>
          <w:sz w:val="24"/>
          <w:szCs w:val="24"/>
          <w:lang w:val="sr-Cyrl-CS"/>
        </w:rPr>
        <w:t xml:space="preserve">Финансијска средства за реализацију мере у износу од 1.593.600 динара биће обезбеђена из међународне донаторске помоћи.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а предвиђено је да се она реализује у сарадњи са удружењима рециклера. Реализација мере пратиће се преко укупног броја одржаних радионица за рециклажне компаније на тему унапређења рециклажних процеса и доказаће се израђеним приручником за контролу супстанци које изазивају забринутост у рециклажним процесима. </w:t>
      </w:r>
    </w:p>
    <w:p w14:paraId="01129D15" w14:textId="77777777" w:rsidR="00497092" w:rsidRPr="00644F20" w:rsidRDefault="002F45E1" w:rsidP="00B533A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4220DC69"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Мера 3.5: Подршка за унапређење система управљања храном, вишковима хране и отпадом од хране у контексту циркуларне економије</w:t>
      </w:r>
    </w:p>
    <w:p w14:paraId="01B48151" w14:textId="77777777" w:rsidR="00497092" w:rsidRPr="00644F20" w:rsidRDefault="002F45E1" w:rsidP="00B533A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Мером су предвиђене активности за унапређење система управљања храном</w:t>
      </w:r>
      <w:r w:rsidRPr="00644F20">
        <w:rPr>
          <w:rFonts w:ascii="Times New Roman" w:hAnsi="Times New Roman"/>
          <w:b/>
          <w:sz w:val="24"/>
          <w:lang w:val="sr-Cyrl-CS"/>
        </w:rPr>
        <w:t xml:space="preserve"> </w:t>
      </w:r>
      <w:r w:rsidRPr="00644F20">
        <w:rPr>
          <w:rFonts w:ascii="Times New Roman" w:hAnsi="Times New Roman"/>
          <w:sz w:val="24"/>
          <w:lang w:val="sr-Cyrl-CS"/>
        </w:rPr>
        <w:t xml:space="preserve">у ХОРЕКА сектору, међу трговачким ланцима и међу потрошачима. </w:t>
      </w:r>
    </w:p>
    <w:p w14:paraId="04D19EDA" w14:textId="77777777" w:rsidR="00497092" w:rsidRPr="00644F20" w:rsidRDefault="002F45E1" w:rsidP="00B533A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lastRenderedPageBreak/>
        <w:t xml:space="preserve">Прва планирана активност је реализација пилот пројекта у оквиру кога ће се анализирати потенцијал за увођење циркуларне економије за неколико одабраних хотела и ресторана и дати препоруке за управљање храном, вишковима хране и отпадом од хране. На основу резултата пилот пројекта израдиће се предлог модела за управљање храном, вишковима хране и отпадом од хране за ХОРЕКА сектор који ће се представити релевантим институцијама и представницима овог сектора. </w:t>
      </w:r>
    </w:p>
    <w:p w14:paraId="78C7BAEE" w14:textId="77777777" w:rsidR="00497092" w:rsidRPr="00644F20" w:rsidRDefault="002F45E1" w:rsidP="00B533A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У циљу унапређења система управљања храном међу трговачким ланцима и међу потрошачима потребно је успоставити дигиталне алате за побољшање следљивости и означавање прехрамбених производа, како би се осигурала безбедност хране. Успостављене алате је потребно представити трговачким ланцима, потрошачима и грађанима на за то посвећеним промотивним скуповима.</w:t>
      </w:r>
    </w:p>
    <w:p w14:paraId="215B33F7" w14:textId="77777777" w:rsidR="00497092"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Очекивани ефекти мере су рационалнија набавка хране која се у највећој мери одбацује, веће искоришћење вишкова хране и смањење количине отпада који се одлаже на депоније, као и веће искоришћење отпада од хране за производњу биогорива и компоста</w:t>
      </w:r>
      <w:r w:rsidRPr="00644F20">
        <w:rPr>
          <w:rFonts w:ascii="Times New Roman" w:hAnsi="Times New Roman" w:cs="Times New Roman"/>
          <w:bCs/>
          <w:sz w:val="24"/>
          <w:szCs w:val="24"/>
          <w:lang w:val="sr-Cyrl-CS"/>
        </w:rPr>
        <w:t xml:space="preserve">. </w:t>
      </w:r>
    </w:p>
    <w:p w14:paraId="42E54A7F" w14:textId="77777777" w:rsidR="00497092" w:rsidRPr="00644F20" w:rsidRDefault="004F4776">
      <w:pPr>
        <w:spacing w:after="12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 xml:space="preserve">Финансијска средства за реализацију мере биће обезбеђена од Програма Уједињених нација за развој (УНДП), у износу од 5.800.000 динара, као и из међународне донаторске помоћи, у износу од 1.612.900 динара. Одговорна институција за реализацију мере је </w:t>
      </w:r>
      <w:r w:rsidR="001B6E66" w:rsidRPr="00644F20">
        <w:rPr>
          <w:rFonts w:ascii="Times New Roman" w:hAnsi="Times New Roman" w:cs="Times New Roman"/>
          <w:sz w:val="24"/>
          <w:szCs w:val="24"/>
          <w:lang w:val="sr-Cyrl-CS"/>
        </w:rPr>
        <w:t>МЗЖС</w:t>
      </w:r>
      <w:r w:rsidR="002F45E1" w:rsidRPr="00644F20">
        <w:rPr>
          <w:rFonts w:ascii="Times New Roman" w:hAnsi="Times New Roman" w:cs="Times New Roman"/>
          <w:sz w:val="24"/>
          <w:szCs w:val="24"/>
          <w:lang w:val="sr-Cyrl-CS"/>
        </w:rPr>
        <w:t xml:space="preserve">, а предвиђено је да се она реализује у сарадњи са </w:t>
      </w:r>
      <w:r w:rsidRPr="00644F20">
        <w:rPr>
          <w:rFonts w:ascii="Times New Roman" w:hAnsi="Times New Roman" w:cs="Times New Roman"/>
          <w:sz w:val="24"/>
          <w:szCs w:val="24"/>
          <w:lang w:val="sr-Cyrl-CS"/>
        </w:rPr>
        <w:t>МТО,</w:t>
      </w:r>
      <w:r w:rsidR="002F45E1" w:rsidRPr="00644F20">
        <w:rPr>
          <w:rFonts w:ascii="Times New Roman" w:hAnsi="Times New Roman" w:cs="Times New Roman"/>
          <w:sz w:val="24"/>
          <w:szCs w:val="24"/>
          <w:lang w:val="sr-Cyrl-CS"/>
        </w:rPr>
        <w:t xml:space="preserve"> М</w:t>
      </w:r>
      <w:r w:rsidR="00013D47" w:rsidRPr="00644F20">
        <w:rPr>
          <w:rFonts w:ascii="Times New Roman" w:hAnsi="Times New Roman" w:cs="Times New Roman"/>
          <w:sz w:val="24"/>
          <w:szCs w:val="24"/>
          <w:lang w:val="sr-Cyrl-CS"/>
        </w:rPr>
        <w:t>ИТ</w:t>
      </w:r>
      <w:r w:rsidR="002F45E1" w:rsidRPr="00644F20">
        <w:rPr>
          <w:rFonts w:ascii="Times New Roman" w:hAnsi="Times New Roman" w:cs="Times New Roman"/>
          <w:sz w:val="24"/>
          <w:szCs w:val="24"/>
          <w:lang w:val="sr-Cyrl-CS"/>
        </w:rPr>
        <w:t xml:space="preserve">, </w:t>
      </w:r>
      <w:r w:rsidR="001A5B51" w:rsidRPr="00644F20">
        <w:rPr>
          <w:rFonts w:ascii="Times New Roman" w:hAnsi="Times New Roman" w:cs="Times New Roman"/>
          <w:sz w:val="24"/>
          <w:szCs w:val="24"/>
          <w:lang w:val="sr-Cyrl-CS"/>
        </w:rPr>
        <w:t>МУСТ</w:t>
      </w:r>
      <w:r w:rsidR="002F45E1" w:rsidRPr="00644F20">
        <w:rPr>
          <w:rFonts w:ascii="Times New Roman" w:hAnsi="Times New Roman" w:cs="Times New Roman"/>
          <w:sz w:val="24"/>
          <w:szCs w:val="24"/>
          <w:lang w:val="sr-Cyrl-CS"/>
        </w:rPr>
        <w:t xml:space="preserve">, </w:t>
      </w:r>
      <w:r w:rsidR="001A5B51" w:rsidRPr="00644F20">
        <w:rPr>
          <w:rFonts w:ascii="Times New Roman" w:hAnsi="Times New Roman" w:cs="Times New Roman"/>
          <w:sz w:val="24"/>
          <w:szCs w:val="24"/>
          <w:lang w:val="sr-Cyrl-CS"/>
        </w:rPr>
        <w:t>МПШВ</w:t>
      </w:r>
      <w:r w:rsidRPr="00644F20">
        <w:rPr>
          <w:rFonts w:ascii="Times New Roman" w:hAnsi="Times New Roman" w:cs="Times New Roman"/>
          <w:sz w:val="24"/>
          <w:szCs w:val="24"/>
          <w:lang w:val="sr-Cyrl-CS"/>
        </w:rPr>
        <w:t>,</w:t>
      </w:r>
      <w:r w:rsidR="002F45E1" w:rsidRPr="00644F20">
        <w:rPr>
          <w:rFonts w:ascii="Times New Roman" w:hAnsi="Times New Roman" w:cs="Times New Roman"/>
          <w:sz w:val="24"/>
          <w:szCs w:val="24"/>
          <w:lang w:val="sr-Cyrl-CS"/>
        </w:rPr>
        <w:t xml:space="preserve"> </w:t>
      </w:r>
      <w:r w:rsidR="001A5B51" w:rsidRPr="00644F20">
        <w:rPr>
          <w:rFonts w:ascii="Times New Roman" w:hAnsi="Times New Roman" w:cs="Times New Roman"/>
          <w:sz w:val="24"/>
          <w:szCs w:val="24"/>
          <w:lang w:val="sr-Cyrl-CS"/>
        </w:rPr>
        <w:t>ПКС</w:t>
      </w:r>
      <w:r w:rsidR="002F45E1" w:rsidRPr="00644F20">
        <w:rPr>
          <w:rFonts w:ascii="Times New Roman" w:hAnsi="Times New Roman" w:cs="Times New Roman"/>
          <w:sz w:val="24"/>
          <w:szCs w:val="24"/>
          <w:lang w:val="sr-Cyrl-CS"/>
        </w:rPr>
        <w:t xml:space="preserve">, канцеларијом </w:t>
      </w:r>
      <w:r w:rsidR="001A5B51" w:rsidRPr="00644F20">
        <w:rPr>
          <w:rFonts w:ascii="Times New Roman" w:hAnsi="Times New Roman" w:cs="Times New Roman"/>
          <w:sz w:val="24"/>
          <w:szCs w:val="24"/>
          <w:lang w:val="sr-Cyrl-CS"/>
        </w:rPr>
        <w:t xml:space="preserve">УНДП </w:t>
      </w:r>
      <w:r w:rsidR="002F45E1" w:rsidRPr="00644F20">
        <w:rPr>
          <w:rFonts w:ascii="Times New Roman" w:hAnsi="Times New Roman" w:cs="Times New Roman"/>
          <w:sz w:val="24"/>
          <w:szCs w:val="24"/>
          <w:lang w:val="sr-Cyrl-CS"/>
        </w:rPr>
        <w:t xml:space="preserve">и </w:t>
      </w:r>
      <w:r w:rsidR="001A5B51" w:rsidRPr="00644F20">
        <w:rPr>
          <w:rFonts w:ascii="Times New Roman" w:hAnsi="Times New Roman" w:cs="Times New Roman"/>
          <w:sz w:val="24"/>
          <w:szCs w:val="24"/>
          <w:lang w:val="sr-Cyrl-CS"/>
        </w:rPr>
        <w:t>НАЛЕД</w:t>
      </w:r>
      <w:r w:rsidRPr="00644F20">
        <w:rPr>
          <w:rFonts w:ascii="Times New Roman" w:hAnsi="Times New Roman" w:cs="Times New Roman"/>
          <w:sz w:val="24"/>
          <w:szCs w:val="24"/>
          <w:lang w:val="sr-Cyrl-CS"/>
        </w:rPr>
        <w:t>-ом</w:t>
      </w:r>
      <w:r w:rsidR="002F45E1" w:rsidRPr="00644F20">
        <w:rPr>
          <w:rFonts w:ascii="Times New Roman" w:hAnsi="Times New Roman" w:cs="Times New Roman"/>
          <w:sz w:val="24"/>
          <w:szCs w:val="24"/>
          <w:lang w:val="sr-Cyrl-CS"/>
        </w:rPr>
        <w:t xml:space="preserve">. Реализација мере пратиће се преко укупног броја организованих догађаја у току промоције резултата пилот пројекта за ХОРЕКА сектор и укупног броја организованих догађаја у току промоције дигиталних алата за праћење хране и управљања храном међу трговачким ланцима и потрошачима. Такође, реализација мере ће се доказати израђеном анализом потенцијала за увођење циркуларне економије и предлога модела за управљање храном, вишковима хране и отпадом од хране за одабране хотеле и ресторане. </w:t>
      </w:r>
    </w:p>
    <w:p w14:paraId="7167B3B7" w14:textId="77777777" w:rsidR="00497092" w:rsidRPr="00644F20" w:rsidRDefault="002F45E1" w:rsidP="00B533A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32665B8F" w14:textId="77777777" w:rsidR="00497092" w:rsidRPr="00644F20" w:rsidRDefault="002F45E1">
      <w:pPr>
        <w:spacing w:before="240" w:after="120"/>
        <w:rPr>
          <w:rFonts w:ascii="Times New Roman" w:hAnsi="Times New Roman" w:cs="Times New Roman"/>
          <w:b/>
          <w:sz w:val="28"/>
          <w:szCs w:val="28"/>
          <w:lang w:val="sr-Cyrl-CS"/>
        </w:rPr>
      </w:pPr>
      <w:r w:rsidRPr="00644F20">
        <w:rPr>
          <w:rFonts w:ascii="Times New Roman" w:hAnsi="Times New Roman" w:cs="Times New Roman"/>
          <w:b/>
          <w:sz w:val="28"/>
          <w:szCs w:val="28"/>
          <w:lang w:val="sr-Cyrl-CS"/>
        </w:rPr>
        <w:t xml:space="preserve">Посебан циљ 4: Подршка примени зелених јавних набавки и добровољних инструмената из области заштите животне средине   </w:t>
      </w:r>
    </w:p>
    <w:p w14:paraId="1BD33BF7" w14:textId="77777777" w:rsidR="00B533A9"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 xml:space="preserve">Један од доказаних механизама којим држава може да промовише и поспеши прелазак привреде на модел циркуларне економије је примена зелених јавних набавки. Уопштено јавне набавке чине значајан део промета на националном тржишту, због чега  услови који се постављају у документацији за набавку могу да имају велики утицај како на понуђаче, тако и на произвођаче и пружаоце услуга, па и на саме производе и услуге. Прелазак са линерне на циркуларну економију захтева суштинске промене у начину производње и пословања, што представља додатни трошак за привреду и за шта мора да постоји економска оправданост. </w:t>
      </w:r>
    </w:p>
    <w:p w14:paraId="11B0435B" w14:textId="77777777" w:rsidR="00497092"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Постављањем захтева у погледу потрошње сировина и енергената и утицаја на животну средину у документацији за набавку, може се ефикасно пружити подршка привредним субјектима који усвајају принципе циркуларне економије у своје пословање и развијају производе и услуге у складу са њима. Такође, додатни допринос транзицији ка циркуларној економији се може дати препознавањем и већим вредновањем добровољних инструмената из области животне средине, као што су EMAS и/или Еко знак.</w:t>
      </w:r>
    </w:p>
    <w:p w14:paraId="3214BE9F" w14:textId="77777777" w:rsidR="00497092"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lastRenderedPageBreak/>
        <w:t>Овим циљем обухваћен је низ мера и активности усмерених на подстицање примене добровољних инструмената из области животне средине, као и пружање подршке јавном сектору и привреди за успешну примену зелених јавних набавки у Србији.</w:t>
      </w:r>
    </w:p>
    <w:p w14:paraId="60E194F4" w14:textId="77777777" w:rsidR="00497092" w:rsidRPr="00644F20" w:rsidRDefault="002F45E1" w:rsidP="00D26FC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праћење остваривања посебног циља као показатељ користиће се </w:t>
      </w:r>
      <w:r w:rsidR="004F4776" w:rsidRPr="00644F20">
        <w:rPr>
          <w:rFonts w:ascii="Times New Roman" w:hAnsi="Times New Roman" w:cs="Times New Roman"/>
          <w:sz w:val="24"/>
          <w:szCs w:val="24"/>
          <w:lang w:val="sr-Cyrl-CS"/>
        </w:rPr>
        <w:t xml:space="preserve">број </w:t>
      </w:r>
      <w:r w:rsidRPr="00644F20">
        <w:rPr>
          <w:rFonts w:ascii="Times New Roman" w:hAnsi="Times New Roman" w:cs="Times New Roman"/>
          <w:sz w:val="24"/>
          <w:szCs w:val="24"/>
          <w:lang w:val="sr-Cyrl-CS"/>
        </w:rPr>
        <w:t xml:space="preserve">годишње реализованих додатних обука/семинара и стручних консултација из области ЗеЈН, </w:t>
      </w:r>
      <w:r w:rsidR="004F4776" w:rsidRPr="00644F20">
        <w:rPr>
          <w:rFonts w:ascii="Times New Roman" w:hAnsi="Times New Roman" w:cs="Times New Roman"/>
          <w:sz w:val="24"/>
          <w:szCs w:val="24"/>
          <w:lang w:val="sr-Cyrl-CS"/>
        </w:rPr>
        <w:t xml:space="preserve">број </w:t>
      </w:r>
      <w:r w:rsidRPr="00644F20">
        <w:rPr>
          <w:rFonts w:ascii="Times New Roman" w:hAnsi="Times New Roman" w:cs="Times New Roman"/>
          <w:sz w:val="24"/>
          <w:szCs w:val="24"/>
          <w:lang w:val="sr-Cyrl-CS"/>
        </w:rPr>
        <w:t xml:space="preserve">годишње реализованих ЗеЈН из одговарајућих група добара, услуга и радова, и </w:t>
      </w:r>
      <w:r w:rsidR="004F4776" w:rsidRPr="00644F20">
        <w:rPr>
          <w:rFonts w:ascii="Times New Roman" w:hAnsi="Times New Roman" w:cs="Times New Roman"/>
          <w:sz w:val="24"/>
          <w:szCs w:val="24"/>
          <w:lang w:val="sr-Cyrl-CS"/>
        </w:rPr>
        <w:t xml:space="preserve">укупан </w:t>
      </w:r>
      <w:r w:rsidRPr="00644F20">
        <w:rPr>
          <w:rFonts w:ascii="Times New Roman" w:hAnsi="Times New Roman" w:cs="Times New Roman"/>
          <w:sz w:val="24"/>
          <w:szCs w:val="24"/>
          <w:lang w:val="sr-Cyrl-CS"/>
        </w:rPr>
        <w:t xml:space="preserve">број организација са уведеним националним Еко знаком за неки од производа и/или услуга организације, а доказаће се и усвојеним EMAS правилником. </w:t>
      </w:r>
    </w:p>
    <w:p w14:paraId="491C4183"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 xml:space="preserve">Мера 4.1: Дефинисање приоритетних група добара, услуга и радова за Републику Србију за примену зелених јавних набавки </w:t>
      </w:r>
    </w:p>
    <w:p w14:paraId="5C0A1581" w14:textId="77777777" w:rsidR="00497092"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Мером је предвиђено дефинисање листе приоритетних група добара, услуга и радова за које у наредном периоду постоји највећи потенцијал за примену зелених јавних набавки у Републици Србији, на основу изведене анализе и спроведених консултација са заинтересованим странама. Приликом дефинисања приоритетних група добара, услуга и радова треба узети у обзир:</w:t>
      </w:r>
    </w:p>
    <w:p w14:paraId="09E7EAAE" w14:textId="77777777" w:rsidR="00497092" w:rsidRPr="00644F20" w:rsidRDefault="002F45E1" w:rsidP="00D26FC9">
      <w:pPr>
        <w:pStyle w:val="ListParagraph"/>
        <w:numPr>
          <w:ilvl w:val="0"/>
          <w:numId w:val="19"/>
        </w:numPr>
        <w:spacing w:after="120"/>
        <w:jc w:val="both"/>
        <w:rPr>
          <w:rFonts w:ascii="Times New Roman" w:hAnsi="Times New Roman"/>
          <w:sz w:val="24"/>
          <w:lang w:val="sr-Cyrl-CS"/>
        </w:rPr>
      </w:pPr>
      <w:r w:rsidRPr="00644F20">
        <w:rPr>
          <w:rFonts w:ascii="Times New Roman" w:hAnsi="Times New Roman"/>
          <w:sz w:val="24"/>
          <w:lang w:val="sr-Cyrl-CS"/>
        </w:rPr>
        <w:t>њихова заступљеност у укупним јавн</w:t>
      </w:r>
      <w:r w:rsidR="00440BA2" w:rsidRPr="00644F20">
        <w:rPr>
          <w:rFonts w:ascii="Times New Roman" w:hAnsi="Times New Roman"/>
          <w:sz w:val="24"/>
          <w:lang w:val="sr-Cyrl-CS"/>
        </w:rPr>
        <w:t>им набавкама у Републици Србији;</w:t>
      </w:r>
    </w:p>
    <w:p w14:paraId="2122CF82" w14:textId="77777777" w:rsidR="00D26FC9" w:rsidRPr="00644F20" w:rsidRDefault="002F45E1">
      <w:pPr>
        <w:numPr>
          <w:ilvl w:val="0"/>
          <w:numId w:val="19"/>
        </w:numPr>
        <w:spacing w:after="120" w:line="276" w:lineRule="auto"/>
        <w:contextualSpacing/>
        <w:jc w:val="both"/>
        <w:rPr>
          <w:rFonts w:ascii="Times New Roman" w:hAnsi="Times New Roman"/>
          <w:sz w:val="24"/>
          <w:lang w:val="sr-Cyrl-CS"/>
        </w:rPr>
      </w:pPr>
      <w:r w:rsidRPr="00644F20">
        <w:rPr>
          <w:rFonts w:ascii="Times New Roman" w:hAnsi="Times New Roman"/>
          <w:sz w:val="24"/>
          <w:lang w:val="sr-Cyrl-CS"/>
        </w:rPr>
        <w:t xml:space="preserve">утицаје на животну средину (и здравље људи) и потенцијал за њихово смањење </w:t>
      </w:r>
    </w:p>
    <w:p w14:paraId="4F7F6DD7" w14:textId="77777777" w:rsidR="00497092" w:rsidRPr="00644F20" w:rsidRDefault="002F45E1" w:rsidP="00D26FC9">
      <w:pPr>
        <w:spacing w:after="120" w:line="276" w:lineRule="auto"/>
        <w:contextualSpacing/>
        <w:jc w:val="both"/>
        <w:rPr>
          <w:rFonts w:ascii="Times New Roman" w:hAnsi="Times New Roman"/>
          <w:sz w:val="24"/>
          <w:lang w:val="sr-Cyrl-CS"/>
        </w:rPr>
      </w:pPr>
      <w:r w:rsidRPr="00644F20">
        <w:rPr>
          <w:rFonts w:ascii="Times New Roman" w:hAnsi="Times New Roman"/>
          <w:sz w:val="24"/>
          <w:lang w:val="sr-Cyrl-CS"/>
        </w:rPr>
        <w:t xml:space="preserve">преко зелених јавних набавки (укључујући и мерљивост кроз алате као што </w:t>
      </w:r>
      <w:r w:rsidR="00440BA2" w:rsidRPr="00644F20">
        <w:rPr>
          <w:rFonts w:ascii="Times New Roman" w:hAnsi="Times New Roman"/>
          <w:sz w:val="24"/>
          <w:lang w:val="sr-Cyrl-CS"/>
        </w:rPr>
        <w:t>су трошкови животног циклуса);</w:t>
      </w:r>
    </w:p>
    <w:p w14:paraId="66A5B31C" w14:textId="77777777" w:rsidR="00497092" w:rsidRPr="00644F20" w:rsidRDefault="002F45E1">
      <w:pPr>
        <w:numPr>
          <w:ilvl w:val="0"/>
          <w:numId w:val="19"/>
        </w:numPr>
        <w:spacing w:after="120" w:line="276" w:lineRule="auto"/>
        <w:contextualSpacing/>
        <w:jc w:val="both"/>
        <w:rPr>
          <w:rFonts w:ascii="Times New Roman" w:hAnsi="Times New Roman"/>
          <w:sz w:val="24"/>
          <w:lang w:val="sr-Cyrl-CS"/>
        </w:rPr>
      </w:pPr>
      <w:r w:rsidRPr="00644F20">
        <w:rPr>
          <w:rFonts w:ascii="Times New Roman" w:hAnsi="Times New Roman"/>
          <w:sz w:val="24"/>
          <w:lang w:val="sr-Cyrl-CS"/>
        </w:rPr>
        <w:t xml:space="preserve">доступност критеријума за </w:t>
      </w:r>
      <w:r w:rsidR="005D74AC" w:rsidRPr="00644F20">
        <w:rPr>
          <w:rFonts w:ascii="Times New Roman" w:hAnsi="Times New Roman"/>
          <w:sz w:val="24"/>
          <w:lang w:val="sr-Cyrl-CS"/>
        </w:rPr>
        <w:t>ЗеЈН</w:t>
      </w:r>
      <w:r w:rsidRPr="00644F20">
        <w:rPr>
          <w:rFonts w:ascii="Times New Roman" w:hAnsi="Times New Roman"/>
          <w:sz w:val="24"/>
          <w:lang w:val="sr-Cyrl-CS"/>
        </w:rPr>
        <w:t xml:space="preserve"> за конкретне групе добара, радова и услуга.  </w:t>
      </w:r>
    </w:p>
    <w:p w14:paraId="7DD5297C" w14:textId="77777777" w:rsidR="00497092" w:rsidRPr="00644F20" w:rsidRDefault="002F45E1" w:rsidP="00D26FC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предвиђено је да се она реализује у сарадњи са К</w:t>
      </w:r>
      <w:r w:rsidR="004F4776" w:rsidRPr="00644F20">
        <w:rPr>
          <w:rFonts w:ascii="Times New Roman" w:hAnsi="Times New Roman" w:cs="Times New Roman"/>
          <w:sz w:val="24"/>
          <w:szCs w:val="24"/>
          <w:lang w:val="sr-Cyrl-CS"/>
        </w:rPr>
        <w:t xml:space="preserve">ЈН, ПКС </w:t>
      </w:r>
      <w:r w:rsidRPr="00644F20">
        <w:rPr>
          <w:rFonts w:ascii="Times New Roman" w:hAnsi="Times New Roman" w:cs="Times New Roman"/>
          <w:sz w:val="24"/>
          <w:szCs w:val="24"/>
          <w:lang w:val="sr-Cyrl-CS"/>
        </w:rPr>
        <w:t xml:space="preserve">и другим заинтересованим организацијама (укључујући </w:t>
      </w:r>
      <w:r w:rsidR="00B533A9" w:rsidRPr="00644F20">
        <w:rPr>
          <w:rFonts w:ascii="Times New Roman" w:hAnsi="Times New Roman" w:cs="Times New Roman"/>
          <w:sz w:val="24"/>
          <w:szCs w:val="24"/>
          <w:lang w:val="sr-Cyrl-CS"/>
        </w:rPr>
        <w:t xml:space="preserve">ОЦД </w:t>
      </w:r>
      <w:r w:rsidRPr="00644F20">
        <w:rPr>
          <w:rFonts w:ascii="Times New Roman" w:hAnsi="Times New Roman" w:cs="Times New Roman"/>
          <w:sz w:val="24"/>
          <w:szCs w:val="24"/>
          <w:lang w:val="sr-Cyrl-CS"/>
        </w:rPr>
        <w:t xml:space="preserve">и НАЛЕД). Део активности предвиђених мером ће реализовати запослени из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и </w:t>
      </w:r>
      <w:r w:rsidR="00C40C94" w:rsidRPr="00644F20">
        <w:rPr>
          <w:rFonts w:ascii="Times New Roman" w:hAnsi="Times New Roman" w:cs="Times New Roman"/>
          <w:sz w:val="24"/>
          <w:szCs w:val="24"/>
          <w:lang w:val="sr-Cyrl-CS"/>
        </w:rPr>
        <w:t>КЈН</w:t>
      </w:r>
      <w:r w:rsidRPr="00644F20">
        <w:rPr>
          <w:rFonts w:ascii="Times New Roman" w:hAnsi="Times New Roman" w:cs="Times New Roman"/>
          <w:sz w:val="24"/>
          <w:szCs w:val="24"/>
          <w:lang w:val="sr-Cyrl-CS"/>
        </w:rPr>
        <w:t xml:space="preserve"> у оквиру свог редовног посла, што ће бити покривено средствима која се редовно издвајају из буџета Републике Србије. Преостала средства неопходна за реализацију мере, у износу од 2.949.000 динара, биће обезбеђена из међународне донаторске помоћи. Реализација мере доказаће се израђеном листом одабраних приоритетних група добара, услуга и радова за примену ЗеЈН. </w:t>
      </w:r>
    </w:p>
    <w:p w14:paraId="75A584F6" w14:textId="77777777" w:rsidR="00497092" w:rsidRPr="00644F20" w:rsidRDefault="002F45E1" w:rsidP="00D26FC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69EAC893"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Мера 4.2: Додатна афирмација зелених јавних набавки и израда водича</w:t>
      </w:r>
    </w:p>
    <w:p w14:paraId="6F1DAF4D" w14:textId="77777777" w:rsidR="00497092"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 xml:space="preserve">У оквиру мере предвиђена је израда посебних стручних водича за </w:t>
      </w:r>
      <w:r w:rsidR="005D74AC" w:rsidRPr="00644F20">
        <w:rPr>
          <w:rFonts w:ascii="Times New Roman" w:hAnsi="Times New Roman"/>
          <w:sz w:val="24"/>
          <w:lang w:val="sr-Cyrl-CS"/>
        </w:rPr>
        <w:t>ЗеЈН</w:t>
      </w:r>
      <w:r w:rsidRPr="00644F20">
        <w:rPr>
          <w:rFonts w:ascii="Times New Roman" w:hAnsi="Times New Roman"/>
          <w:sz w:val="24"/>
          <w:lang w:val="sr-Cyrl-CS"/>
        </w:rPr>
        <w:t xml:space="preserve"> за теме за које се процени да су најпотребније за наручиоце и понуђаче. Као посебно значајне за </w:t>
      </w:r>
      <w:r w:rsidRPr="00644F20">
        <w:rPr>
          <w:rFonts w:ascii="Times New Roman" w:hAnsi="Times New Roman" w:cs="Times New Roman"/>
          <w:sz w:val="24"/>
          <w:szCs w:val="24"/>
          <w:lang w:val="sr-Cyrl-CS"/>
        </w:rPr>
        <w:t xml:space="preserve">унапређење примене зелених јавних набавки издвојене су </w:t>
      </w:r>
      <w:r w:rsidRPr="00644F20">
        <w:rPr>
          <w:rFonts w:ascii="Times New Roman" w:hAnsi="Times New Roman"/>
          <w:sz w:val="24"/>
          <w:lang w:val="sr-Cyrl-CS"/>
        </w:rPr>
        <w:t xml:space="preserve">области: управљање хемикалијама (класификација, паковање и обележавања хемикалија, супстанце које изазивају забринутост), EMAS, Еко знак, стандарди из области животне средине и трошкови животног циклуса за одређене групе добара, услуга и радова. </w:t>
      </w:r>
    </w:p>
    <w:p w14:paraId="60DB1F7F" w14:textId="77777777" w:rsidR="00497092"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 xml:space="preserve">Израђени водичи треба да буду лако доступни заинтересованим странама, што ће се реализовати постављањем водича у електронској форми на интернет страници посвећеној зеленим јавним набавкама, која ће бити део веб-сајта </w:t>
      </w:r>
      <w:r w:rsidR="001B6E66" w:rsidRPr="00644F20">
        <w:rPr>
          <w:rFonts w:ascii="Times New Roman" w:hAnsi="Times New Roman"/>
          <w:sz w:val="24"/>
          <w:lang w:val="sr-Cyrl-CS"/>
        </w:rPr>
        <w:t>МЗЖС</w:t>
      </w:r>
      <w:r w:rsidRPr="00644F20">
        <w:rPr>
          <w:rFonts w:ascii="Times New Roman" w:hAnsi="Times New Roman"/>
          <w:sz w:val="24"/>
          <w:lang w:val="sr-Cyrl-CS"/>
        </w:rPr>
        <w:t xml:space="preserve"> (линк ка наведеној интернет страници ће се налазити на веб-сајту </w:t>
      </w:r>
      <w:r w:rsidR="00C40C94" w:rsidRPr="00644F20">
        <w:rPr>
          <w:rFonts w:ascii="Times New Roman" w:hAnsi="Times New Roman"/>
          <w:sz w:val="24"/>
          <w:lang w:val="sr-Cyrl-CS"/>
        </w:rPr>
        <w:t>КЈН</w:t>
      </w:r>
      <w:r w:rsidRPr="00644F20">
        <w:rPr>
          <w:rFonts w:ascii="Times New Roman" w:hAnsi="Times New Roman"/>
          <w:sz w:val="24"/>
          <w:lang w:val="sr-Cyrl-CS"/>
        </w:rPr>
        <w:t xml:space="preserve">). Пожељно је да се на истој страници обједине и све друге информације, материјали и водичи релевантни за </w:t>
      </w:r>
      <w:r w:rsidR="005D74AC" w:rsidRPr="00644F20">
        <w:rPr>
          <w:rFonts w:ascii="Times New Roman" w:hAnsi="Times New Roman"/>
          <w:sz w:val="24"/>
          <w:lang w:val="sr-Cyrl-CS"/>
        </w:rPr>
        <w:t>ЗеЈН</w:t>
      </w:r>
      <w:r w:rsidRPr="00644F20">
        <w:rPr>
          <w:rFonts w:ascii="Times New Roman" w:hAnsi="Times New Roman"/>
          <w:sz w:val="24"/>
          <w:lang w:val="sr-Cyrl-CS"/>
        </w:rPr>
        <w:t xml:space="preserve">, који су израђени у претходном </w:t>
      </w:r>
      <w:r w:rsidRPr="00644F20">
        <w:rPr>
          <w:rFonts w:ascii="Times New Roman" w:hAnsi="Times New Roman"/>
          <w:sz w:val="24"/>
          <w:lang w:val="sr-Cyrl-CS"/>
        </w:rPr>
        <w:lastRenderedPageBreak/>
        <w:t xml:space="preserve">периоду. Такође, у циљу представљања и дистрибуције водича неопходно је предвидети и одржавање стручних саветовања и обука за заинтересоване стране. </w:t>
      </w:r>
    </w:p>
    <w:p w14:paraId="51543529" w14:textId="77777777" w:rsidR="00497092" w:rsidRPr="00644F20" w:rsidRDefault="002F45E1" w:rsidP="00D26FC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предвиђено је да се она реализује у сарадњи са К</w:t>
      </w:r>
      <w:r w:rsidR="00B533A9" w:rsidRPr="00644F20">
        <w:rPr>
          <w:rFonts w:ascii="Times New Roman" w:hAnsi="Times New Roman" w:cs="Times New Roman"/>
          <w:sz w:val="24"/>
          <w:szCs w:val="24"/>
          <w:lang w:val="sr-Cyrl-CS"/>
        </w:rPr>
        <w:t xml:space="preserve">ЈН, СКГО, ПКС </w:t>
      </w:r>
      <w:r w:rsidRPr="00644F20">
        <w:rPr>
          <w:rFonts w:ascii="Times New Roman" w:hAnsi="Times New Roman" w:cs="Times New Roman"/>
          <w:sz w:val="24"/>
          <w:szCs w:val="24"/>
          <w:lang w:val="sr-Cyrl-CS"/>
        </w:rPr>
        <w:t xml:space="preserve">(укључујући и </w:t>
      </w:r>
      <w:r w:rsidR="00B533A9" w:rsidRPr="00644F20">
        <w:rPr>
          <w:rFonts w:ascii="Times New Roman" w:hAnsi="Times New Roman" w:cs="Times New Roman"/>
          <w:sz w:val="24"/>
          <w:szCs w:val="24"/>
          <w:lang w:val="sr-Cyrl-CS"/>
        </w:rPr>
        <w:t>ОЦД</w:t>
      </w:r>
      <w:r w:rsidRPr="00644F20">
        <w:rPr>
          <w:rFonts w:ascii="Times New Roman" w:hAnsi="Times New Roman" w:cs="Times New Roman"/>
          <w:sz w:val="24"/>
          <w:szCs w:val="24"/>
          <w:lang w:val="sr-Cyrl-CS"/>
        </w:rPr>
        <w:t xml:space="preserve">). Део активности предвиђених мером ће реализовати запослени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и </w:t>
      </w:r>
      <w:r w:rsidR="00C40C94" w:rsidRPr="00644F20">
        <w:rPr>
          <w:rFonts w:ascii="Times New Roman" w:hAnsi="Times New Roman" w:cs="Times New Roman"/>
          <w:sz w:val="24"/>
          <w:szCs w:val="24"/>
          <w:lang w:val="sr-Cyrl-CS"/>
        </w:rPr>
        <w:t>КЈН</w:t>
      </w:r>
      <w:r w:rsidRPr="00644F20">
        <w:rPr>
          <w:rFonts w:ascii="Times New Roman" w:hAnsi="Times New Roman" w:cs="Times New Roman"/>
          <w:sz w:val="24"/>
          <w:szCs w:val="24"/>
          <w:lang w:val="sr-Cyrl-CS"/>
        </w:rPr>
        <w:t xml:space="preserve"> у оквиру свог редовног посла, што ће бити покривено средствима која се редовно издвајају из буџета Републике Србије. Преостала средства неопходна за реализацију мере, у износу од 2.949.000 динара, биће обезбеђена из међународне донаторске помоћи. Реализација мере пратиће се преко укупног броја израђених додатних водича из области ЗеЈН и преко броја реализованих семинара и/или обука из области ЗеЈН на годишњем нивоу. </w:t>
      </w:r>
    </w:p>
    <w:p w14:paraId="2688408F" w14:textId="77777777" w:rsidR="00497092" w:rsidRPr="00644F20" w:rsidRDefault="002F45E1" w:rsidP="00D26FC9">
      <w:pPr>
        <w:spacing w:after="120" w:line="276" w:lineRule="auto"/>
        <w:ind w:firstLine="720"/>
        <w:jc w:val="both"/>
        <w:rPr>
          <w:rFonts w:ascii="Times New Roman" w:hAnsi="Times New Roman" w:cs="Times New Roman"/>
          <w:sz w:val="24"/>
          <w:szCs w:val="24"/>
          <w:u w:val="single"/>
          <w:lang w:val="sr-Cyrl-CS"/>
        </w:rPr>
      </w:pPr>
      <w:r w:rsidRPr="00644F20">
        <w:rPr>
          <w:rFonts w:ascii="Times New Roman" w:hAnsi="Times New Roman" w:cs="Times New Roman"/>
          <w:sz w:val="24"/>
          <w:szCs w:val="24"/>
          <w:lang w:val="sr-Cyrl-CS"/>
        </w:rPr>
        <w:t>Мера је информативно-едукативног карактера.</w:t>
      </w:r>
    </w:p>
    <w:p w14:paraId="54217F8C"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 xml:space="preserve">Мера 4.3: Израда критеријума за </w:t>
      </w:r>
      <w:r w:rsidR="005D74AC" w:rsidRPr="00644F20">
        <w:rPr>
          <w:rFonts w:ascii="Times New Roman" w:hAnsi="Times New Roman"/>
          <w:b/>
          <w:sz w:val="26"/>
          <w:szCs w:val="26"/>
          <w:lang w:val="sr-Cyrl-CS"/>
        </w:rPr>
        <w:t>ЗеЈН</w:t>
      </w:r>
      <w:r w:rsidRPr="00644F20">
        <w:rPr>
          <w:rFonts w:ascii="Times New Roman" w:hAnsi="Times New Roman"/>
          <w:b/>
          <w:sz w:val="26"/>
          <w:szCs w:val="26"/>
          <w:lang w:val="sr-Cyrl-CS"/>
        </w:rPr>
        <w:t xml:space="preserve"> за одговарајуће групе добара, услуга и радова</w:t>
      </w:r>
    </w:p>
    <w:p w14:paraId="2426F048" w14:textId="77777777" w:rsidR="00497092"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 xml:space="preserve">У циљу лакше примене зелених јавних набавки у Републици Србији, мером је предвиђено превођење доступних ЕУ критеријума за </w:t>
      </w:r>
      <w:r w:rsidR="005D74AC" w:rsidRPr="00644F20">
        <w:rPr>
          <w:rFonts w:ascii="Times New Roman" w:hAnsi="Times New Roman"/>
          <w:sz w:val="24"/>
          <w:lang w:val="sr-Cyrl-CS"/>
        </w:rPr>
        <w:t>ЗеЈН</w:t>
      </w:r>
      <w:r w:rsidRPr="00644F20">
        <w:rPr>
          <w:rFonts w:ascii="Times New Roman" w:hAnsi="Times New Roman"/>
          <w:sz w:val="24"/>
          <w:lang w:val="sr-Cyrl-CS"/>
        </w:rPr>
        <w:t xml:space="preserve"> на српски језик, уз додатно прилагођавање националном контексту. </w:t>
      </w:r>
    </w:p>
    <w:p w14:paraId="04DCCC82" w14:textId="77777777" w:rsidR="00497092" w:rsidRPr="00644F20" w:rsidRDefault="002F45E1" w:rsidP="00D26FC9">
      <w:pPr>
        <w:spacing w:after="60" w:line="276" w:lineRule="auto"/>
        <w:ind w:firstLine="720"/>
        <w:jc w:val="both"/>
        <w:rPr>
          <w:rFonts w:ascii="Times New Roman" w:hAnsi="Times New Roman"/>
          <w:sz w:val="24"/>
          <w:lang w:val="sr-Cyrl-CS"/>
        </w:rPr>
      </w:pPr>
      <w:r w:rsidRPr="00644F20">
        <w:rPr>
          <w:rFonts w:ascii="Times New Roman" w:hAnsi="Times New Roman" w:cs="Times New Roman"/>
          <w:sz w:val="24"/>
          <w:szCs w:val="24"/>
          <w:lang w:val="sr-Cyrl-CS"/>
        </w:rPr>
        <w:t xml:space="preserve">Израда критеријума за </w:t>
      </w:r>
      <w:r w:rsidR="005D74AC" w:rsidRPr="00644F20">
        <w:rPr>
          <w:rFonts w:ascii="Times New Roman" w:hAnsi="Times New Roman" w:cs="Times New Roman"/>
          <w:sz w:val="24"/>
          <w:szCs w:val="24"/>
          <w:lang w:val="sr-Cyrl-CS"/>
        </w:rPr>
        <w:t>ЗеЈН</w:t>
      </w:r>
      <w:r w:rsidRPr="00644F20">
        <w:rPr>
          <w:rFonts w:ascii="Times New Roman" w:hAnsi="Times New Roman" w:cs="Times New Roman"/>
          <w:sz w:val="24"/>
          <w:szCs w:val="24"/>
          <w:lang w:val="sr-Cyrl-CS"/>
        </w:rPr>
        <w:t xml:space="preserve"> треба да се одвија постепено, узимајући у обзир информације о већ доступним критеријумима на српском језику и примену одговарајућих критеријума у оквиру </w:t>
      </w:r>
      <w:r w:rsidR="001E55AE" w:rsidRPr="00644F20">
        <w:rPr>
          <w:rFonts w:ascii="Times New Roman" w:hAnsi="Times New Roman" w:cs="Times New Roman"/>
          <w:sz w:val="24"/>
          <w:szCs w:val="24"/>
          <w:lang w:val="sr-Cyrl-CS"/>
        </w:rPr>
        <w:t>Европске уније</w:t>
      </w:r>
      <w:r w:rsidRPr="00644F20">
        <w:rPr>
          <w:rFonts w:ascii="Times New Roman" w:hAnsi="Times New Roman" w:cs="Times New Roman"/>
          <w:sz w:val="24"/>
          <w:szCs w:val="24"/>
          <w:lang w:val="sr-Cyrl-CS"/>
        </w:rPr>
        <w:t xml:space="preserve">. Израђене критеријуме је потребно </w:t>
      </w:r>
      <w:r w:rsidRPr="00644F20">
        <w:rPr>
          <w:rFonts w:ascii="Times New Roman" w:hAnsi="Times New Roman"/>
          <w:sz w:val="24"/>
          <w:lang w:val="sr-Cyrl-CS"/>
        </w:rPr>
        <w:t xml:space="preserve">објављивати на интернет страници </w:t>
      </w:r>
      <w:r w:rsidR="001B6E66" w:rsidRPr="00644F20">
        <w:rPr>
          <w:rFonts w:ascii="Times New Roman" w:hAnsi="Times New Roman"/>
          <w:sz w:val="24"/>
          <w:lang w:val="sr-Cyrl-CS"/>
        </w:rPr>
        <w:t>МЗЖС</w:t>
      </w:r>
      <w:r w:rsidRPr="00644F20">
        <w:rPr>
          <w:rFonts w:ascii="Times New Roman" w:hAnsi="Times New Roman"/>
          <w:sz w:val="24"/>
          <w:lang w:val="sr-Cyrl-CS"/>
        </w:rPr>
        <w:t xml:space="preserve">, како би били на располагању наручиоцима и другим заинтересованим странама за спровођење зелених јавних набавки (линк ка наведеној интернет страници ће се налазити и на веб-сајту </w:t>
      </w:r>
      <w:r w:rsidR="00C40C94" w:rsidRPr="00644F20">
        <w:rPr>
          <w:rFonts w:ascii="Times New Roman" w:hAnsi="Times New Roman"/>
          <w:sz w:val="24"/>
          <w:lang w:val="sr-Cyrl-CS"/>
        </w:rPr>
        <w:t>КЈН</w:t>
      </w:r>
      <w:r w:rsidRPr="00644F20">
        <w:rPr>
          <w:rFonts w:ascii="Times New Roman" w:hAnsi="Times New Roman"/>
          <w:sz w:val="24"/>
          <w:lang w:val="sr-Cyrl-CS"/>
        </w:rPr>
        <w:t>). Такође, потребно је организовати и одговарајуће стручне обуке у вези са израђеним критеријумима, за наручиоце и понуђаче.</w:t>
      </w:r>
    </w:p>
    <w:p w14:paraId="259E3C3E" w14:textId="77777777" w:rsidR="00497092" w:rsidRPr="00644F20" w:rsidRDefault="002F45E1" w:rsidP="00D26FC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предвиђено је да се она реализује у сарадњи са К</w:t>
      </w:r>
      <w:r w:rsidR="00B533A9" w:rsidRPr="00644F20">
        <w:rPr>
          <w:rFonts w:ascii="Times New Roman" w:hAnsi="Times New Roman" w:cs="Times New Roman"/>
          <w:sz w:val="24"/>
          <w:szCs w:val="24"/>
          <w:lang w:val="sr-Cyrl-CS"/>
        </w:rPr>
        <w:t xml:space="preserve">ЈН, ПКС </w:t>
      </w:r>
      <w:r w:rsidRPr="00644F20">
        <w:rPr>
          <w:rFonts w:ascii="Times New Roman" w:hAnsi="Times New Roman"/>
          <w:sz w:val="24"/>
          <w:lang w:val="sr-Cyrl-CS"/>
        </w:rPr>
        <w:t xml:space="preserve">и другим релевантним заинтересованим странама (укључујући и </w:t>
      </w:r>
      <w:r w:rsidR="00B533A9" w:rsidRPr="00644F20">
        <w:rPr>
          <w:rFonts w:ascii="Times New Roman" w:hAnsi="Times New Roman"/>
          <w:sz w:val="24"/>
          <w:lang w:val="sr-Cyrl-CS"/>
        </w:rPr>
        <w:t xml:space="preserve">ОЦД </w:t>
      </w:r>
      <w:r w:rsidRPr="00644F20">
        <w:rPr>
          <w:rFonts w:ascii="Times New Roman" w:hAnsi="Times New Roman"/>
          <w:sz w:val="24"/>
          <w:lang w:val="sr-Cyrl-CS"/>
        </w:rPr>
        <w:t>и НАЛЕД)</w:t>
      </w:r>
      <w:r w:rsidRPr="00644F20">
        <w:rPr>
          <w:rFonts w:ascii="Times New Roman" w:hAnsi="Times New Roman" w:cs="Times New Roman"/>
          <w:sz w:val="24"/>
          <w:szCs w:val="24"/>
          <w:lang w:val="sr-Cyrl-CS"/>
        </w:rPr>
        <w:t xml:space="preserve">. Део активности предвиђених мером ће реализовати запослени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и </w:t>
      </w:r>
      <w:r w:rsidR="00C40C94" w:rsidRPr="00644F20">
        <w:rPr>
          <w:rFonts w:ascii="Times New Roman" w:hAnsi="Times New Roman" w:cs="Times New Roman"/>
          <w:sz w:val="24"/>
          <w:szCs w:val="24"/>
          <w:lang w:val="sr-Cyrl-CS"/>
        </w:rPr>
        <w:t>КЈН</w:t>
      </w:r>
      <w:r w:rsidRPr="00644F20">
        <w:rPr>
          <w:rFonts w:ascii="Times New Roman" w:hAnsi="Times New Roman" w:cs="Times New Roman"/>
          <w:sz w:val="24"/>
          <w:szCs w:val="24"/>
          <w:lang w:val="sr-Cyrl-CS"/>
        </w:rPr>
        <w:t xml:space="preserve"> у оквиру свог редовног посла, што ће бити покривено средствима која се редовно издвајају из буџета Републике Србије. Преостала средства неопходна за реализацију мере, у износу од 2.949.000 динара, биће обезбеђена из међународне донаторске помоћи. Реализација мере пратиће се преко укупног броја израђених докумената за критеријуме за ЗеЈН за одговарајуће групе добара, услуга и радова. </w:t>
      </w:r>
    </w:p>
    <w:p w14:paraId="4279E606" w14:textId="77777777" w:rsidR="00497092" w:rsidRPr="00644F20" w:rsidRDefault="002F45E1" w:rsidP="00D26FC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597A434E" w14:textId="77777777" w:rsidR="00497092" w:rsidRPr="00644F20" w:rsidRDefault="002F45E1">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Мера 4.4: Унапређење прописа из области ЕMAS и Еко знака</w:t>
      </w:r>
    </w:p>
    <w:p w14:paraId="4274D9FB" w14:textId="77777777" w:rsidR="00497092" w:rsidRPr="00644F20" w:rsidRDefault="002F45E1" w:rsidP="007559C2">
      <w:pPr>
        <w:spacing w:after="0" w:line="276" w:lineRule="auto"/>
        <w:ind w:firstLine="360"/>
        <w:jc w:val="both"/>
        <w:rPr>
          <w:rFonts w:ascii="Times New Roman" w:hAnsi="Times New Roman"/>
          <w:sz w:val="24"/>
          <w:lang w:val="sr-Cyrl-CS"/>
        </w:rPr>
      </w:pPr>
      <w:r w:rsidRPr="00644F20">
        <w:rPr>
          <w:rFonts w:ascii="Times New Roman" w:hAnsi="Times New Roman"/>
          <w:sz w:val="24"/>
          <w:lang w:val="sr-Cyrl-CS"/>
        </w:rPr>
        <w:t>У циљу унапређења прописа који се односе на примену добровољних инструмената</w:t>
      </w:r>
      <w:r w:rsidRPr="00644F20">
        <w:rPr>
          <w:rFonts w:ascii="Times New Roman" w:hAnsi="Times New Roman" w:cs="Times New Roman"/>
          <w:sz w:val="24"/>
          <w:szCs w:val="24"/>
          <w:lang w:val="sr-Cyrl-CS"/>
        </w:rPr>
        <w:t xml:space="preserve"> из области заштите животне средине у Републици Србији</w:t>
      </w:r>
      <w:r w:rsidRPr="00644F20">
        <w:rPr>
          <w:rFonts w:ascii="Times New Roman" w:hAnsi="Times New Roman"/>
          <w:sz w:val="24"/>
          <w:lang w:val="sr-Cyrl-CS"/>
        </w:rPr>
        <w:t>, у оквиру мере је планирано да се изврши припрема, усвајање и објављивање:</w:t>
      </w:r>
    </w:p>
    <w:p w14:paraId="17DB5970" w14:textId="77777777" w:rsidR="007559C2" w:rsidRPr="00644F20" w:rsidRDefault="001E55AE" w:rsidP="007559C2">
      <w:pPr>
        <w:pStyle w:val="ListParagraph"/>
        <w:numPr>
          <w:ilvl w:val="0"/>
          <w:numId w:val="20"/>
        </w:numPr>
        <w:spacing w:after="0"/>
        <w:jc w:val="both"/>
        <w:rPr>
          <w:rFonts w:ascii="Times New Roman" w:hAnsi="Times New Roman"/>
          <w:sz w:val="24"/>
          <w:lang w:val="sr-Cyrl-CS"/>
        </w:rPr>
      </w:pPr>
      <w:r w:rsidRPr="00644F20">
        <w:rPr>
          <w:rFonts w:ascii="Times New Roman" w:hAnsi="Times New Roman"/>
          <w:sz w:val="24"/>
          <w:lang w:val="sr-Cyrl-CS"/>
        </w:rPr>
        <w:t xml:space="preserve">правилника </w:t>
      </w:r>
      <w:r w:rsidR="002F45E1" w:rsidRPr="00644F20">
        <w:rPr>
          <w:rFonts w:ascii="Times New Roman" w:hAnsi="Times New Roman"/>
          <w:sz w:val="24"/>
          <w:lang w:val="sr-Cyrl-CS"/>
        </w:rPr>
        <w:t>о ЕMAS-у чија је за</w:t>
      </w:r>
      <w:r w:rsidRPr="00644F20">
        <w:rPr>
          <w:rFonts w:ascii="Times New Roman" w:hAnsi="Times New Roman"/>
          <w:sz w:val="24"/>
          <w:lang w:val="sr-Cyrl-CS"/>
        </w:rPr>
        <w:t>конска основа дата кроз члан 44.</w:t>
      </w:r>
      <w:r w:rsidR="002F45E1" w:rsidRPr="00644F20">
        <w:rPr>
          <w:rFonts w:ascii="Times New Roman" w:hAnsi="Times New Roman"/>
          <w:sz w:val="24"/>
          <w:lang w:val="sr-Cyrl-CS"/>
        </w:rPr>
        <w:t xml:space="preserve"> став 9</w:t>
      </w:r>
      <w:r w:rsidRPr="00644F20">
        <w:rPr>
          <w:rFonts w:ascii="Times New Roman" w:hAnsi="Times New Roman"/>
          <w:sz w:val="24"/>
          <w:lang w:val="sr-Cyrl-CS"/>
        </w:rPr>
        <w:t>.</w:t>
      </w:r>
      <w:r w:rsidR="002F45E1" w:rsidRPr="00644F20">
        <w:rPr>
          <w:rFonts w:ascii="Times New Roman" w:hAnsi="Times New Roman"/>
          <w:sz w:val="24"/>
          <w:lang w:val="sr-Cyrl-CS"/>
        </w:rPr>
        <w:t xml:space="preserve"> Закона о </w:t>
      </w:r>
    </w:p>
    <w:p w14:paraId="5502DCB4" w14:textId="77777777" w:rsidR="00497092" w:rsidRPr="00644F20" w:rsidRDefault="002F45E1" w:rsidP="007559C2">
      <w:pPr>
        <w:spacing w:after="0"/>
        <w:jc w:val="both"/>
        <w:rPr>
          <w:rFonts w:ascii="Times New Roman" w:hAnsi="Times New Roman"/>
          <w:sz w:val="24"/>
          <w:lang w:val="sr-Cyrl-CS"/>
        </w:rPr>
      </w:pPr>
      <w:r w:rsidRPr="00644F20">
        <w:rPr>
          <w:rFonts w:ascii="Times New Roman" w:hAnsi="Times New Roman"/>
          <w:sz w:val="24"/>
          <w:lang w:val="sr-Cyrl-CS"/>
        </w:rPr>
        <w:t xml:space="preserve">заштити животне средине; </w:t>
      </w:r>
    </w:p>
    <w:p w14:paraId="69D9B603" w14:textId="77777777" w:rsidR="007559C2" w:rsidRPr="00644F20" w:rsidRDefault="001E55AE" w:rsidP="007559C2">
      <w:pPr>
        <w:numPr>
          <w:ilvl w:val="0"/>
          <w:numId w:val="20"/>
        </w:numPr>
        <w:spacing w:after="0" w:line="276" w:lineRule="auto"/>
        <w:contextualSpacing/>
        <w:jc w:val="both"/>
        <w:rPr>
          <w:rFonts w:ascii="Times New Roman" w:hAnsi="Times New Roman"/>
          <w:sz w:val="24"/>
          <w:lang w:val="sr-Cyrl-CS"/>
        </w:rPr>
      </w:pPr>
      <w:r w:rsidRPr="00644F20">
        <w:rPr>
          <w:rFonts w:ascii="Times New Roman" w:hAnsi="Times New Roman"/>
          <w:sz w:val="24"/>
          <w:lang w:val="sr-Cyrl-CS"/>
        </w:rPr>
        <w:t xml:space="preserve">измене </w:t>
      </w:r>
      <w:r w:rsidR="002F45E1" w:rsidRPr="00644F20">
        <w:rPr>
          <w:rFonts w:ascii="Times New Roman" w:hAnsi="Times New Roman"/>
          <w:sz w:val="24"/>
          <w:lang w:val="sr-Cyrl-CS"/>
        </w:rPr>
        <w:t xml:space="preserve">Правилника о ближим условима, критеријумима и поступку за добијање права </w:t>
      </w:r>
    </w:p>
    <w:p w14:paraId="60287C03" w14:textId="77777777" w:rsidR="00497092" w:rsidRPr="00644F20" w:rsidRDefault="002F45E1" w:rsidP="007559C2">
      <w:pPr>
        <w:spacing w:after="0" w:line="276" w:lineRule="auto"/>
        <w:contextualSpacing/>
        <w:jc w:val="both"/>
        <w:rPr>
          <w:rFonts w:ascii="Times New Roman" w:hAnsi="Times New Roman"/>
          <w:sz w:val="24"/>
          <w:lang w:val="sr-Cyrl-CS"/>
        </w:rPr>
      </w:pPr>
      <w:r w:rsidRPr="00644F20">
        <w:rPr>
          <w:rFonts w:ascii="Times New Roman" w:hAnsi="Times New Roman"/>
          <w:sz w:val="24"/>
          <w:lang w:val="sr-Cyrl-CS"/>
        </w:rPr>
        <w:t>на коришћење еколошког знака, елементима, изгледу и начину употребе еколошко</w:t>
      </w:r>
      <w:r w:rsidR="001E55AE" w:rsidRPr="00644F20">
        <w:rPr>
          <w:rFonts w:ascii="Times New Roman" w:hAnsi="Times New Roman"/>
          <w:sz w:val="24"/>
          <w:lang w:val="sr-Cyrl-CS"/>
        </w:rPr>
        <w:t>г знака за производе и услуге.</w:t>
      </w:r>
      <w:r w:rsidRPr="00644F20">
        <w:rPr>
          <w:rFonts w:ascii="Times New Roman" w:hAnsi="Times New Roman"/>
          <w:sz w:val="24"/>
          <w:lang w:val="sr-Cyrl-CS"/>
        </w:rPr>
        <w:t xml:space="preserve"> </w:t>
      </w:r>
    </w:p>
    <w:p w14:paraId="0C2A60A6" w14:textId="77777777" w:rsidR="00497092" w:rsidRPr="00644F20" w:rsidRDefault="002F45E1" w:rsidP="007559C2">
      <w:pPr>
        <w:spacing w:after="0" w:line="276" w:lineRule="auto"/>
        <w:ind w:firstLine="360"/>
        <w:jc w:val="both"/>
        <w:rPr>
          <w:rFonts w:ascii="Times New Roman" w:hAnsi="Times New Roman"/>
          <w:sz w:val="24"/>
          <w:lang w:val="sr-Cyrl-CS"/>
        </w:rPr>
      </w:pPr>
      <w:r w:rsidRPr="00644F20">
        <w:rPr>
          <w:rFonts w:ascii="Times New Roman" w:hAnsi="Times New Roman"/>
          <w:sz w:val="24"/>
          <w:lang w:val="sr-Cyrl-CS"/>
        </w:rPr>
        <w:lastRenderedPageBreak/>
        <w:t xml:space="preserve">Правилник о ЕMAS-у треба да пружи додатну помоћ организацијама из Републике Србије да остваре регистрацију у ЕMAS регистар у оквиру ЕУ, док је изменом Правилника о </w:t>
      </w:r>
      <w:r w:rsidR="00935364" w:rsidRPr="00644F20">
        <w:rPr>
          <w:rFonts w:ascii="Times New Roman" w:hAnsi="Times New Roman"/>
          <w:sz w:val="24"/>
          <w:lang w:val="sr-Cyrl-CS"/>
        </w:rPr>
        <w:t xml:space="preserve">ближим условима, критеријумима и поступку за добијање права на коришћење еколошког знака, елементима, изгледу и начину употребе еколошког знака за производе и услуге </w:t>
      </w:r>
      <w:r w:rsidRPr="00644F20">
        <w:rPr>
          <w:rFonts w:ascii="Times New Roman" w:hAnsi="Times New Roman"/>
          <w:sz w:val="24"/>
          <w:lang w:val="sr-Cyrl-CS"/>
        </w:rPr>
        <w:t xml:space="preserve">потребно да се постигне даље усаглашавање критеријума за национални Еко знак са важећим критеријумима за ЕУ Еко знак, као и да се покрију додатне групе производа и услуга (према приоритетима који ће бити дефинисани за </w:t>
      </w:r>
      <w:r w:rsidR="005D74AC" w:rsidRPr="00644F20">
        <w:rPr>
          <w:rFonts w:ascii="Times New Roman" w:hAnsi="Times New Roman"/>
          <w:sz w:val="24"/>
          <w:lang w:val="sr-Cyrl-CS"/>
        </w:rPr>
        <w:t>ЗеЈН</w:t>
      </w:r>
      <w:r w:rsidRPr="00644F20">
        <w:rPr>
          <w:rFonts w:ascii="Times New Roman" w:hAnsi="Times New Roman"/>
          <w:sz w:val="24"/>
          <w:lang w:val="sr-Cyrl-CS"/>
        </w:rPr>
        <w:t xml:space="preserve"> и њиховој заступљености на тржишту Републике Србије). </w:t>
      </w:r>
    </w:p>
    <w:p w14:paraId="50CA86D0" w14:textId="77777777" w:rsidR="00497092" w:rsidRPr="00644F20" w:rsidRDefault="002F45E1" w:rsidP="00024FD1">
      <w:pPr>
        <w:spacing w:after="60" w:line="276" w:lineRule="auto"/>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Поред планираних измена прописа пожељно је и дефинисање предлога додатних мера за даља унапређења примене добровољних инструмената из области заштите животне средине. </w:t>
      </w:r>
    </w:p>
    <w:p w14:paraId="04A2B07C" w14:textId="77777777" w:rsidR="00497092" w:rsidRPr="00644F20" w:rsidRDefault="001E55AE">
      <w:pPr>
        <w:spacing w:after="120" w:line="276" w:lineRule="auto"/>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 xml:space="preserve">Одговорна институција за реализацију мере је </w:t>
      </w:r>
      <w:r w:rsidR="001B6E66" w:rsidRPr="00644F20">
        <w:rPr>
          <w:rFonts w:ascii="Times New Roman" w:hAnsi="Times New Roman" w:cs="Times New Roman"/>
          <w:sz w:val="24"/>
          <w:szCs w:val="24"/>
          <w:lang w:val="sr-Cyrl-CS"/>
        </w:rPr>
        <w:t>МЗЖС</w:t>
      </w:r>
      <w:r w:rsidR="002F45E1" w:rsidRPr="00644F20">
        <w:rPr>
          <w:rFonts w:ascii="Times New Roman" w:hAnsi="Times New Roman" w:cs="Times New Roman"/>
          <w:sz w:val="24"/>
          <w:szCs w:val="24"/>
          <w:lang w:val="sr-Cyrl-CS"/>
        </w:rPr>
        <w:t xml:space="preserve">. Финансијска средства за реализацију мере биће обезбеђена из буџета Републике Србије. Део активности предвиђених мером ће реализовати запослени </w:t>
      </w:r>
      <w:r w:rsidR="001B6E66" w:rsidRPr="00644F20">
        <w:rPr>
          <w:rFonts w:ascii="Times New Roman" w:hAnsi="Times New Roman" w:cs="Times New Roman"/>
          <w:sz w:val="24"/>
          <w:szCs w:val="24"/>
          <w:lang w:val="sr-Cyrl-CS"/>
        </w:rPr>
        <w:t>МЗЖС</w:t>
      </w:r>
      <w:r w:rsidR="002F45E1" w:rsidRPr="00644F20">
        <w:rPr>
          <w:rFonts w:ascii="Times New Roman" w:hAnsi="Times New Roman" w:cs="Times New Roman"/>
          <w:sz w:val="24"/>
          <w:szCs w:val="24"/>
          <w:lang w:val="sr-Cyrl-CS"/>
        </w:rPr>
        <w:t xml:space="preserve"> у оквиру свог редовног посла, што ће бити покривено средствима која се редовно издвајају из буџета Републике Србије. Преостала средства неопходна за реализацију мере, у износу од 300.000 динара, биће обезбеђена са пројекта „Смањење угљеничног отиска локалних заједница применом при</w:t>
      </w:r>
      <w:r w:rsidRPr="00644F20">
        <w:rPr>
          <w:rFonts w:ascii="Times New Roman" w:hAnsi="Times New Roman" w:cs="Times New Roman"/>
          <w:sz w:val="24"/>
          <w:szCs w:val="24"/>
          <w:lang w:val="sr-Cyrl-CS"/>
        </w:rPr>
        <w:t>нципа циркуларне економије у Републици Србији</w:t>
      </w:r>
      <w:r w:rsidR="00D26FC9" w:rsidRPr="00644F20">
        <w:rPr>
          <w:rFonts w:ascii="Times New Roman" w:hAnsi="Times New Roman" w:cs="Times New Roman"/>
          <w:sz w:val="24"/>
          <w:szCs w:val="24"/>
          <w:lang w:val="sr-Cyrl-CS"/>
        </w:rPr>
        <w:t>”</w:t>
      </w:r>
      <w:r w:rsidR="002F45E1" w:rsidRPr="00644F20">
        <w:rPr>
          <w:rFonts w:ascii="Times New Roman" w:hAnsi="Times New Roman" w:cs="Times New Roman"/>
          <w:sz w:val="24"/>
          <w:szCs w:val="24"/>
          <w:lang w:val="sr-Cyrl-CS"/>
        </w:rPr>
        <w:t xml:space="preserve">. Степен реализације мере доказаће се објављивањем ЕMAS Правилника и објављивањем ревидираног </w:t>
      </w:r>
      <w:r w:rsidR="00935364" w:rsidRPr="00644F20">
        <w:rPr>
          <w:rFonts w:ascii="Times New Roman" w:hAnsi="Times New Roman" w:cs="Times New Roman"/>
          <w:sz w:val="24"/>
          <w:szCs w:val="24"/>
          <w:lang w:val="sr-Cyrl-CS"/>
        </w:rPr>
        <w:t>п</w:t>
      </w:r>
      <w:r w:rsidR="002F45E1" w:rsidRPr="00644F20">
        <w:rPr>
          <w:rFonts w:ascii="Times New Roman" w:hAnsi="Times New Roman" w:cs="Times New Roman"/>
          <w:sz w:val="24"/>
          <w:szCs w:val="24"/>
          <w:lang w:val="sr-Cyrl-CS"/>
        </w:rPr>
        <w:t xml:space="preserve">равилника о Еко знаку, као и израдом анализе са предлозима мера за даља унапређења подстицања примене постојећих и могућности увођења додатних добровољних инструмената. </w:t>
      </w:r>
    </w:p>
    <w:p w14:paraId="70592D22" w14:textId="77777777" w:rsidR="00497092" w:rsidRPr="00644F20" w:rsidRDefault="002F45E1" w:rsidP="00D26FC9">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регулаторног типа.</w:t>
      </w:r>
    </w:p>
    <w:p w14:paraId="28255203" w14:textId="77777777" w:rsidR="00497092" w:rsidRPr="00644F20" w:rsidRDefault="001E55AE">
      <w:pPr>
        <w:spacing w:before="240" w:after="120" w:line="276" w:lineRule="auto"/>
        <w:jc w:val="both"/>
        <w:rPr>
          <w:rFonts w:ascii="Times New Roman" w:hAnsi="Times New Roman"/>
          <w:b/>
          <w:sz w:val="26"/>
          <w:szCs w:val="26"/>
          <w:lang w:val="sr-Cyrl-CS"/>
        </w:rPr>
      </w:pPr>
      <w:r w:rsidRPr="00644F20">
        <w:rPr>
          <w:rFonts w:ascii="Times New Roman" w:hAnsi="Times New Roman"/>
          <w:b/>
          <w:sz w:val="26"/>
          <w:szCs w:val="26"/>
          <w:lang w:val="sr-Cyrl-CS"/>
        </w:rPr>
        <w:t>Ме</w:t>
      </w:r>
      <w:r w:rsidR="003835F0" w:rsidRPr="00644F20">
        <w:rPr>
          <w:rFonts w:ascii="Times New Roman" w:hAnsi="Times New Roman"/>
          <w:b/>
          <w:sz w:val="26"/>
          <w:szCs w:val="26"/>
          <w:lang w:val="sr-Cyrl-CS"/>
        </w:rPr>
        <w:t>ра 4.5:</w:t>
      </w:r>
      <w:r w:rsidR="002F45E1" w:rsidRPr="00644F20">
        <w:rPr>
          <w:rFonts w:ascii="Times New Roman" w:hAnsi="Times New Roman"/>
          <w:b/>
          <w:sz w:val="26"/>
          <w:szCs w:val="26"/>
          <w:lang w:val="sr-Cyrl-CS"/>
        </w:rPr>
        <w:t xml:space="preserve"> Промоција ЕMAS и Еко знака</w:t>
      </w:r>
    </w:p>
    <w:p w14:paraId="3AC7FCDB" w14:textId="77777777" w:rsidR="00497092" w:rsidRPr="00644F20" w:rsidRDefault="002F45E1" w:rsidP="00024FD1">
      <w:pPr>
        <w:spacing w:after="60" w:line="276" w:lineRule="auto"/>
        <w:ind w:firstLine="720"/>
        <w:jc w:val="both"/>
        <w:rPr>
          <w:rFonts w:ascii="Times New Roman" w:hAnsi="Times New Roman"/>
          <w:sz w:val="24"/>
          <w:lang w:val="sr-Cyrl-CS"/>
        </w:rPr>
      </w:pPr>
      <w:r w:rsidRPr="00644F20">
        <w:rPr>
          <w:rFonts w:ascii="Times New Roman" w:hAnsi="Times New Roman"/>
          <w:sz w:val="24"/>
          <w:lang w:val="sr-Cyrl-CS"/>
        </w:rPr>
        <w:t xml:space="preserve">У циљу промоције постојећих добровољних инструмената </w:t>
      </w:r>
      <w:r w:rsidRPr="00644F20">
        <w:rPr>
          <w:rFonts w:ascii="Times New Roman" w:hAnsi="Times New Roman" w:cs="Times New Roman"/>
          <w:sz w:val="24"/>
          <w:szCs w:val="24"/>
          <w:lang w:val="sr-Cyrl-CS"/>
        </w:rPr>
        <w:t xml:space="preserve">и повећања броја регистрација за ЕMAS и Еко знак, </w:t>
      </w:r>
      <w:r w:rsidRPr="00644F20">
        <w:rPr>
          <w:rFonts w:ascii="Times New Roman" w:hAnsi="Times New Roman"/>
          <w:sz w:val="24"/>
          <w:lang w:val="sr-Cyrl-CS"/>
        </w:rPr>
        <w:t xml:space="preserve">мером је предвиђена израда смерница/водича за регистрацију предузећа у ЕMAS регистар и остваривање права на национални Еко знак за привреду. Поред тога, потребно је успоставити и посебну интернет страницу за добровољне инструменте у оквиру веб-сајта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w:t>
      </w:r>
      <w:r w:rsidRPr="00644F20">
        <w:rPr>
          <w:rFonts w:ascii="Times New Roman" w:hAnsi="Times New Roman"/>
          <w:sz w:val="24"/>
          <w:lang w:val="sr-Cyrl-CS"/>
        </w:rPr>
        <w:t xml:space="preserve">која би садржала одговарајуће водиче, брошуре и ажурне информације о производима којима је додељен национални Еко знак и извршеним ЕMAS регистрацијама, </w:t>
      </w:r>
      <w:r w:rsidRPr="00644F20">
        <w:rPr>
          <w:rFonts w:ascii="Times New Roman" w:hAnsi="Times New Roman" w:cs="Times New Roman"/>
          <w:sz w:val="24"/>
          <w:szCs w:val="24"/>
          <w:lang w:val="sr-Cyrl-CS"/>
        </w:rPr>
        <w:t xml:space="preserve"> и организовати стручне скупове на тему ЕMAS-а и Еко знака.</w:t>
      </w:r>
    </w:p>
    <w:p w14:paraId="253C2724" w14:textId="77777777" w:rsidR="00497092" w:rsidRPr="00644F20" w:rsidRDefault="002F45E1" w:rsidP="00024FD1">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Финансијска средства за реализацију мере, у износу од 950.000 динара, биће обезбеђена из буџета Републике Србије, са пројекта „Смањење угљеничног отиска локалних заједница применом при</w:t>
      </w:r>
      <w:r w:rsidR="00935364" w:rsidRPr="00644F20">
        <w:rPr>
          <w:rFonts w:ascii="Times New Roman" w:hAnsi="Times New Roman" w:cs="Times New Roman"/>
          <w:sz w:val="24"/>
          <w:szCs w:val="24"/>
          <w:lang w:val="sr-Cyrl-CS"/>
        </w:rPr>
        <w:t>нципа циркуларне економије у Р</w:t>
      </w:r>
      <w:r w:rsidR="00F35B32" w:rsidRPr="00644F20">
        <w:rPr>
          <w:rFonts w:ascii="Times New Roman" w:hAnsi="Times New Roman" w:cs="Times New Roman"/>
          <w:sz w:val="24"/>
          <w:szCs w:val="24"/>
          <w:lang w:val="sr-Cyrl-CS"/>
        </w:rPr>
        <w:t xml:space="preserve">епублици </w:t>
      </w:r>
      <w:r w:rsidR="00935364" w:rsidRPr="00644F20">
        <w:rPr>
          <w:rFonts w:ascii="Times New Roman" w:hAnsi="Times New Roman" w:cs="Times New Roman"/>
          <w:sz w:val="24"/>
          <w:szCs w:val="24"/>
          <w:lang w:val="sr-Cyrl-CS"/>
        </w:rPr>
        <w:t>С</w:t>
      </w:r>
      <w:r w:rsidR="00F35B32" w:rsidRPr="00644F20">
        <w:rPr>
          <w:rFonts w:ascii="Times New Roman" w:hAnsi="Times New Roman" w:cs="Times New Roman"/>
          <w:sz w:val="24"/>
          <w:szCs w:val="24"/>
          <w:lang w:val="sr-Cyrl-CS"/>
        </w:rPr>
        <w:t>рбији</w:t>
      </w:r>
      <w:r w:rsidR="00935364"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xml:space="preserve">.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а предвиђено је да се она реализује у сарадњи са </w:t>
      </w:r>
      <w:r w:rsidR="00A96A68" w:rsidRPr="00644F20">
        <w:rPr>
          <w:rFonts w:ascii="Times New Roman" w:hAnsi="Times New Roman" w:cs="Times New Roman"/>
          <w:sz w:val="24"/>
          <w:szCs w:val="24"/>
          <w:lang w:val="sr-Cyrl-CS"/>
        </w:rPr>
        <w:t>ПКС</w:t>
      </w:r>
      <w:r w:rsidRPr="00644F20">
        <w:rPr>
          <w:rFonts w:ascii="Times New Roman" w:hAnsi="Times New Roman" w:cs="Times New Roman"/>
          <w:sz w:val="24"/>
          <w:szCs w:val="24"/>
          <w:lang w:val="sr-Cyrl-CS"/>
        </w:rPr>
        <w:t xml:space="preserve">. Реализација мере пратиће се преко укупног броја објављених смерница/водича у вези са ЕMAS и Еко знаком и укупног броја одржаних стручних скупова на тему ЕMAS и Еко знака. </w:t>
      </w:r>
    </w:p>
    <w:p w14:paraId="0FB651CB" w14:textId="77777777" w:rsidR="00497092" w:rsidRPr="00644F20" w:rsidRDefault="002F45E1" w:rsidP="00024FD1">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606C97AF" w14:textId="77777777" w:rsidR="00497092" w:rsidRPr="00644F20" w:rsidRDefault="002F45E1">
      <w:pPr>
        <w:spacing w:before="240" w:after="120"/>
        <w:jc w:val="both"/>
        <w:rPr>
          <w:rFonts w:ascii="Times New Roman" w:hAnsi="Times New Roman" w:cs="Times New Roman"/>
          <w:b/>
          <w:sz w:val="28"/>
          <w:szCs w:val="28"/>
          <w:lang w:val="sr-Cyrl-CS"/>
        </w:rPr>
      </w:pPr>
      <w:r w:rsidRPr="00644F20">
        <w:rPr>
          <w:rFonts w:ascii="Times New Roman" w:hAnsi="Times New Roman" w:cs="Times New Roman"/>
          <w:b/>
          <w:sz w:val="28"/>
          <w:szCs w:val="28"/>
          <w:lang w:val="sr-Cyrl-CS"/>
        </w:rPr>
        <w:t>Посебан циљ 5: Подизање свести заинтересоване јавности и образовних институција о концепту циркуларне економије</w:t>
      </w:r>
    </w:p>
    <w:p w14:paraId="41040498" w14:textId="77777777" w:rsidR="00497092" w:rsidRPr="00644F20" w:rsidRDefault="002F45E1" w:rsidP="00024FD1">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Како би процес транзиције ка циркуларној економији био успешан, потребно је развити одређена знања и вештине код стручне јавности, као и мотивисати и охрабрити становништво да промени своје навике. Стога је јачање свести, правовремена информисаност и едукација популације свих узраста о принципима и користима транзиције ка циркуларној економији </w:t>
      </w:r>
      <w:r w:rsidRPr="00644F20">
        <w:rPr>
          <w:rFonts w:ascii="Times New Roman" w:hAnsi="Times New Roman" w:cs="Times New Roman"/>
          <w:sz w:val="24"/>
          <w:szCs w:val="24"/>
          <w:lang w:val="sr-Cyrl-CS"/>
        </w:rPr>
        <w:lastRenderedPageBreak/>
        <w:t xml:space="preserve">неопходан циљ овог </w:t>
      </w:r>
      <w:r w:rsidR="00A96A68" w:rsidRPr="00644F20">
        <w:rPr>
          <w:rFonts w:ascii="Times New Roman" w:hAnsi="Times New Roman" w:cs="Times New Roman"/>
          <w:sz w:val="24"/>
          <w:szCs w:val="24"/>
          <w:lang w:val="sr-Cyrl-CS"/>
        </w:rPr>
        <w:t>програма</w:t>
      </w:r>
      <w:r w:rsidRPr="00644F20">
        <w:rPr>
          <w:rFonts w:ascii="Times New Roman" w:hAnsi="Times New Roman" w:cs="Times New Roman"/>
          <w:sz w:val="24"/>
          <w:szCs w:val="24"/>
          <w:lang w:val="sr-Cyrl-CS"/>
        </w:rPr>
        <w:t xml:space="preserve">. За његово остваривање потребно је спровести систематску едукацију користећи промотивне материјале, медије и образовне институције. </w:t>
      </w:r>
    </w:p>
    <w:p w14:paraId="523103E6" w14:textId="77777777" w:rsidR="00497092" w:rsidRPr="00644F20" w:rsidRDefault="002F45E1" w:rsidP="00024FD1">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Подизање свести заинтересоване јавности и образовних институција o значају увођења циркуларне економије за привреду и савремено друштво, те очувања ресурса и заштите здравља људи и животне средине може се остварити применом информационо-едукативних мера, односно активности. Такође, с обзиром на то да увођење концепта циркуларне економије доприноси остваривању циљева одрживог развоја, посебна пажња биће усмерена на повезаност циркуларне економије и одрживог развоја, те ће се промовисати концепт који тежи побољшавању квалитета живота кроз међусобно повезивање економског развоја, заштите животне средине и друштвене одговорности.</w:t>
      </w:r>
    </w:p>
    <w:p w14:paraId="3D6F6FBD" w14:textId="77777777" w:rsidR="00497092" w:rsidRPr="00644F20" w:rsidRDefault="002F45E1" w:rsidP="00024FD1">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Остваривање овог посебног циља допринеће развоју циркуларне културе код различитих слојева друштвa, укључујући и младе који су будући учесници друштвених и привредних процеса. За праћење остваривања посебног циља као показатељ користиће се Укупан број реализованих кампања о циркуларној економији.</w:t>
      </w:r>
    </w:p>
    <w:p w14:paraId="771E6FB0" w14:textId="77777777" w:rsidR="00497092" w:rsidRPr="00644F20" w:rsidRDefault="002F45E1">
      <w:pPr>
        <w:spacing w:before="240" w:after="120" w:line="276" w:lineRule="auto"/>
        <w:jc w:val="both"/>
        <w:rPr>
          <w:rFonts w:ascii="Times New Roman" w:hAnsi="Times New Roman" w:cs="Times New Roman"/>
          <w:b/>
          <w:sz w:val="26"/>
          <w:szCs w:val="26"/>
          <w:lang w:val="sr-Cyrl-CS"/>
        </w:rPr>
      </w:pPr>
      <w:r w:rsidRPr="00644F20">
        <w:rPr>
          <w:rFonts w:ascii="Times New Roman" w:hAnsi="Times New Roman" w:cs="Times New Roman"/>
          <w:b/>
          <w:sz w:val="26"/>
          <w:szCs w:val="26"/>
          <w:lang w:val="sr-Cyrl-CS"/>
        </w:rPr>
        <w:t>Мера 5.1: Информисање и едукација заинтересоване јавности о концепту циркуларне економије и одрживом развоју</w:t>
      </w:r>
    </w:p>
    <w:p w14:paraId="65AF9E75" w14:textId="77777777" w:rsidR="00497092" w:rsidRPr="00644F20" w:rsidRDefault="002F45E1" w:rsidP="00024FD1">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Транзиција ка циркуларној економији захтева корените промене у целом друштву, због чега је неопходно да се у процес транзиције, поред привреде, укључи и заинтересована јавност (становништво, медији, представници цивилног друштва, удружења потрошача, предузетници као и стручњаци у привредним субјектима и државним институцијама).  </w:t>
      </w:r>
    </w:p>
    <w:p w14:paraId="1D5EE185" w14:textId="77777777" w:rsidR="00497092" w:rsidRPr="00644F20" w:rsidRDefault="002F45E1" w:rsidP="00024FD1">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Мером је предвиђено спровођење кампање подизања свести заинтересоване јавности о концепту циркуларне економије и одрживом развоју, која укључује израду Плана јачања свести заинтересоване јавности. Овај план подразумева идентификацију циљева кампање, дефинисање порука које је потребно пренети циљној публици, као и метода (ТВ и радио оглашавање, друштвене мреже, укључивање друштвене заједнице) и алата (промотивни материјали, радионице, предавања, конференције, округли столови и дебате) за њихово преношење и едукацију циљаних група. Информисање и едукација треба да подстакну промену навика, система вредности, начина размишљања и схватања код јавности, што је неопходно за усвајање принципа циркуларне економије. Улога медија и представника цивилног друштва у кампањи је посебно значајна, имајући у виду да могу они утицати на даље подизање свести јавности, пре свега потрошача.</w:t>
      </w:r>
    </w:p>
    <w:p w14:paraId="5BFE7E30" w14:textId="77777777" w:rsidR="00497092" w:rsidRPr="00644F20" w:rsidRDefault="002F45E1" w:rsidP="00024FD1">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Финансијска средства за реализацију мере биће обезбеђена из буџета Републике Србије, са пројекта „Смањење угљеничног отиска локалних заједница применом пр</w:t>
      </w:r>
      <w:r w:rsidR="00455268" w:rsidRPr="00644F20">
        <w:rPr>
          <w:rFonts w:ascii="Times New Roman" w:hAnsi="Times New Roman" w:cs="Times New Roman"/>
          <w:sz w:val="24"/>
          <w:szCs w:val="24"/>
          <w:lang w:val="sr-Cyrl-CS"/>
        </w:rPr>
        <w:t>инципа циркуларне економије у Републици Србији</w:t>
      </w:r>
      <w:r w:rsidRPr="00644F20">
        <w:rPr>
          <w:rFonts w:ascii="Times New Roman" w:hAnsi="Times New Roman" w:cs="Times New Roman"/>
          <w:sz w:val="24"/>
          <w:szCs w:val="24"/>
          <w:lang w:val="sr-Cyrl-CS"/>
        </w:rPr>
        <w:t xml:space="preserve">”, у износу од 3.600.000 динара, као и из међународне донаторске помоћи, у износу од 900.000 динара.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а предвиђено је да се она реализује у сарадњи са М</w:t>
      </w:r>
      <w:r w:rsidR="00935364" w:rsidRPr="00644F20">
        <w:rPr>
          <w:rFonts w:ascii="Times New Roman" w:hAnsi="Times New Roman" w:cs="Times New Roman"/>
          <w:sz w:val="24"/>
          <w:szCs w:val="24"/>
          <w:lang w:val="sr-Cyrl-CS"/>
        </w:rPr>
        <w:t xml:space="preserve">ТО, </w:t>
      </w:r>
      <w:r w:rsidRPr="00644F20">
        <w:rPr>
          <w:rFonts w:ascii="Times New Roman" w:hAnsi="Times New Roman" w:cs="Times New Roman"/>
          <w:sz w:val="24"/>
          <w:szCs w:val="24"/>
          <w:lang w:val="sr-Cyrl-CS"/>
        </w:rPr>
        <w:t>М</w:t>
      </w:r>
      <w:r w:rsidR="00013D47" w:rsidRPr="00644F20">
        <w:rPr>
          <w:rFonts w:ascii="Times New Roman" w:hAnsi="Times New Roman" w:cs="Times New Roman"/>
          <w:sz w:val="24"/>
          <w:szCs w:val="24"/>
          <w:lang w:val="sr-Cyrl-CS"/>
        </w:rPr>
        <w:t>ИТ</w:t>
      </w:r>
      <w:r w:rsidR="003835F0" w:rsidRPr="00644F20">
        <w:rPr>
          <w:rFonts w:ascii="Times New Roman" w:hAnsi="Times New Roman" w:cs="Times New Roman"/>
          <w:sz w:val="24"/>
          <w:szCs w:val="24"/>
          <w:lang w:val="sr-Cyrl-CS"/>
        </w:rPr>
        <w:t>,</w:t>
      </w:r>
      <w:r w:rsidR="00013D47" w:rsidRPr="00644F20">
        <w:rPr>
          <w:rFonts w:ascii="Times New Roman" w:hAnsi="Times New Roman" w:cs="Times New Roman"/>
          <w:sz w:val="24"/>
          <w:szCs w:val="24"/>
          <w:lang w:val="sr-Cyrl-CS"/>
        </w:rPr>
        <w:t xml:space="preserve"> </w:t>
      </w:r>
      <w:r w:rsidRPr="00644F20">
        <w:rPr>
          <w:rFonts w:ascii="Times New Roman" w:hAnsi="Times New Roman" w:cs="Times New Roman"/>
          <w:sz w:val="24"/>
          <w:szCs w:val="24"/>
          <w:lang w:val="sr-Cyrl-CS"/>
        </w:rPr>
        <w:t>М</w:t>
      </w:r>
      <w:r w:rsidR="00013D47" w:rsidRPr="00644F20">
        <w:rPr>
          <w:rFonts w:ascii="Times New Roman" w:hAnsi="Times New Roman" w:cs="Times New Roman"/>
          <w:sz w:val="24"/>
          <w:szCs w:val="24"/>
          <w:lang w:val="sr-Cyrl-CS"/>
        </w:rPr>
        <w:t xml:space="preserve">УСТ, </w:t>
      </w:r>
      <w:r w:rsidRPr="00644F20">
        <w:rPr>
          <w:rFonts w:ascii="Times New Roman" w:hAnsi="Times New Roman" w:cs="Times New Roman"/>
          <w:sz w:val="24"/>
          <w:szCs w:val="24"/>
          <w:lang w:val="sr-Cyrl-CS"/>
        </w:rPr>
        <w:t>Удружењима потрошача, П</w:t>
      </w:r>
      <w:r w:rsidR="00935364" w:rsidRPr="00644F20">
        <w:rPr>
          <w:rFonts w:ascii="Times New Roman" w:hAnsi="Times New Roman" w:cs="Times New Roman"/>
          <w:sz w:val="24"/>
          <w:szCs w:val="24"/>
          <w:lang w:val="sr-Cyrl-CS"/>
        </w:rPr>
        <w:t>КС,</w:t>
      </w:r>
      <w:r w:rsidRPr="00644F20">
        <w:rPr>
          <w:rFonts w:ascii="Times New Roman" w:hAnsi="Times New Roman" w:cs="Times New Roman"/>
          <w:sz w:val="24"/>
          <w:szCs w:val="24"/>
          <w:lang w:val="sr-Cyrl-CS"/>
        </w:rPr>
        <w:t xml:space="preserve"> медијима и удружењима цивилног друштва. Степен реализације мере пратиће се преко укупног броја одржаних догађаја у оквиру реализације Плана јачања свести заинтересоване јавности на којима се промовише циркуларна економија и до</w:t>
      </w:r>
      <w:r w:rsidR="00122E9D" w:rsidRPr="00644F20">
        <w:rPr>
          <w:rFonts w:ascii="Times New Roman" w:hAnsi="Times New Roman" w:cs="Times New Roman"/>
          <w:sz w:val="24"/>
          <w:szCs w:val="24"/>
          <w:lang w:val="sr-Cyrl-CS"/>
        </w:rPr>
        <w:t>казаће се</w:t>
      </w:r>
      <w:r w:rsidR="00763B2A" w:rsidRPr="00644F20">
        <w:rPr>
          <w:rFonts w:ascii="Times New Roman" w:hAnsi="Times New Roman" w:cs="Times New Roman"/>
          <w:sz w:val="24"/>
          <w:szCs w:val="24"/>
          <w:lang w:val="sr-Cyrl-CS"/>
        </w:rPr>
        <w:t xml:space="preserve"> овим</w:t>
      </w:r>
      <w:r w:rsidR="00122E9D" w:rsidRPr="00644F20">
        <w:rPr>
          <w:rFonts w:ascii="Times New Roman" w:hAnsi="Times New Roman" w:cs="Times New Roman"/>
          <w:sz w:val="24"/>
          <w:szCs w:val="24"/>
          <w:lang w:val="sr-Cyrl-CS"/>
        </w:rPr>
        <w:t xml:space="preserve"> п</w:t>
      </w:r>
      <w:r w:rsidRPr="00644F20">
        <w:rPr>
          <w:rFonts w:ascii="Times New Roman" w:hAnsi="Times New Roman" w:cs="Times New Roman"/>
          <w:sz w:val="24"/>
          <w:szCs w:val="24"/>
          <w:lang w:val="sr-Cyrl-CS"/>
        </w:rPr>
        <w:t xml:space="preserve">ланом. </w:t>
      </w:r>
    </w:p>
    <w:p w14:paraId="4D3BCD3B" w14:textId="77777777" w:rsidR="00497092" w:rsidRPr="00644F20" w:rsidRDefault="002F45E1" w:rsidP="00122E9D">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0A3D2974" w14:textId="77777777" w:rsidR="00497092" w:rsidRPr="00644F20" w:rsidRDefault="002F45E1">
      <w:pPr>
        <w:spacing w:before="240" w:after="120" w:line="276" w:lineRule="auto"/>
        <w:jc w:val="both"/>
        <w:rPr>
          <w:rFonts w:ascii="Times New Roman" w:hAnsi="Times New Roman" w:cs="Times New Roman"/>
          <w:b/>
          <w:sz w:val="26"/>
          <w:szCs w:val="26"/>
          <w:lang w:val="sr-Cyrl-CS"/>
        </w:rPr>
      </w:pPr>
      <w:r w:rsidRPr="00644F20">
        <w:rPr>
          <w:rFonts w:ascii="Times New Roman" w:hAnsi="Times New Roman" w:cs="Times New Roman"/>
          <w:b/>
          <w:sz w:val="26"/>
          <w:szCs w:val="26"/>
          <w:lang w:val="sr-Cyrl-CS"/>
        </w:rPr>
        <w:lastRenderedPageBreak/>
        <w:t>Мера 5.2: Информисање и едукација образовних институција о концепту циркуларне економије</w:t>
      </w:r>
    </w:p>
    <w:p w14:paraId="676BF286" w14:textId="77777777" w:rsidR="00497092" w:rsidRPr="00644F20" w:rsidRDefault="002F45E1" w:rsidP="00122E9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Кључна снага за процес транзиције од линеарне ка циркуларној економији је у томе да о моделима и могућностима циркуларне економије буду информисани сви садашњи, али и будући учесници процеса. То подразумева адекватно образовање од најранијег животног доба, односно едукацију ђака и студената из ове области и њихово мотивисање да стечена знања примењују у свакодневном животу, али и у будућим професијама. </w:t>
      </w:r>
    </w:p>
    <w:p w14:paraId="3343DF0A" w14:textId="77777777" w:rsidR="00497092" w:rsidRPr="00644F20" w:rsidRDefault="002F45E1" w:rsidP="00122E9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Мером је предвиђена систематска едукација о принципима и користима транзиције од линеарне ка циркуларној економији путем образовних институција, од основних школа, преко средњих школа и гимназија, до факултета. Полазна основа за спровођење кампање је израђен План кампање за подизање свести о циркуларној економији у образовним институцијама који ће дати преглед циљева кампање, комуникационих порука, метода и средстава комуникације и потребних ресурса, а узимајући у обзир потребу прилагођавања узрасту, као и нивоу и усмерењу образовања ученика и студената. Битан аспект кампање је да они који ће у будућности бити носиоци друштвених и привредних активности разумеју принципе циркуларне економије и да могу да препознају користи које њена примена доноси. </w:t>
      </w:r>
    </w:p>
    <w:p w14:paraId="4DD04CBD" w14:textId="77777777" w:rsidR="00497092" w:rsidRPr="00644F20" w:rsidRDefault="002F45E1" w:rsidP="00122E9D">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Поред тога, да би се подигао ниво знања и информисаности о концепту циркуларне економије, потребно је да се у току кампање у сарадњи са одређеним бројем високообразовних институција сагледа могућност увођења нових предмета или измена садржаја постојећих предмета, у циљу увођења циркуларне економије у студијске програме на основним и мастер академским или струковним студијама.</w:t>
      </w:r>
    </w:p>
    <w:p w14:paraId="4B1CBAC9" w14:textId="77777777" w:rsidR="00497092" w:rsidRPr="00644F20" w:rsidRDefault="002F45E1" w:rsidP="00122E9D">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Финансијска средства за реали</w:t>
      </w:r>
      <w:r w:rsidR="00122E9D" w:rsidRPr="00644F20">
        <w:rPr>
          <w:rFonts w:ascii="Times New Roman" w:hAnsi="Times New Roman" w:cs="Times New Roman"/>
          <w:sz w:val="24"/>
          <w:szCs w:val="24"/>
          <w:lang w:val="sr-Cyrl-CS"/>
        </w:rPr>
        <w:t>зацију мере биће обезбеђена из Б</w:t>
      </w:r>
      <w:r w:rsidRPr="00644F20">
        <w:rPr>
          <w:rFonts w:ascii="Times New Roman" w:hAnsi="Times New Roman" w:cs="Times New Roman"/>
          <w:sz w:val="24"/>
          <w:szCs w:val="24"/>
          <w:lang w:val="sr-Cyrl-CS"/>
        </w:rPr>
        <w:t>уџета Републике Србије, са пројекта „Смањење угљеничног отиска локалних заједница применом при</w:t>
      </w:r>
      <w:r w:rsidR="001B2134" w:rsidRPr="00644F20">
        <w:rPr>
          <w:rFonts w:ascii="Times New Roman" w:hAnsi="Times New Roman" w:cs="Times New Roman"/>
          <w:sz w:val="24"/>
          <w:szCs w:val="24"/>
          <w:lang w:val="sr-Cyrl-CS"/>
        </w:rPr>
        <w:t>нципа циркуларне економије у Р</w:t>
      </w:r>
      <w:r w:rsidR="00763B2A" w:rsidRPr="00644F20">
        <w:rPr>
          <w:rFonts w:ascii="Times New Roman" w:hAnsi="Times New Roman" w:cs="Times New Roman"/>
          <w:sz w:val="24"/>
          <w:szCs w:val="24"/>
          <w:lang w:val="sr-Cyrl-CS"/>
        </w:rPr>
        <w:t xml:space="preserve">епублици </w:t>
      </w:r>
      <w:r w:rsidR="001B2134" w:rsidRPr="00644F20">
        <w:rPr>
          <w:rFonts w:ascii="Times New Roman" w:hAnsi="Times New Roman" w:cs="Times New Roman"/>
          <w:sz w:val="24"/>
          <w:szCs w:val="24"/>
          <w:lang w:val="sr-Cyrl-CS"/>
        </w:rPr>
        <w:t>С</w:t>
      </w:r>
      <w:r w:rsidR="00763B2A" w:rsidRPr="00644F20">
        <w:rPr>
          <w:rFonts w:ascii="Times New Roman" w:hAnsi="Times New Roman" w:cs="Times New Roman"/>
          <w:sz w:val="24"/>
          <w:szCs w:val="24"/>
          <w:lang w:val="sr-Cyrl-CS"/>
        </w:rPr>
        <w:t>рбији</w:t>
      </w:r>
      <w:r w:rsidR="001B2134"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xml:space="preserve">, у износу од 2.200.000 динара, као и из међународне донаторске помоћи, у износу од 1.490.000 динара. Одговорна институција за реализацију мере је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а предвиђено је да се она реализује у сарадњи са </w:t>
      </w:r>
      <w:r w:rsidR="00D20C47" w:rsidRPr="00644F20">
        <w:rPr>
          <w:rFonts w:ascii="Times New Roman" w:hAnsi="Times New Roman" w:cs="Times New Roman"/>
          <w:sz w:val="24"/>
          <w:szCs w:val="24"/>
          <w:lang w:val="sr-Cyrl-CS"/>
        </w:rPr>
        <w:t>МПР</w:t>
      </w:r>
      <w:r w:rsidRPr="00644F20">
        <w:rPr>
          <w:rFonts w:ascii="Times New Roman" w:hAnsi="Times New Roman" w:cs="Times New Roman"/>
          <w:sz w:val="24"/>
          <w:szCs w:val="24"/>
          <w:lang w:val="sr-Cyrl-CS"/>
        </w:rPr>
        <w:t xml:space="preserve">, образовним институцијама, факултетима и високим стручним школама. Реализација мере пратиће се преко укупног броја образовних институција обухваћених кампањом подизања свести и укупног броја високошколских установа које су у садржаје предмета на основним и мастер академским или струковним студијама увеле концепт циркуларне економије у току кампање. </w:t>
      </w:r>
    </w:p>
    <w:p w14:paraId="28369FD7" w14:textId="77777777" w:rsidR="00497092" w:rsidRPr="00644F20" w:rsidRDefault="002F45E1" w:rsidP="00122E9D">
      <w:pPr>
        <w:spacing w:after="12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Мера је информативно-едукативног карактера.</w:t>
      </w:r>
    </w:p>
    <w:p w14:paraId="529EC762" w14:textId="77777777" w:rsidR="00497092" w:rsidRPr="00644F20" w:rsidRDefault="002F45E1">
      <w:pPr>
        <w:keepNext/>
        <w:keepLines/>
        <w:spacing w:before="480" w:after="360" w:line="276" w:lineRule="auto"/>
        <w:outlineLvl w:val="0"/>
        <w:rPr>
          <w:rFonts w:ascii="Times New Roman" w:eastAsia="Calibri" w:hAnsi="Times New Roman" w:cstheme="majorBidi"/>
          <w:b/>
          <w:bCs/>
          <w:sz w:val="32"/>
          <w:szCs w:val="32"/>
          <w:lang w:val="sr-Cyrl-CS"/>
        </w:rPr>
      </w:pPr>
      <w:r w:rsidRPr="00644F20">
        <w:rPr>
          <w:rFonts w:ascii="Times New Roman" w:eastAsia="Calibri" w:hAnsi="Times New Roman" w:cstheme="majorBidi"/>
          <w:b/>
          <w:bCs/>
          <w:sz w:val="32"/>
          <w:szCs w:val="32"/>
          <w:lang w:val="sr-Cyrl-CS"/>
        </w:rPr>
        <w:t>7. МЕХАНИЗАМ ЗА СПРОВОЂЕЊЕ ПРОГРАМА И НАЧИН ИЗВЕШТАВАЊА О РЕЗУЛТАТИМА СПРОВОЂЕЊА</w:t>
      </w:r>
    </w:p>
    <w:p w14:paraId="3053D0FF" w14:textId="77777777" w:rsidR="00497092" w:rsidRPr="00644F20" w:rsidRDefault="001B6E66" w:rsidP="00122E9D">
      <w:pPr>
        <w:spacing w:after="60"/>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МЗЖС</w:t>
      </w:r>
      <w:r w:rsidR="002F45E1" w:rsidRPr="00644F20">
        <w:rPr>
          <w:rFonts w:ascii="Times New Roman" w:eastAsia="Calibri" w:hAnsi="Times New Roman" w:cs="Times New Roman"/>
          <w:sz w:val="24"/>
          <w:szCs w:val="24"/>
          <w:lang w:val="sr-Cyrl-CS"/>
        </w:rPr>
        <w:t xml:space="preserve"> предлаже овај програм и одговорно је за спровођење активности и вредновање постигнутих учинака. Акциони план за три године (2022-2024) је интегрални део овог документа и садржи један општи циљ, пет посебних циљева са мерама и активностима које ће се спроводити у периоду 2022-2024. године.</w:t>
      </w:r>
    </w:p>
    <w:p w14:paraId="1A858AAD" w14:textId="77777777" w:rsidR="00497092" w:rsidRPr="00644F20" w:rsidRDefault="002F45E1" w:rsidP="00122E9D">
      <w:pPr>
        <w:spacing w:after="60"/>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У складу са чланом 39. Закона о планском систему Р</w:t>
      </w:r>
      <w:r w:rsidR="00935364" w:rsidRPr="00644F20">
        <w:rPr>
          <w:rFonts w:ascii="Times New Roman" w:eastAsia="Calibri" w:hAnsi="Times New Roman" w:cs="Times New Roman"/>
          <w:sz w:val="24"/>
          <w:szCs w:val="24"/>
          <w:lang w:val="sr-Cyrl-CS"/>
        </w:rPr>
        <w:t>епублике</w:t>
      </w:r>
      <w:r w:rsidR="00122E9D" w:rsidRPr="00644F20">
        <w:rPr>
          <w:rFonts w:ascii="Times New Roman" w:eastAsia="Calibri" w:hAnsi="Times New Roman" w:cs="Times New Roman"/>
          <w:sz w:val="24"/>
          <w:szCs w:val="24"/>
          <w:lang w:val="sr-Cyrl-CS"/>
        </w:rPr>
        <w:t xml:space="preserve"> Ср</w:t>
      </w:r>
      <w:r w:rsidR="00935364" w:rsidRPr="00644F20">
        <w:rPr>
          <w:rFonts w:ascii="Times New Roman" w:eastAsia="Calibri" w:hAnsi="Times New Roman" w:cs="Times New Roman"/>
          <w:sz w:val="24"/>
          <w:szCs w:val="24"/>
          <w:lang w:val="sr-Cyrl-CS"/>
        </w:rPr>
        <w:t>бије</w:t>
      </w:r>
      <w:r w:rsidRPr="00644F20">
        <w:rPr>
          <w:rFonts w:ascii="Times New Roman" w:eastAsia="Calibri" w:hAnsi="Times New Roman" w:cs="Times New Roman"/>
          <w:sz w:val="24"/>
          <w:szCs w:val="24"/>
          <w:lang w:val="sr-Cyrl-CS"/>
        </w:rPr>
        <w:t xml:space="preserve">, овај документ се спроводи кроз спровођење мера и активности утврђеним у Акционом плану. У складу са чланом 40. </w:t>
      </w:r>
      <w:r w:rsidR="00122E9D" w:rsidRPr="00644F20">
        <w:rPr>
          <w:rFonts w:ascii="Times New Roman" w:eastAsia="Calibri" w:hAnsi="Times New Roman" w:cs="Times New Roman"/>
          <w:sz w:val="24"/>
          <w:szCs w:val="24"/>
          <w:lang w:val="sr-Cyrl-CS"/>
        </w:rPr>
        <w:t xml:space="preserve">наведеног закона, </w:t>
      </w:r>
      <w:r w:rsidRPr="00644F20">
        <w:rPr>
          <w:rFonts w:ascii="Times New Roman" w:eastAsia="Calibri" w:hAnsi="Times New Roman" w:cs="Times New Roman"/>
          <w:sz w:val="24"/>
          <w:szCs w:val="24"/>
          <w:lang w:val="sr-Cyrl-CS"/>
        </w:rPr>
        <w:t xml:space="preserve">праћење ће се вршити преко квалитативних и квантитативних показатеља за мерење учинака. За праћење спровођења и вредновања учинака користиће се </w:t>
      </w:r>
      <w:r w:rsidRPr="00644F20">
        <w:rPr>
          <w:rFonts w:ascii="Times New Roman" w:eastAsia="Calibri" w:hAnsi="Times New Roman" w:cs="Times New Roman"/>
          <w:sz w:val="24"/>
          <w:szCs w:val="24"/>
          <w:lang w:val="sr-Cyrl-CS"/>
        </w:rPr>
        <w:lastRenderedPageBreak/>
        <w:t>подаци и информације добијени од свих релевантних органа и организација, као и подаци и информације које су прибављене из других извора, а који се односе на учинке јавне политике.</w:t>
      </w:r>
    </w:p>
    <w:p w14:paraId="1025BFA1" w14:textId="77777777" w:rsidR="00497092" w:rsidRPr="00644F20" w:rsidRDefault="00122E9D" w:rsidP="00935364">
      <w:pPr>
        <w:spacing w:after="60" w:line="276" w:lineRule="auto"/>
        <w:ind w:firstLine="720"/>
        <w:jc w:val="both"/>
        <w:rPr>
          <w:rFonts w:ascii="Times New Roman" w:eastAsia="Calibri" w:hAnsi="Times New Roman" w:cs="Times New Roman"/>
          <w:sz w:val="24"/>
          <w:szCs w:val="24"/>
          <w:lang w:val="sr-Cyrl-CS"/>
        </w:rPr>
      </w:pPr>
      <w:r w:rsidRPr="00644F20">
        <w:rPr>
          <w:rFonts w:ascii="Times New Roman" w:hAnsi="Times New Roman" w:cs="Times New Roman"/>
          <w:sz w:val="24"/>
          <w:szCs w:val="24"/>
          <w:lang w:val="sr-Cyrl-CS"/>
        </w:rPr>
        <w:t>Овај п</w:t>
      </w:r>
      <w:r w:rsidR="002F45E1" w:rsidRPr="00644F20">
        <w:rPr>
          <w:rFonts w:ascii="Times New Roman" w:hAnsi="Times New Roman" w:cs="Times New Roman"/>
          <w:sz w:val="24"/>
          <w:szCs w:val="24"/>
          <w:lang w:val="sr-Cyrl-CS"/>
        </w:rPr>
        <w:t>рограм као документ јавних политика се, такође, прати кроз Информациони систем за планирање, праћење спровођења, координацију јавних политика и извештавање који представља јединствени електронски систем у који учесници у планском систему уносе садржај својих докумената јавних политика и средњорочне планове и врше извештавање у складу са Законом о планском систему Републике Србије. Овај информациони систем води Влада преко Републичког секретаријата за јавне политике на такав начин да се обезбеди веза између садржаја јавних политика, средњорочних планова корисника буџетских средстава надлежних за спровођење мера јавних политика и њихових финансијских планова. На основу члана 47. Закона о планском систему</w:t>
      </w:r>
      <w:r w:rsidR="00935364" w:rsidRPr="00644F20">
        <w:rPr>
          <w:rFonts w:ascii="Times New Roman" w:hAnsi="Times New Roman" w:cs="Times New Roman"/>
          <w:sz w:val="24"/>
          <w:szCs w:val="24"/>
          <w:lang w:val="sr-Cyrl-CS"/>
        </w:rPr>
        <w:t xml:space="preserve"> Републике Србије</w:t>
      </w:r>
      <w:r w:rsidR="002F45E1" w:rsidRPr="00644F20">
        <w:rPr>
          <w:rFonts w:ascii="Times New Roman" w:hAnsi="Times New Roman" w:cs="Times New Roman"/>
          <w:sz w:val="24"/>
          <w:szCs w:val="24"/>
          <w:lang w:val="sr-Cyrl-CS"/>
        </w:rPr>
        <w:t xml:space="preserve">, кроз овај информациони систем ће се обезбеђивати благовремено извештавање о оствареним циљевима и праћење остварених вредности показатеља учинка. </w:t>
      </w:r>
      <w:r w:rsidR="002F45E1" w:rsidRPr="00644F20">
        <w:rPr>
          <w:rFonts w:ascii="Times New Roman" w:eastAsia="Calibri" w:hAnsi="Times New Roman" w:cs="Times New Roman"/>
          <w:sz w:val="24"/>
          <w:szCs w:val="24"/>
          <w:lang w:val="sr-Cyrl-CS"/>
        </w:rPr>
        <w:t xml:space="preserve"> </w:t>
      </w:r>
    </w:p>
    <w:p w14:paraId="1335407C" w14:textId="77777777" w:rsidR="00497092" w:rsidRPr="00644F20" w:rsidRDefault="002F45E1" w:rsidP="00122E9D">
      <w:pPr>
        <w:spacing w:after="60"/>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У складу са чланом 43. став 3</w:t>
      </w:r>
      <w:r w:rsidR="00CC6667" w:rsidRPr="00644F20">
        <w:rPr>
          <w:rFonts w:ascii="Times New Roman" w:eastAsia="Calibri" w:hAnsi="Times New Roman" w:cs="Times New Roman"/>
          <w:sz w:val="24"/>
          <w:szCs w:val="24"/>
          <w:lang w:val="sr-Cyrl-CS"/>
        </w:rPr>
        <w:t>.</w:t>
      </w:r>
      <w:r w:rsidRPr="00644F20">
        <w:rPr>
          <w:rFonts w:ascii="Times New Roman" w:eastAsia="Calibri" w:hAnsi="Times New Roman" w:cs="Times New Roman"/>
          <w:sz w:val="24"/>
          <w:szCs w:val="24"/>
          <w:lang w:val="sr-Cyrl-CS"/>
        </w:rPr>
        <w:t xml:space="preserve"> Закона о планском систему Републике Србије, </w:t>
      </w:r>
      <w:r w:rsidR="001B6E66" w:rsidRPr="00644F20">
        <w:rPr>
          <w:rFonts w:ascii="Times New Roman" w:eastAsia="Calibri" w:hAnsi="Times New Roman" w:cs="Times New Roman"/>
          <w:sz w:val="24"/>
          <w:szCs w:val="24"/>
          <w:lang w:val="sr-Cyrl-CS"/>
        </w:rPr>
        <w:t>МЗЖС</w:t>
      </w:r>
      <w:r w:rsidRPr="00644F20">
        <w:rPr>
          <w:rFonts w:ascii="Times New Roman" w:eastAsia="Calibri" w:hAnsi="Times New Roman" w:cs="Times New Roman"/>
          <w:sz w:val="24"/>
          <w:szCs w:val="24"/>
          <w:lang w:val="sr-Cyrl-CS"/>
        </w:rPr>
        <w:t xml:space="preserve"> као предлагач овог документа јавне политике има обавезу да извештава Владу, преко надлежног органа за координацију јавних политика, о резултатима спровођења овог документа, најкасније у року од 120 дана по истеку сваке календарске године од дана усвајања. Поред годишњег извештаја, Влади ће се доставити и финални извештај о реализованим активностима најкасније шест месеци након истека примене овог документа. </w:t>
      </w:r>
    </w:p>
    <w:p w14:paraId="7CF782F9" w14:textId="77777777" w:rsidR="00497092" w:rsidRPr="00644F20" w:rsidRDefault="002F45E1" w:rsidP="00CC6667">
      <w:pPr>
        <w:spacing w:after="60"/>
        <w:ind w:firstLine="720"/>
        <w:jc w:val="both"/>
        <w:rPr>
          <w:rFonts w:ascii="Times New Roman" w:eastAsia="Calibri" w:hAnsi="Times New Roman" w:cs="Times New Roman"/>
          <w:sz w:val="24"/>
          <w:szCs w:val="24"/>
          <w:lang w:val="sr-Cyrl-CS"/>
        </w:rPr>
      </w:pPr>
      <w:r w:rsidRPr="00644F20">
        <w:rPr>
          <w:rFonts w:ascii="Times New Roman" w:eastAsia="Calibri" w:hAnsi="Times New Roman" w:cs="Times New Roman"/>
          <w:sz w:val="24"/>
          <w:szCs w:val="24"/>
          <w:lang w:val="sr-Cyrl-CS"/>
        </w:rPr>
        <w:t xml:space="preserve">На основу члана 40. </w:t>
      </w:r>
      <w:r w:rsidR="00CC6667" w:rsidRPr="00644F20">
        <w:rPr>
          <w:rFonts w:ascii="Times New Roman" w:eastAsia="Calibri" w:hAnsi="Times New Roman" w:cs="Times New Roman"/>
          <w:sz w:val="24"/>
          <w:szCs w:val="24"/>
          <w:lang w:val="sr-Cyrl-CS"/>
        </w:rPr>
        <w:t xml:space="preserve">овог закона, </w:t>
      </w:r>
      <w:r w:rsidRPr="00644F20">
        <w:rPr>
          <w:rFonts w:ascii="Times New Roman" w:eastAsia="Calibri" w:hAnsi="Times New Roman" w:cs="Times New Roman"/>
          <w:sz w:val="24"/>
          <w:szCs w:val="24"/>
          <w:lang w:val="sr-Cyrl-CS"/>
        </w:rPr>
        <w:t xml:space="preserve">након истека периода важења програма и престанка примене, надлежни орган је у обавези да изради </w:t>
      </w:r>
      <w:r w:rsidRPr="00644F20">
        <w:rPr>
          <w:rFonts w:ascii="Times New Roman" w:eastAsia="Calibri" w:hAnsi="Times New Roman" w:cs="Times New Roman"/>
          <w:i/>
          <w:sz w:val="24"/>
          <w:szCs w:val="24"/>
          <w:lang w:val="sr-Cyrl-CS"/>
        </w:rPr>
        <w:t>Ex-post</w:t>
      </w:r>
      <w:r w:rsidRPr="00644F20">
        <w:rPr>
          <w:rFonts w:ascii="Times New Roman" w:eastAsia="Calibri" w:hAnsi="Times New Roman" w:cs="Times New Roman"/>
          <w:sz w:val="24"/>
          <w:szCs w:val="24"/>
          <w:lang w:val="sr-Cyrl-CS"/>
        </w:rPr>
        <w:t xml:space="preserve"> анализу ефеката која ће сагледати ефекте мера и активности садржаних у програму, стварне позитивне и негативне, директне и индиректне ефекте током примене документа јавне политике, у циљу њиховог преиспитивања и унапређења. Оцењује се релевантност, ефикасност, ефективност и одрживост јавне политике. </w:t>
      </w:r>
    </w:p>
    <w:p w14:paraId="3E6897EC" w14:textId="77777777" w:rsidR="00497092" w:rsidRPr="00644F20" w:rsidRDefault="002F45E1">
      <w:pPr>
        <w:keepNext/>
        <w:keepLines/>
        <w:spacing w:before="480" w:after="360" w:line="276" w:lineRule="auto"/>
        <w:outlineLvl w:val="0"/>
        <w:rPr>
          <w:rFonts w:ascii="Times New Roman" w:eastAsiaTheme="majorEastAsia" w:hAnsi="Times New Roman" w:cstheme="majorBidi"/>
          <w:b/>
          <w:bCs/>
          <w:sz w:val="32"/>
          <w:szCs w:val="32"/>
          <w:lang w:val="sr-Cyrl-CS"/>
        </w:rPr>
      </w:pPr>
      <w:r w:rsidRPr="00644F20">
        <w:rPr>
          <w:rFonts w:ascii="Times New Roman" w:eastAsiaTheme="majorEastAsia" w:hAnsi="Times New Roman" w:cstheme="majorBidi"/>
          <w:b/>
          <w:bCs/>
          <w:sz w:val="32"/>
          <w:szCs w:val="32"/>
          <w:lang w:val="sr-Cyrl-CS"/>
        </w:rPr>
        <w:t>8. ПРОЦЕНА ФИНАНСИЈСКИХ СРЕДСТАВА ПОТРЕБНИХ ЗА СПРОВОЂЕЊЕ ПРОГРАМА</w:t>
      </w:r>
    </w:p>
    <w:p w14:paraId="4D99102D" w14:textId="77777777" w:rsidR="00497092" w:rsidRPr="00644F20" w:rsidRDefault="002F45E1" w:rsidP="00CC666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За спровођење Програма развоја циркуларне економије </w:t>
      </w:r>
      <w:r w:rsidR="00935364" w:rsidRPr="00644F20">
        <w:rPr>
          <w:rFonts w:ascii="Times New Roman" w:hAnsi="Times New Roman" w:cs="Times New Roman"/>
          <w:sz w:val="24"/>
          <w:szCs w:val="24"/>
          <w:lang w:val="sr-Cyrl-CS"/>
        </w:rPr>
        <w:t xml:space="preserve">у </w:t>
      </w:r>
      <w:r w:rsidR="00CC6667" w:rsidRPr="00644F20">
        <w:rPr>
          <w:rFonts w:ascii="Times New Roman" w:eastAsia="Calibri" w:hAnsi="Times New Roman" w:cs="Times New Roman"/>
          <w:sz w:val="24"/>
          <w:szCs w:val="24"/>
          <w:lang w:val="sr-Cyrl-CS"/>
        </w:rPr>
        <w:t>Републици Србији</w:t>
      </w:r>
      <w:r w:rsidR="00CC6667" w:rsidRPr="00644F20">
        <w:rPr>
          <w:rFonts w:ascii="Times New Roman" w:hAnsi="Times New Roman" w:cs="Times New Roman"/>
          <w:sz w:val="24"/>
          <w:szCs w:val="24"/>
          <w:lang w:val="sr-Cyrl-CS"/>
        </w:rPr>
        <w:t xml:space="preserve"> за период 2022-2024. године </w:t>
      </w:r>
      <w:r w:rsidRPr="00644F20">
        <w:rPr>
          <w:rFonts w:ascii="Times New Roman" w:hAnsi="Times New Roman" w:cs="Times New Roman"/>
          <w:sz w:val="24"/>
          <w:szCs w:val="24"/>
          <w:lang w:val="sr-Cyrl-CS"/>
        </w:rPr>
        <w:t xml:space="preserve">и Акционог плана обезбедиће се средства, како из буџета Републике Србије, тако и из донација. Поред редовних издавања из буџета процењује се да ће за реализацију </w:t>
      </w:r>
      <w:r w:rsidR="00CC6667" w:rsidRPr="00644F20">
        <w:rPr>
          <w:rFonts w:ascii="Times New Roman" w:hAnsi="Times New Roman" w:cs="Times New Roman"/>
          <w:sz w:val="24"/>
          <w:szCs w:val="24"/>
          <w:lang w:val="sr-Cyrl-CS"/>
        </w:rPr>
        <w:t>овог п</w:t>
      </w:r>
      <w:r w:rsidRPr="00644F20">
        <w:rPr>
          <w:rFonts w:ascii="Times New Roman" w:hAnsi="Times New Roman" w:cs="Times New Roman"/>
          <w:sz w:val="24"/>
          <w:szCs w:val="24"/>
          <w:lang w:val="sr-Cyrl-CS"/>
        </w:rPr>
        <w:t>рограма бити потребно обезбедити додатних 79.859.500 динара.</w:t>
      </w:r>
    </w:p>
    <w:p w14:paraId="040E6737" w14:textId="77777777" w:rsidR="00497092" w:rsidRPr="00644F20" w:rsidRDefault="002F45E1" w:rsidP="00CC6667">
      <w:pPr>
        <w:spacing w:after="60" w:line="276"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За реализацију мере 1.4, као и за реализацију мера у оквиру посебних циљева 2</w:t>
      </w:r>
      <w:r w:rsidR="00CC6667"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xml:space="preserve"> и 3, планирана су средства </w:t>
      </w:r>
      <w:r w:rsidR="00935364" w:rsidRPr="00644F20">
        <w:rPr>
          <w:rFonts w:ascii="Times New Roman" w:hAnsi="Times New Roman" w:cs="Times New Roman"/>
          <w:sz w:val="24"/>
          <w:szCs w:val="24"/>
          <w:lang w:val="sr-Cyrl-CS"/>
        </w:rPr>
        <w:t>ГЕФ</w:t>
      </w:r>
      <w:r w:rsidRPr="00644F20">
        <w:rPr>
          <w:rFonts w:ascii="Times New Roman" w:hAnsi="Times New Roman" w:cs="Times New Roman"/>
          <w:sz w:val="24"/>
          <w:szCs w:val="24"/>
          <w:lang w:val="sr-Cyrl-CS"/>
        </w:rPr>
        <w:t xml:space="preserve"> у оквиру пројекта „Смањење угљеничног отиска локалних заједница применом принципа циркуларне економије у Р</w:t>
      </w:r>
      <w:r w:rsidR="00432189" w:rsidRPr="00644F20">
        <w:rPr>
          <w:rFonts w:ascii="Times New Roman" w:hAnsi="Times New Roman" w:cs="Times New Roman"/>
          <w:sz w:val="24"/>
          <w:szCs w:val="24"/>
          <w:lang w:val="sr-Cyrl-CS"/>
        </w:rPr>
        <w:t xml:space="preserve">епублици </w:t>
      </w:r>
      <w:r w:rsidRPr="00644F20">
        <w:rPr>
          <w:rFonts w:ascii="Times New Roman" w:hAnsi="Times New Roman" w:cs="Times New Roman"/>
          <w:sz w:val="24"/>
          <w:szCs w:val="24"/>
          <w:lang w:val="sr-Cyrl-CS"/>
        </w:rPr>
        <w:t>С</w:t>
      </w:r>
      <w:r w:rsidR="00432189" w:rsidRPr="00644F20">
        <w:rPr>
          <w:rFonts w:ascii="Times New Roman" w:hAnsi="Times New Roman" w:cs="Times New Roman"/>
          <w:sz w:val="24"/>
          <w:szCs w:val="24"/>
          <w:lang w:val="sr-Cyrl-CS"/>
        </w:rPr>
        <w:t>рбији</w:t>
      </w:r>
      <w:r w:rsidRPr="00644F20">
        <w:rPr>
          <w:rFonts w:ascii="Times New Roman" w:hAnsi="Times New Roman" w:cs="Times New Roman"/>
          <w:sz w:val="24"/>
          <w:szCs w:val="24"/>
          <w:lang w:val="sr-Cyrl-CS"/>
        </w:rPr>
        <w:t xml:space="preserve">” који се реализује у сарадњи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и </w:t>
      </w:r>
      <w:r w:rsidR="00935364" w:rsidRPr="00644F20">
        <w:rPr>
          <w:rFonts w:ascii="Times New Roman" w:hAnsi="Times New Roman" w:cs="Times New Roman"/>
          <w:sz w:val="24"/>
          <w:szCs w:val="24"/>
          <w:lang w:val="sr-Cyrl-CS"/>
        </w:rPr>
        <w:t>УНДП</w:t>
      </w:r>
      <w:r w:rsidRPr="00644F20">
        <w:rPr>
          <w:rFonts w:ascii="Times New Roman" w:hAnsi="Times New Roman" w:cs="Times New Roman"/>
          <w:sz w:val="24"/>
          <w:szCs w:val="24"/>
          <w:lang w:val="sr-Cyrl-CS"/>
        </w:rPr>
        <w:t>. Такође, поједине мере у оквиру посебних циљева 2, 4</w:t>
      </w:r>
      <w:r w:rsidR="00432189"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xml:space="preserve"> и 5</w:t>
      </w:r>
      <w:r w:rsidR="00432189" w:rsidRPr="00644F20">
        <w:rPr>
          <w:rFonts w:ascii="Times New Roman" w:hAnsi="Times New Roman" w:cs="Times New Roman"/>
          <w:sz w:val="24"/>
          <w:szCs w:val="24"/>
          <w:lang w:val="sr-Cyrl-CS"/>
        </w:rPr>
        <w:t>.</w:t>
      </w:r>
      <w:r w:rsidRPr="00644F20">
        <w:rPr>
          <w:rFonts w:ascii="Times New Roman" w:hAnsi="Times New Roman" w:cs="Times New Roman"/>
          <w:sz w:val="24"/>
          <w:szCs w:val="24"/>
          <w:lang w:val="sr-Cyrl-CS"/>
        </w:rPr>
        <w:t xml:space="preserve"> биће реализоване помоћу буџетских средстава која представљају контрибуцију на поменутом пројекту. На овај начин из буџета ће укупно бити обезбеђено 19.533.000 динара, од Г</w:t>
      </w:r>
      <w:r w:rsidR="00432189" w:rsidRPr="00644F20">
        <w:rPr>
          <w:rFonts w:ascii="Times New Roman" w:hAnsi="Times New Roman" w:cs="Times New Roman"/>
          <w:sz w:val="24"/>
          <w:szCs w:val="24"/>
          <w:lang w:val="sr-Cyrl-CS"/>
        </w:rPr>
        <w:t xml:space="preserve">ЕФ-а </w:t>
      </w:r>
      <w:r w:rsidRPr="00644F20">
        <w:rPr>
          <w:rFonts w:ascii="Times New Roman" w:hAnsi="Times New Roman" w:cs="Times New Roman"/>
          <w:sz w:val="24"/>
          <w:szCs w:val="24"/>
          <w:lang w:val="sr-Cyrl-CS"/>
        </w:rPr>
        <w:t>19.700.000 динара, а од УНДП</w:t>
      </w:r>
      <w:r w:rsidR="00763B2A" w:rsidRPr="00644F20">
        <w:rPr>
          <w:rFonts w:ascii="Times New Roman" w:hAnsi="Times New Roman" w:cs="Times New Roman"/>
          <w:sz w:val="24"/>
          <w:szCs w:val="24"/>
          <w:lang w:val="sr-Cyrl-CS"/>
        </w:rPr>
        <w:t>-а</w:t>
      </w:r>
      <w:r w:rsidRPr="00644F20">
        <w:rPr>
          <w:rFonts w:ascii="Times New Roman" w:hAnsi="Times New Roman" w:cs="Times New Roman"/>
          <w:sz w:val="24"/>
          <w:szCs w:val="24"/>
          <w:lang w:val="sr-Cyrl-CS"/>
        </w:rPr>
        <w:t xml:space="preserve"> 5.800.000 динара. Средства за реализацију осталих мера, у износу од 34.826.500 динара, биће обезбеђена из других донација.</w:t>
      </w:r>
    </w:p>
    <w:p w14:paraId="379A6CCB" w14:textId="77777777" w:rsidR="00A714AA" w:rsidRPr="00644F20" w:rsidRDefault="00A714AA" w:rsidP="00CC6667">
      <w:pPr>
        <w:spacing w:after="60" w:line="276" w:lineRule="auto"/>
        <w:ind w:firstLine="720"/>
        <w:jc w:val="both"/>
        <w:rPr>
          <w:rFonts w:ascii="Times New Roman" w:hAnsi="Times New Roman" w:cs="Times New Roman"/>
          <w:sz w:val="24"/>
          <w:szCs w:val="24"/>
          <w:lang w:val="sr-Cyrl-CS"/>
        </w:rPr>
      </w:pPr>
    </w:p>
    <w:p w14:paraId="3A4C69FC" w14:textId="77777777" w:rsidR="00A714AA" w:rsidRPr="00644F20" w:rsidRDefault="00A714AA" w:rsidP="00CC6667">
      <w:pPr>
        <w:spacing w:after="60" w:line="276" w:lineRule="auto"/>
        <w:ind w:firstLine="720"/>
        <w:jc w:val="both"/>
        <w:rPr>
          <w:rFonts w:ascii="Times New Roman" w:hAnsi="Times New Roman" w:cs="Times New Roman"/>
          <w:sz w:val="24"/>
          <w:szCs w:val="24"/>
          <w:lang w:val="sr-Cyrl-CS"/>
        </w:rPr>
      </w:pPr>
    </w:p>
    <w:p w14:paraId="208AB1E7" w14:textId="77777777" w:rsidR="00497092" w:rsidRPr="00644F20" w:rsidRDefault="00497092">
      <w:pPr>
        <w:spacing w:after="60" w:line="276" w:lineRule="auto"/>
        <w:jc w:val="both"/>
        <w:rPr>
          <w:rFonts w:ascii="Times New Roman" w:hAnsi="Times New Roman" w:cs="Times New Roman"/>
          <w:sz w:val="24"/>
          <w:szCs w:val="24"/>
          <w:lang w:val="sr-Cyrl-CS"/>
        </w:rPr>
      </w:pPr>
    </w:p>
    <w:p w14:paraId="03D7BE18" w14:textId="77777777" w:rsidR="00497092" w:rsidRPr="00644F20" w:rsidRDefault="002F45E1">
      <w:pPr>
        <w:keepNext/>
        <w:keepLines/>
        <w:spacing w:before="480" w:after="360" w:line="276" w:lineRule="auto"/>
        <w:outlineLvl w:val="0"/>
        <w:rPr>
          <w:rFonts w:ascii="Times New Roman" w:eastAsiaTheme="majorEastAsia" w:hAnsi="Times New Roman" w:cs="Times New Roman"/>
          <w:bCs/>
          <w:sz w:val="32"/>
          <w:szCs w:val="32"/>
          <w:lang w:val="sr-Cyrl-CS"/>
        </w:rPr>
      </w:pPr>
      <w:r w:rsidRPr="00644F20">
        <w:rPr>
          <w:rFonts w:ascii="Times New Roman" w:eastAsiaTheme="majorEastAsia" w:hAnsi="Times New Roman" w:cs="Times New Roman"/>
          <w:b/>
          <w:bCs/>
          <w:sz w:val="32"/>
          <w:szCs w:val="32"/>
          <w:lang w:val="sr-Cyrl-CS"/>
        </w:rPr>
        <w:t>9. СПРОВЕДЕНЕ КОНСУЛТАЦИЈЕ СА ЗАИНТЕРЕСОВАНИМ СТРАНАМА</w:t>
      </w:r>
    </w:p>
    <w:p w14:paraId="06A443AA" w14:textId="77777777" w:rsidR="00497092" w:rsidRPr="00644F20" w:rsidRDefault="002F45E1" w:rsidP="00432189">
      <w:pPr>
        <w:spacing w:after="60" w:line="240" w:lineRule="auto"/>
        <w:ind w:right="29" w:firstLine="720"/>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Област циркуларне економије је веома комплексна и захтева мултидисциплинарни, холистички приступ, кроз укључивање великог броја заинтересованих страна.</w:t>
      </w:r>
    </w:p>
    <w:p w14:paraId="66C472EC" w14:textId="77777777" w:rsidR="00497092" w:rsidRPr="00644F20" w:rsidRDefault="002F45E1" w:rsidP="00432189">
      <w:pPr>
        <w:spacing w:after="150" w:line="240"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У току израде предметног документа учешће су узеле циљне групе и заинтересоване стране.</w:t>
      </w:r>
    </w:p>
    <w:p w14:paraId="1979C158" w14:textId="77777777" w:rsidR="00497092" w:rsidRPr="00644F20" w:rsidRDefault="002F45E1" w:rsidP="00432189">
      <w:pPr>
        <w:spacing w:after="150" w:line="240"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Израда прописа је почела у јулу 2021. године а завршена крајем новембра 2021. године. </w:t>
      </w:r>
    </w:p>
    <w:p w14:paraId="6EFB1F3D" w14:textId="77777777" w:rsidR="00497092" w:rsidRPr="00644F20" w:rsidRDefault="00763B2A" w:rsidP="00432189">
      <w:pPr>
        <w:spacing w:after="60"/>
        <w:ind w:firstLine="3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ab/>
      </w:r>
      <w:r w:rsidR="002F45E1" w:rsidRPr="00644F20">
        <w:rPr>
          <w:rFonts w:ascii="Times New Roman" w:hAnsi="Times New Roman" w:cs="Times New Roman"/>
          <w:sz w:val="24"/>
          <w:szCs w:val="24"/>
          <w:lang w:val="sr-Cyrl-CS"/>
        </w:rPr>
        <w:t xml:space="preserve">Током израде Програма развоја циркуларне економије у Републици Србији </w:t>
      </w:r>
      <w:r w:rsidR="00432189" w:rsidRPr="00644F20">
        <w:rPr>
          <w:rFonts w:ascii="Times New Roman" w:hAnsi="Times New Roman" w:cs="Times New Roman"/>
          <w:sz w:val="24"/>
          <w:szCs w:val="24"/>
          <w:lang w:val="sr-Cyrl-CS"/>
        </w:rPr>
        <w:t xml:space="preserve">за период 2022-2024. године, </w:t>
      </w:r>
      <w:r w:rsidR="002F45E1" w:rsidRPr="00644F20">
        <w:rPr>
          <w:rFonts w:ascii="Times New Roman" w:hAnsi="Times New Roman" w:cs="Times New Roman"/>
          <w:sz w:val="24"/>
          <w:szCs w:val="24"/>
          <w:lang w:val="sr-Cyrl-CS"/>
        </w:rPr>
        <w:t xml:space="preserve">спроведене су консултације са заинтересованим странама и циљним групама ради прикупљања предлога и сугестија за унапређење дефинисаних циљева и предложених мера и активности. Консултације су реализоване у складу са Уредбом о методологији управљања јавним политикама, анализи ефеката јавних политика и прописа и садржају појединачних докумената јавних политика, као и у складу са смерницама датим у Правилнику о смерницама добре праксе за остваривање учешћа јавности у припреми нацрта закона и других прописа и аката (,,Службени гласник РС”, број 51/19). Током израде овог програма одржани су посебни састанци са појединим институцијама, на које се односе неке од предложених мера, како би се дефинисале и усагласиле одговарајуће оптималне мере и активности у предвиђеном временском периоду. Поред тога консултације су спроведене и методом фокус групе, са члановима Радне групе за циркуларну економију и представницима релевантних институција: </w:t>
      </w:r>
    </w:p>
    <w:p w14:paraId="32EA51EF" w14:textId="77777777" w:rsidR="00497092" w:rsidRPr="00644F20" w:rsidRDefault="001B6E66" w:rsidP="00432189">
      <w:pPr>
        <w:pStyle w:val="ListParagraph"/>
        <w:numPr>
          <w:ilvl w:val="0"/>
          <w:numId w:val="21"/>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МЗЖС</w:t>
      </w:r>
      <w:r w:rsidR="002F45E1" w:rsidRPr="00644F20">
        <w:rPr>
          <w:rFonts w:ascii="Times New Roman" w:hAnsi="Times New Roman" w:cs="Times New Roman"/>
          <w:sz w:val="24"/>
          <w:szCs w:val="24"/>
          <w:lang w:val="sr-Cyrl-CS"/>
        </w:rPr>
        <w:t xml:space="preserve">, </w:t>
      </w:r>
    </w:p>
    <w:p w14:paraId="62561184"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Министарства привреде,</w:t>
      </w:r>
    </w:p>
    <w:p w14:paraId="1AEAF109" w14:textId="77777777" w:rsidR="00497092" w:rsidRPr="00644F20" w:rsidRDefault="002F45E1">
      <w:pPr>
        <w:pStyle w:val="ListParagraph"/>
        <w:numPr>
          <w:ilvl w:val="0"/>
          <w:numId w:val="21"/>
        </w:numPr>
        <w:spacing w:after="6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Министарства грађевинарства, саобраћаја и инфраструктуре,</w:t>
      </w:r>
    </w:p>
    <w:p w14:paraId="422DB851"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Министарства просвете, науке и технолошког развоја,</w:t>
      </w:r>
    </w:p>
    <w:p w14:paraId="6F04D14B"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Агенције за заштиту животне средине,</w:t>
      </w:r>
    </w:p>
    <w:p w14:paraId="26DE0A3B"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Републичког секретаријата за јавне политике,</w:t>
      </w:r>
    </w:p>
    <w:p w14:paraId="2F3B4723"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Привредне коморе Србије,</w:t>
      </w:r>
    </w:p>
    <w:p w14:paraId="1024CB0E"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Сталне конференције градова и општина – Савез градова и општина Србије (СKГО),</w:t>
      </w:r>
    </w:p>
    <w:p w14:paraId="6E8E9A8B"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Националне алијансе за локални економски развој (НАЛЕД),</w:t>
      </w:r>
    </w:p>
    <w:p w14:paraId="6FCBCB1E"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Института за стандардизацију Србије,</w:t>
      </w:r>
    </w:p>
    <w:p w14:paraId="783C2B37"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Републичког завода за статистику,</w:t>
      </w:r>
    </w:p>
    <w:p w14:paraId="3752DDC8" w14:textId="77777777" w:rsidR="00497092" w:rsidRPr="00644F20" w:rsidRDefault="00C40C94">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КЈН</w:t>
      </w:r>
      <w:r w:rsidR="002F45E1" w:rsidRPr="00644F20">
        <w:rPr>
          <w:rFonts w:ascii="Times New Roman" w:hAnsi="Times New Roman" w:cs="Times New Roman"/>
          <w:sz w:val="24"/>
          <w:szCs w:val="24"/>
          <w:lang w:val="sr-Cyrl-CS"/>
        </w:rPr>
        <w:t>,</w:t>
      </w:r>
    </w:p>
    <w:p w14:paraId="011324CA"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Канцеларије Програма Уједињених нација за развој (УНДП),</w:t>
      </w:r>
    </w:p>
    <w:p w14:paraId="567718C5" w14:textId="77777777" w:rsidR="00497092" w:rsidRPr="00644F20" w:rsidRDefault="002F45E1">
      <w:pPr>
        <w:numPr>
          <w:ilvl w:val="0"/>
          <w:numId w:val="21"/>
        </w:numPr>
        <w:spacing w:after="60" w:line="276" w:lineRule="auto"/>
        <w:contextualSpacing/>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Организације за европску безбедност и сарадњу – Мисија у Србији (ОЕБС). </w:t>
      </w:r>
    </w:p>
    <w:p w14:paraId="31FE3109" w14:textId="77777777" w:rsidR="00497092" w:rsidRPr="00644F20" w:rsidRDefault="002F45E1" w:rsidP="002F4AEF">
      <w:pPr>
        <w:spacing w:after="60"/>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Поред наведених учесника у консултације су били укључени и представници цивилног друштва, универзитета, привреде, као и консултанти из области заштите животне средине и циркуларне економије. </w:t>
      </w:r>
    </w:p>
    <w:p w14:paraId="7FABE1AF" w14:textId="77777777" w:rsidR="00A714AA" w:rsidRPr="00644F20" w:rsidRDefault="00A714AA" w:rsidP="002F4AEF">
      <w:pPr>
        <w:spacing w:after="60"/>
        <w:ind w:firstLine="720"/>
        <w:jc w:val="both"/>
        <w:rPr>
          <w:rFonts w:ascii="Times New Roman" w:hAnsi="Times New Roman" w:cs="Times New Roman"/>
          <w:sz w:val="24"/>
          <w:szCs w:val="24"/>
          <w:lang w:val="sr-Cyrl-CS"/>
        </w:rPr>
      </w:pPr>
    </w:p>
    <w:p w14:paraId="7FFDF859" w14:textId="77777777" w:rsidR="00A714AA" w:rsidRPr="00644F20" w:rsidRDefault="00A714AA" w:rsidP="002F4AEF">
      <w:pPr>
        <w:spacing w:after="60"/>
        <w:ind w:firstLine="720"/>
        <w:jc w:val="both"/>
        <w:rPr>
          <w:rFonts w:ascii="Times New Roman" w:hAnsi="Times New Roman" w:cs="Times New Roman"/>
          <w:sz w:val="24"/>
          <w:szCs w:val="24"/>
          <w:lang w:val="sr-Cyrl-CS"/>
        </w:rPr>
      </w:pPr>
    </w:p>
    <w:p w14:paraId="4D2D5F40" w14:textId="77777777" w:rsidR="00497092" w:rsidRPr="00644F20" w:rsidRDefault="002F45E1" w:rsidP="002F4AEF">
      <w:pPr>
        <w:spacing w:after="60"/>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lastRenderedPageBreak/>
        <w:t xml:space="preserve">Консултације су одржане 26. октобра 2021. године, у форми веб конференције, током које је учесницима представљена структура </w:t>
      </w:r>
      <w:r w:rsidR="00432189" w:rsidRPr="00644F20">
        <w:rPr>
          <w:rFonts w:ascii="Times New Roman" w:hAnsi="Times New Roman" w:cs="Times New Roman"/>
          <w:sz w:val="24"/>
          <w:szCs w:val="24"/>
          <w:lang w:val="sr-Cyrl-CS"/>
        </w:rPr>
        <w:t>овог програма и Нацрт а</w:t>
      </w:r>
      <w:r w:rsidRPr="00644F20">
        <w:rPr>
          <w:rFonts w:ascii="Times New Roman" w:hAnsi="Times New Roman" w:cs="Times New Roman"/>
          <w:sz w:val="24"/>
          <w:szCs w:val="24"/>
          <w:lang w:val="sr-Cyrl-CS"/>
        </w:rPr>
        <w:t>кционог плана. У циљу постизања квалитетнијег дијалога и дискусије, учесницима су уз позив на учешће</w:t>
      </w:r>
      <w:r w:rsidR="00432189" w:rsidRPr="00644F20">
        <w:rPr>
          <w:rFonts w:ascii="Times New Roman" w:hAnsi="Times New Roman" w:cs="Times New Roman"/>
          <w:sz w:val="24"/>
          <w:szCs w:val="24"/>
          <w:lang w:val="sr-Cyrl-CS"/>
        </w:rPr>
        <w:t xml:space="preserve"> у консултацијама достављени и Нацрт а</w:t>
      </w:r>
      <w:r w:rsidRPr="00644F20">
        <w:rPr>
          <w:rFonts w:ascii="Times New Roman" w:hAnsi="Times New Roman" w:cs="Times New Roman"/>
          <w:sz w:val="24"/>
          <w:szCs w:val="24"/>
          <w:lang w:val="sr-Cyrl-CS"/>
        </w:rPr>
        <w:t>кционог плана и опис предвиђених мера. Током дискусије, након презентације, учесници су имали могућ</w:t>
      </w:r>
      <w:r w:rsidR="00432189" w:rsidRPr="00644F20">
        <w:rPr>
          <w:rFonts w:ascii="Times New Roman" w:hAnsi="Times New Roman" w:cs="Times New Roman"/>
          <w:sz w:val="24"/>
          <w:szCs w:val="24"/>
          <w:lang w:val="sr-Cyrl-CS"/>
        </w:rPr>
        <w:t>ност да изразе своје мишљење о Нацрту а</w:t>
      </w:r>
      <w:r w:rsidRPr="00644F20">
        <w:rPr>
          <w:rFonts w:ascii="Times New Roman" w:hAnsi="Times New Roman" w:cs="Times New Roman"/>
          <w:sz w:val="24"/>
          <w:szCs w:val="24"/>
          <w:lang w:val="sr-Cyrl-CS"/>
        </w:rPr>
        <w:t xml:space="preserve">кционог плана и дају сугестије, а додатне коментаре су могли да доставе и након конференције, путем електронске поште. </w:t>
      </w:r>
    </w:p>
    <w:p w14:paraId="60ABE9E6" w14:textId="77777777" w:rsidR="00497092" w:rsidRPr="00644F20" w:rsidRDefault="002F45E1" w:rsidP="002F4AEF">
      <w:pPr>
        <w:spacing w:after="60"/>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Након спроведених јавних консултација, пажљиво су размотрени сви предлози, примедбе и сугестије пристигле током и после јавних консултација и сагледана је могућност њиховог интегр</w:t>
      </w:r>
      <w:r w:rsidR="002F4AEF" w:rsidRPr="00644F20">
        <w:rPr>
          <w:rFonts w:ascii="Times New Roman" w:hAnsi="Times New Roman" w:cs="Times New Roman"/>
          <w:sz w:val="24"/>
          <w:szCs w:val="24"/>
          <w:lang w:val="sr-Cyrl-CS"/>
        </w:rPr>
        <w:t>исања у текст наведеног нацрта п</w:t>
      </w:r>
      <w:r w:rsidRPr="00644F20">
        <w:rPr>
          <w:rFonts w:ascii="Times New Roman" w:hAnsi="Times New Roman" w:cs="Times New Roman"/>
          <w:sz w:val="24"/>
          <w:szCs w:val="24"/>
          <w:lang w:val="sr-Cyrl-CS"/>
        </w:rPr>
        <w:t xml:space="preserve">рограма. Достављени предлози и сугестије разврстане су у две групе, на оне који су прихваћени и на оне који су одбијени или није постигнута сагласност. </w:t>
      </w:r>
    </w:p>
    <w:p w14:paraId="3E38F99E" w14:textId="77777777" w:rsidR="00497092" w:rsidRPr="00644F20" w:rsidRDefault="002F45E1" w:rsidP="002F4AEF">
      <w:pPr>
        <w:spacing w:after="60"/>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Након разматрања свих примедби и предлога, уважавајући интересе различитих заинтересованих страна, предложено је компромисно решење којим се у највећој могућој мери изашло у сусрет свим достављеним предлозима и коментарима.</w:t>
      </w:r>
    </w:p>
    <w:p w14:paraId="2ACCECCE" w14:textId="77777777" w:rsidR="00497092" w:rsidRPr="00644F20" w:rsidRDefault="002F45E1" w:rsidP="002F4AEF">
      <w:pPr>
        <w:spacing w:after="60"/>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Процес припреме документа је настављен и крајем новембра 2021. године, је завршен.</w:t>
      </w:r>
    </w:p>
    <w:p w14:paraId="12A55C7A" w14:textId="77777777" w:rsidR="002F4AEF" w:rsidRPr="00644F20" w:rsidRDefault="002F45E1" w:rsidP="002F4AEF">
      <w:pPr>
        <w:spacing w:after="0"/>
        <w:ind w:left="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Јавна расправа је била одржана у периоду од 23. децембра 2021. до 14. јануара 2022. </w:t>
      </w:r>
    </w:p>
    <w:p w14:paraId="6CD96C4A" w14:textId="77777777" w:rsidR="00497092" w:rsidRPr="00644F20" w:rsidRDefault="002F45E1" w:rsidP="002F4AEF">
      <w:pPr>
        <w:spacing w:after="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године. Нацрт програма би</w:t>
      </w:r>
      <w:r w:rsidR="002F4AEF" w:rsidRPr="00644F20">
        <w:rPr>
          <w:rFonts w:ascii="Times New Roman" w:hAnsi="Times New Roman" w:cs="Times New Roman"/>
          <w:sz w:val="24"/>
          <w:szCs w:val="24"/>
          <w:lang w:val="sr-Cyrl-CS"/>
        </w:rPr>
        <w:t xml:space="preserve">о је постављен на веб страници </w:t>
      </w:r>
      <w:r w:rsidR="001B6E66" w:rsidRPr="00644F20">
        <w:rPr>
          <w:rFonts w:ascii="Times New Roman" w:hAnsi="Times New Roman" w:cs="Times New Roman"/>
          <w:sz w:val="24"/>
          <w:szCs w:val="24"/>
          <w:lang w:val="sr-Cyrl-CS"/>
        </w:rPr>
        <w:t>МЗЖС</w:t>
      </w:r>
      <w:r w:rsidR="002F4AEF" w:rsidRPr="00644F20">
        <w:rPr>
          <w:rFonts w:ascii="Times New Roman" w:hAnsi="Times New Roman" w:cs="Times New Roman"/>
          <w:sz w:val="24"/>
          <w:szCs w:val="24"/>
          <w:lang w:val="sr-Cyrl-CS"/>
        </w:rPr>
        <w:t xml:space="preserve"> </w:t>
      </w:r>
      <w:r w:rsidRPr="00644F20">
        <w:rPr>
          <w:rFonts w:ascii="Times New Roman" w:hAnsi="Times New Roman" w:cs="Times New Roman"/>
          <w:sz w:val="24"/>
          <w:szCs w:val="24"/>
          <w:lang w:val="sr-Cyrl-CS"/>
        </w:rPr>
        <w:t>како би се јавност упознала са документом.</w:t>
      </w:r>
    </w:p>
    <w:p w14:paraId="6C1C4705" w14:textId="77777777" w:rsidR="002F4AEF" w:rsidRPr="00644F20" w:rsidRDefault="002F45E1" w:rsidP="00A714AA">
      <w:pPr>
        <w:spacing w:after="0"/>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Јавно представљање предлога Програма одржано је у форми веб конференције 28. децембра 2021. године. Учесницима је представљен документ са Акционим планом. </w:t>
      </w:r>
      <w:r w:rsidR="00A714AA" w:rsidRPr="00644F20">
        <w:rPr>
          <w:rFonts w:ascii="Times New Roman" w:hAnsi="Times New Roman" w:cs="Times New Roman"/>
          <w:sz w:val="24"/>
          <w:szCs w:val="24"/>
          <w:lang w:val="sr-Cyrl-CS"/>
        </w:rPr>
        <w:tab/>
      </w:r>
      <w:r w:rsidRPr="00644F20">
        <w:rPr>
          <w:rFonts w:ascii="Times New Roman" w:hAnsi="Times New Roman" w:cs="Times New Roman"/>
          <w:sz w:val="24"/>
          <w:szCs w:val="24"/>
          <w:lang w:val="sr-Cyrl-CS"/>
        </w:rPr>
        <w:t>Заинтересована јавност је могла да достави писане коментаре на е-</w:t>
      </w:r>
      <w:r w:rsidR="00A714AA" w:rsidRPr="00644F20">
        <w:rPr>
          <w:rFonts w:ascii="Times New Roman" w:hAnsi="Times New Roman" w:cs="Times New Roman"/>
          <w:sz w:val="24"/>
          <w:szCs w:val="24"/>
          <w:lang w:val="sr-Cyrl-CS"/>
        </w:rPr>
        <w:t>маил</w:t>
      </w:r>
      <w:r w:rsidRPr="00644F20">
        <w:rPr>
          <w:rFonts w:ascii="Times New Roman" w:hAnsi="Times New Roman" w:cs="Times New Roman"/>
          <w:sz w:val="24"/>
          <w:szCs w:val="24"/>
          <w:lang w:val="sr-Cyrl-CS"/>
        </w:rPr>
        <w:t xml:space="preserve"> адресу </w:t>
      </w:r>
    </w:p>
    <w:p w14:paraId="13DD79A3" w14:textId="77777777" w:rsidR="00497092" w:rsidRPr="00644F20" w:rsidRDefault="00000000" w:rsidP="002F4AEF">
      <w:pPr>
        <w:spacing w:after="0"/>
        <w:jc w:val="both"/>
        <w:rPr>
          <w:rFonts w:ascii="Times New Roman" w:hAnsi="Times New Roman" w:cs="Times New Roman"/>
          <w:sz w:val="24"/>
          <w:szCs w:val="24"/>
          <w:lang w:val="sr-Cyrl-CS"/>
        </w:rPr>
      </w:pPr>
      <w:hyperlink r:id="rId25" w:history="1">
        <w:r w:rsidR="002F45E1" w:rsidRPr="00644F20">
          <w:rPr>
            <w:rFonts w:ascii="Times New Roman" w:hAnsi="Times New Roman" w:cs="Times New Roman"/>
            <w:sz w:val="24"/>
            <w:szCs w:val="24"/>
            <w:u w:val="single"/>
            <w:lang w:val="sr-Cyrl-CS"/>
          </w:rPr>
          <w:t>cirkularna@ekologija.gov.rs</w:t>
        </w:r>
      </w:hyperlink>
      <w:r w:rsidR="002F45E1" w:rsidRPr="00644F20">
        <w:rPr>
          <w:rFonts w:ascii="Times New Roman" w:hAnsi="Times New Roman" w:cs="Times New Roman"/>
          <w:sz w:val="24"/>
          <w:szCs w:val="24"/>
          <w:lang w:val="sr-Cyrl-CS"/>
        </w:rPr>
        <w:t xml:space="preserve">. </w:t>
      </w:r>
    </w:p>
    <w:p w14:paraId="32902E91" w14:textId="77777777" w:rsidR="00497092" w:rsidRPr="00644F20" w:rsidRDefault="002F45E1" w:rsidP="002F4AEF">
      <w:pPr>
        <w:spacing w:after="0" w:line="240"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Писани коментари су прикупљани након одржаних јавних консултација и јавне расправе.</w:t>
      </w:r>
    </w:p>
    <w:p w14:paraId="60574E09" w14:textId="77777777" w:rsidR="00497092" w:rsidRPr="00644F20" w:rsidRDefault="002F45E1" w:rsidP="002F4AEF">
      <w:pPr>
        <w:spacing w:after="0" w:line="240" w:lineRule="auto"/>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Систематизовани коментари са одговорима министарства били су доступни јавности на веб страници </w:t>
      </w:r>
      <w:r w:rsidR="001B6E66" w:rsidRPr="00644F20">
        <w:rPr>
          <w:rFonts w:ascii="Times New Roman" w:hAnsi="Times New Roman" w:cs="Times New Roman"/>
          <w:sz w:val="24"/>
          <w:szCs w:val="24"/>
          <w:lang w:val="sr-Cyrl-CS"/>
        </w:rPr>
        <w:t>МЗЖС</w:t>
      </w:r>
      <w:r w:rsidRPr="00644F20">
        <w:rPr>
          <w:rFonts w:ascii="Times New Roman" w:hAnsi="Times New Roman" w:cs="Times New Roman"/>
          <w:sz w:val="24"/>
          <w:szCs w:val="24"/>
          <w:lang w:val="sr-Cyrl-CS"/>
        </w:rPr>
        <w:t xml:space="preserve"> у законски прописаном року.</w:t>
      </w:r>
    </w:p>
    <w:p w14:paraId="1059958D" w14:textId="77777777" w:rsidR="00497092" w:rsidRPr="00644F20" w:rsidRDefault="00497092" w:rsidP="002F4AEF">
      <w:pPr>
        <w:spacing w:after="0"/>
        <w:rPr>
          <w:rFonts w:ascii="Times New Roman" w:hAnsi="Times New Roman" w:cs="Times New Roman"/>
          <w:sz w:val="24"/>
          <w:szCs w:val="24"/>
          <w:lang w:val="sr-Cyrl-CS"/>
        </w:rPr>
      </w:pPr>
    </w:p>
    <w:p w14:paraId="57CAF360" w14:textId="77777777" w:rsidR="00497092" w:rsidRPr="00644F20" w:rsidRDefault="002F45E1">
      <w:pPr>
        <w:rPr>
          <w:rFonts w:ascii="Times New Roman" w:hAnsi="Times New Roman" w:cs="Times New Roman"/>
          <w:b/>
          <w:sz w:val="32"/>
          <w:szCs w:val="32"/>
          <w:lang w:val="sr-Cyrl-CS"/>
        </w:rPr>
      </w:pPr>
      <w:r w:rsidRPr="00644F20">
        <w:rPr>
          <w:rFonts w:ascii="Times New Roman" w:hAnsi="Times New Roman" w:cs="Times New Roman"/>
          <w:b/>
          <w:sz w:val="32"/>
          <w:szCs w:val="32"/>
          <w:lang w:val="sr-Cyrl-CS"/>
        </w:rPr>
        <w:t>10. АКЦИОНИ ПЛАН</w:t>
      </w:r>
    </w:p>
    <w:p w14:paraId="1FE789B6" w14:textId="77777777" w:rsidR="00497092" w:rsidRPr="00644F20" w:rsidRDefault="002F45E1" w:rsidP="005320FF">
      <w:pPr>
        <w:ind w:firstLine="720"/>
        <w:jc w:val="both"/>
        <w:rPr>
          <w:rFonts w:ascii="Times New Roman" w:hAnsi="Times New Roman" w:cs="Times New Roman"/>
          <w:sz w:val="24"/>
          <w:szCs w:val="24"/>
          <w:lang w:val="sr-Cyrl-CS"/>
        </w:rPr>
      </w:pPr>
      <w:r w:rsidRPr="00644F20">
        <w:rPr>
          <w:rFonts w:ascii="Times New Roman" w:hAnsi="Times New Roman" w:cs="Times New Roman"/>
          <w:sz w:val="24"/>
          <w:szCs w:val="24"/>
          <w:lang w:val="sr-Cyrl-CS"/>
        </w:rPr>
        <w:t>Акционим планом предвиђене су конкретне мере и активности које ће се предузети ради обезбеђења услова да се циљеви Програма</w:t>
      </w:r>
      <w:r w:rsidR="00A714AA" w:rsidRPr="00644F20">
        <w:rPr>
          <w:rFonts w:ascii="Times New Roman" w:hAnsi="Times New Roman" w:cs="Times New Roman"/>
          <w:sz w:val="24"/>
          <w:szCs w:val="24"/>
          <w:lang w:val="sr-Cyrl-CS"/>
        </w:rPr>
        <w:t xml:space="preserve"> </w:t>
      </w:r>
      <w:r w:rsidR="005320FF" w:rsidRPr="00644F20">
        <w:rPr>
          <w:rFonts w:ascii="Times New Roman" w:hAnsi="Times New Roman" w:cs="Times New Roman"/>
          <w:sz w:val="24"/>
          <w:szCs w:val="24"/>
          <w:lang w:val="sr-Cyrl-CS"/>
        </w:rPr>
        <w:t>развоја циркуларне економије у Републици Србији за период 2022-2024. године</w:t>
      </w:r>
      <w:r w:rsidRPr="00644F20">
        <w:rPr>
          <w:rFonts w:ascii="Times New Roman" w:hAnsi="Times New Roman" w:cs="Times New Roman"/>
          <w:sz w:val="24"/>
          <w:szCs w:val="24"/>
          <w:lang w:val="sr-Cyrl-CS"/>
        </w:rPr>
        <w:t xml:space="preserve"> реализују, одређени су носиоци послова и партнери за спровођење тих мера и активности, као и време потребно за имплеме</w:t>
      </w:r>
      <w:r w:rsidR="005320FF" w:rsidRPr="00644F20">
        <w:rPr>
          <w:rFonts w:ascii="Times New Roman" w:hAnsi="Times New Roman" w:cs="Times New Roman"/>
          <w:sz w:val="24"/>
          <w:szCs w:val="24"/>
          <w:lang w:val="sr-Cyrl-CS"/>
        </w:rPr>
        <w:t>нтацију наведених активности.</w:t>
      </w:r>
    </w:p>
    <w:p w14:paraId="109ACACF" w14:textId="77777777" w:rsidR="00497092" w:rsidRPr="00644F20" w:rsidRDefault="002F45E1" w:rsidP="002F4AEF">
      <w:pPr>
        <w:ind w:firstLine="720"/>
        <w:rPr>
          <w:rFonts w:ascii="Times New Roman" w:hAnsi="Times New Roman" w:cs="Times New Roman"/>
          <w:sz w:val="24"/>
          <w:szCs w:val="24"/>
          <w:lang w:val="sr-Cyrl-CS"/>
        </w:rPr>
      </w:pPr>
      <w:r w:rsidRPr="00644F20">
        <w:rPr>
          <w:rFonts w:ascii="Times New Roman" w:hAnsi="Times New Roman" w:cs="Times New Roman"/>
          <w:sz w:val="24"/>
          <w:szCs w:val="24"/>
          <w:lang w:val="sr-Cyrl-CS"/>
        </w:rPr>
        <w:t>Акц</w:t>
      </w:r>
      <w:r w:rsidR="00935364" w:rsidRPr="00644F20">
        <w:rPr>
          <w:rFonts w:ascii="Times New Roman" w:hAnsi="Times New Roman" w:cs="Times New Roman"/>
          <w:sz w:val="24"/>
          <w:szCs w:val="24"/>
          <w:lang w:val="sr-Cyrl-CS"/>
        </w:rPr>
        <w:t>иони план је одштампан уз овај п</w:t>
      </w:r>
      <w:r w:rsidRPr="00644F20">
        <w:rPr>
          <w:rFonts w:ascii="Times New Roman" w:hAnsi="Times New Roman" w:cs="Times New Roman"/>
          <w:sz w:val="24"/>
          <w:szCs w:val="24"/>
          <w:lang w:val="sr-Cyrl-CS"/>
        </w:rPr>
        <w:t>рограм и чини његов саставни део.</w:t>
      </w:r>
    </w:p>
    <w:p w14:paraId="1D6329D0" w14:textId="77777777" w:rsidR="00A714AA" w:rsidRPr="00644F20" w:rsidRDefault="00A714AA" w:rsidP="002F4AEF">
      <w:pPr>
        <w:ind w:firstLine="720"/>
        <w:rPr>
          <w:rFonts w:ascii="Times New Roman" w:hAnsi="Times New Roman" w:cs="Times New Roman"/>
          <w:sz w:val="24"/>
          <w:szCs w:val="24"/>
          <w:lang w:val="sr-Cyrl-CS"/>
        </w:rPr>
      </w:pPr>
    </w:p>
    <w:p w14:paraId="0047D666" w14:textId="77777777" w:rsidR="00A714AA" w:rsidRPr="00644F20" w:rsidRDefault="00A714AA" w:rsidP="002F4AEF">
      <w:pPr>
        <w:ind w:firstLine="720"/>
        <w:rPr>
          <w:rFonts w:ascii="Times New Roman" w:hAnsi="Times New Roman" w:cs="Times New Roman"/>
          <w:sz w:val="24"/>
          <w:szCs w:val="24"/>
          <w:lang w:val="sr-Cyrl-CS"/>
        </w:rPr>
      </w:pPr>
    </w:p>
    <w:p w14:paraId="5EF8C59E" w14:textId="77777777" w:rsidR="00A714AA" w:rsidRPr="00644F20" w:rsidRDefault="00A714AA" w:rsidP="002F4AEF">
      <w:pPr>
        <w:ind w:firstLine="720"/>
        <w:rPr>
          <w:rFonts w:ascii="Times New Roman" w:hAnsi="Times New Roman" w:cs="Times New Roman"/>
          <w:sz w:val="24"/>
          <w:szCs w:val="24"/>
          <w:lang w:val="sr-Cyrl-CS"/>
        </w:rPr>
      </w:pPr>
    </w:p>
    <w:p w14:paraId="08C231F1" w14:textId="77777777" w:rsidR="00A714AA" w:rsidRPr="00644F20" w:rsidRDefault="00A714AA" w:rsidP="002F4AEF">
      <w:pPr>
        <w:ind w:firstLine="720"/>
        <w:rPr>
          <w:rFonts w:ascii="Times New Roman" w:hAnsi="Times New Roman" w:cs="Times New Roman"/>
          <w:sz w:val="24"/>
          <w:szCs w:val="24"/>
          <w:lang w:val="sr-Cyrl-CS"/>
        </w:rPr>
      </w:pPr>
    </w:p>
    <w:p w14:paraId="1D02AFDD" w14:textId="77777777" w:rsidR="00A714AA" w:rsidRPr="00644F20" w:rsidRDefault="00A714AA" w:rsidP="002F4AEF">
      <w:pPr>
        <w:ind w:firstLine="720"/>
        <w:rPr>
          <w:rFonts w:ascii="Times New Roman" w:hAnsi="Times New Roman" w:cs="Times New Roman"/>
          <w:sz w:val="24"/>
          <w:szCs w:val="24"/>
          <w:lang w:val="sr-Cyrl-CS"/>
        </w:rPr>
      </w:pPr>
    </w:p>
    <w:p w14:paraId="0B216570" w14:textId="77777777" w:rsidR="00A714AA" w:rsidRPr="00644F20" w:rsidRDefault="00A714AA" w:rsidP="002F4AEF">
      <w:pPr>
        <w:ind w:firstLine="720"/>
        <w:rPr>
          <w:rFonts w:ascii="Times New Roman" w:hAnsi="Times New Roman" w:cs="Times New Roman"/>
          <w:sz w:val="24"/>
          <w:szCs w:val="24"/>
          <w:lang w:val="sr-Cyrl-CS"/>
        </w:rPr>
      </w:pPr>
    </w:p>
    <w:p w14:paraId="1B3D3D5A" w14:textId="77777777" w:rsidR="00A714AA" w:rsidRPr="00644F20" w:rsidRDefault="00A714AA" w:rsidP="002F4AEF">
      <w:pPr>
        <w:ind w:firstLine="720"/>
        <w:rPr>
          <w:rFonts w:ascii="Times New Roman" w:hAnsi="Times New Roman" w:cs="Times New Roman"/>
          <w:sz w:val="24"/>
          <w:szCs w:val="24"/>
          <w:lang w:val="sr-Cyrl-CS"/>
        </w:rPr>
      </w:pPr>
    </w:p>
    <w:p w14:paraId="17675A00" w14:textId="77777777" w:rsidR="00A714AA" w:rsidRPr="00644F20" w:rsidRDefault="00A714AA" w:rsidP="002F4AEF">
      <w:pPr>
        <w:ind w:firstLine="720"/>
        <w:rPr>
          <w:rFonts w:ascii="Times New Roman" w:hAnsi="Times New Roman" w:cs="Times New Roman"/>
          <w:sz w:val="24"/>
          <w:szCs w:val="24"/>
          <w:lang w:val="sr-Cyrl-CS"/>
        </w:rPr>
      </w:pPr>
    </w:p>
    <w:p w14:paraId="72F45D3B" w14:textId="77777777" w:rsidR="00497092" w:rsidRPr="00644F20" w:rsidRDefault="002F45E1">
      <w:pPr>
        <w:rPr>
          <w:rFonts w:ascii="Times New Roman" w:hAnsi="Times New Roman" w:cs="Times New Roman"/>
          <w:b/>
          <w:sz w:val="32"/>
          <w:szCs w:val="32"/>
          <w:lang w:val="sr-Cyrl-CS"/>
        </w:rPr>
      </w:pPr>
      <w:r w:rsidRPr="00644F20">
        <w:rPr>
          <w:rFonts w:ascii="Times New Roman" w:hAnsi="Times New Roman" w:cs="Times New Roman"/>
          <w:b/>
          <w:sz w:val="32"/>
          <w:szCs w:val="32"/>
          <w:lang w:val="sr-Cyrl-CS"/>
        </w:rPr>
        <w:t>11. ЗАВРШНЕ ОДРЕДБЕ</w:t>
      </w:r>
    </w:p>
    <w:p w14:paraId="23A99938" w14:textId="77777777" w:rsidR="00497092" w:rsidRPr="00644F20" w:rsidRDefault="002F4AEF" w:rsidP="002F4AEF">
      <w:pPr>
        <w:ind w:firstLine="720"/>
        <w:rPr>
          <w:rFonts w:ascii="Times New Roman" w:hAnsi="Times New Roman" w:cs="Times New Roman"/>
          <w:sz w:val="24"/>
          <w:szCs w:val="24"/>
          <w:lang w:val="sr-Cyrl-CS"/>
        </w:rPr>
      </w:pPr>
      <w:r w:rsidRPr="00644F20">
        <w:rPr>
          <w:rFonts w:ascii="Times New Roman" w:hAnsi="Times New Roman" w:cs="Times New Roman"/>
          <w:sz w:val="24"/>
          <w:szCs w:val="24"/>
          <w:lang w:val="sr-Cyrl-CS"/>
        </w:rPr>
        <w:t>Овај п</w:t>
      </w:r>
      <w:r w:rsidR="002F45E1" w:rsidRPr="00644F20">
        <w:rPr>
          <w:rFonts w:ascii="Times New Roman" w:hAnsi="Times New Roman" w:cs="Times New Roman"/>
          <w:sz w:val="24"/>
          <w:szCs w:val="24"/>
          <w:lang w:val="sr-Cyrl-CS"/>
        </w:rPr>
        <w:t xml:space="preserve">рограм објавити на интернет страници Владе, </w:t>
      </w:r>
      <w:r w:rsidR="001B6E66" w:rsidRPr="00644F20">
        <w:rPr>
          <w:rFonts w:ascii="Times New Roman" w:hAnsi="Times New Roman" w:cs="Times New Roman"/>
          <w:sz w:val="24"/>
          <w:szCs w:val="24"/>
          <w:lang w:val="sr-Cyrl-CS"/>
        </w:rPr>
        <w:t>МЗЖС</w:t>
      </w:r>
      <w:r w:rsidR="002F45E1" w:rsidRPr="00644F20">
        <w:rPr>
          <w:rFonts w:ascii="Times New Roman" w:hAnsi="Times New Roman" w:cs="Times New Roman"/>
          <w:sz w:val="24"/>
          <w:szCs w:val="24"/>
          <w:lang w:val="sr-Cyrl-CS"/>
        </w:rPr>
        <w:t xml:space="preserve"> и на порталу е-Управе, у року од седам дана од дана усвајања</w:t>
      </w:r>
      <w:r w:rsidR="005320FF" w:rsidRPr="00644F20">
        <w:rPr>
          <w:rFonts w:ascii="Times New Roman" w:hAnsi="Times New Roman" w:cs="Times New Roman"/>
          <w:sz w:val="24"/>
          <w:szCs w:val="24"/>
          <w:lang w:val="sr-Cyrl-CS"/>
        </w:rPr>
        <w:t xml:space="preserve"> овог програма</w:t>
      </w:r>
      <w:r w:rsidR="002F45E1" w:rsidRPr="00644F20">
        <w:rPr>
          <w:rFonts w:ascii="Times New Roman" w:hAnsi="Times New Roman" w:cs="Times New Roman"/>
          <w:sz w:val="24"/>
          <w:szCs w:val="24"/>
          <w:lang w:val="sr-Cyrl-CS"/>
        </w:rPr>
        <w:t xml:space="preserve">. </w:t>
      </w:r>
    </w:p>
    <w:p w14:paraId="3C67CBB1" w14:textId="77777777" w:rsidR="00497092" w:rsidRPr="00644F20" w:rsidRDefault="002F4AEF" w:rsidP="002F4AEF">
      <w:pPr>
        <w:ind w:firstLine="720"/>
        <w:rPr>
          <w:rFonts w:ascii="Times New Roman" w:hAnsi="Times New Roman" w:cs="Times New Roman"/>
          <w:sz w:val="24"/>
          <w:szCs w:val="24"/>
          <w:lang w:val="sr-Cyrl-CS"/>
        </w:rPr>
      </w:pPr>
      <w:r w:rsidRPr="00644F20">
        <w:rPr>
          <w:rFonts w:ascii="Times New Roman" w:hAnsi="Times New Roman" w:cs="Times New Roman"/>
          <w:sz w:val="24"/>
          <w:szCs w:val="24"/>
          <w:lang w:val="sr-Cyrl-CS"/>
        </w:rPr>
        <w:t>Овај п</w:t>
      </w:r>
      <w:r w:rsidR="002F45E1" w:rsidRPr="00644F20">
        <w:rPr>
          <w:rFonts w:ascii="Times New Roman" w:hAnsi="Times New Roman" w:cs="Times New Roman"/>
          <w:sz w:val="24"/>
          <w:szCs w:val="24"/>
          <w:lang w:val="sr-Cyrl-CS"/>
        </w:rPr>
        <w:t>рограм објавити у ,,Службеном гласнику Републике Србије</w:t>
      </w:r>
      <w:r w:rsidR="002F45E1" w:rsidRPr="00644F20">
        <w:rPr>
          <w:rFonts w:ascii="Times New Roman" w:eastAsia="Calibri" w:hAnsi="Times New Roman" w:cs="Times New Roman"/>
          <w:sz w:val="24"/>
          <w:szCs w:val="24"/>
          <w:lang w:val="sr-Cyrl-CS"/>
        </w:rPr>
        <w:t>”</w:t>
      </w:r>
      <w:r w:rsidR="002F45E1" w:rsidRPr="00644F20">
        <w:rPr>
          <w:rFonts w:ascii="Times New Roman" w:hAnsi="Times New Roman" w:cs="Times New Roman"/>
          <w:sz w:val="24"/>
          <w:szCs w:val="24"/>
          <w:lang w:val="sr-Cyrl-CS"/>
        </w:rPr>
        <w:t>.</w:t>
      </w:r>
    </w:p>
    <w:p w14:paraId="74FE10AD" w14:textId="77777777" w:rsidR="00497092" w:rsidRPr="00644F20" w:rsidRDefault="00497092">
      <w:pPr>
        <w:rPr>
          <w:rFonts w:ascii="Times New Roman" w:hAnsi="Times New Roman" w:cs="Times New Roman"/>
          <w:sz w:val="24"/>
          <w:szCs w:val="24"/>
          <w:lang w:val="sr-Cyrl-CS"/>
        </w:rPr>
      </w:pPr>
    </w:p>
    <w:p w14:paraId="51D2B2B6" w14:textId="77777777" w:rsidR="00497092" w:rsidRPr="00644F20" w:rsidRDefault="00497092">
      <w:pPr>
        <w:rPr>
          <w:rFonts w:ascii="Times New Roman" w:hAnsi="Times New Roman" w:cs="Times New Roman"/>
          <w:sz w:val="24"/>
          <w:szCs w:val="24"/>
          <w:lang w:val="sr-Cyrl-CS"/>
        </w:rPr>
      </w:pPr>
    </w:p>
    <w:p w14:paraId="1B1EBF52" w14:textId="77777777" w:rsidR="00497092" w:rsidRPr="00644F20" w:rsidRDefault="002F45E1">
      <w:pPr>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05 Број: </w:t>
      </w:r>
      <w:r w:rsidR="00006B1A">
        <w:rPr>
          <w:rFonts w:ascii="Times New Roman" w:hAnsi="Times New Roman" w:cs="Times New Roman"/>
          <w:sz w:val="24"/>
          <w:szCs w:val="24"/>
          <w:lang w:val="sr-Cyrl-CS"/>
        </w:rPr>
        <w:t>353-9836/2022-2</w:t>
      </w:r>
    </w:p>
    <w:p w14:paraId="059E600B" w14:textId="77777777" w:rsidR="00497092" w:rsidRPr="00644F20" w:rsidRDefault="002F45E1">
      <w:pPr>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У Београду, </w:t>
      </w:r>
      <w:r w:rsidR="00006B1A">
        <w:rPr>
          <w:rFonts w:ascii="Times New Roman" w:hAnsi="Times New Roman" w:cs="Times New Roman"/>
          <w:sz w:val="24"/>
          <w:szCs w:val="24"/>
          <w:lang w:val="sr-Cyrl-CS"/>
        </w:rPr>
        <w:t xml:space="preserve">1. децембра </w:t>
      </w:r>
      <w:r w:rsidRPr="00644F20">
        <w:rPr>
          <w:rFonts w:ascii="Times New Roman" w:hAnsi="Times New Roman" w:cs="Times New Roman"/>
          <w:sz w:val="24"/>
          <w:szCs w:val="24"/>
          <w:lang w:val="sr-Cyrl-CS"/>
        </w:rPr>
        <w:t>2022. године</w:t>
      </w:r>
    </w:p>
    <w:p w14:paraId="27D742C4" w14:textId="77777777" w:rsidR="00497092" w:rsidRPr="00644F20" w:rsidRDefault="002F45E1">
      <w:pPr>
        <w:rPr>
          <w:rFonts w:ascii="Times New Roman" w:hAnsi="Times New Roman" w:cs="Times New Roman"/>
          <w:sz w:val="24"/>
          <w:szCs w:val="24"/>
          <w:lang w:val="sr-Cyrl-CS"/>
        </w:rPr>
      </w:pPr>
      <w:r w:rsidRPr="00644F20">
        <w:rPr>
          <w:rFonts w:ascii="Times New Roman" w:hAnsi="Times New Roman" w:cs="Times New Roman"/>
          <w:sz w:val="24"/>
          <w:szCs w:val="24"/>
          <w:lang w:val="sr-Cyrl-CS"/>
        </w:rPr>
        <w:t xml:space="preserve">                                                                                                                                                                   </w:t>
      </w:r>
    </w:p>
    <w:p w14:paraId="08291899" w14:textId="77777777" w:rsidR="00497092" w:rsidRPr="00644F20" w:rsidRDefault="00497092">
      <w:pPr>
        <w:rPr>
          <w:rFonts w:ascii="Times New Roman" w:hAnsi="Times New Roman" w:cs="Times New Roman"/>
          <w:sz w:val="24"/>
          <w:szCs w:val="24"/>
          <w:lang w:val="sr-Cyrl-CS"/>
        </w:rPr>
      </w:pPr>
    </w:p>
    <w:p w14:paraId="2BA14C52" w14:textId="77777777" w:rsidR="00DF753D" w:rsidRPr="00DF753D" w:rsidRDefault="00DF753D" w:rsidP="00DF753D">
      <w:pPr>
        <w:spacing w:after="0" w:line="240" w:lineRule="auto"/>
        <w:jc w:val="center"/>
        <w:rPr>
          <w:rFonts w:ascii="Times New Roman" w:hAnsi="Times New Roman" w:cs="Times New Roman"/>
          <w:lang w:val="sr-Cyrl-RS"/>
        </w:rPr>
      </w:pPr>
      <w:r w:rsidRPr="00DF753D">
        <w:rPr>
          <w:rFonts w:ascii="Times New Roman" w:hAnsi="Times New Roman" w:cs="Times New Roman"/>
          <w:lang w:val="sr-Cyrl-RS"/>
        </w:rPr>
        <w:t>В Л А Д А</w:t>
      </w:r>
    </w:p>
    <w:p w14:paraId="65F9BC1B" w14:textId="77777777" w:rsidR="00DF753D" w:rsidRPr="00DF753D" w:rsidRDefault="00DF753D" w:rsidP="00DF753D">
      <w:pPr>
        <w:spacing w:after="0" w:line="240" w:lineRule="auto"/>
        <w:jc w:val="center"/>
        <w:rPr>
          <w:rFonts w:ascii="Times New Roman" w:hAnsi="Times New Roman" w:cs="Times New Roman"/>
          <w:lang w:val="sr-Cyrl-RS"/>
        </w:rPr>
      </w:pPr>
    </w:p>
    <w:p w14:paraId="38B23B3D" w14:textId="77777777" w:rsidR="00DF753D" w:rsidRPr="00DF753D" w:rsidRDefault="00DF753D" w:rsidP="00DF753D">
      <w:pPr>
        <w:spacing w:after="0" w:line="240" w:lineRule="auto"/>
        <w:jc w:val="center"/>
        <w:rPr>
          <w:rFonts w:ascii="Times New Roman" w:hAnsi="Times New Roman" w:cs="Times New Roman"/>
          <w:lang w:val="sr-Cyrl-RS"/>
        </w:rPr>
      </w:pPr>
    </w:p>
    <w:tbl>
      <w:tblPr>
        <w:tblW w:w="0" w:type="auto"/>
        <w:tblLook w:val="04A0" w:firstRow="1" w:lastRow="0" w:firstColumn="1" w:lastColumn="0" w:noHBand="0" w:noVBand="1"/>
      </w:tblPr>
      <w:tblGrid>
        <w:gridCol w:w="4621"/>
        <w:gridCol w:w="4622"/>
      </w:tblGrid>
      <w:tr w:rsidR="00DF753D" w:rsidRPr="00DF753D" w14:paraId="43AB91E3" w14:textId="77777777" w:rsidTr="00121255">
        <w:tc>
          <w:tcPr>
            <w:tcW w:w="4621" w:type="dxa"/>
            <w:shd w:val="clear" w:color="auto" w:fill="auto"/>
          </w:tcPr>
          <w:p w14:paraId="28976E6D" w14:textId="77777777" w:rsidR="00DF753D" w:rsidRPr="00DF753D" w:rsidRDefault="00DF753D" w:rsidP="00DF753D">
            <w:pPr>
              <w:spacing w:after="0" w:line="240" w:lineRule="auto"/>
              <w:jc w:val="center"/>
              <w:rPr>
                <w:rFonts w:ascii="Times New Roman" w:hAnsi="Times New Roman" w:cs="Times New Roman"/>
                <w:lang w:val="sr-Cyrl-RS"/>
              </w:rPr>
            </w:pPr>
            <w:r w:rsidRPr="00DF753D">
              <w:rPr>
                <w:rFonts w:ascii="Times New Roman" w:hAnsi="Times New Roman" w:cs="Times New Roman"/>
                <w:lang w:val="sr-Cyrl-RS"/>
              </w:rPr>
              <w:t>Тачност преписа оверава</w:t>
            </w:r>
          </w:p>
          <w:p w14:paraId="54740837" w14:textId="77777777" w:rsidR="00DF753D" w:rsidRPr="00DF753D" w:rsidRDefault="00DF753D" w:rsidP="00DF753D">
            <w:pPr>
              <w:spacing w:after="0" w:line="240" w:lineRule="auto"/>
              <w:jc w:val="center"/>
              <w:rPr>
                <w:rFonts w:ascii="Times New Roman" w:hAnsi="Times New Roman" w:cs="Times New Roman"/>
                <w:lang w:val="sr-Cyrl-RS"/>
              </w:rPr>
            </w:pPr>
            <w:r w:rsidRPr="00DF753D">
              <w:rPr>
                <w:rFonts w:ascii="Times New Roman" w:hAnsi="Times New Roman" w:cs="Times New Roman"/>
                <w:lang w:val="sr-Cyrl-RS"/>
              </w:rPr>
              <w:t xml:space="preserve">ЗАМЕНИК </w:t>
            </w:r>
          </w:p>
          <w:p w14:paraId="026BFDCD" w14:textId="77777777" w:rsidR="00DF753D" w:rsidRPr="00DF753D" w:rsidRDefault="00DF753D" w:rsidP="00DF753D">
            <w:pPr>
              <w:spacing w:after="0" w:line="240" w:lineRule="auto"/>
              <w:jc w:val="center"/>
              <w:rPr>
                <w:rFonts w:ascii="Times New Roman" w:hAnsi="Times New Roman" w:cs="Times New Roman"/>
                <w:lang w:val="sr-Cyrl-RS"/>
              </w:rPr>
            </w:pPr>
            <w:r w:rsidRPr="00DF753D">
              <w:rPr>
                <w:rFonts w:ascii="Times New Roman" w:hAnsi="Times New Roman" w:cs="Times New Roman"/>
                <w:lang w:val="sr-Cyrl-RS"/>
              </w:rPr>
              <w:t xml:space="preserve">ГЕНЕРАЛНОГ СЕКРЕТАРА </w:t>
            </w:r>
          </w:p>
          <w:p w14:paraId="03F45075" w14:textId="77777777" w:rsidR="00DF753D" w:rsidRPr="00DF753D" w:rsidRDefault="00DF753D" w:rsidP="00DF753D">
            <w:pPr>
              <w:spacing w:after="0" w:line="240" w:lineRule="auto"/>
              <w:jc w:val="center"/>
              <w:rPr>
                <w:rFonts w:ascii="Times New Roman" w:hAnsi="Times New Roman" w:cs="Times New Roman"/>
                <w:lang w:val="sr-Cyrl-RS"/>
              </w:rPr>
            </w:pPr>
          </w:p>
          <w:p w14:paraId="4EBF47B6" w14:textId="77777777" w:rsidR="00DF753D" w:rsidRPr="00DF753D" w:rsidRDefault="00DF753D" w:rsidP="00DF753D">
            <w:pPr>
              <w:spacing w:after="0" w:line="240" w:lineRule="auto"/>
              <w:jc w:val="center"/>
              <w:rPr>
                <w:rFonts w:ascii="Times New Roman" w:hAnsi="Times New Roman" w:cs="Times New Roman"/>
                <w:lang w:val="sr-Cyrl-RS"/>
              </w:rPr>
            </w:pPr>
            <w:r w:rsidRPr="00DF753D">
              <w:rPr>
                <w:rFonts w:ascii="Times New Roman" w:hAnsi="Times New Roman" w:cs="Times New Roman"/>
                <w:lang w:val="sr-Cyrl-RS"/>
              </w:rPr>
              <w:t>Петар Јањић</w:t>
            </w:r>
          </w:p>
        </w:tc>
        <w:tc>
          <w:tcPr>
            <w:tcW w:w="4622" w:type="dxa"/>
            <w:shd w:val="clear" w:color="auto" w:fill="auto"/>
          </w:tcPr>
          <w:p w14:paraId="1B2EEC39" w14:textId="77777777" w:rsidR="00DF753D" w:rsidRPr="00DF753D" w:rsidRDefault="00DF753D" w:rsidP="00DF753D">
            <w:pPr>
              <w:spacing w:after="0" w:line="240" w:lineRule="auto"/>
              <w:jc w:val="center"/>
              <w:rPr>
                <w:rFonts w:ascii="Times New Roman" w:hAnsi="Times New Roman" w:cs="Times New Roman"/>
                <w:lang w:val="sr-Cyrl-RS"/>
              </w:rPr>
            </w:pPr>
            <w:r w:rsidRPr="00DF753D">
              <w:rPr>
                <w:rFonts w:ascii="Times New Roman" w:hAnsi="Times New Roman" w:cs="Times New Roman"/>
                <w:lang w:val="sr-Cyrl-RS"/>
              </w:rPr>
              <w:t>ПРЕДСЕДНИК</w:t>
            </w:r>
          </w:p>
          <w:p w14:paraId="72290C76" w14:textId="77777777" w:rsidR="00DF753D" w:rsidRPr="00DF753D" w:rsidRDefault="00DF753D" w:rsidP="00DF753D">
            <w:pPr>
              <w:spacing w:after="0" w:line="240" w:lineRule="auto"/>
              <w:jc w:val="center"/>
              <w:rPr>
                <w:rFonts w:ascii="Times New Roman" w:hAnsi="Times New Roman" w:cs="Times New Roman"/>
                <w:lang w:val="sr-Cyrl-RS"/>
              </w:rPr>
            </w:pPr>
          </w:p>
          <w:p w14:paraId="2BD00F31" w14:textId="77777777" w:rsidR="00DF753D" w:rsidRPr="00DF753D" w:rsidRDefault="00DF753D" w:rsidP="00DF753D">
            <w:pPr>
              <w:spacing w:after="0" w:line="240" w:lineRule="auto"/>
              <w:jc w:val="center"/>
              <w:rPr>
                <w:rFonts w:ascii="Times New Roman" w:hAnsi="Times New Roman" w:cs="Times New Roman"/>
                <w:lang w:val="sr-Cyrl-RS"/>
              </w:rPr>
            </w:pPr>
          </w:p>
          <w:p w14:paraId="67E39C3F" w14:textId="77777777" w:rsidR="00DF753D" w:rsidRPr="00DF753D" w:rsidRDefault="00DF753D" w:rsidP="00DF753D">
            <w:pPr>
              <w:spacing w:after="0" w:line="240" w:lineRule="auto"/>
              <w:jc w:val="center"/>
              <w:rPr>
                <w:rFonts w:ascii="Times New Roman" w:hAnsi="Times New Roman" w:cs="Times New Roman"/>
                <w:lang w:val="sr-Cyrl-RS"/>
              </w:rPr>
            </w:pPr>
          </w:p>
          <w:p w14:paraId="21EE07BD" w14:textId="77777777" w:rsidR="00DF753D" w:rsidRPr="00DF753D" w:rsidRDefault="00DF753D" w:rsidP="00DF753D">
            <w:pPr>
              <w:spacing w:after="0" w:line="240" w:lineRule="auto"/>
              <w:jc w:val="center"/>
              <w:rPr>
                <w:rFonts w:ascii="Times New Roman" w:hAnsi="Times New Roman" w:cs="Times New Roman"/>
                <w:lang w:val="sr-Cyrl-RS"/>
              </w:rPr>
            </w:pPr>
            <w:r w:rsidRPr="00DF753D">
              <w:rPr>
                <w:rFonts w:ascii="Times New Roman" w:hAnsi="Times New Roman" w:cs="Times New Roman"/>
                <w:lang w:val="sr-Cyrl-RS"/>
              </w:rPr>
              <w:t>Ана Брнабић, с.р.</w:t>
            </w:r>
          </w:p>
        </w:tc>
      </w:tr>
    </w:tbl>
    <w:p w14:paraId="28087C18" w14:textId="77777777" w:rsidR="00DF753D" w:rsidRPr="00932937" w:rsidRDefault="00DF753D" w:rsidP="00DF753D">
      <w:pPr>
        <w:rPr>
          <w:lang w:val="sr-Cyrl-RS"/>
        </w:rPr>
      </w:pPr>
    </w:p>
    <w:p w14:paraId="688D7B42" w14:textId="77777777" w:rsidR="00497092" w:rsidRPr="00644F20" w:rsidRDefault="00497092">
      <w:pPr>
        <w:rPr>
          <w:rFonts w:ascii="Times New Roman" w:hAnsi="Times New Roman" w:cs="Times New Roman"/>
          <w:sz w:val="24"/>
          <w:szCs w:val="24"/>
          <w:lang w:val="sr-Cyrl-CS"/>
        </w:rPr>
        <w:sectPr w:rsidR="00497092" w:rsidRPr="00644F20">
          <w:footerReference w:type="default" r:id="rId26"/>
          <w:pgSz w:w="11907" w:h="16840"/>
          <w:pgMar w:top="1134" w:right="1134" w:bottom="1134" w:left="1134" w:header="720" w:footer="720" w:gutter="0"/>
          <w:cols w:space="720"/>
          <w:titlePg/>
          <w:docGrid w:linePitch="360"/>
        </w:sectPr>
      </w:pPr>
    </w:p>
    <w:p w14:paraId="16BE8B50" w14:textId="77777777" w:rsidR="00497092" w:rsidRPr="00644F20" w:rsidRDefault="002F45E1">
      <w:pPr>
        <w:pStyle w:val="Heading1"/>
        <w:rPr>
          <w:rFonts w:cs="Times New Roman"/>
          <w:sz w:val="22"/>
          <w:szCs w:val="22"/>
          <w:lang w:val="sr-Cyrl-CS"/>
        </w:rPr>
      </w:pPr>
      <w:r w:rsidRPr="00644F20">
        <w:rPr>
          <w:rFonts w:cs="Times New Roman"/>
          <w:sz w:val="22"/>
          <w:szCs w:val="22"/>
          <w:lang w:val="sr-Cyrl-CS"/>
        </w:rPr>
        <w:lastRenderedPageBreak/>
        <w:t>АКЦИОНИ ПЛАН</w:t>
      </w:r>
    </w:p>
    <w:tbl>
      <w:tblPr>
        <w:tblStyle w:val="TableGrid"/>
        <w:tblW w:w="0" w:type="auto"/>
        <w:tblLook w:val="04A0" w:firstRow="1" w:lastRow="0" w:firstColumn="1" w:lastColumn="0" w:noHBand="0" w:noVBand="1"/>
      </w:tblPr>
      <w:tblGrid>
        <w:gridCol w:w="3187"/>
        <w:gridCol w:w="9743"/>
      </w:tblGrid>
      <w:tr w:rsidR="00497092" w:rsidRPr="00644F20" w14:paraId="477F2635" w14:textId="77777777">
        <w:trPr>
          <w:trHeight w:val="460"/>
        </w:trPr>
        <w:tc>
          <w:tcPr>
            <w:tcW w:w="3434" w:type="dxa"/>
            <w:tcBorders>
              <w:top w:val="single" w:sz="4" w:space="0" w:color="auto"/>
              <w:left w:val="double" w:sz="4" w:space="0" w:color="auto"/>
              <w:bottom w:val="single" w:sz="4" w:space="0" w:color="auto"/>
              <w:right w:val="single" w:sz="4" w:space="0" w:color="auto"/>
            </w:tcBorders>
          </w:tcPr>
          <w:p w14:paraId="26F34AF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Акциони план:</w:t>
            </w:r>
          </w:p>
        </w:tc>
        <w:tc>
          <w:tcPr>
            <w:tcW w:w="10991" w:type="dxa"/>
            <w:tcBorders>
              <w:top w:val="single" w:sz="4" w:space="0" w:color="auto"/>
              <w:left w:val="single" w:sz="4" w:space="0" w:color="auto"/>
              <w:bottom w:val="single" w:sz="4" w:space="0" w:color="auto"/>
              <w:right w:val="double" w:sz="4" w:space="0" w:color="auto"/>
            </w:tcBorders>
          </w:tcPr>
          <w:p w14:paraId="5E8FA378"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Програм развоја циркуларне економије у Републици Србији за период 2022 – 2024. године</w:t>
            </w:r>
          </w:p>
        </w:tc>
      </w:tr>
      <w:tr w:rsidR="00497092" w:rsidRPr="00644F20" w14:paraId="5F67F798" w14:textId="77777777">
        <w:trPr>
          <w:trHeight w:val="230"/>
        </w:trPr>
        <w:tc>
          <w:tcPr>
            <w:tcW w:w="3434" w:type="dxa"/>
            <w:tcBorders>
              <w:top w:val="single" w:sz="4" w:space="0" w:color="auto"/>
              <w:left w:val="double" w:sz="4" w:space="0" w:color="auto"/>
              <w:bottom w:val="single" w:sz="4" w:space="0" w:color="auto"/>
              <w:right w:val="single" w:sz="4" w:space="0" w:color="auto"/>
            </w:tcBorders>
          </w:tcPr>
          <w:p w14:paraId="73E9A38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Предлагач:</w:t>
            </w:r>
          </w:p>
        </w:tc>
        <w:tc>
          <w:tcPr>
            <w:tcW w:w="10991" w:type="dxa"/>
            <w:tcBorders>
              <w:top w:val="single" w:sz="4" w:space="0" w:color="auto"/>
              <w:left w:val="single" w:sz="4" w:space="0" w:color="auto"/>
              <w:bottom w:val="single" w:sz="4" w:space="0" w:color="auto"/>
              <w:right w:val="double" w:sz="4" w:space="0" w:color="auto"/>
            </w:tcBorders>
          </w:tcPr>
          <w:p w14:paraId="65328D6A" w14:textId="77777777" w:rsidR="00497092" w:rsidRPr="00644F20" w:rsidRDefault="001B6E66" w:rsidP="005320FF">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r w:rsidR="002F45E1" w:rsidRPr="00644F20">
              <w:rPr>
                <w:rFonts w:ascii="Times New Roman" w:hAnsi="Times New Roman" w:cs="Times New Roman"/>
                <w:lang w:val="sr-Cyrl-CS"/>
              </w:rPr>
              <w:t xml:space="preserve"> </w:t>
            </w:r>
          </w:p>
        </w:tc>
      </w:tr>
      <w:tr w:rsidR="00497092" w:rsidRPr="00644F20" w14:paraId="322EF46C" w14:textId="77777777">
        <w:trPr>
          <w:trHeight w:val="230"/>
        </w:trPr>
        <w:tc>
          <w:tcPr>
            <w:tcW w:w="3434" w:type="dxa"/>
            <w:tcBorders>
              <w:top w:val="single" w:sz="4" w:space="0" w:color="auto"/>
              <w:left w:val="double" w:sz="4" w:space="0" w:color="auto"/>
              <w:bottom w:val="single" w:sz="4" w:space="0" w:color="auto"/>
              <w:right w:val="single" w:sz="4" w:space="0" w:color="auto"/>
            </w:tcBorders>
          </w:tcPr>
          <w:p w14:paraId="3292652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Координација и извештавање:</w:t>
            </w:r>
          </w:p>
        </w:tc>
        <w:tc>
          <w:tcPr>
            <w:tcW w:w="10991" w:type="dxa"/>
            <w:tcBorders>
              <w:top w:val="single" w:sz="4" w:space="0" w:color="auto"/>
              <w:left w:val="single" w:sz="4" w:space="0" w:color="auto"/>
              <w:bottom w:val="single" w:sz="4" w:space="0" w:color="auto"/>
              <w:right w:val="double" w:sz="4" w:space="0" w:color="auto"/>
            </w:tcBorders>
          </w:tcPr>
          <w:p w14:paraId="353E4D79" w14:textId="77777777" w:rsidR="00497092" w:rsidRPr="00644F20" w:rsidRDefault="001B6E66" w:rsidP="005320FF">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r w:rsidR="002F45E1" w:rsidRPr="00644F20">
              <w:rPr>
                <w:rFonts w:ascii="Times New Roman" w:hAnsi="Times New Roman" w:cs="Times New Roman"/>
                <w:lang w:val="sr-Cyrl-CS"/>
              </w:rPr>
              <w:t xml:space="preserve"> </w:t>
            </w:r>
          </w:p>
        </w:tc>
      </w:tr>
    </w:tbl>
    <w:p w14:paraId="4E63A86D" w14:textId="77777777" w:rsidR="00497092" w:rsidRPr="00644F20" w:rsidRDefault="00497092">
      <w:pPr>
        <w:spacing w:after="0"/>
        <w:rPr>
          <w:rFonts w:ascii="Times New Roman" w:hAnsi="Times New Roman" w:cs="Times New Roman"/>
          <w:lang w:val="sr-Cyrl-CS"/>
        </w:rPr>
      </w:pPr>
    </w:p>
    <w:p w14:paraId="60414B97" w14:textId="77777777" w:rsidR="00497092" w:rsidRPr="00644F20" w:rsidRDefault="00497092">
      <w:pPr>
        <w:spacing w:after="0"/>
        <w:rPr>
          <w:rFonts w:ascii="Times New Roman" w:hAnsi="Times New Roman" w:cs="Times New Roman"/>
          <w:lang w:val="sr-Cyrl-CS"/>
        </w:rPr>
      </w:pPr>
    </w:p>
    <w:tbl>
      <w:tblPr>
        <w:tblStyle w:val="TableGrid"/>
        <w:tblW w:w="12999" w:type="dxa"/>
        <w:tblLook w:val="04A0" w:firstRow="1" w:lastRow="0" w:firstColumn="1" w:lastColumn="0" w:noHBand="0" w:noVBand="1"/>
      </w:tblPr>
      <w:tblGrid>
        <w:gridCol w:w="4253"/>
        <w:gridCol w:w="1080"/>
        <w:gridCol w:w="1538"/>
        <w:gridCol w:w="1454"/>
        <w:gridCol w:w="1367"/>
        <w:gridCol w:w="1524"/>
        <w:gridCol w:w="1783"/>
      </w:tblGrid>
      <w:tr w:rsidR="00497092" w:rsidRPr="00644F20" w14:paraId="7B840865" w14:textId="77777777" w:rsidTr="002F4AEF">
        <w:trPr>
          <w:trHeight w:val="393"/>
        </w:trPr>
        <w:tc>
          <w:tcPr>
            <w:tcW w:w="12999" w:type="dxa"/>
            <w:gridSpan w:val="7"/>
            <w:tcBorders>
              <w:top w:val="double" w:sz="4" w:space="0" w:color="auto"/>
              <w:left w:val="double" w:sz="4" w:space="0" w:color="auto"/>
              <w:bottom w:val="single" w:sz="4" w:space="0" w:color="auto"/>
              <w:right w:val="double" w:sz="4" w:space="0" w:color="auto"/>
            </w:tcBorders>
            <w:shd w:val="clear" w:color="auto" w:fill="D9E2F3" w:themeFill="accent1" w:themeFillTint="33"/>
          </w:tcPr>
          <w:p w14:paraId="43FDD292"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Општи циљ: Стварање подстицајног окружења за развој циркуларне економије у циљу подршке зеленој транзицији у Републици Србији</w:t>
            </w:r>
          </w:p>
        </w:tc>
      </w:tr>
      <w:tr w:rsidR="00497092" w:rsidRPr="00644F20" w14:paraId="0FE2EF79" w14:textId="77777777" w:rsidTr="002F4AEF">
        <w:trPr>
          <w:trHeight w:val="368"/>
        </w:trPr>
        <w:tc>
          <w:tcPr>
            <w:tcW w:w="12999" w:type="dxa"/>
            <w:gridSpan w:val="7"/>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1343175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праћење и контролу реализације: </w:t>
            </w:r>
            <w:r w:rsidR="001B6E66" w:rsidRPr="00644F20">
              <w:rPr>
                <w:rFonts w:ascii="Times New Roman" w:eastAsia="Times New Roman" w:hAnsi="Times New Roman" w:cs="Times New Roman"/>
                <w:lang w:val="sr-Cyrl-CS"/>
              </w:rPr>
              <w:t>МЗЖС</w:t>
            </w:r>
          </w:p>
        </w:tc>
      </w:tr>
      <w:tr w:rsidR="00497092" w:rsidRPr="00644F20" w14:paraId="2099A542" w14:textId="77777777" w:rsidTr="002F4AEF">
        <w:trPr>
          <w:trHeight w:val="368"/>
        </w:trPr>
        <w:tc>
          <w:tcPr>
            <w:tcW w:w="4285"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009B56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 (и) на нивоу oпштег циља </w:t>
            </w:r>
            <w:r w:rsidRPr="00644F20">
              <w:rPr>
                <w:rFonts w:ascii="Times New Roman" w:hAnsi="Times New Roman" w:cs="Times New Roman"/>
                <w:i/>
                <w:lang w:val="sr-Cyrl-CS"/>
              </w:rPr>
              <w:t>(показатељ eфекта)</w:t>
            </w:r>
          </w:p>
        </w:tc>
        <w:tc>
          <w:tcPr>
            <w:tcW w:w="1021"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F80C59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6A2A4E1C" w14:textId="77777777" w:rsidR="00497092" w:rsidRPr="00644F20" w:rsidRDefault="00497092">
            <w:pPr>
              <w:spacing w:after="60" w:line="240" w:lineRule="auto"/>
              <w:rPr>
                <w:rFonts w:ascii="Times New Roman" w:hAnsi="Times New Roman" w:cs="Times New Roman"/>
                <w:lang w:val="sr-Cyrl-CS"/>
              </w:rPr>
            </w:pPr>
          </w:p>
        </w:tc>
        <w:tc>
          <w:tcPr>
            <w:tcW w:w="154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40370D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45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30D052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372"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58B9E9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52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84F85C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2024.</w:t>
            </w:r>
          </w:p>
        </w:tc>
        <w:tc>
          <w:tcPr>
            <w:tcW w:w="178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DCD1B3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Последња година важења АП</w:t>
            </w:r>
          </w:p>
        </w:tc>
      </w:tr>
      <w:tr w:rsidR="00497092" w:rsidRPr="00644F20" w14:paraId="37B384C4" w14:textId="77777777" w:rsidTr="002F4AEF">
        <w:trPr>
          <w:trHeight w:val="171"/>
        </w:trPr>
        <w:tc>
          <w:tcPr>
            <w:tcW w:w="4285" w:type="dxa"/>
            <w:tcBorders>
              <w:top w:val="double" w:sz="4" w:space="0" w:color="auto"/>
              <w:left w:val="single" w:sz="4" w:space="0" w:color="auto"/>
              <w:bottom w:val="single" w:sz="4" w:space="0" w:color="auto"/>
              <w:right w:val="single" w:sz="4" w:space="0" w:color="auto"/>
            </w:tcBorders>
            <w:shd w:val="clear" w:color="auto" w:fill="FFFFFF" w:themeFill="background1"/>
          </w:tcPr>
          <w:p w14:paraId="4165A91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Домаћа потрошња материјала по становнику </w:t>
            </w:r>
          </w:p>
        </w:tc>
        <w:tc>
          <w:tcPr>
            <w:tcW w:w="1021" w:type="dxa"/>
            <w:tcBorders>
              <w:top w:val="double" w:sz="4" w:space="0" w:color="auto"/>
              <w:left w:val="single" w:sz="4" w:space="0" w:color="auto"/>
              <w:bottom w:val="single" w:sz="4" w:space="0" w:color="auto"/>
              <w:right w:val="single" w:sz="4" w:space="0" w:color="auto"/>
            </w:tcBorders>
            <w:shd w:val="clear" w:color="auto" w:fill="FFFFFF" w:themeFill="background1"/>
          </w:tcPr>
          <w:p w14:paraId="7415E36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тона </w:t>
            </w:r>
          </w:p>
        </w:tc>
        <w:tc>
          <w:tcPr>
            <w:tcW w:w="1544" w:type="dxa"/>
            <w:tcBorders>
              <w:top w:val="double" w:sz="4" w:space="0" w:color="auto"/>
              <w:left w:val="single" w:sz="4" w:space="0" w:color="auto"/>
              <w:bottom w:val="single" w:sz="4" w:space="0" w:color="auto"/>
              <w:right w:val="single" w:sz="4" w:space="0" w:color="auto"/>
            </w:tcBorders>
            <w:shd w:val="clear" w:color="auto" w:fill="FFFFFF" w:themeFill="background1"/>
          </w:tcPr>
          <w:p w14:paraId="06C2AC4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РЗС </w:t>
            </w:r>
          </w:p>
        </w:tc>
        <w:tc>
          <w:tcPr>
            <w:tcW w:w="1458" w:type="dxa"/>
            <w:tcBorders>
              <w:top w:val="double" w:sz="4" w:space="0" w:color="auto"/>
              <w:left w:val="single" w:sz="4" w:space="0" w:color="auto"/>
              <w:bottom w:val="single" w:sz="4" w:space="0" w:color="auto"/>
              <w:right w:val="single" w:sz="4" w:space="0" w:color="auto"/>
            </w:tcBorders>
            <w:shd w:val="clear" w:color="auto" w:fill="FFFFFF" w:themeFill="background1"/>
          </w:tcPr>
          <w:p w14:paraId="75581E5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18,2</w:t>
            </w:r>
          </w:p>
        </w:tc>
        <w:tc>
          <w:tcPr>
            <w:tcW w:w="1372" w:type="dxa"/>
            <w:tcBorders>
              <w:top w:val="double" w:sz="4" w:space="0" w:color="auto"/>
              <w:left w:val="single" w:sz="4" w:space="0" w:color="auto"/>
              <w:bottom w:val="single" w:sz="4" w:space="0" w:color="auto"/>
              <w:right w:val="single" w:sz="4" w:space="0" w:color="auto"/>
            </w:tcBorders>
            <w:shd w:val="clear" w:color="auto" w:fill="FFFFFF" w:themeFill="background1"/>
          </w:tcPr>
          <w:p w14:paraId="50910E2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2019.</w:t>
            </w:r>
          </w:p>
        </w:tc>
        <w:tc>
          <w:tcPr>
            <w:tcW w:w="1529" w:type="dxa"/>
            <w:tcBorders>
              <w:top w:val="double" w:sz="4" w:space="0" w:color="auto"/>
              <w:left w:val="single" w:sz="4" w:space="0" w:color="auto"/>
              <w:bottom w:val="single" w:sz="4" w:space="0" w:color="auto"/>
              <w:right w:val="single" w:sz="4" w:space="0" w:color="auto"/>
            </w:tcBorders>
            <w:shd w:val="clear" w:color="auto" w:fill="FFFFFF" w:themeFill="background1"/>
          </w:tcPr>
          <w:p w14:paraId="67D8D57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15,2</w:t>
            </w:r>
          </w:p>
        </w:tc>
        <w:tc>
          <w:tcPr>
            <w:tcW w:w="1787" w:type="dxa"/>
            <w:tcBorders>
              <w:top w:val="double" w:sz="4" w:space="0" w:color="auto"/>
              <w:left w:val="single" w:sz="4" w:space="0" w:color="auto"/>
              <w:bottom w:val="single" w:sz="4" w:space="0" w:color="auto"/>
              <w:right w:val="single" w:sz="4" w:space="0" w:color="auto"/>
            </w:tcBorders>
            <w:shd w:val="clear" w:color="auto" w:fill="FFFFFF" w:themeFill="background1"/>
          </w:tcPr>
          <w:p w14:paraId="04832F2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r>
    </w:tbl>
    <w:p w14:paraId="7CF91822" w14:textId="77777777" w:rsidR="00497092" w:rsidRPr="00644F20" w:rsidRDefault="00497092">
      <w:pPr>
        <w:spacing w:after="0"/>
        <w:rPr>
          <w:rFonts w:ascii="Times New Roman" w:hAnsi="Times New Roman" w:cs="Times New Roman"/>
          <w:lang w:val="sr-Cyrl-CS"/>
        </w:rPr>
      </w:pPr>
    </w:p>
    <w:p w14:paraId="7B1FD4BF" w14:textId="77777777" w:rsidR="00497092" w:rsidRPr="00644F20" w:rsidRDefault="00497092">
      <w:pPr>
        <w:spacing w:after="0"/>
        <w:rPr>
          <w:rFonts w:ascii="Times New Roman" w:hAnsi="Times New Roman" w:cs="Times New Roman"/>
          <w:lang w:val="sr-Cyrl-CS"/>
        </w:rPr>
      </w:pPr>
    </w:p>
    <w:p w14:paraId="0F31A218" w14:textId="77777777" w:rsidR="00497092" w:rsidRPr="00644F20" w:rsidRDefault="00497092">
      <w:pPr>
        <w:spacing w:after="0"/>
        <w:rPr>
          <w:rFonts w:ascii="Times New Roman" w:hAnsi="Times New Roman" w:cs="Times New Roman"/>
          <w:lang w:val="sr-Cyrl-CS"/>
        </w:rPr>
      </w:pPr>
    </w:p>
    <w:tbl>
      <w:tblPr>
        <w:tblStyle w:val="TableGrid"/>
        <w:tblW w:w="13564" w:type="dxa"/>
        <w:tblInd w:w="10" w:type="dxa"/>
        <w:tblLayout w:type="fixed"/>
        <w:tblLook w:val="04A0" w:firstRow="1" w:lastRow="0" w:firstColumn="1" w:lastColumn="0" w:noHBand="0" w:noVBand="1"/>
      </w:tblPr>
      <w:tblGrid>
        <w:gridCol w:w="2950"/>
        <w:gridCol w:w="1356"/>
        <w:gridCol w:w="1286"/>
        <w:gridCol w:w="1640"/>
        <w:gridCol w:w="1528"/>
        <w:gridCol w:w="1600"/>
        <w:gridCol w:w="1600"/>
        <w:gridCol w:w="1604"/>
      </w:tblGrid>
      <w:tr w:rsidR="00497092" w:rsidRPr="00644F20" w14:paraId="4CC0137D" w14:textId="77777777" w:rsidTr="002F4AEF">
        <w:trPr>
          <w:trHeight w:val="343"/>
        </w:trPr>
        <w:tc>
          <w:tcPr>
            <w:tcW w:w="13564"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tcPr>
          <w:p w14:paraId="7E242C2F"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Посебан циљ 1: Подршка привредном сектору у трансформацији на циркуларни модел пословања</w:t>
            </w:r>
          </w:p>
        </w:tc>
      </w:tr>
      <w:tr w:rsidR="00497092" w:rsidRPr="00644F20" w14:paraId="65CDDA8A" w14:textId="77777777" w:rsidTr="002F4AEF">
        <w:trPr>
          <w:trHeight w:val="343"/>
        </w:trPr>
        <w:tc>
          <w:tcPr>
            <w:tcW w:w="13564"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vAlign w:val="center"/>
          </w:tcPr>
          <w:p w14:paraId="7FB88B8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координацију и извештавање: </w:t>
            </w:r>
            <w:r w:rsidR="001B6E66" w:rsidRPr="00644F20">
              <w:rPr>
                <w:rFonts w:ascii="Times New Roman" w:eastAsia="Times New Roman" w:hAnsi="Times New Roman" w:cs="Times New Roman"/>
                <w:lang w:val="sr-Cyrl-CS"/>
              </w:rPr>
              <w:t>МЗЖС</w:t>
            </w:r>
          </w:p>
        </w:tc>
      </w:tr>
      <w:tr w:rsidR="00497092" w:rsidRPr="00644F20" w14:paraId="5FECF35D" w14:textId="77777777" w:rsidTr="002F4AEF">
        <w:trPr>
          <w:trHeight w:val="617"/>
        </w:trPr>
        <w:tc>
          <w:tcPr>
            <w:tcW w:w="295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545BCF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посебног циља </w:t>
            </w:r>
            <w:r w:rsidRPr="00644F20">
              <w:rPr>
                <w:rFonts w:ascii="Times New Roman" w:hAnsi="Times New Roman" w:cs="Times New Roman"/>
                <w:i/>
                <w:lang w:val="sr-Cyrl-CS"/>
              </w:rPr>
              <w:t>(показатељ исхода)</w:t>
            </w:r>
          </w:p>
        </w:tc>
        <w:tc>
          <w:tcPr>
            <w:tcW w:w="135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F6F51F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6CA7F200" w14:textId="77777777" w:rsidR="00497092" w:rsidRPr="00644F20" w:rsidRDefault="00497092">
            <w:pPr>
              <w:spacing w:after="60" w:line="240" w:lineRule="auto"/>
              <w:rPr>
                <w:rFonts w:ascii="Times New Roman" w:hAnsi="Times New Roman" w:cs="Times New Roman"/>
                <w:lang w:val="sr-Cyrl-CS"/>
              </w:rPr>
            </w:pPr>
          </w:p>
        </w:tc>
        <w:tc>
          <w:tcPr>
            <w:tcW w:w="128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1FBEDA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64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8D8D8B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52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1FDBA8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60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DEA58D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2022.</w:t>
            </w:r>
          </w:p>
        </w:tc>
        <w:tc>
          <w:tcPr>
            <w:tcW w:w="160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25EEAC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2023.</w:t>
            </w:r>
          </w:p>
        </w:tc>
        <w:tc>
          <w:tcPr>
            <w:tcW w:w="1600"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5E61906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2024.</w:t>
            </w:r>
          </w:p>
        </w:tc>
      </w:tr>
      <w:tr w:rsidR="00497092" w:rsidRPr="00644F20" w14:paraId="319FE50C" w14:textId="77777777" w:rsidTr="002F4AEF">
        <w:trPr>
          <w:trHeight w:val="272"/>
        </w:trPr>
        <w:tc>
          <w:tcPr>
            <w:tcW w:w="2950" w:type="dxa"/>
            <w:tcBorders>
              <w:top w:val="double" w:sz="4" w:space="0" w:color="auto"/>
              <w:left w:val="single" w:sz="4" w:space="0" w:color="auto"/>
              <w:bottom w:val="single" w:sz="4" w:space="0" w:color="auto"/>
              <w:right w:val="single" w:sz="4" w:space="0" w:color="auto"/>
            </w:tcBorders>
            <w:shd w:val="clear" w:color="auto" w:fill="FFFFFF" w:themeFill="background1"/>
          </w:tcPr>
          <w:p w14:paraId="204128FA" w14:textId="77777777" w:rsidR="00497092" w:rsidRPr="00644F20" w:rsidRDefault="002F45E1">
            <w:pPr>
              <w:shd w:val="clear" w:color="auto" w:fill="FFFFFF" w:themeFill="background1"/>
              <w:spacing w:after="60" w:line="240" w:lineRule="auto"/>
              <w:rPr>
                <w:rFonts w:ascii="Times New Roman" w:hAnsi="Times New Roman" w:cs="Times New Roman"/>
                <w:iCs/>
                <w:lang w:val="sr-Cyrl-CS"/>
              </w:rPr>
            </w:pPr>
            <w:r w:rsidRPr="00644F20">
              <w:rPr>
                <w:rFonts w:ascii="Times New Roman" w:hAnsi="Times New Roman" w:cs="Times New Roman"/>
                <w:iCs/>
                <w:lang w:val="sr-Cyrl-CS"/>
              </w:rPr>
              <w:t xml:space="preserve">Стопа коришћења циркуларних ресурса у индустрији </w:t>
            </w:r>
          </w:p>
        </w:tc>
        <w:tc>
          <w:tcPr>
            <w:tcW w:w="1356" w:type="dxa"/>
            <w:tcBorders>
              <w:top w:val="double" w:sz="4" w:space="0" w:color="auto"/>
              <w:left w:val="single" w:sz="4" w:space="0" w:color="auto"/>
              <w:bottom w:val="single" w:sz="4" w:space="0" w:color="auto"/>
              <w:right w:val="single" w:sz="4" w:space="0" w:color="auto"/>
            </w:tcBorders>
            <w:shd w:val="clear" w:color="auto" w:fill="FFFFFF" w:themeFill="background1"/>
          </w:tcPr>
          <w:p w14:paraId="7ECDD1C3"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w:t>
            </w:r>
          </w:p>
        </w:tc>
        <w:tc>
          <w:tcPr>
            <w:tcW w:w="1286" w:type="dxa"/>
            <w:tcBorders>
              <w:top w:val="double" w:sz="4" w:space="0" w:color="auto"/>
              <w:left w:val="single" w:sz="4" w:space="0" w:color="auto"/>
              <w:bottom w:val="single" w:sz="4" w:space="0" w:color="auto"/>
              <w:right w:val="single" w:sz="4" w:space="0" w:color="auto"/>
            </w:tcBorders>
            <w:shd w:val="clear" w:color="auto" w:fill="FFFFFF" w:themeFill="background1"/>
          </w:tcPr>
          <w:p w14:paraId="38F528F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iCs/>
                <w:lang w:val="sr-Cyrl-CS"/>
              </w:rPr>
              <w:t>РЗС</w:t>
            </w:r>
          </w:p>
        </w:tc>
        <w:tc>
          <w:tcPr>
            <w:tcW w:w="1640" w:type="dxa"/>
            <w:tcBorders>
              <w:top w:val="double" w:sz="4" w:space="0" w:color="auto"/>
              <w:left w:val="single" w:sz="4" w:space="0" w:color="auto"/>
              <w:bottom w:val="single" w:sz="4" w:space="0" w:color="auto"/>
              <w:right w:val="single" w:sz="4" w:space="0" w:color="auto"/>
            </w:tcBorders>
            <w:shd w:val="clear" w:color="auto" w:fill="FFFFFF" w:themeFill="background1"/>
          </w:tcPr>
          <w:p w14:paraId="303160C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1,4</w:t>
            </w:r>
          </w:p>
        </w:tc>
        <w:tc>
          <w:tcPr>
            <w:tcW w:w="1528" w:type="dxa"/>
            <w:tcBorders>
              <w:top w:val="double" w:sz="4" w:space="0" w:color="auto"/>
              <w:left w:val="single" w:sz="4" w:space="0" w:color="auto"/>
              <w:bottom w:val="single" w:sz="4" w:space="0" w:color="auto"/>
              <w:right w:val="single" w:sz="4" w:space="0" w:color="auto"/>
            </w:tcBorders>
            <w:shd w:val="clear" w:color="auto" w:fill="FFFFFF" w:themeFill="background1"/>
          </w:tcPr>
          <w:p w14:paraId="715A6BF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iCs/>
                <w:lang w:val="sr-Cyrl-CS"/>
              </w:rPr>
              <w:t>2019.</w:t>
            </w:r>
          </w:p>
        </w:tc>
        <w:tc>
          <w:tcPr>
            <w:tcW w:w="1600" w:type="dxa"/>
            <w:tcBorders>
              <w:top w:val="double" w:sz="4" w:space="0" w:color="auto"/>
              <w:left w:val="single" w:sz="4" w:space="0" w:color="auto"/>
              <w:bottom w:val="single" w:sz="4" w:space="0" w:color="auto"/>
              <w:right w:val="single" w:sz="4" w:space="0" w:color="auto"/>
            </w:tcBorders>
            <w:shd w:val="clear" w:color="auto" w:fill="FFFFFF" w:themeFill="background1"/>
          </w:tcPr>
          <w:p w14:paraId="34ED9D81"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600" w:type="dxa"/>
            <w:tcBorders>
              <w:top w:val="double" w:sz="4" w:space="0" w:color="auto"/>
              <w:left w:val="single" w:sz="4" w:space="0" w:color="auto"/>
              <w:bottom w:val="single" w:sz="4" w:space="0" w:color="auto"/>
              <w:right w:val="single" w:sz="4" w:space="0" w:color="auto"/>
            </w:tcBorders>
            <w:shd w:val="clear" w:color="auto" w:fill="FFFFFF" w:themeFill="background1"/>
          </w:tcPr>
          <w:p w14:paraId="1AC03A8D"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600" w:type="dxa"/>
            <w:tcBorders>
              <w:top w:val="double" w:sz="4" w:space="0" w:color="auto"/>
              <w:left w:val="single" w:sz="4" w:space="0" w:color="auto"/>
              <w:bottom w:val="single" w:sz="4" w:space="0" w:color="auto"/>
              <w:right w:val="double" w:sz="4" w:space="0" w:color="auto"/>
            </w:tcBorders>
            <w:shd w:val="clear" w:color="auto" w:fill="FFFFFF" w:themeFill="background1"/>
          </w:tcPr>
          <w:p w14:paraId="5B93012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iCs/>
                <w:lang w:val="sr-Cyrl-CS"/>
              </w:rPr>
              <w:t>2</w:t>
            </w:r>
          </w:p>
        </w:tc>
      </w:tr>
    </w:tbl>
    <w:p w14:paraId="5E22D9D2" w14:textId="77777777" w:rsidR="00497092" w:rsidRPr="00644F20" w:rsidRDefault="00497092">
      <w:pPr>
        <w:tabs>
          <w:tab w:val="left" w:pos="1940"/>
        </w:tabs>
        <w:spacing w:line="240" w:lineRule="auto"/>
        <w:rPr>
          <w:rFonts w:ascii="Times New Roman" w:hAnsi="Times New Roman" w:cs="Times New Roman"/>
          <w:lang w:val="sr-Cyrl-CS"/>
        </w:rPr>
      </w:pPr>
    </w:p>
    <w:p w14:paraId="7A0B2CAB" w14:textId="77777777" w:rsidR="005320FF" w:rsidRPr="00644F20" w:rsidRDefault="005320FF">
      <w:pPr>
        <w:tabs>
          <w:tab w:val="left" w:pos="1940"/>
        </w:tabs>
        <w:spacing w:line="240" w:lineRule="auto"/>
        <w:rPr>
          <w:rFonts w:ascii="Times New Roman" w:hAnsi="Times New Roman" w:cs="Times New Roman"/>
          <w:lang w:val="sr-Cyrl-CS"/>
        </w:rPr>
      </w:pPr>
    </w:p>
    <w:tbl>
      <w:tblPr>
        <w:tblStyle w:val="TableGrid"/>
        <w:tblW w:w="13565" w:type="dxa"/>
        <w:tblInd w:w="10" w:type="dxa"/>
        <w:tblLayout w:type="fixed"/>
        <w:tblLook w:val="04A0" w:firstRow="1" w:lastRow="0" w:firstColumn="1" w:lastColumn="0" w:noHBand="0" w:noVBand="1"/>
      </w:tblPr>
      <w:tblGrid>
        <w:gridCol w:w="3359"/>
        <w:gridCol w:w="1134"/>
        <w:gridCol w:w="2409"/>
        <w:gridCol w:w="1418"/>
        <w:gridCol w:w="1276"/>
        <w:gridCol w:w="1559"/>
        <w:gridCol w:w="1559"/>
        <w:gridCol w:w="851"/>
      </w:tblGrid>
      <w:tr w:rsidR="00497092" w:rsidRPr="00644F20" w14:paraId="1B733EB2" w14:textId="77777777" w:rsidTr="002F4AEF">
        <w:trPr>
          <w:trHeight w:val="169"/>
        </w:trPr>
        <w:tc>
          <w:tcPr>
            <w:tcW w:w="1356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19BDA518"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lastRenderedPageBreak/>
              <w:t>Мера 1.1: Едукација специфичних група привредних субјеката за примену концепта циркуларне економије</w:t>
            </w:r>
          </w:p>
        </w:tc>
      </w:tr>
      <w:tr w:rsidR="00497092" w:rsidRPr="00644F20" w14:paraId="374BC8F2" w14:textId="77777777" w:rsidTr="002F4AEF">
        <w:trPr>
          <w:trHeight w:val="300"/>
        </w:trPr>
        <w:tc>
          <w:tcPr>
            <w:tcW w:w="1356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F38F64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r w:rsidRPr="00644F20">
              <w:rPr>
                <w:rFonts w:ascii="Times New Roman" w:eastAsia="Times New Roman" w:hAnsi="Times New Roman" w:cs="Times New Roman"/>
                <w:lang w:val="sr-Cyrl-CS"/>
              </w:rPr>
              <w:t xml:space="preserve"> </w:t>
            </w:r>
          </w:p>
        </w:tc>
      </w:tr>
      <w:tr w:rsidR="00497092" w:rsidRPr="00644F20" w14:paraId="59F58E7F" w14:textId="77777777" w:rsidTr="002F4AEF">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68C1A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Период спровођења: 2022 – 2024.</w:t>
            </w:r>
          </w:p>
        </w:tc>
        <w:tc>
          <w:tcPr>
            <w:tcW w:w="666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AD935E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2C16B508" w14:textId="77777777" w:rsidTr="002F4AEF">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C68851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66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0C68CDD"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75517C69" w14:textId="77777777" w:rsidTr="002F4AEF">
        <w:trPr>
          <w:trHeight w:val="955"/>
        </w:trPr>
        <w:tc>
          <w:tcPr>
            <w:tcW w:w="335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E2BB6F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13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E17115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06025C3B" w14:textId="77777777" w:rsidR="00497092" w:rsidRPr="00644F20" w:rsidRDefault="00497092">
            <w:pPr>
              <w:spacing w:after="60" w:line="240" w:lineRule="auto"/>
              <w:rPr>
                <w:rFonts w:ascii="Times New Roman" w:hAnsi="Times New Roman" w:cs="Times New Roman"/>
                <w:lang w:val="sr-Cyrl-CS"/>
              </w:rPr>
            </w:pPr>
          </w:p>
        </w:tc>
        <w:tc>
          <w:tcPr>
            <w:tcW w:w="240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398FA8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ECF141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2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943499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55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56A1FE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55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235603A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85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35D6323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28F17B72" w14:textId="77777777" w:rsidTr="002F4AEF">
        <w:trPr>
          <w:trHeight w:val="304"/>
        </w:trPr>
        <w:tc>
          <w:tcPr>
            <w:tcW w:w="3359" w:type="dxa"/>
            <w:tcBorders>
              <w:top w:val="double" w:sz="4" w:space="0" w:color="auto"/>
              <w:left w:val="single" w:sz="4" w:space="0" w:color="auto"/>
              <w:bottom w:val="double" w:sz="4" w:space="0" w:color="auto"/>
              <w:right w:val="single" w:sz="4" w:space="0" w:color="auto"/>
            </w:tcBorders>
            <w:shd w:val="clear" w:color="auto" w:fill="FFFFFF" w:themeFill="background1"/>
          </w:tcPr>
          <w:p w14:paraId="521EC1D4"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специјализованих приручника намењених привредним субјектима</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00FEBB4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09" w:type="dxa"/>
            <w:tcBorders>
              <w:top w:val="double" w:sz="4" w:space="0" w:color="auto"/>
              <w:left w:val="single" w:sz="4" w:space="0" w:color="auto"/>
              <w:bottom w:val="double" w:sz="4" w:space="0" w:color="auto"/>
              <w:right w:val="single" w:sz="4" w:space="0" w:color="auto"/>
            </w:tcBorders>
            <w:shd w:val="clear" w:color="auto" w:fill="FFFFFF" w:themeFill="background1"/>
          </w:tcPr>
          <w:p w14:paraId="47629344"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Интернет страница МЗЖС на којој су објављени приручници </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2BB86BB3"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5D0888B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59" w:type="dxa"/>
            <w:tcBorders>
              <w:top w:val="double" w:sz="4" w:space="0" w:color="auto"/>
              <w:left w:val="single" w:sz="4" w:space="0" w:color="auto"/>
              <w:bottom w:val="double" w:sz="4" w:space="0" w:color="auto"/>
              <w:right w:val="single" w:sz="4" w:space="0" w:color="auto"/>
            </w:tcBorders>
            <w:shd w:val="clear" w:color="auto" w:fill="FFFFFF" w:themeFill="background1"/>
          </w:tcPr>
          <w:p w14:paraId="2B71DAC1"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59" w:type="dxa"/>
            <w:tcBorders>
              <w:top w:val="double" w:sz="4" w:space="0" w:color="auto"/>
              <w:left w:val="single" w:sz="4" w:space="0" w:color="auto"/>
              <w:bottom w:val="double" w:sz="4" w:space="0" w:color="auto"/>
              <w:right w:val="double" w:sz="4" w:space="0" w:color="auto"/>
            </w:tcBorders>
            <w:shd w:val="clear" w:color="auto" w:fill="FFFFFF" w:themeFill="background1"/>
          </w:tcPr>
          <w:p w14:paraId="49E1E4C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w:t>
            </w:r>
          </w:p>
        </w:tc>
        <w:tc>
          <w:tcPr>
            <w:tcW w:w="851" w:type="dxa"/>
            <w:tcBorders>
              <w:top w:val="double" w:sz="4" w:space="0" w:color="auto"/>
              <w:left w:val="single" w:sz="4" w:space="0" w:color="auto"/>
              <w:bottom w:val="double" w:sz="4" w:space="0" w:color="auto"/>
              <w:right w:val="double" w:sz="4" w:space="0" w:color="auto"/>
            </w:tcBorders>
            <w:shd w:val="clear" w:color="auto" w:fill="FFFFFF" w:themeFill="background1"/>
          </w:tcPr>
          <w:p w14:paraId="7A123E6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r>
      <w:tr w:rsidR="00497092" w:rsidRPr="00644F20" w14:paraId="2D7F1A58" w14:textId="77777777" w:rsidTr="002F4AEF">
        <w:trPr>
          <w:trHeight w:val="304"/>
        </w:trPr>
        <w:tc>
          <w:tcPr>
            <w:tcW w:w="3359" w:type="dxa"/>
            <w:tcBorders>
              <w:top w:val="double" w:sz="4" w:space="0" w:color="auto"/>
              <w:left w:val="single" w:sz="4" w:space="0" w:color="auto"/>
              <w:bottom w:val="double" w:sz="4" w:space="0" w:color="auto"/>
              <w:right w:val="single" w:sz="4" w:space="0" w:color="auto"/>
            </w:tcBorders>
            <w:shd w:val="clear" w:color="auto" w:fill="FFFFFF" w:themeFill="background1"/>
          </w:tcPr>
          <w:p w14:paraId="53197F8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Укупан број привредних субјеката који су учествовали на радионицама </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143E6A5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09" w:type="dxa"/>
            <w:tcBorders>
              <w:top w:val="double" w:sz="4" w:space="0" w:color="auto"/>
              <w:left w:val="single" w:sz="4" w:space="0" w:color="auto"/>
              <w:bottom w:val="double" w:sz="4" w:space="0" w:color="auto"/>
              <w:right w:val="single" w:sz="4" w:space="0" w:color="auto"/>
            </w:tcBorders>
            <w:shd w:val="clear" w:color="auto" w:fill="FFFFFF" w:themeFill="background1"/>
          </w:tcPr>
          <w:p w14:paraId="398133B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Записници о спроведеним радионицама</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2CAAA7B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29F1BB7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59" w:type="dxa"/>
            <w:tcBorders>
              <w:top w:val="double" w:sz="4" w:space="0" w:color="auto"/>
              <w:left w:val="single" w:sz="4" w:space="0" w:color="auto"/>
              <w:bottom w:val="double" w:sz="4" w:space="0" w:color="auto"/>
              <w:right w:val="single" w:sz="4" w:space="0" w:color="auto"/>
            </w:tcBorders>
            <w:shd w:val="clear" w:color="auto" w:fill="FFFFFF" w:themeFill="background1"/>
          </w:tcPr>
          <w:p w14:paraId="39B20B8A"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59" w:type="dxa"/>
            <w:tcBorders>
              <w:top w:val="double" w:sz="4" w:space="0" w:color="auto"/>
              <w:left w:val="single" w:sz="4" w:space="0" w:color="auto"/>
              <w:bottom w:val="double" w:sz="4" w:space="0" w:color="auto"/>
              <w:right w:val="double" w:sz="4" w:space="0" w:color="auto"/>
            </w:tcBorders>
            <w:shd w:val="clear" w:color="auto" w:fill="FFFFFF" w:themeFill="background1"/>
          </w:tcPr>
          <w:p w14:paraId="7E718D43"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15</w:t>
            </w:r>
          </w:p>
        </w:tc>
        <w:tc>
          <w:tcPr>
            <w:tcW w:w="851" w:type="dxa"/>
            <w:tcBorders>
              <w:top w:val="double" w:sz="4" w:space="0" w:color="auto"/>
              <w:left w:val="single" w:sz="4" w:space="0" w:color="auto"/>
              <w:bottom w:val="double" w:sz="4" w:space="0" w:color="auto"/>
              <w:right w:val="double" w:sz="4" w:space="0" w:color="auto"/>
            </w:tcBorders>
            <w:shd w:val="clear" w:color="auto" w:fill="FFFFFF" w:themeFill="background1"/>
          </w:tcPr>
          <w:p w14:paraId="65454543"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70</w:t>
            </w:r>
          </w:p>
        </w:tc>
      </w:tr>
    </w:tbl>
    <w:p w14:paraId="0022773E" w14:textId="77777777" w:rsidR="00497092" w:rsidRPr="00644F20" w:rsidRDefault="00497092">
      <w:pPr>
        <w:rPr>
          <w:rFonts w:ascii="Times New Roman" w:hAnsi="Times New Roman" w:cs="Times New Roman"/>
          <w:lang w:val="sr-Cyrl-CS"/>
        </w:rPr>
      </w:pPr>
    </w:p>
    <w:tbl>
      <w:tblPr>
        <w:tblStyle w:val="TableGrid"/>
        <w:tblW w:w="12843" w:type="dxa"/>
        <w:tblInd w:w="10" w:type="dxa"/>
        <w:tblLayout w:type="fixed"/>
        <w:tblLook w:val="04A0" w:firstRow="1" w:lastRow="0" w:firstColumn="1" w:lastColumn="0" w:noHBand="0" w:noVBand="1"/>
      </w:tblPr>
      <w:tblGrid>
        <w:gridCol w:w="3265"/>
        <w:gridCol w:w="2475"/>
        <w:gridCol w:w="2556"/>
        <w:gridCol w:w="2266"/>
        <w:gridCol w:w="2281"/>
      </w:tblGrid>
      <w:tr w:rsidR="00497092" w:rsidRPr="00644F20" w14:paraId="1F9EACF9" w14:textId="77777777" w:rsidTr="002F4AEF">
        <w:trPr>
          <w:trHeight w:val="264"/>
        </w:trPr>
        <w:tc>
          <w:tcPr>
            <w:tcW w:w="32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45452DC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09F95A13" w14:textId="77777777" w:rsidR="00497092" w:rsidRPr="00644F20" w:rsidRDefault="00497092">
            <w:pPr>
              <w:spacing w:after="60" w:line="240" w:lineRule="auto"/>
              <w:rPr>
                <w:rFonts w:ascii="Times New Roman" w:hAnsi="Times New Roman" w:cs="Times New Roman"/>
                <w:lang w:val="sr-Cyrl-CS"/>
              </w:rPr>
            </w:pPr>
          </w:p>
        </w:tc>
        <w:tc>
          <w:tcPr>
            <w:tcW w:w="247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3E0150A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5380415B" w14:textId="77777777" w:rsidR="00497092" w:rsidRPr="00644F20" w:rsidRDefault="00497092">
            <w:pPr>
              <w:spacing w:after="60" w:line="240" w:lineRule="auto"/>
              <w:rPr>
                <w:rFonts w:ascii="Times New Roman" w:hAnsi="Times New Roman" w:cs="Times New Roman"/>
                <w:lang w:val="sr-Cyrl-CS"/>
              </w:rPr>
            </w:pPr>
          </w:p>
        </w:tc>
        <w:tc>
          <w:tcPr>
            <w:tcW w:w="7103"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A58115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6F2D4609" w14:textId="77777777" w:rsidTr="002F4AEF">
        <w:trPr>
          <w:trHeight w:val="264"/>
        </w:trPr>
        <w:tc>
          <w:tcPr>
            <w:tcW w:w="3265" w:type="dxa"/>
            <w:vMerge/>
            <w:tcBorders>
              <w:top w:val="single" w:sz="4" w:space="0" w:color="auto"/>
              <w:left w:val="double" w:sz="4" w:space="0" w:color="auto"/>
              <w:bottom w:val="single" w:sz="4" w:space="0" w:color="auto"/>
              <w:right w:val="double" w:sz="4" w:space="0" w:color="auto"/>
            </w:tcBorders>
            <w:vAlign w:val="center"/>
          </w:tcPr>
          <w:p w14:paraId="255E88ED" w14:textId="77777777" w:rsidR="00497092" w:rsidRPr="00644F20" w:rsidRDefault="00497092">
            <w:pPr>
              <w:spacing w:after="0" w:line="240" w:lineRule="auto"/>
              <w:rPr>
                <w:rFonts w:ascii="Times New Roman" w:hAnsi="Times New Roman" w:cs="Times New Roman"/>
                <w:lang w:val="sr-Cyrl-CS"/>
              </w:rPr>
            </w:pPr>
          </w:p>
        </w:tc>
        <w:tc>
          <w:tcPr>
            <w:tcW w:w="2475" w:type="dxa"/>
            <w:vMerge/>
            <w:tcBorders>
              <w:top w:val="single" w:sz="4" w:space="0" w:color="auto"/>
              <w:left w:val="double" w:sz="4" w:space="0" w:color="auto"/>
              <w:bottom w:val="single" w:sz="4" w:space="0" w:color="auto"/>
              <w:right w:val="double" w:sz="4" w:space="0" w:color="auto"/>
            </w:tcBorders>
            <w:vAlign w:val="center"/>
          </w:tcPr>
          <w:p w14:paraId="36B7B5FA" w14:textId="77777777" w:rsidR="00497092" w:rsidRPr="00644F20" w:rsidRDefault="00497092">
            <w:pPr>
              <w:spacing w:after="0" w:line="240" w:lineRule="auto"/>
              <w:rPr>
                <w:rFonts w:ascii="Times New Roman" w:hAnsi="Times New Roman" w:cs="Times New Roman"/>
                <w:lang w:val="sr-Cyrl-CS"/>
              </w:rPr>
            </w:pPr>
          </w:p>
        </w:tc>
        <w:tc>
          <w:tcPr>
            <w:tcW w:w="255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0CD1568"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26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6BB0B9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281"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0B8DE1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41C05229" w14:textId="77777777" w:rsidTr="002F4AEF">
        <w:trPr>
          <w:trHeight w:val="60"/>
        </w:trPr>
        <w:tc>
          <w:tcPr>
            <w:tcW w:w="3265" w:type="dxa"/>
            <w:tcBorders>
              <w:top w:val="double" w:sz="4" w:space="0" w:color="auto"/>
              <w:left w:val="double" w:sz="4" w:space="0" w:color="auto"/>
              <w:bottom w:val="double" w:sz="4" w:space="0" w:color="auto"/>
              <w:right w:val="double" w:sz="4" w:space="0" w:color="auto"/>
            </w:tcBorders>
            <w:shd w:val="clear" w:color="auto" w:fill="FFFFFF" w:themeFill="background1"/>
          </w:tcPr>
          <w:p w14:paraId="36E4C91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475" w:type="dxa"/>
            <w:tcBorders>
              <w:top w:val="double" w:sz="4" w:space="0" w:color="auto"/>
              <w:left w:val="double" w:sz="4" w:space="0" w:color="auto"/>
              <w:bottom w:val="double" w:sz="4" w:space="0" w:color="auto"/>
              <w:right w:val="double" w:sz="4" w:space="0" w:color="auto"/>
            </w:tcBorders>
            <w:shd w:val="clear" w:color="auto" w:fill="FFFFFF" w:themeFill="background1"/>
          </w:tcPr>
          <w:p w14:paraId="02047BDD" w14:textId="77777777" w:rsidR="00497092" w:rsidRPr="00644F20" w:rsidRDefault="00497092">
            <w:pPr>
              <w:spacing w:after="60" w:line="240" w:lineRule="auto"/>
              <w:rPr>
                <w:rFonts w:ascii="Times New Roman" w:hAnsi="Times New Roman" w:cs="Times New Roman"/>
                <w:lang w:val="sr-Cyrl-CS"/>
              </w:rPr>
            </w:pPr>
          </w:p>
        </w:tc>
        <w:tc>
          <w:tcPr>
            <w:tcW w:w="2556" w:type="dxa"/>
            <w:tcBorders>
              <w:top w:val="single" w:sz="4" w:space="0" w:color="auto"/>
              <w:left w:val="double" w:sz="4" w:space="0" w:color="auto"/>
              <w:bottom w:val="double" w:sz="4" w:space="0" w:color="auto"/>
              <w:right w:val="double" w:sz="4" w:space="0" w:color="auto"/>
            </w:tcBorders>
            <w:shd w:val="clear" w:color="auto" w:fill="FFFFFF" w:themeFill="background1"/>
          </w:tcPr>
          <w:p w14:paraId="01107959" w14:textId="77777777" w:rsidR="00497092" w:rsidRPr="00644F20" w:rsidRDefault="00497092">
            <w:pPr>
              <w:spacing w:after="60" w:line="240" w:lineRule="auto"/>
              <w:rPr>
                <w:rFonts w:ascii="Times New Roman" w:hAnsi="Times New Roman" w:cs="Times New Roman"/>
                <w:lang w:val="sr-Cyrl-CS"/>
              </w:rPr>
            </w:pPr>
          </w:p>
        </w:tc>
        <w:tc>
          <w:tcPr>
            <w:tcW w:w="2266" w:type="dxa"/>
            <w:tcBorders>
              <w:top w:val="single" w:sz="4" w:space="0" w:color="auto"/>
              <w:left w:val="double" w:sz="4" w:space="0" w:color="auto"/>
              <w:bottom w:val="double" w:sz="4" w:space="0" w:color="auto"/>
              <w:right w:val="double" w:sz="4" w:space="0" w:color="auto"/>
            </w:tcBorders>
            <w:shd w:val="clear" w:color="auto" w:fill="FFFFFF" w:themeFill="background1"/>
          </w:tcPr>
          <w:p w14:paraId="700BF75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2.264</w:t>
            </w:r>
          </w:p>
        </w:tc>
        <w:tc>
          <w:tcPr>
            <w:tcW w:w="2281" w:type="dxa"/>
            <w:tcBorders>
              <w:top w:val="single" w:sz="4" w:space="0" w:color="auto"/>
              <w:left w:val="double" w:sz="4" w:space="0" w:color="auto"/>
              <w:bottom w:val="double" w:sz="4" w:space="0" w:color="auto"/>
              <w:right w:val="double" w:sz="4" w:space="0" w:color="auto"/>
            </w:tcBorders>
            <w:shd w:val="clear" w:color="auto" w:fill="FFFFFF" w:themeFill="background1"/>
          </w:tcPr>
          <w:p w14:paraId="161BC0C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r>
      <w:tr w:rsidR="00497092" w:rsidRPr="00644F20" w14:paraId="67E5719E" w14:textId="77777777" w:rsidTr="002F4AEF">
        <w:trPr>
          <w:trHeight w:val="94"/>
        </w:trPr>
        <w:tc>
          <w:tcPr>
            <w:tcW w:w="3265" w:type="dxa"/>
            <w:tcBorders>
              <w:top w:val="double" w:sz="4" w:space="0" w:color="auto"/>
              <w:left w:val="double" w:sz="4" w:space="0" w:color="auto"/>
              <w:bottom w:val="double" w:sz="4" w:space="0" w:color="auto"/>
              <w:right w:val="double" w:sz="4" w:space="0" w:color="auto"/>
            </w:tcBorders>
            <w:shd w:val="clear" w:color="auto" w:fill="FFFFFF" w:themeFill="background1"/>
          </w:tcPr>
          <w:p w14:paraId="0A1CD8F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01 – Приходи из буџета/Редовна издвајања</w:t>
            </w:r>
          </w:p>
        </w:tc>
        <w:tc>
          <w:tcPr>
            <w:tcW w:w="2475" w:type="dxa"/>
            <w:tcBorders>
              <w:top w:val="double" w:sz="4" w:space="0" w:color="auto"/>
              <w:left w:val="double" w:sz="4" w:space="0" w:color="auto"/>
              <w:bottom w:val="double" w:sz="4" w:space="0" w:color="auto"/>
              <w:right w:val="double" w:sz="4" w:space="0" w:color="auto"/>
            </w:tcBorders>
            <w:shd w:val="clear" w:color="auto" w:fill="FFFFFF" w:themeFill="background1"/>
          </w:tcPr>
          <w:p w14:paraId="0FBD69E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0404-0004</w:t>
            </w:r>
          </w:p>
        </w:tc>
        <w:tc>
          <w:tcPr>
            <w:tcW w:w="2556" w:type="dxa"/>
            <w:tcBorders>
              <w:top w:val="single" w:sz="4" w:space="0" w:color="auto"/>
              <w:left w:val="double" w:sz="4" w:space="0" w:color="auto"/>
              <w:bottom w:val="double" w:sz="4" w:space="0" w:color="auto"/>
              <w:right w:val="double" w:sz="4" w:space="0" w:color="auto"/>
            </w:tcBorders>
            <w:shd w:val="clear" w:color="auto" w:fill="FFFFFF" w:themeFill="background1"/>
          </w:tcPr>
          <w:p w14:paraId="7094B6C1" w14:textId="77777777" w:rsidR="00497092" w:rsidRPr="00644F20" w:rsidRDefault="00497092">
            <w:pPr>
              <w:spacing w:after="60" w:line="240" w:lineRule="auto"/>
              <w:rPr>
                <w:rFonts w:ascii="Times New Roman" w:hAnsi="Times New Roman" w:cs="Times New Roman"/>
                <w:lang w:val="sr-Cyrl-CS"/>
              </w:rPr>
            </w:pPr>
          </w:p>
        </w:tc>
        <w:tc>
          <w:tcPr>
            <w:tcW w:w="2266" w:type="dxa"/>
            <w:tcBorders>
              <w:top w:val="single" w:sz="4" w:space="0" w:color="auto"/>
              <w:left w:val="double" w:sz="4" w:space="0" w:color="auto"/>
              <w:bottom w:val="double" w:sz="4" w:space="0" w:color="auto"/>
              <w:right w:val="double" w:sz="4" w:space="0" w:color="auto"/>
            </w:tcBorders>
            <w:shd w:val="clear" w:color="auto" w:fill="FFFFFF" w:themeFill="background1"/>
          </w:tcPr>
          <w:p w14:paraId="14340346" w14:textId="77777777" w:rsidR="00497092" w:rsidRPr="00644F20" w:rsidRDefault="00497092">
            <w:pPr>
              <w:spacing w:after="60" w:line="240" w:lineRule="auto"/>
              <w:rPr>
                <w:rFonts w:ascii="Times New Roman" w:hAnsi="Times New Roman" w:cs="Times New Roman"/>
                <w:lang w:val="sr-Cyrl-CS"/>
              </w:rPr>
            </w:pPr>
          </w:p>
        </w:tc>
        <w:tc>
          <w:tcPr>
            <w:tcW w:w="2281" w:type="dxa"/>
            <w:tcBorders>
              <w:top w:val="single" w:sz="4" w:space="0" w:color="auto"/>
              <w:left w:val="double" w:sz="4" w:space="0" w:color="auto"/>
              <w:bottom w:val="double" w:sz="4" w:space="0" w:color="auto"/>
              <w:right w:val="double" w:sz="4" w:space="0" w:color="auto"/>
            </w:tcBorders>
            <w:shd w:val="clear" w:color="auto" w:fill="FFFFFF" w:themeFill="background1"/>
          </w:tcPr>
          <w:p w14:paraId="2A6E6355" w14:textId="77777777" w:rsidR="00497092" w:rsidRPr="00644F20" w:rsidRDefault="00497092">
            <w:pPr>
              <w:spacing w:after="60" w:line="240" w:lineRule="auto"/>
              <w:rPr>
                <w:rFonts w:ascii="Times New Roman" w:hAnsi="Times New Roman" w:cs="Times New Roman"/>
                <w:lang w:val="sr-Cyrl-CS"/>
              </w:rPr>
            </w:pPr>
          </w:p>
        </w:tc>
      </w:tr>
    </w:tbl>
    <w:p w14:paraId="6844AE03" w14:textId="77777777" w:rsidR="00497092" w:rsidRPr="00644F20" w:rsidRDefault="00497092">
      <w:pPr>
        <w:tabs>
          <w:tab w:val="left" w:pos="10773"/>
          <w:tab w:val="left" w:pos="12191"/>
          <w:tab w:val="left" w:pos="12333"/>
        </w:tabs>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256"/>
        <w:gridCol w:w="1160"/>
        <w:gridCol w:w="1339"/>
        <w:gridCol w:w="1278"/>
        <w:gridCol w:w="1670"/>
        <w:gridCol w:w="1453"/>
        <w:gridCol w:w="1179"/>
        <w:gridCol w:w="1087"/>
        <w:gridCol w:w="1130"/>
      </w:tblGrid>
      <w:tr w:rsidR="00497092" w:rsidRPr="00644F20" w14:paraId="26F9895F" w14:textId="77777777">
        <w:trPr>
          <w:trHeight w:val="140"/>
        </w:trPr>
        <w:tc>
          <w:tcPr>
            <w:tcW w:w="956"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2DD48D5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457"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E3F442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49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6C268E8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E37466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2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995E55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80"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68D273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4025F0D9" w14:textId="77777777" w:rsidR="00497092" w:rsidRPr="00644F20" w:rsidRDefault="00497092">
            <w:pPr>
              <w:spacing w:after="60" w:line="240" w:lineRule="auto"/>
              <w:jc w:val="center"/>
              <w:rPr>
                <w:rFonts w:ascii="Times New Roman" w:hAnsi="Times New Roman" w:cs="Times New Roman"/>
                <w:lang w:val="sr-Cyrl-CS"/>
              </w:rPr>
            </w:pPr>
          </w:p>
        </w:tc>
        <w:tc>
          <w:tcPr>
            <w:tcW w:w="1524"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A959172"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6F6276F2"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4E17DBE0"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45AFC77"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31941DC6"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A4705C8"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31B57CC2"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A7FF3AC" w14:textId="77777777" w:rsidR="00497092" w:rsidRPr="00644F20" w:rsidRDefault="00497092">
            <w:pPr>
              <w:spacing w:after="0" w:line="240" w:lineRule="auto"/>
              <w:rPr>
                <w:rFonts w:ascii="Times New Roman" w:hAnsi="Times New Roman" w:cs="Times New Roman"/>
                <w:lang w:val="sr-Cyrl-CS"/>
              </w:rPr>
            </w:pPr>
          </w:p>
        </w:tc>
        <w:tc>
          <w:tcPr>
            <w:tcW w:w="527"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B3D51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 xml:space="preserve">2022. </w:t>
            </w:r>
          </w:p>
        </w:tc>
        <w:tc>
          <w:tcPr>
            <w:tcW w:w="490"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03AC40"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507"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F3F09B"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192D40F6" w14:textId="77777777">
        <w:trPr>
          <w:trHeight w:val="274"/>
        </w:trPr>
        <w:tc>
          <w:tcPr>
            <w:tcW w:w="956" w:type="pct"/>
            <w:tcBorders>
              <w:top w:val="single" w:sz="4" w:space="0" w:color="auto"/>
              <w:left w:val="double" w:sz="4" w:space="0" w:color="auto"/>
              <w:bottom w:val="single" w:sz="4" w:space="0" w:color="auto"/>
              <w:right w:val="single" w:sz="4" w:space="0" w:color="auto"/>
            </w:tcBorders>
          </w:tcPr>
          <w:p w14:paraId="2F7A1FDF" w14:textId="77777777" w:rsidR="00497092" w:rsidRPr="00644F20" w:rsidRDefault="002F45E1">
            <w:pPr>
              <w:pStyle w:val="ListParagraph"/>
              <w:spacing w:after="60"/>
              <w:ind w:left="17"/>
              <w:rPr>
                <w:rFonts w:ascii="Times New Roman" w:hAnsi="Times New Roman" w:cs="Times New Roman"/>
                <w:lang w:val="sr-Cyrl-CS"/>
              </w:rPr>
            </w:pPr>
            <w:r w:rsidRPr="00644F20">
              <w:rPr>
                <w:rFonts w:ascii="Times New Roman" w:hAnsi="Times New Roman" w:cs="Times New Roman"/>
                <w:lang w:val="sr-Cyrl-CS"/>
              </w:rPr>
              <w:t xml:space="preserve">1.1.1. Израда Плана јачања капацитета идентификованих </w:t>
            </w:r>
            <w:r w:rsidRPr="00644F20">
              <w:rPr>
                <w:rFonts w:ascii="Times New Roman" w:hAnsi="Times New Roman" w:cs="Times New Roman"/>
                <w:lang w:val="sr-Cyrl-CS"/>
              </w:rPr>
              <w:lastRenderedPageBreak/>
              <w:t>група привредних субјеката</w:t>
            </w:r>
          </w:p>
        </w:tc>
        <w:tc>
          <w:tcPr>
            <w:tcW w:w="457" w:type="pct"/>
            <w:tcBorders>
              <w:top w:val="single" w:sz="4" w:space="0" w:color="auto"/>
              <w:left w:val="single" w:sz="4" w:space="0" w:color="auto"/>
              <w:bottom w:val="single" w:sz="4" w:space="0" w:color="auto"/>
              <w:right w:val="single" w:sz="4" w:space="0" w:color="auto"/>
            </w:tcBorders>
          </w:tcPr>
          <w:p w14:paraId="7B256E8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МЗЖС</w:t>
            </w:r>
          </w:p>
        </w:tc>
        <w:tc>
          <w:tcPr>
            <w:tcW w:w="494" w:type="pct"/>
            <w:tcBorders>
              <w:top w:val="single" w:sz="4" w:space="0" w:color="auto"/>
              <w:left w:val="single" w:sz="4" w:space="0" w:color="auto"/>
              <w:bottom w:val="single" w:sz="4" w:space="0" w:color="auto"/>
              <w:right w:val="single" w:sz="4" w:space="0" w:color="auto"/>
            </w:tcBorders>
          </w:tcPr>
          <w:p w14:paraId="660DF39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w:t>
            </w:r>
          </w:p>
          <w:p w14:paraId="404659F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65F74E5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tc>
        <w:tc>
          <w:tcPr>
            <w:tcW w:w="463" w:type="pct"/>
            <w:tcBorders>
              <w:top w:val="single" w:sz="4" w:space="0" w:color="auto"/>
              <w:left w:val="single" w:sz="4" w:space="0" w:color="auto"/>
              <w:bottom w:val="single" w:sz="4" w:space="0" w:color="auto"/>
              <w:right w:val="single" w:sz="4" w:space="0" w:color="auto"/>
            </w:tcBorders>
          </w:tcPr>
          <w:p w14:paraId="5B8492F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2022.</w:t>
            </w:r>
          </w:p>
        </w:tc>
        <w:tc>
          <w:tcPr>
            <w:tcW w:w="626" w:type="pct"/>
            <w:tcBorders>
              <w:top w:val="single" w:sz="4" w:space="0" w:color="auto"/>
              <w:left w:val="single" w:sz="4" w:space="0" w:color="auto"/>
              <w:bottom w:val="single" w:sz="4" w:space="0" w:color="auto"/>
              <w:right w:val="single" w:sz="4" w:space="0" w:color="auto"/>
            </w:tcBorders>
          </w:tcPr>
          <w:p w14:paraId="08067B7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01 – Приходи из </w:t>
            </w:r>
            <w:r w:rsidRPr="00644F20">
              <w:rPr>
                <w:rFonts w:ascii="Times New Roman" w:hAnsi="Times New Roman" w:cs="Times New Roman"/>
                <w:lang w:val="sr-Cyrl-CS"/>
              </w:rPr>
              <w:lastRenderedPageBreak/>
              <w:t>буџета/Редовна издвајања</w:t>
            </w:r>
          </w:p>
        </w:tc>
        <w:tc>
          <w:tcPr>
            <w:tcW w:w="480" w:type="pct"/>
            <w:tcBorders>
              <w:top w:val="single" w:sz="4" w:space="0" w:color="auto"/>
              <w:left w:val="single" w:sz="4" w:space="0" w:color="auto"/>
              <w:bottom w:val="single" w:sz="4" w:space="0" w:color="auto"/>
              <w:right w:val="single" w:sz="4" w:space="0" w:color="auto"/>
            </w:tcBorders>
          </w:tcPr>
          <w:p w14:paraId="7BBAB85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0404-0004</w:t>
            </w:r>
          </w:p>
        </w:tc>
        <w:tc>
          <w:tcPr>
            <w:tcW w:w="527" w:type="pct"/>
            <w:tcBorders>
              <w:top w:val="single" w:sz="4" w:space="0" w:color="auto"/>
              <w:left w:val="single" w:sz="4" w:space="0" w:color="auto"/>
              <w:bottom w:val="single" w:sz="4" w:space="0" w:color="auto"/>
              <w:right w:val="single" w:sz="4" w:space="0" w:color="auto"/>
            </w:tcBorders>
          </w:tcPr>
          <w:p w14:paraId="453E4848" w14:textId="77777777" w:rsidR="00497092" w:rsidRPr="00644F20" w:rsidRDefault="00497092">
            <w:pPr>
              <w:spacing w:after="60" w:line="240" w:lineRule="auto"/>
              <w:rPr>
                <w:rFonts w:ascii="Times New Roman" w:hAnsi="Times New Roman" w:cs="Times New Roman"/>
                <w:lang w:val="sr-Cyrl-CS"/>
              </w:rPr>
            </w:pPr>
          </w:p>
        </w:tc>
        <w:tc>
          <w:tcPr>
            <w:tcW w:w="490" w:type="pct"/>
            <w:tcBorders>
              <w:top w:val="single" w:sz="4" w:space="0" w:color="auto"/>
              <w:left w:val="single" w:sz="4" w:space="0" w:color="auto"/>
              <w:bottom w:val="single" w:sz="4" w:space="0" w:color="auto"/>
              <w:right w:val="single" w:sz="4" w:space="0" w:color="auto"/>
            </w:tcBorders>
          </w:tcPr>
          <w:p w14:paraId="0167BD04" w14:textId="77777777" w:rsidR="00497092" w:rsidRPr="00644F20" w:rsidRDefault="00497092">
            <w:pPr>
              <w:spacing w:after="60" w:line="240" w:lineRule="auto"/>
              <w:rPr>
                <w:rFonts w:ascii="Times New Roman" w:hAnsi="Times New Roman" w:cs="Times New Roman"/>
                <w:lang w:val="sr-Cyrl-CS"/>
              </w:rPr>
            </w:pPr>
          </w:p>
        </w:tc>
        <w:tc>
          <w:tcPr>
            <w:tcW w:w="507" w:type="pct"/>
            <w:tcBorders>
              <w:top w:val="single" w:sz="4" w:space="0" w:color="auto"/>
              <w:left w:val="single" w:sz="4" w:space="0" w:color="auto"/>
              <w:bottom w:val="single" w:sz="4" w:space="0" w:color="auto"/>
              <w:right w:val="single" w:sz="4" w:space="0" w:color="auto"/>
            </w:tcBorders>
          </w:tcPr>
          <w:p w14:paraId="03CAE12D"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2FE2A59F" w14:textId="77777777">
        <w:trPr>
          <w:trHeight w:val="543"/>
        </w:trPr>
        <w:tc>
          <w:tcPr>
            <w:tcW w:w="956" w:type="pct"/>
            <w:tcBorders>
              <w:top w:val="single" w:sz="4" w:space="0" w:color="auto"/>
              <w:left w:val="double" w:sz="4" w:space="0" w:color="auto"/>
              <w:bottom w:val="single" w:sz="4" w:space="0" w:color="auto"/>
              <w:right w:val="single" w:sz="4" w:space="0" w:color="auto"/>
            </w:tcBorders>
          </w:tcPr>
          <w:p w14:paraId="7821D285" w14:textId="77777777" w:rsidR="00497092" w:rsidRPr="00644F20" w:rsidRDefault="002F45E1">
            <w:pPr>
              <w:pStyle w:val="ListParagraph"/>
              <w:spacing w:after="60"/>
              <w:ind w:left="27"/>
              <w:rPr>
                <w:rFonts w:ascii="Times New Roman" w:hAnsi="Times New Roman" w:cs="Times New Roman"/>
                <w:lang w:val="sr-Cyrl-CS"/>
              </w:rPr>
            </w:pPr>
            <w:r w:rsidRPr="00644F20">
              <w:rPr>
                <w:rFonts w:ascii="Times New Roman" w:hAnsi="Times New Roman" w:cs="Times New Roman"/>
                <w:lang w:val="sr-Cyrl-CS"/>
              </w:rPr>
              <w:t>1.1.2. Израда    специјализованих приручника за идентификоване групе привредних субјеката</w:t>
            </w:r>
          </w:p>
        </w:tc>
        <w:tc>
          <w:tcPr>
            <w:tcW w:w="457" w:type="pct"/>
            <w:tcBorders>
              <w:top w:val="single" w:sz="4" w:space="0" w:color="auto"/>
              <w:left w:val="single" w:sz="4" w:space="0" w:color="auto"/>
              <w:bottom w:val="single" w:sz="4" w:space="0" w:color="auto"/>
              <w:right w:val="single" w:sz="4" w:space="0" w:color="auto"/>
            </w:tcBorders>
          </w:tcPr>
          <w:p w14:paraId="44963F3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4" w:type="pct"/>
            <w:tcBorders>
              <w:top w:val="single" w:sz="4" w:space="0" w:color="auto"/>
              <w:left w:val="single" w:sz="4" w:space="0" w:color="auto"/>
              <w:bottom w:val="single" w:sz="4" w:space="0" w:color="auto"/>
              <w:right w:val="single" w:sz="4" w:space="0" w:color="auto"/>
            </w:tcBorders>
          </w:tcPr>
          <w:p w14:paraId="5305146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w:t>
            </w:r>
          </w:p>
          <w:p w14:paraId="04EC75F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7E75F6DE" w14:textId="77777777" w:rsidR="00497092" w:rsidRPr="00644F20" w:rsidRDefault="00497092">
            <w:pPr>
              <w:spacing w:after="60" w:line="240" w:lineRule="auto"/>
              <w:rPr>
                <w:rFonts w:ascii="Times New Roman" w:hAnsi="Times New Roman" w:cs="Times New Roman"/>
                <w:lang w:val="sr-Cyrl-CS"/>
              </w:rPr>
            </w:pPr>
          </w:p>
        </w:tc>
        <w:tc>
          <w:tcPr>
            <w:tcW w:w="463" w:type="pct"/>
            <w:tcBorders>
              <w:top w:val="single" w:sz="4" w:space="0" w:color="auto"/>
              <w:left w:val="single" w:sz="4" w:space="0" w:color="auto"/>
              <w:bottom w:val="single" w:sz="4" w:space="0" w:color="auto"/>
              <w:right w:val="single" w:sz="4" w:space="0" w:color="auto"/>
            </w:tcBorders>
          </w:tcPr>
          <w:p w14:paraId="0E8C8BB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6" w:type="pct"/>
            <w:tcBorders>
              <w:top w:val="single" w:sz="4" w:space="0" w:color="auto"/>
              <w:left w:val="single" w:sz="4" w:space="0" w:color="auto"/>
              <w:bottom w:val="single" w:sz="4" w:space="0" w:color="auto"/>
              <w:right w:val="single" w:sz="4" w:space="0" w:color="auto"/>
            </w:tcBorders>
          </w:tcPr>
          <w:p w14:paraId="40D81EF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480" w:type="pct"/>
            <w:tcBorders>
              <w:top w:val="single" w:sz="4" w:space="0" w:color="auto"/>
              <w:left w:val="single" w:sz="4" w:space="0" w:color="auto"/>
              <w:bottom w:val="single" w:sz="4" w:space="0" w:color="auto"/>
              <w:right w:val="single" w:sz="4" w:space="0" w:color="auto"/>
            </w:tcBorders>
          </w:tcPr>
          <w:p w14:paraId="3E294B91" w14:textId="77777777" w:rsidR="00497092" w:rsidRPr="00644F20" w:rsidRDefault="00497092">
            <w:pPr>
              <w:spacing w:after="60" w:line="240" w:lineRule="auto"/>
              <w:rPr>
                <w:rFonts w:ascii="Times New Roman" w:hAnsi="Times New Roman" w:cs="Times New Roman"/>
                <w:lang w:val="sr-Cyrl-CS"/>
              </w:rPr>
            </w:pPr>
          </w:p>
        </w:tc>
        <w:tc>
          <w:tcPr>
            <w:tcW w:w="527" w:type="pct"/>
            <w:tcBorders>
              <w:top w:val="single" w:sz="4" w:space="0" w:color="auto"/>
              <w:left w:val="single" w:sz="4" w:space="0" w:color="auto"/>
              <w:bottom w:val="single" w:sz="4" w:space="0" w:color="auto"/>
              <w:right w:val="single" w:sz="4" w:space="0" w:color="auto"/>
            </w:tcBorders>
          </w:tcPr>
          <w:p w14:paraId="5144BEFC" w14:textId="77777777" w:rsidR="00497092" w:rsidRPr="00644F20" w:rsidRDefault="00497092">
            <w:pPr>
              <w:spacing w:after="60" w:line="240" w:lineRule="auto"/>
              <w:rPr>
                <w:rFonts w:ascii="Times New Roman" w:hAnsi="Times New Roman" w:cs="Times New Roman"/>
                <w:lang w:val="sr-Cyrl-CS"/>
              </w:rPr>
            </w:pPr>
          </w:p>
        </w:tc>
        <w:tc>
          <w:tcPr>
            <w:tcW w:w="490" w:type="pct"/>
            <w:tcBorders>
              <w:top w:val="single" w:sz="4" w:space="0" w:color="auto"/>
              <w:left w:val="single" w:sz="4" w:space="0" w:color="auto"/>
              <w:bottom w:val="single" w:sz="4" w:space="0" w:color="auto"/>
              <w:right w:val="single" w:sz="4" w:space="0" w:color="auto"/>
            </w:tcBorders>
          </w:tcPr>
          <w:p w14:paraId="555FA40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2.000</w:t>
            </w:r>
          </w:p>
        </w:tc>
        <w:tc>
          <w:tcPr>
            <w:tcW w:w="507" w:type="pct"/>
            <w:tcBorders>
              <w:top w:val="single" w:sz="4" w:space="0" w:color="auto"/>
              <w:left w:val="single" w:sz="4" w:space="0" w:color="auto"/>
              <w:bottom w:val="single" w:sz="4" w:space="0" w:color="auto"/>
              <w:right w:val="single" w:sz="4" w:space="0" w:color="auto"/>
            </w:tcBorders>
          </w:tcPr>
          <w:p w14:paraId="5125BD7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1.720</w:t>
            </w:r>
          </w:p>
        </w:tc>
      </w:tr>
      <w:tr w:rsidR="00497092" w:rsidRPr="00644F20" w14:paraId="37A7051A" w14:textId="77777777">
        <w:trPr>
          <w:trHeight w:val="140"/>
        </w:trPr>
        <w:tc>
          <w:tcPr>
            <w:tcW w:w="956" w:type="pct"/>
            <w:tcBorders>
              <w:top w:val="single" w:sz="4" w:space="0" w:color="auto"/>
              <w:left w:val="double" w:sz="4" w:space="0" w:color="auto"/>
              <w:bottom w:val="single" w:sz="4" w:space="0" w:color="auto"/>
              <w:right w:val="single" w:sz="4" w:space="0" w:color="auto"/>
            </w:tcBorders>
          </w:tcPr>
          <w:p w14:paraId="24F8965C" w14:textId="77777777" w:rsidR="00497092" w:rsidRPr="00644F20" w:rsidRDefault="002F45E1">
            <w:pPr>
              <w:pStyle w:val="ListParagraph"/>
              <w:spacing w:after="60"/>
              <w:ind w:left="6"/>
              <w:rPr>
                <w:rFonts w:ascii="Times New Roman" w:hAnsi="Times New Roman" w:cs="Times New Roman"/>
                <w:lang w:val="sr-Cyrl-CS"/>
              </w:rPr>
            </w:pPr>
            <w:r w:rsidRPr="00644F20">
              <w:rPr>
                <w:rFonts w:ascii="Times New Roman" w:hAnsi="Times New Roman" w:cs="Times New Roman"/>
                <w:lang w:val="sr-Cyrl-CS"/>
              </w:rPr>
              <w:t>1.1.3. Одржавање     радионица/семинара за привредне субјекте на специфичне теме које су од кључног значаја за примену циркуларне економије у складу са припремљеним Планом обука</w:t>
            </w:r>
          </w:p>
        </w:tc>
        <w:tc>
          <w:tcPr>
            <w:tcW w:w="457" w:type="pct"/>
            <w:tcBorders>
              <w:top w:val="single" w:sz="4" w:space="0" w:color="auto"/>
              <w:left w:val="single" w:sz="4" w:space="0" w:color="auto"/>
              <w:bottom w:val="single" w:sz="4" w:space="0" w:color="auto"/>
              <w:right w:val="single" w:sz="4" w:space="0" w:color="auto"/>
            </w:tcBorders>
          </w:tcPr>
          <w:p w14:paraId="6FAD19D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4" w:type="pct"/>
            <w:tcBorders>
              <w:top w:val="single" w:sz="4" w:space="0" w:color="auto"/>
              <w:left w:val="single" w:sz="4" w:space="0" w:color="auto"/>
              <w:bottom w:val="single" w:sz="4" w:space="0" w:color="auto"/>
              <w:right w:val="single" w:sz="4" w:space="0" w:color="auto"/>
            </w:tcBorders>
          </w:tcPr>
          <w:p w14:paraId="5EC545D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w:t>
            </w:r>
          </w:p>
          <w:p w14:paraId="51142E6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0E4415B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p w14:paraId="65018BC1" w14:textId="77777777" w:rsidR="00497092" w:rsidRPr="00644F20" w:rsidRDefault="00497092">
            <w:pPr>
              <w:spacing w:after="60" w:line="240" w:lineRule="auto"/>
              <w:rPr>
                <w:rFonts w:ascii="Times New Roman" w:hAnsi="Times New Roman" w:cs="Times New Roman"/>
                <w:lang w:val="sr-Cyrl-CS"/>
              </w:rPr>
            </w:pPr>
          </w:p>
        </w:tc>
        <w:tc>
          <w:tcPr>
            <w:tcW w:w="463" w:type="pct"/>
            <w:tcBorders>
              <w:top w:val="single" w:sz="4" w:space="0" w:color="auto"/>
              <w:left w:val="single" w:sz="4" w:space="0" w:color="auto"/>
              <w:bottom w:val="single" w:sz="4" w:space="0" w:color="auto"/>
              <w:right w:val="single" w:sz="4" w:space="0" w:color="auto"/>
            </w:tcBorders>
          </w:tcPr>
          <w:p w14:paraId="075B648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6" w:type="pct"/>
            <w:tcBorders>
              <w:top w:val="single" w:sz="4" w:space="0" w:color="auto"/>
              <w:left w:val="single" w:sz="4" w:space="0" w:color="auto"/>
              <w:bottom w:val="single" w:sz="4" w:space="0" w:color="auto"/>
              <w:right w:val="single" w:sz="4" w:space="0" w:color="auto"/>
            </w:tcBorders>
          </w:tcPr>
          <w:p w14:paraId="582B3FD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480" w:type="pct"/>
            <w:tcBorders>
              <w:top w:val="single" w:sz="4" w:space="0" w:color="auto"/>
              <w:left w:val="single" w:sz="4" w:space="0" w:color="auto"/>
              <w:bottom w:val="single" w:sz="4" w:space="0" w:color="auto"/>
              <w:right w:val="single" w:sz="4" w:space="0" w:color="auto"/>
            </w:tcBorders>
          </w:tcPr>
          <w:p w14:paraId="0E3DF86D" w14:textId="77777777" w:rsidR="00497092" w:rsidRPr="00644F20" w:rsidRDefault="00497092">
            <w:pPr>
              <w:spacing w:after="60" w:line="240" w:lineRule="auto"/>
              <w:rPr>
                <w:rFonts w:ascii="Times New Roman" w:hAnsi="Times New Roman" w:cs="Times New Roman"/>
                <w:lang w:val="sr-Cyrl-CS"/>
              </w:rPr>
            </w:pPr>
          </w:p>
        </w:tc>
        <w:tc>
          <w:tcPr>
            <w:tcW w:w="527" w:type="pct"/>
            <w:tcBorders>
              <w:top w:val="single" w:sz="4" w:space="0" w:color="auto"/>
              <w:left w:val="single" w:sz="4" w:space="0" w:color="auto"/>
              <w:bottom w:val="single" w:sz="4" w:space="0" w:color="auto"/>
              <w:right w:val="single" w:sz="4" w:space="0" w:color="auto"/>
            </w:tcBorders>
          </w:tcPr>
          <w:p w14:paraId="7A7019BA" w14:textId="77777777" w:rsidR="00497092" w:rsidRPr="00644F20" w:rsidRDefault="00497092">
            <w:pPr>
              <w:spacing w:after="60" w:line="240" w:lineRule="auto"/>
              <w:rPr>
                <w:rFonts w:ascii="Times New Roman" w:hAnsi="Times New Roman" w:cs="Times New Roman"/>
                <w:lang w:val="sr-Cyrl-CS"/>
              </w:rPr>
            </w:pPr>
          </w:p>
        </w:tc>
        <w:tc>
          <w:tcPr>
            <w:tcW w:w="490" w:type="pct"/>
            <w:tcBorders>
              <w:top w:val="single" w:sz="4" w:space="0" w:color="auto"/>
              <w:left w:val="single" w:sz="4" w:space="0" w:color="auto"/>
              <w:bottom w:val="single" w:sz="4" w:space="0" w:color="auto"/>
              <w:right w:val="single" w:sz="4" w:space="0" w:color="auto"/>
            </w:tcBorders>
          </w:tcPr>
          <w:p w14:paraId="3997F44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264</w:t>
            </w:r>
          </w:p>
        </w:tc>
        <w:tc>
          <w:tcPr>
            <w:tcW w:w="507" w:type="pct"/>
            <w:tcBorders>
              <w:top w:val="single" w:sz="4" w:space="0" w:color="auto"/>
              <w:left w:val="single" w:sz="4" w:space="0" w:color="auto"/>
              <w:bottom w:val="single" w:sz="4" w:space="0" w:color="auto"/>
              <w:right w:val="single" w:sz="4" w:space="0" w:color="auto"/>
            </w:tcBorders>
          </w:tcPr>
          <w:p w14:paraId="1582028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301</w:t>
            </w:r>
          </w:p>
        </w:tc>
      </w:tr>
    </w:tbl>
    <w:p w14:paraId="1D7B820D" w14:textId="77777777" w:rsidR="00497092" w:rsidRPr="00644F20" w:rsidRDefault="00497092">
      <w:pPr>
        <w:spacing w:after="240"/>
        <w:rPr>
          <w:rFonts w:ascii="Times New Roman" w:hAnsi="Times New Roman" w:cs="Times New Roman"/>
          <w:lang w:val="sr-Cyrl-CS"/>
        </w:rPr>
      </w:pPr>
    </w:p>
    <w:tbl>
      <w:tblPr>
        <w:tblStyle w:val="TableGrid"/>
        <w:tblW w:w="13205" w:type="dxa"/>
        <w:tblInd w:w="10" w:type="dxa"/>
        <w:tblLayout w:type="fixed"/>
        <w:tblLook w:val="04A0" w:firstRow="1" w:lastRow="0" w:firstColumn="1" w:lastColumn="0" w:noHBand="0" w:noVBand="1"/>
      </w:tblPr>
      <w:tblGrid>
        <w:gridCol w:w="3500"/>
        <w:gridCol w:w="1134"/>
        <w:gridCol w:w="2429"/>
        <w:gridCol w:w="1399"/>
        <w:gridCol w:w="1275"/>
        <w:gridCol w:w="1418"/>
        <w:gridCol w:w="1501"/>
        <w:gridCol w:w="549"/>
      </w:tblGrid>
      <w:tr w:rsidR="00497092" w:rsidRPr="00644F20" w14:paraId="709323F6" w14:textId="77777777" w:rsidTr="002F4AEF">
        <w:trPr>
          <w:trHeight w:val="168"/>
        </w:trPr>
        <w:tc>
          <w:tcPr>
            <w:tcW w:w="1320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2638EAC4"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Мера 1.2: Подршка привредним субјектима у проналажењу подстицаја и финансијских инструмената</w:t>
            </w:r>
          </w:p>
        </w:tc>
      </w:tr>
      <w:tr w:rsidR="00497092" w:rsidRPr="00644F20" w14:paraId="0382A157" w14:textId="77777777" w:rsidTr="002F4AEF">
        <w:trPr>
          <w:trHeight w:val="298"/>
        </w:trPr>
        <w:tc>
          <w:tcPr>
            <w:tcW w:w="1320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7D78E8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p>
        </w:tc>
      </w:tr>
      <w:tr w:rsidR="00497092" w:rsidRPr="00644F20" w14:paraId="0D0FD36A" w14:textId="77777777" w:rsidTr="002F4AEF">
        <w:trPr>
          <w:trHeight w:val="298"/>
        </w:trPr>
        <w:tc>
          <w:tcPr>
            <w:tcW w:w="7063"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5743C1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Период спровођења: 2022 – 2024.</w:t>
            </w:r>
          </w:p>
        </w:tc>
        <w:tc>
          <w:tcPr>
            <w:tcW w:w="614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732A5D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подстицајна</w:t>
            </w:r>
          </w:p>
        </w:tc>
      </w:tr>
      <w:tr w:rsidR="00497092" w:rsidRPr="00644F20" w14:paraId="76AC34EB" w14:textId="77777777" w:rsidTr="002F4AEF">
        <w:trPr>
          <w:trHeight w:val="298"/>
        </w:trPr>
        <w:tc>
          <w:tcPr>
            <w:tcW w:w="7063"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32E3B7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14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ACE3CF"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62F31305" w14:textId="77777777" w:rsidTr="002F4AEF">
        <w:trPr>
          <w:trHeight w:val="950"/>
        </w:trPr>
        <w:tc>
          <w:tcPr>
            <w:tcW w:w="350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777087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13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C8CA90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7B3E402B" w14:textId="77777777" w:rsidR="00497092" w:rsidRPr="00644F20" w:rsidRDefault="00497092">
            <w:pPr>
              <w:spacing w:after="60" w:line="240" w:lineRule="auto"/>
              <w:rPr>
                <w:rFonts w:ascii="Times New Roman" w:hAnsi="Times New Roman" w:cs="Times New Roman"/>
                <w:lang w:val="sr-Cyrl-CS"/>
              </w:rPr>
            </w:pPr>
          </w:p>
        </w:tc>
        <w:tc>
          <w:tcPr>
            <w:tcW w:w="242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E30B9C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39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E536FB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275"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1F0AAD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8D62C1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50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0B66DE5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54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046CF4A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Циљана вредност </w:t>
            </w:r>
            <w:r w:rsidRPr="00644F20">
              <w:rPr>
                <w:rFonts w:ascii="Times New Roman" w:hAnsi="Times New Roman" w:cs="Times New Roman"/>
                <w:lang w:val="sr-Cyrl-CS"/>
              </w:rPr>
              <w:lastRenderedPageBreak/>
              <w:t>у 2024.</w:t>
            </w:r>
          </w:p>
        </w:tc>
      </w:tr>
      <w:tr w:rsidR="00497092" w:rsidRPr="00644F20" w14:paraId="6D556861" w14:textId="77777777" w:rsidTr="002F4AEF">
        <w:trPr>
          <w:trHeight w:val="302"/>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222D8AEC" w14:textId="77777777" w:rsidR="00497092" w:rsidRPr="00644F20" w:rsidRDefault="002F45E1" w:rsidP="002F4AEF">
            <w:pPr>
              <w:shd w:val="clear" w:color="auto" w:fill="FFFFFF" w:themeFill="background1"/>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lastRenderedPageBreak/>
              <w:t xml:space="preserve">Укупан број континуирано доступних програма/фондова који подржавају увођење принципа </w:t>
            </w:r>
            <w:r w:rsidR="002F4AEF" w:rsidRPr="00644F20">
              <w:rPr>
                <w:rFonts w:ascii="Times New Roman" w:eastAsia="Calibri" w:hAnsi="Times New Roman" w:cs="Times New Roman"/>
                <w:lang w:val="sr-Cyrl-CS"/>
              </w:rPr>
              <w:t xml:space="preserve">ЦЕ </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48374CF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29" w:type="dxa"/>
            <w:tcBorders>
              <w:top w:val="double" w:sz="4" w:space="0" w:color="auto"/>
              <w:left w:val="single" w:sz="4" w:space="0" w:color="auto"/>
              <w:bottom w:val="double" w:sz="4" w:space="0" w:color="auto"/>
              <w:right w:val="single" w:sz="4" w:space="0" w:color="auto"/>
            </w:tcBorders>
            <w:shd w:val="clear" w:color="auto" w:fill="FFFFFF" w:themeFill="background1"/>
          </w:tcPr>
          <w:p w14:paraId="0C9143C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Интернет странице институција које објављују јавне позиве у оквиру програма/фондова који подржавају увођење принципа ЦЕ</w:t>
            </w:r>
          </w:p>
        </w:tc>
        <w:tc>
          <w:tcPr>
            <w:tcW w:w="1399" w:type="dxa"/>
            <w:tcBorders>
              <w:top w:val="double" w:sz="4" w:space="0" w:color="auto"/>
              <w:left w:val="single" w:sz="4" w:space="0" w:color="auto"/>
              <w:bottom w:val="double" w:sz="4" w:space="0" w:color="auto"/>
              <w:right w:val="single" w:sz="4" w:space="0" w:color="auto"/>
            </w:tcBorders>
            <w:shd w:val="clear" w:color="auto" w:fill="FFFFFF" w:themeFill="background1"/>
          </w:tcPr>
          <w:p w14:paraId="3BE2EAA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75" w:type="dxa"/>
            <w:tcBorders>
              <w:top w:val="double" w:sz="4" w:space="0" w:color="auto"/>
              <w:left w:val="single" w:sz="4" w:space="0" w:color="auto"/>
              <w:bottom w:val="double" w:sz="4" w:space="0" w:color="auto"/>
              <w:right w:val="single" w:sz="4" w:space="0" w:color="auto"/>
            </w:tcBorders>
            <w:shd w:val="clear" w:color="auto" w:fill="FFFFFF" w:themeFill="background1"/>
          </w:tcPr>
          <w:p w14:paraId="0B51316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44E13EB8"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01" w:type="dxa"/>
            <w:tcBorders>
              <w:top w:val="double" w:sz="4" w:space="0" w:color="auto"/>
              <w:left w:val="single" w:sz="4" w:space="0" w:color="auto"/>
              <w:bottom w:val="double" w:sz="4" w:space="0" w:color="auto"/>
              <w:right w:val="double" w:sz="4" w:space="0" w:color="auto"/>
            </w:tcBorders>
            <w:shd w:val="clear" w:color="auto" w:fill="FFFFFF" w:themeFill="background1"/>
          </w:tcPr>
          <w:p w14:paraId="102FEDD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w:t>
            </w:r>
          </w:p>
        </w:tc>
        <w:tc>
          <w:tcPr>
            <w:tcW w:w="549" w:type="dxa"/>
            <w:tcBorders>
              <w:top w:val="double" w:sz="4" w:space="0" w:color="auto"/>
              <w:left w:val="single" w:sz="4" w:space="0" w:color="auto"/>
              <w:bottom w:val="double" w:sz="4" w:space="0" w:color="auto"/>
              <w:right w:val="double" w:sz="4" w:space="0" w:color="auto"/>
            </w:tcBorders>
            <w:shd w:val="clear" w:color="auto" w:fill="FFFFFF" w:themeFill="background1"/>
          </w:tcPr>
          <w:p w14:paraId="19C31DA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w:t>
            </w:r>
          </w:p>
        </w:tc>
      </w:tr>
      <w:tr w:rsidR="00497092" w:rsidRPr="00644F20" w14:paraId="3FB4012F" w14:textId="77777777" w:rsidTr="002F4AEF">
        <w:trPr>
          <w:trHeight w:val="302"/>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009253D8" w14:textId="77777777" w:rsidR="00497092" w:rsidRPr="00644F20" w:rsidRDefault="002F45E1" w:rsidP="002F4AEF">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Израђена анализа фискалне политике и предлог мех</w:t>
            </w:r>
            <w:r w:rsidR="002F4AEF" w:rsidRPr="00644F20">
              <w:rPr>
                <w:rFonts w:ascii="Times New Roman" w:hAnsi="Times New Roman" w:cs="Times New Roman"/>
                <w:lang w:val="sr-Cyrl-CS"/>
              </w:rPr>
              <w:t xml:space="preserve">анизама подстицаја за увођење </w:t>
            </w:r>
            <w:r w:rsidR="002F4AEF" w:rsidRPr="00644F20">
              <w:rPr>
                <w:rFonts w:ascii="Times New Roman" w:eastAsia="Calibri" w:hAnsi="Times New Roman" w:cs="Times New Roman"/>
                <w:lang w:val="sr-Cyrl-CS"/>
              </w:rPr>
              <w:t>ЦЕ</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08A729A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2429" w:type="dxa"/>
            <w:tcBorders>
              <w:top w:val="double" w:sz="4" w:space="0" w:color="auto"/>
              <w:left w:val="single" w:sz="4" w:space="0" w:color="auto"/>
              <w:bottom w:val="double" w:sz="4" w:space="0" w:color="auto"/>
              <w:right w:val="single" w:sz="4" w:space="0" w:color="auto"/>
            </w:tcBorders>
            <w:shd w:val="clear" w:color="auto" w:fill="FFFFFF" w:themeFill="background1"/>
          </w:tcPr>
          <w:p w14:paraId="0FF607F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реализованој активности</w:t>
            </w:r>
          </w:p>
        </w:tc>
        <w:tc>
          <w:tcPr>
            <w:tcW w:w="1399" w:type="dxa"/>
            <w:tcBorders>
              <w:top w:val="double" w:sz="4" w:space="0" w:color="auto"/>
              <w:left w:val="single" w:sz="4" w:space="0" w:color="auto"/>
              <w:bottom w:val="double" w:sz="4" w:space="0" w:color="auto"/>
              <w:right w:val="single" w:sz="4" w:space="0" w:color="auto"/>
            </w:tcBorders>
            <w:shd w:val="clear" w:color="auto" w:fill="FFFFFF" w:themeFill="background1"/>
          </w:tcPr>
          <w:p w14:paraId="6C9C96A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275" w:type="dxa"/>
            <w:tcBorders>
              <w:top w:val="double" w:sz="4" w:space="0" w:color="auto"/>
              <w:left w:val="single" w:sz="4" w:space="0" w:color="auto"/>
              <w:bottom w:val="double" w:sz="4" w:space="0" w:color="auto"/>
              <w:right w:val="single" w:sz="4" w:space="0" w:color="auto"/>
            </w:tcBorders>
            <w:shd w:val="clear" w:color="auto" w:fill="FFFFFF" w:themeFill="background1"/>
          </w:tcPr>
          <w:p w14:paraId="4E4DBB1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17100940"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01" w:type="dxa"/>
            <w:tcBorders>
              <w:top w:val="double" w:sz="4" w:space="0" w:color="auto"/>
              <w:left w:val="single" w:sz="4" w:space="0" w:color="auto"/>
              <w:bottom w:val="double" w:sz="4" w:space="0" w:color="auto"/>
              <w:right w:val="double" w:sz="4" w:space="0" w:color="auto"/>
            </w:tcBorders>
            <w:shd w:val="clear" w:color="auto" w:fill="FFFFFF" w:themeFill="background1"/>
          </w:tcPr>
          <w:p w14:paraId="5D3F9B3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 Да</w:t>
            </w:r>
          </w:p>
        </w:tc>
        <w:tc>
          <w:tcPr>
            <w:tcW w:w="549" w:type="dxa"/>
            <w:tcBorders>
              <w:top w:val="double" w:sz="4" w:space="0" w:color="auto"/>
              <w:left w:val="single" w:sz="4" w:space="0" w:color="auto"/>
              <w:bottom w:val="double" w:sz="4" w:space="0" w:color="auto"/>
              <w:right w:val="double" w:sz="4" w:space="0" w:color="auto"/>
            </w:tcBorders>
            <w:shd w:val="clear" w:color="auto" w:fill="FFFFFF" w:themeFill="background1"/>
          </w:tcPr>
          <w:p w14:paraId="6C317074"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r>
      <w:tr w:rsidR="00497092" w:rsidRPr="00644F20" w14:paraId="783E9B6A" w14:textId="77777777" w:rsidTr="002F4AEF">
        <w:trPr>
          <w:trHeight w:val="302"/>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779E4967" w14:textId="77777777" w:rsidR="00497092" w:rsidRPr="00644F20" w:rsidRDefault="002F45E1" w:rsidP="002F4AEF">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Укупан број пословних банака које су биле укључене у консултативне активности  у циљу проналажења лакшег приступа средствима за финансирање пројеката предузећа у области </w:t>
            </w:r>
            <w:r w:rsidR="002F4AEF" w:rsidRPr="00644F20">
              <w:rPr>
                <w:rFonts w:ascii="Times New Roman" w:eastAsia="Calibri" w:hAnsi="Times New Roman" w:cs="Times New Roman"/>
                <w:lang w:val="sr-Cyrl-CS"/>
              </w:rPr>
              <w:t>ЦЕ</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0E72F2C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29" w:type="dxa"/>
            <w:tcBorders>
              <w:top w:val="double" w:sz="4" w:space="0" w:color="auto"/>
              <w:left w:val="single" w:sz="4" w:space="0" w:color="auto"/>
              <w:bottom w:val="double" w:sz="4" w:space="0" w:color="auto"/>
              <w:right w:val="single" w:sz="4" w:space="0" w:color="auto"/>
            </w:tcBorders>
            <w:shd w:val="clear" w:color="auto" w:fill="FFFFFF" w:themeFill="background1"/>
          </w:tcPr>
          <w:p w14:paraId="6AD76CD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реализованој активности/састанцима са банкама</w:t>
            </w:r>
          </w:p>
        </w:tc>
        <w:tc>
          <w:tcPr>
            <w:tcW w:w="1399" w:type="dxa"/>
            <w:tcBorders>
              <w:top w:val="double" w:sz="4" w:space="0" w:color="auto"/>
              <w:left w:val="single" w:sz="4" w:space="0" w:color="auto"/>
              <w:bottom w:val="double" w:sz="4" w:space="0" w:color="auto"/>
              <w:right w:val="single" w:sz="4" w:space="0" w:color="auto"/>
            </w:tcBorders>
            <w:shd w:val="clear" w:color="auto" w:fill="FFFFFF" w:themeFill="background1"/>
          </w:tcPr>
          <w:p w14:paraId="6576693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75" w:type="dxa"/>
            <w:tcBorders>
              <w:top w:val="double" w:sz="4" w:space="0" w:color="auto"/>
              <w:left w:val="single" w:sz="4" w:space="0" w:color="auto"/>
              <w:bottom w:val="double" w:sz="4" w:space="0" w:color="auto"/>
              <w:right w:val="single" w:sz="4" w:space="0" w:color="auto"/>
            </w:tcBorders>
            <w:shd w:val="clear" w:color="auto" w:fill="FFFFFF" w:themeFill="background1"/>
          </w:tcPr>
          <w:p w14:paraId="0AAE399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58E3556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c>
          <w:tcPr>
            <w:tcW w:w="1501" w:type="dxa"/>
            <w:tcBorders>
              <w:top w:val="double" w:sz="4" w:space="0" w:color="auto"/>
              <w:left w:val="single" w:sz="4" w:space="0" w:color="auto"/>
              <w:bottom w:val="double" w:sz="4" w:space="0" w:color="auto"/>
              <w:right w:val="double" w:sz="4" w:space="0" w:color="auto"/>
            </w:tcBorders>
            <w:shd w:val="clear" w:color="auto" w:fill="FFFFFF" w:themeFill="background1"/>
          </w:tcPr>
          <w:p w14:paraId="24512A10"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549" w:type="dxa"/>
            <w:tcBorders>
              <w:top w:val="double" w:sz="4" w:space="0" w:color="auto"/>
              <w:left w:val="single" w:sz="4" w:space="0" w:color="auto"/>
              <w:bottom w:val="double" w:sz="4" w:space="0" w:color="auto"/>
              <w:right w:val="double" w:sz="4" w:space="0" w:color="auto"/>
            </w:tcBorders>
            <w:shd w:val="clear" w:color="auto" w:fill="FFFFFF" w:themeFill="background1"/>
          </w:tcPr>
          <w:p w14:paraId="58C77E21"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r>
    </w:tbl>
    <w:p w14:paraId="14DD3323" w14:textId="77777777" w:rsidR="00497092" w:rsidRPr="00644F20" w:rsidRDefault="00497092">
      <w:pPr>
        <w:rPr>
          <w:rFonts w:ascii="Times New Roman" w:hAnsi="Times New Roman" w:cs="Times New Roman"/>
          <w:lang w:val="sr-Cyrl-CS"/>
        </w:rPr>
      </w:pPr>
    </w:p>
    <w:tbl>
      <w:tblPr>
        <w:tblStyle w:val="TableGrid"/>
        <w:tblW w:w="13205" w:type="dxa"/>
        <w:tblInd w:w="10" w:type="dxa"/>
        <w:tblLayout w:type="fixed"/>
        <w:tblLook w:val="04A0" w:firstRow="1" w:lastRow="0" w:firstColumn="1" w:lastColumn="0" w:noHBand="0" w:noVBand="1"/>
      </w:tblPr>
      <w:tblGrid>
        <w:gridCol w:w="3281"/>
        <w:gridCol w:w="2487"/>
        <w:gridCol w:w="2750"/>
        <w:gridCol w:w="2094"/>
        <w:gridCol w:w="2593"/>
      </w:tblGrid>
      <w:tr w:rsidR="00497092" w:rsidRPr="00644F20" w14:paraId="7CB58BC3" w14:textId="77777777" w:rsidTr="002F4AEF">
        <w:trPr>
          <w:trHeight w:val="271"/>
        </w:trPr>
        <w:tc>
          <w:tcPr>
            <w:tcW w:w="3281"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04FF827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593D8E6F" w14:textId="77777777" w:rsidR="00497092" w:rsidRPr="00644F20" w:rsidRDefault="00497092">
            <w:pPr>
              <w:spacing w:after="60" w:line="240" w:lineRule="auto"/>
              <w:rPr>
                <w:rFonts w:ascii="Times New Roman" w:hAnsi="Times New Roman" w:cs="Times New Roman"/>
                <w:lang w:val="sr-Cyrl-CS"/>
              </w:rPr>
            </w:pPr>
          </w:p>
        </w:tc>
        <w:tc>
          <w:tcPr>
            <w:tcW w:w="2487" w:type="dxa"/>
            <w:vMerge w:val="restart"/>
            <w:tcBorders>
              <w:top w:val="single" w:sz="4" w:space="0" w:color="auto"/>
              <w:left w:val="double" w:sz="4" w:space="0" w:color="auto"/>
              <w:bottom w:val="double" w:sz="4" w:space="0" w:color="auto"/>
              <w:right w:val="double" w:sz="4" w:space="0" w:color="auto"/>
            </w:tcBorders>
            <w:shd w:val="clear" w:color="auto" w:fill="A8D08D" w:themeFill="accent6" w:themeFillTint="99"/>
          </w:tcPr>
          <w:p w14:paraId="298E2BC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4E32BAB3" w14:textId="77777777" w:rsidR="00497092" w:rsidRPr="00644F20" w:rsidRDefault="00497092">
            <w:pPr>
              <w:spacing w:after="60" w:line="240" w:lineRule="auto"/>
              <w:rPr>
                <w:rFonts w:ascii="Times New Roman" w:hAnsi="Times New Roman" w:cs="Times New Roman"/>
                <w:lang w:val="sr-Cyrl-CS"/>
              </w:rPr>
            </w:pPr>
          </w:p>
        </w:tc>
        <w:tc>
          <w:tcPr>
            <w:tcW w:w="7437"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B31487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02DB0505" w14:textId="77777777" w:rsidTr="002F4AEF">
        <w:trPr>
          <w:trHeight w:val="271"/>
        </w:trPr>
        <w:tc>
          <w:tcPr>
            <w:tcW w:w="3281" w:type="dxa"/>
            <w:vMerge/>
            <w:tcBorders>
              <w:top w:val="single" w:sz="4" w:space="0" w:color="auto"/>
              <w:left w:val="double" w:sz="4" w:space="0" w:color="auto"/>
              <w:bottom w:val="single" w:sz="4" w:space="0" w:color="auto"/>
              <w:right w:val="double" w:sz="4" w:space="0" w:color="auto"/>
            </w:tcBorders>
            <w:vAlign w:val="center"/>
          </w:tcPr>
          <w:p w14:paraId="5BBFC12F" w14:textId="77777777" w:rsidR="00497092" w:rsidRPr="00644F20" w:rsidRDefault="00497092">
            <w:pPr>
              <w:spacing w:after="0" w:line="240" w:lineRule="auto"/>
              <w:rPr>
                <w:rFonts w:ascii="Times New Roman" w:hAnsi="Times New Roman" w:cs="Times New Roman"/>
                <w:lang w:val="sr-Cyrl-CS"/>
              </w:rPr>
            </w:pPr>
          </w:p>
        </w:tc>
        <w:tc>
          <w:tcPr>
            <w:tcW w:w="2487" w:type="dxa"/>
            <w:vMerge/>
            <w:tcBorders>
              <w:top w:val="single" w:sz="4" w:space="0" w:color="auto"/>
              <w:left w:val="double" w:sz="4" w:space="0" w:color="auto"/>
              <w:bottom w:val="double" w:sz="4" w:space="0" w:color="auto"/>
              <w:right w:val="double" w:sz="4" w:space="0" w:color="auto"/>
            </w:tcBorders>
            <w:vAlign w:val="center"/>
          </w:tcPr>
          <w:p w14:paraId="6662FFF7" w14:textId="77777777" w:rsidR="00497092" w:rsidRPr="00644F20" w:rsidRDefault="00497092">
            <w:pPr>
              <w:spacing w:after="0" w:line="240" w:lineRule="auto"/>
              <w:rPr>
                <w:rFonts w:ascii="Times New Roman" w:hAnsi="Times New Roman" w:cs="Times New Roman"/>
                <w:lang w:val="sr-Cyrl-CS"/>
              </w:rPr>
            </w:pPr>
          </w:p>
        </w:tc>
        <w:tc>
          <w:tcPr>
            <w:tcW w:w="275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F02830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09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6A0E72"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59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5B8EFF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035D02D4" w14:textId="77777777" w:rsidTr="002F4AEF">
        <w:trPr>
          <w:trHeight w:val="62"/>
        </w:trPr>
        <w:tc>
          <w:tcPr>
            <w:tcW w:w="3281" w:type="dxa"/>
            <w:tcBorders>
              <w:top w:val="double" w:sz="4" w:space="0" w:color="auto"/>
              <w:left w:val="double" w:sz="4" w:space="0" w:color="auto"/>
              <w:bottom w:val="double" w:sz="4" w:space="0" w:color="auto"/>
              <w:right w:val="double" w:sz="4" w:space="0" w:color="auto"/>
            </w:tcBorders>
            <w:shd w:val="clear" w:color="auto" w:fill="FFFFFF" w:themeFill="background1"/>
          </w:tcPr>
          <w:p w14:paraId="275C30F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487" w:type="dxa"/>
            <w:tcBorders>
              <w:top w:val="double" w:sz="4" w:space="0" w:color="auto"/>
              <w:left w:val="double" w:sz="4" w:space="0" w:color="auto"/>
              <w:bottom w:val="double" w:sz="4" w:space="0" w:color="auto"/>
              <w:right w:val="double" w:sz="4" w:space="0" w:color="auto"/>
            </w:tcBorders>
            <w:shd w:val="clear" w:color="auto" w:fill="FFFFFF" w:themeFill="background1"/>
          </w:tcPr>
          <w:p w14:paraId="16CF244A" w14:textId="77777777" w:rsidR="00497092" w:rsidRPr="00644F20" w:rsidRDefault="00497092">
            <w:pPr>
              <w:spacing w:after="60" w:line="240" w:lineRule="auto"/>
              <w:rPr>
                <w:rFonts w:ascii="Times New Roman" w:hAnsi="Times New Roman" w:cs="Times New Roman"/>
                <w:lang w:val="sr-Cyrl-CS"/>
              </w:rPr>
            </w:pPr>
          </w:p>
        </w:tc>
        <w:tc>
          <w:tcPr>
            <w:tcW w:w="2750" w:type="dxa"/>
            <w:tcBorders>
              <w:top w:val="single" w:sz="4" w:space="0" w:color="auto"/>
              <w:left w:val="double" w:sz="4" w:space="0" w:color="auto"/>
              <w:bottom w:val="double" w:sz="4" w:space="0" w:color="auto"/>
              <w:right w:val="double" w:sz="4" w:space="0" w:color="auto"/>
            </w:tcBorders>
            <w:shd w:val="clear" w:color="auto" w:fill="FFFFFF" w:themeFill="background1"/>
          </w:tcPr>
          <w:p w14:paraId="23AFE9F9" w14:textId="77777777" w:rsidR="00497092" w:rsidRPr="00644F20" w:rsidRDefault="00497092">
            <w:pPr>
              <w:spacing w:after="60" w:line="240" w:lineRule="auto"/>
              <w:rPr>
                <w:rFonts w:ascii="Times New Roman" w:hAnsi="Times New Roman" w:cs="Times New Roman"/>
                <w:lang w:val="sr-Cyrl-CS"/>
              </w:rPr>
            </w:pPr>
          </w:p>
        </w:tc>
        <w:tc>
          <w:tcPr>
            <w:tcW w:w="2094" w:type="dxa"/>
            <w:tcBorders>
              <w:top w:val="single" w:sz="4" w:space="0" w:color="auto"/>
              <w:left w:val="double" w:sz="4" w:space="0" w:color="auto"/>
              <w:bottom w:val="double" w:sz="4" w:space="0" w:color="auto"/>
              <w:right w:val="double" w:sz="4" w:space="0" w:color="auto"/>
            </w:tcBorders>
            <w:shd w:val="clear" w:color="auto" w:fill="FFFFFF" w:themeFill="background1"/>
          </w:tcPr>
          <w:p w14:paraId="2EAFCD0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1.500</w:t>
            </w:r>
          </w:p>
        </w:tc>
        <w:tc>
          <w:tcPr>
            <w:tcW w:w="2593" w:type="dxa"/>
            <w:tcBorders>
              <w:top w:val="single" w:sz="4" w:space="0" w:color="auto"/>
              <w:left w:val="double" w:sz="4" w:space="0" w:color="auto"/>
              <w:bottom w:val="double" w:sz="4" w:space="0" w:color="auto"/>
              <w:right w:val="double" w:sz="4" w:space="0" w:color="auto"/>
            </w:tcBorders>
            <w:shd w:val="clear" w:color="auto" w:fill="FFFFFF" w:themeFill="background1"/>
          </w:tcPr>
          <w:p w14:paraId="295A2C2A"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0C0D554A" w14:textId="77777777" w:rsidTr="002F4AEF">
        <w:trPr>
          <w:trHeight w:val="612"/>
        </w:trPr>
        <w:tc>
          <w:tcPr>
            <w:tcW w:w="3281" w:type="dxa"/>
            <w:tcBorders>
              <w:top w:val="double" w:sz="4" w:space="0" w:color="auto"/>
              <w:left w:val="double" w:sz="4" w:space="0" w:color="auto"/>
              <w:bottom w:val="double" w:sz="4" w:space="0" w:color="auto"/>
              <w:right w:val="double" w:sz="4" w:space="0" w:color="auto"/>
            </w:tcBorders>
            <w:shd w:val="clear" w:color="auto" w:fill="FFFFFF" w:themeFill="background1"/>
          </w:tcPr>
          <w:p w14:paraId="2242420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буџета/Редовна издвајања</w:t>
            </w:r>
          </w:p>
        </w:tc>
        <w:tc>
          <w:tcPr>
            <w:tcW w:w="2487" w:type="dxa"/>
            <w:tcBorders>
              <w:top w:val="double" w:sz="4" w:space="0" w:color="auto"/>
              <w:left w:val="double" w:sz="4" w:space="0" w:color="auto"/>
              <w:bottom w:val="double" w:sz="4" w:space="0" w:color="auto"/>
              <w:right w:val="double" w:sz="4" w:space="0" w:color="auto"/>
            </w:tcBorders>
            <w:shd w:val="clear" w:color="auto" w:fill="FFFFFF" w:themeFill="background1"/>
          </w:tcPr>
          <w:p w14:paraId="62EAE2A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0404-0004</w:t>
            </w:r>
          </w:p>
        </w:tc>
        <w:tc>
          <w:tcPr>
            <w:tcW w:w="2750" w:type="dxa"/>
            <w:tcBorders>
              <w:top w:val="single" w:sz="4" w:space="0" w:color="auto"/>
              <w:left w:val="double" w:sz="4" w:space="0" w:color="auto"/>
              <w:bottom w:val="double" w:sz="4" w:space="0" w:color="auto"/>
              <w:right w:val="double" w:sz="4" w:space="0" w:color="auto"/>
            </w:tcBorders>
            <w:shd w:val="clear" w:color="auto" w:fill="FFFFFF" w:themeFill="background1"/>
          </w:tcPr>
          <w:p w14:paraId="6806D72B" w14:textId="77777777" w:rsidR="00497092" w:rsidRPr="00644F20" w:rsidRDefault="00497092">
            <w:pPr>
              <w:spacing w:after="60" w:line="240" w:lineRule="auto"/>
              <w:rPr>
                <w:rFonts w:ascii="Times New Roman" w:hAnsi="Times New Roman" w:cs="Times New Roman"/>
                <w:lang w:val="sr-Cyrl-CS"/>
              </w:rPr>
            </w:pPr>
          </w:p>
        </w:tc>
        <w:tc>
          <w:tcPr>
            <w:tcW w:w="2094" w:type="dxa"/>
            <w:tcBorders>
              <w:top w:val="single" w:sz="4" w:space="0" w:color="auto"/>
              <w:left w:val="double" w:sz="4" w:space="0" w:color="auto"/>
              <w:bottom w:val="double" w:sz="4" w:space="0" w:color="auto"/>
              <w:right w:val="double" w:sz="4" w:space="0" w:color="auto"/>
            </w:tcBorders>
            <w:shd w:val="clear" w:color="auto" w:fill="FFFFFF" w:themeFill="background1"/>
          </w:tcPr>
          <w:p w14:paraId="69798208" w14:textId="77777777" w:rsidR="00497092" w:rsidRPr="00644F20" w:rsidRDefault="00497092">
            <w:pPr>
              <w:spacing w:after="60" w:line="240" w:lineRule="auto"/>
              <w:rPr>
                <w:rFonts w:ascii="Times New Roman" w:hAnsi="Times New Roman" w:cs="Times New Roman"/>
                <w:lang w:val="sr-Cyrl-CS"/>
              </w:rPr>
            </w:pPr>
          </w:p>
        </w:tc>
        <w:tc>
          <w:tcPr>
            <w:tcW w:w="2593" w:type="dxa"/>
            <w:tcBorders>
              <w:top w:val="single" w:sz="4" w:space="0" w:color="auto"/>
              <w:left w:val="double" w:sz="4" w:space="0" w:color="auto"/>
              <w:bottom w:val="double" w:sz="4" w:space="0" w:color="auto"/>
              <w:right w:val="double" w:sz="4" w:space="0" w:color="auto"/>
            </w:tcBorders>
            <w:shd w:val="clear" w:color="auto" w:fill="FFFFFF" w:themeFill="background1"/>
          </w:tcPr>
          <w:p w14:paraId="757E5EF2" w14:textId="77777777" w:rsidR="00497092" w:rsidRPr="00644F20" w:rsidRDefault="00497092">
            <w:pPr>
              <w:spacing w:after="60" w:line="240" w:lineRule="auto"/>
              <w:rPr>
                <w:rFonts w:ascii="Times New Roman" w:hAnsi="Times New Roman" w:cs="Times New Roman"/>
                <w:lang w:val="sr-Cyrl-CS"/>
              </w:rPr>
            </w:pPr>
          </w:p>
        </w:tc>
      </w:tr>
    </w:tbl>
    <w:p w14:paraId="768DB698" w14:textId="77777777" w:rsidR="00497092" w:rsidRPr="00644F20" w:rsidRDefault="00497092">
      <w:pPr>
        <w:rPr>
          <w:rFonts w:ascii="Times New Roman" w:hAnsi="Times New Roman" w:cs="Times New Roman"/>
          <w:lang w:val="sr-Cyrl-CS"/>
        </w:rPr>
      </w:pPr>
    </w:p>
    <w:p w14:paraId="35A2E6B2" w14:textId="77777777" w:rsidR="005320FF" w:rsidRPr="00644F20" w:rsidRDefault="005320FF">
      <w:pPr>
        <w:rPr>
          <w:rFonts w:ascii="Times New Roman" w:hAnsi="Times New Roman" w:cs="Times New Roman"/>
          <w:lang w:val="sr-Cyrl-CS"/>
        </w:rPr>
      </w:pPr>
    </w:p>
    <w:p w14:paraId="45790FB5" w14:textId="77777777" w:rsidR="005320FF" w:rsidRPr="00644F20" w:rsidRDefault="005320FF">
      <w:pPr>
        <w:rPr>
          <w:rFonts w:ascii="Times New Roman" w:hAnsi="Times New Roman" w:cs="Times New Roman"/>
          <w:lang w:val="sr-Cyrl-CS"/>
        </w:rPr>
      </w:pPr>
    </w:p>
    <w:tbl>
      <w:tblPr>
        <w:tblStyle w:val="TableGrid"/>
        <w:tblW w:w="5000" w:type="pct"/>
        <w:tblLook w:val="04A0" w:firstRow="1" w:lastRow="0" w:firstColumn="1" w:lastColumn="0" w:noHBand="0" w:noVBand="1"/>
      </w:tblPr>
      <w:tblGrid>
        <w:gridCol w:w="2110"/>
        <w:gridCol w:w="1160"/>
        <w:gridCol w:w="1339"/>
        <w:gridCol w:w="1278"/>
        <w:gridCol w:w="1670"/>
        <w:gridCol w:w="1453"/>
        <w:gridCol w:w="1012"/>
        <w:gridCol w:w="975"/>
        <w:gridCol w:w="1943"/>
      </w:tblGrid>
      <w:tr w:rsidR="00497092" w:rsidRPr="00644F20" w14:paraId="02C1E83F" w14:textId="77777777" w:rsidTr="002F4AEF">
        <w:trPr>
          <w:trHeight w:val="140"/>
        </w:trPr>
        <w:tc>
          <w:tcPr>
            <w:tcW w:w="838"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505C72D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Назив активности:</w:t>
            </w:r>
          </w:p>
        </w:tc>
        <w:tc>
          <w:tcPr>
            <w:tcW w:w="43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5AD6A2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500"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68CE5D2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77"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FD81B6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2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09FF26B"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542"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323CEF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0FC76FEA" w14:textId="77777777" w:rsidR="00497092" w:rsidRPr="00644F20" w:rsidRDefault="00497092">
            <w:pPr>
              <w:spacing w:after="60" w:line="240" w:lineRule="auto"/>
              <w:jc w:val="center"/>
              <w:rPr>
                <w:rFonts w:ascii="Times New Roman" w:hAnsi="Times New Roman" w:cs="Times New Roman"/>
                <w:lang w:val="sr-Cyrl-CS"/>
              </w:rPr>
            </w:pPr>
          </w:p>
        </w:tc>
        <w:tc>
          <w:tcPr>
            <w:tcW w:w="1586"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11D0E7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0E8D76F5" w14:textId="77777777" w:rsidTr="002F4AEF">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63F75EB9"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3F9D500"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426D19CC"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E8374CF"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442510E6"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D063061" w14:textId="77777777" w:rsidR="00497092" w:rsidRPr="00644F20" w:rsidRDefault="00497092">
            <w:pPr>
              <w:spacing w:after="0" w:line="240" w:lineRule="auto"/>
              <w:rPr>
                <w:rFonts w:ascii="Times New Roman" w:hAnsi="Times New Roman" w:cs="Times New Roman"/>
                <w:lang w:val="sr-Cyrl-CS"/>
              </w:rPr>
            </w:pPr>
          </w:p>
        </w:tc>
        <w:tc>
          <w:tcPr>
            <w:tcW w:w="414"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7AD77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399"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0AA104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773"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407320"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6424EC06" w14:textId="77777777" w:rsidTr="002F4AEF">
        <w:trPr>
          <w:trHeight w:val="543"/>
        </w:trPr>
        <w:tc>
          <w:tcPr>
            <w:tcW w:w="838" w:type="pct"/>
            <w:tcBorders>
              <w:top w:val="single" w:sz="4" w:space="0" w:color="auto"/>
              <w:left w:val="double" w:sz="4" w:space="0" w:color="auto"/>
              <w:bottom w:val="single" w:sz="4" w:space="0" w:color="auto"/>
              <w:right w:val="single" w:sz="4" w:space="0" w:color="auto"/>
            </w:tcBorders>
          </w:tcPr>
          <w:p w14:paraId="641950CB" w14:textId="77777777" w:rsidR="00497092" w:rsidRPr="00644F20" w:rsidRDefault="002F45E1" w:rsidP="002F4AEF">
            <w:pPr>
              <w:spacing w:after="60" w:line="240" w:lineRule="auto"/>
              <w:rPr>
                <w:rFonts w:ascii="Times New Roman" w:hAnsi="Times New Roman" w:cs="Times New Roman"/>
                <w:lang w:val="sr-Cyrl-CS"/>
              </w:rPr>
            </w:pPr>
            <w:r w:rsidRPr="00644F20">
              <w:rPr>
                <w:rFonts w:ascii="Times New Roman" w:hAnsi="Times New Roman" w:cs="Times New Roman"/>
                <w:lang w:val="sr-Cyrl-CS"/>
              </w:rPr>
              <w:t>1.2.1. Прилагођавање критеријума за доделу средстава кроз јавне позиве (грантове) у оквиру доступних програма/фо</w:t>
            </w:r>
            <w:r w:rsidR="002F4AEF" w:rsidRPr="00644F20">
              <w:rPr>
                <w:rFonts w:ascii="Times New Roman" w:hAnsi="Times New Roman" w:cs="Times New Roman"/>
                <w:lang w:val="sr-Cyrl-CS"/>
              </w:rPr>
              <w:t xml:space="preserve">ндова тако да укључе принципе </w:t>
            </w:r>
            <w:r w:rsidR="002F4AEF" w:rsidRPr="00644F20">
              <w:rPr>
                <w:rFonts w:ascii="Times New Roman" w:eastAsia="Calibri" w:hAnsi="Times New Roman" w:cs="Times New Roman"/>
                <w:lang w:val="sr-Cyrl-CS"/>
              </w:rPr>
              <w:t>ЦЕ</w:t>
            </w:r>
          </w:p>
        </w:tc>
        <w:tc>
          <w:tcPr>
            <w:tcW w:w="433" w:type="pct"/>
            <w:tcBorders>
              <w:top w:val="single" w:sz="4" w:space="0" w:color="auto"/>
              <w:left w:val="single" w:sz="4" w:space="0" w:color="auto"/>
              <w:bottom w:val="single" w:sz="4" w:space="0" w:color="auto"/>
              <w:right w:val="single" w:sz="4" w:space="0" w:color="auto"/>
            </w:tcBorders>
          </w:tcPr>
          <w:p w14:paraId="3A3D7A0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00" w:type="pct"/>
            <w:tcBorders>
              <w:top w:val="single" w:sz="4" w:space="0" w:color="auto"/>
              <w:left w:val="single" w:sz="4" w:space="0" w:color="auto"/>
              <w:bottom w:val="single" w:sz="4" w:space="0" w:color="auto"/>
              <w:right w:val="single" w:sz="4" w:space="0" w:color="auto"/>
            </w:tcBorders>
          </w:tcPr>
          <w:p w14:paraId="637E2E4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w:t>
            </w:r>
          </w:p>
        </w:tc>
        <w:tc>
          <w:tcPr>
            <w:tcW w:w="477" w:type="pct"/>
            <w:tcBorders>
              <w:top w:val="single" w:sz="4" w:space="0" w:color="auto"/>
              <w:left w:val="single" w:sz="4" w:space="0" w:color="auto"/>
              <w:bottom w:val="single" w:sz="4" w:space="0" w:color="auto"/>
              <w:right w:val="single" w:sz="4" w:space="0" w:color="auto"/>
            </w:tcBorders>
          </w:tcPr>
          <w:p w14:paraId="7AC3848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623" w:type="pct"/>
            <w:tcBorders>
              <w:top w:val="single" w:sz="4" w:space="0" w:color="auto"/>
              <w:left w:val="single" w:sz="4" w:space="0" w:color="auto"/>
              <w:bottom w:val="single" w:sz="4" w:space="0" w:color="auto"/>
              <w:right w:val="single" w:sz="4" w:space="0" w:color="auto"/>
            </w:tcBorders>
          </w:tcPr>
          <w:p w14:paraId="39BF5A1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542" w:type="pct"/>
            <w:tcBorders>
              <w:top w:val="single" w:sz="4" w:space="0" w:color="auto"/>
              <w:left w:val="single" w:sz="4" w:space="0" w:color="auto"/>
              <w:bottom w:val="single" w:sz="4" w:space="0" w:color="auto"/>
              <w:right w:val="single" w:sz="4" w:space="0" w:color="auto"/>
            </w:tcBorders>
          </w:tcPr>
          <w:p w14:paraId="7CEF65A3" w14:textId="77777777" w:rsidR="00497092" w:rsidRPr="00644F20" w:rsidRDefault="00497092">
            <w:pPr>
              <w:spacing w:after="60" w:line="240" w:lineRule="auto"/>
              <w:rPr>
                <w:rFonts w:ascii="Times New Roman" w:hAnsi="Times New Roman" w:cs="Times New Roman"/>
                <w:lang w:val="sr-Cyrl-CS"/>
              </w:rPr>
            </w:pPr>
          </w:p>
        </w:tc>
        <w:tc>
          <w:tcPr>
            <w:tcW w:w="414" w:type="pct"/>
            <w:tcBorders>
              <w:top w:val="single" w:sz="4" w:space="0" w:color="auto"/>
              <w:left w:val="single" w:sz="4" w:space="0" w:color="auto"/>
              <w:bottom w:val="single" w:sz="4" w:space="0" w:color="auto"/>
              <w:right w:val="single" w:sz="4" w:space="0" w:color="auto"/>
            </w:tcBorders>
          </w:tcPr>
          <w:p w14:paraId="071B1D26" w14:textId="77777777" w:rsidR="00497092" w:rsidRPr="00644F20" w:rsidRDefault="00497092">
            <w:pPr>
              <w:spacing w:after="60" w:line="240" w:lineRule="auto"/>
              <w:rPr>
                <w:rFonts w:ascii="Times New Roman" w:hAnsi="Times New Roman" w:cs="Times New Roman"/>
                <w:lang w:val="sr-Cyrl-CS"/>
              </w:rPr>
            </w:pPr>
          </w:p>
        </w:tc>
        <w:tc>
          <w:tcPr>
            <w:tcW w:w="399" w:type="pct"/>
            <w:tcBorders>
              <w:top w:val="single" w:sz="4" w:space="0" w:color="auto"/>
              <w:left w:val="single" w:sz="4" w:space="0" w:color="auto"/>
              <w:bottom w:val="single" w:sz="4" w:space="0" w:color="auto"/>
              <w:right w:val="single" w:sz="4" w:space="0" w:color="auto"/>
            </w:tcBorders>
          </w:tcPr>
          <w:p w14:paraId="3639E2E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300</w:t>
            </w:r>
          </w:p>
        </w:tc>
        <w:tc>
          <w:tcPr>
            <w:tcW w:w="773" w:type="pct"/>
            <w:tcBorders>
              <w:top w:val="single" w:sz="4" w:space="0" w:color="auto"/>
              <w:left w:val="single" w:sz="4" w:space="0" w:color="auto"/>
              <w:bottom w:val="single" w:sz="4" w:space="0" w:color="auto"/>
              <w:right w:val="single" w:sz="4" w:space="0" w:color="auto"/>
            </w:tcBorders>
          </w:tcPr>
          <w:p w14:paraId="65C2257C"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24FC280C" w14:textId="77777777" w:rsidTr="002F4AEF">
        <w:trPr>
          <w:trHeight w:val="140"/>
        </w:trPr>
        <w:tc>
          <w:tcPr>
            <w:tcW w:w="838" w:type="pct"/>
            <w:tcBorders>
              <w:top w:val="single" w:sz="4" w:space="0" w:color="auto"/>
              <w:left w:val="double" w:sz="4" w:space="0" w:color="auto"/>
              <w:bottom w:val="single" w:sz="4" w:space="0" w:color="auto"/>
              <w:right w:val="single" w:sz="4" w:space="0" w:color="auto"/>
            </w:tcBorders>
          </w:tcPr>
          <w:p w14:paraId="777F842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1.2.2. Анализа фискалне политике и административних процедура у циљу дефинисања предлога  механизама подстицаја за привредне субјекте</w:t>
            </w:r>
          </w:p>
        </w:tc>
        <w:tc>
          <w:tcPr>
            <w:tcW w:w="433" w:type="pct"/>
            <w:tcBorders>
              <w:top w:val="single" w:sz="4" w:space="0" w:color="auto"/>
              <w:left w:val="single" w:sz="4" w:space="0" w:color="auto"/>
              <w:bottom w:val="single" w:sz="4" w:space="0" w:color="auto"/>
              <w:right w:val="single" w:sz="4" w:space="0" w:color="auto"/>
            </w:tcBorders>
          </w:tcPr>
          <w:p w14:paraId="71FEEF6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00" w:type="pct"/>
            <w:tcBorders>
              <w:top w:val="single" w:sz="4" w:space="0" w:color="auto"/>
              <w:left w:val="single" w:sz="4" w:space="0" w:color="auto"/>
              <w:bottom w:val="single" w:sz="4" w:space="0" w:color="auto"/>
              <w:right w:val="single" w:sz="4" w:space="0" w:color="auto"/>
            </w:tcBorders>
          </w:tcPr>
          <w:p w14:paraId="5C32B3F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МФ</w:t>
            </w:r>
          </w:p>
          <w:p w14:paraId="202E95B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36338EC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p w14:paraId="72F8A887" w14:textId="77777777" w:rsidR="00497092" w:rsidRPr="00644F20" w:rsidRDefault="00497092">
            <w:pPr>
              <w:spacing w:after="60" w:line="240" w:lineRule="auto"/>
              <w:rPr>
                <w:rFonts w:ascii="Times New Roman" w:hAnsi="Times New Roman" w:cs="Times New Roman"/>
                <w:lang w:val="sr-Cyrl-CS"/>
              </w:rPr>
            </w:pPr>
          </w:p>
        </w:tc>
        <w:tc>
          <w:tcPr>
            <w:tcW w:w="477" w:type="pct"/>
            <w:tcBorders>
              <w:top w:val="single" w:sz="4" w:space="0" w:color="auto"/>
              <w:left w:val="single" w:sz="4" w:space="0" w:color="auto"/>
              <w:bottom w:val="single" w:sz="4" w:space="0" w:color="auto"/>
              <w:right w:val="single" w:sz="4" w:space="0" w:color="auto"/>
            </w:tcBorders>
          </w:tcPr>
          <w:p w14:paraId="48662D2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623" w:type="pct"/>
            <w:tcBorders>
              <w:top w:val="single" w:sz="4" w:space="0" w:color="auto"/>
              <w:left w:val="single" w:sz="4" w:space="0" w:color="auto"/>
              <w:bottom w:val="single" w:sz="4" w:space="0" w:color="auto"/>
              <w:right w:val="single" w:sz="4" w:space="0" w:color="auto"/>
            </w:tcBorders>
          </w:tcPr>
          <w:p w14:paraId="12DE9FB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542" w:type="pct"/>
            <w:tcBorders>
              <w:top w:val="single" w:sz="4" w:space="0" w:color="auto"/>
              <w:left w:val="single" w:sz="4" w:space="0" w:color="auto"/>
              <w:bottom w:val="single" w:sz="4" w:space="0" w:color="auto"/>
              <w:right w:val="single" w:sz="4" w:space="0" w:color="auto"/>
            </w:tcBorders>
          </w:tcPr>
          <w:p w14:paraId="01A1D699" w14:textId="77777777" w:rsidR="00497092" w:rsidRPr="00644F20" w:rsidRDefault="00497092">
            <w:pPr>
              <w:spacing w:after="60" w:line="240" w:lineRule="auto"/>
              <w:rPr>
                <w:rFonts w:ascii="Times New Roman" w:hAnsi="Times New Roman" w:cs="Times New Roman"/>
                <w:lang w:val="sr-Cyrl-CS"/>
              </w:rPr>
            </w:pPr>
          </w:p>
        </w:tc>
        <w:tc>
          <w:tcPr>
            <w:tcW w:w="414" w:type="pct"/>
            <w:tcBorders>
              <w:top w:val="single" w:sz="4" w:space="0" w:color="auto"/>
              <w:left w:val="single" w:sz="4" w:space="0" w:color="auto"/>
              <w:bottom w:val="single" w:sz="4" w:space="0" w:color="auto"/>
              <w:right w:val="single" w:sz="4" w:space="0" w:color="auto"/>
            </w:tcBorders>
          </w:tcPr>
          <w:p w14:paraId="38B25804" w14:textId="77777777" w:rsidR="00497092" w:rsidRPr="00644F20" w:rsidRDefault="00497092">
            <w:pPr>
              <w:spacing w:after="60" w:line="240" w:lineRule="auto"/>
              <w:rPr>
                <w:rFonts w:ascii="Times New Roman" w:hAnsi="Times New Roman" w:cs="Times New Roman"/>
                <w:lang w:val="sr-Cyrl-CS"/>
              </w:rPr>
            </w:pPr>
          </w:p>
        </w:tc>
        <w:tc>
          <w:tcPr>
            <w:tcW w:w="399" w:type="pct"/>
            <w:tcBorders>
              <w:top w:val="single" w:sz="4" w:space="0" w:color="auto"/>
              <w:left w:val="single" w:sz="4" w:space="0" w:color="auto"/>
              <w:bottom w:val="single" w:sz="4" w:space="0" w:color="auto"/>
              <w:right w:val="single" w:sz="4" w:space="0" w:color="auto"/>
            </w:tcBorders>
          </w:tcPr>
          <w:p w14:paraId="2CE7604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1.200</w:t>
            </w:r>
          </w:p>
        </w:tc>
        <w:tc>
          <w:tcPr>
            <w:tcW w:w="773" w:type="pct"/>
            <w:tcBorders>
              <w:top w:val="single" w:sz="4" w:space="0" w:color="auto"/>
              <w:left w:val="single" w:sz="4" w:space="0" w:color="auto"/>
              <w:bottom w:val="single" w:sz="4" w:space="0" w:color="auto"/>
              <w:right w:val="single" w:sz="4" w:space="0" w:color="auto"/>
            </w:tcBorders>
          </w:tcPr>
          <w:p w14:paraId="43656C65"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0E935A02" w14:textId="77777777" w:rsidTr="002F4AEF">
        <w:trPr>
          <w:trHeight w:val="2390"/>
        </w:trPr>
        <w:tc>
          <w:tcPr>
            <w:tcW w:w="838" w:type="pct"/>
            <w:tcBorders>
              <w:top w:val="single" w:sz="4" w:space="0" w:color="auto"/>
              <w:left w:val="double" w:sz="4" w:space="0" w:color="auto"/>
              <w:bottom w:val="single" w:sz="4" w:space="0" w:color="auto"/>
              <w:right w:val="single" w:sz="4" w:space="0" w:color="auto"/>
            </w:tcBorders>
          </w:tcPr>
          <w:p w14:paraId="78992787" w14:textId="77777777" w:rsidR="00497092" w:rsidRPr="00644F20" w:rsidRDefault="002F45E1" w:rsidP="002F4AEF">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1.2.3. Повезивање владиних институција и пословних банака кроз консултативне активности у циљу проналажења лакшег приступа средствима за финансирање пројеката предузећа </w:t>
            </w:r>
            <w:r w:rsidRPr="00644F20">
              <w:rPr>
                <w:rFonts w:ascii="Times New Roman" w:hAnsi="Times New Roman" w:cs="Times New Roman"/>
                <w:lang w:val="sr-Cyrl-CS"/>
              </w:rPr>
              <w:lastRenderedPageBreak/>
              <w:t xml:space="preserve">у области </w:t>
            </w:r>
            <w:r w:rsidR="002F4AEF" w:rsidRPr="00644F20">
              <w:rPr>
                <w:rFonts w:ascii="Times New Roman" w:eastAsia="Calibri" w:hAnsi="Times New Roman" w:cs="Times New Roman"/>
                <w:lang w:val="sr-Cyrl-CS"/>
              </w:rPr>
              <w:t xml:space="preserve">ЦЕ </w:t>
            </w:r>
            <w:r w:rsidRPr="00644F20">
              <w:rPr>
                <w:rFonts w:ascii="Times New Roman" w:hAnsi="Times New Roman" w:cs="Times New Roman"/>
                <w:lang w:val="sr-Cyrl-CS"/>
              </w:rPr>
              <w:t>(кредита, субвенција…)</w:t>
            </w:r>
          </w:p>
        </w:tc>
        <w:tc>
          <w:tcPr>
            <w:tcW w:w="433" w:type="pct"/>
            <w:tcBorders>
              <w:top w:val="single" w:sz="4" w:space="0" w:color="auto"/>
              <w:left w:val="single" w:sz="4" w:space="0" w:color="auto"/>
              <w:bottom w:val="single" w:sz="4" w:space="0" w:color="auto"/>
              <w:right w:val="single" w:sz="4" w:space="0" w:color="auto"/>
            </w:tcBorders>
          </w:tcPr>
          <w:p w14:paraId="268E57B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МЗЖС</w:t>
            </w:r>
          </w:p>
        </w:tc>
        <w:tc>
          <w:tcPr>
            <w:tcW w:w="500" w:type="pct"/>
            <w:tcBorders>
              <w:top w:val="single" w:sz="4" w:space="0" w:color="auto"/>
              <w:left w:val="single" w:sz="4" w:space="0" w:color="auto"/>
              <w:bottom w:val="single" w:sz="4" w:space="0" w:color="auto"/>
              <w:right w:val="single" w:sz="4" w:space="0" w:color="auto"/>
            </w:tcBorders>
          </w:tcPr>
          <w:p w14:paraId="3DC7A9B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МФ</w:t>
            </w:r>
          </w:p>
          <w:p w14:paraId="2FC6F86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w:t>
            </w:r>
          </w:p>
          <w:p w14:paraId="7F35156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Удружење банака Србије</w:t>
            </w:r>
          </w:p>
          <w:p w14:paraId="32823BC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Привредни субјекти </w:t>
            </w:r>
          </w:p>
          <w:p w14:paraId="493B04FF" w14:textId="77777777" w:rsidR="00497092" w:rsidRPr="00644F20" w:rsidRDefault="00497092">
            <w:pPr>
              <w:spacing w:after="60" w:line="240" w:lineRule="auto"/>
              <w:rPr>
                <w:rFonts w:ascii="Times New Roman" w:hAnsi="Times New Roman" w:cs="Times New Roman"/>
                <w:lang w:val="sr-Cyrl-CS"/>
              </w:rPr>
            </w:pPr>
          </w:p>
        </w:tc>
        <w:tc>
          <w:tcPr>
            <w:tcW w:w="477" w:type="pct"/>
            <w:tcBorders>
              <w:top w:val="single" w:sz="4" w:space="0" w:color="auto"/>
              <w:left w:val="single" w:sz="4" w:space="0" w:color="auto"/>
              <w:bottom w:val="single" w:sz="4" w:space="0" w:color="auto"/>
              <w:right w:val="single" w:sz="4" w:space="0" w:color="auto"/>
            </w:tcBorders>
          </w:tcPr>
          <w:p w14:paraId="783B991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2022.</w:t>
            </w:r>
          </w:p>
        </w:tc>
        <w:tc>
          <w:tcPr>
            <w:tcW w:w="623" w:type="pct"/>
            <w:tcBorders>
              <w:top w:val="single" w:sz="4" w:space="0" w:color="auto"/>
              <w:left w:val="single" w:sz="4" w:space="0" w:color="auto"/>
              <w:bottom w:val="single" w:sz="4" w:space="0" w:color="auto"/>
              <w:right w:val="single" w:sz="4" w:space="0" w:color="auto"/>
            </w:tcBorders>
          </w:tcPr>
          <w:p w14:paraId="216C8A6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буџета/Редовна издвајања</w:t>
            </w:r>
          </w:p>
        </w:tc>
        <w:tc>
          <w:tcPr>
            <w:tcW w:w="542" w:type="pct"/>
            <w:tcBorders>
              <w:top w:val="single" w:sz="4" w:space="0" w:color="auto"/>
              <w:left w:val="single" w:sz="4" w:space="0" w:color="auto"/>
              <w:bottom w:val="single" w:sz="4" w:space="0" w:color="auto"/>
              <w:right w:val="single" w:sz="4" w:space="0" w:color="auto"/>
            </w:tcBorders>
          </w:tcPr>
          <w:p w14:paraId="5C0762A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0404-0004</w:t>
            </w:r>
          </w:p>
        </w:tc>
        <w:tc>
          <w:tcPr>
            <w:tcW w:w="414" w:type="pct"/>
            <w:tcBorders>
              <w:top w:val="single" w:sz="4" w:space="0" w:color="auto"/>
              <w:left w:val="single" w:sz="4" w:space="0" w:color="auto"/>
              <w:bottom w:val="single" w:sz="4" w:space="0" w:color="auto"/>
              <w:right w:val="single" w:sz="4" w:space="0" w:color="auto"/>
            </w:tcBorders>
          </w:tcPr>
          <w:p w14:paraId="2261299E" w14:textId="77777777" w:rsidR="00497092" w:rsidRPr="00644F20" w:rsidRDefault="00497092">
            <w:pPr>
              <w:spacing w:after="60" w:line="240" w:lineRule="auto"/>
              <w:rPr>
                <w:rFonts w:ascii="Times New Roman" w:hAnsi="Times New Roman" w:cs="Times New Roman"/>
                <w:lang w:val="sr-Cyrl-CS"/>
              </w:rPr>
            </w:pPr>
          </w:p>
        </w:tc>
        <w:tc>
          <w:tcPr>
            <w:tcW w:w="399" w:type="pct"/>
            <w:tcBorders>
              <w:top w:val="single" w:sz="4" w:space="0" w:color="auto"/>
              <w:left w:val="single" w:sz="4" w:space="0" w:color="auto"/>
              <w:bottom w:val="single" w:sz="4" w:space="0" w:color="auto"/>
              <w:right w:val="single" w:sz="4" w:space="0" w:color="auto"/>
            </w:tcBorders>
          </w:tcPr>
          <w:p w14:paraId="048650AB" w14:textId="77777777" w:rsidR="00497092" w:rsidRPr="00644F20" w:rsidRDefault="00497092">
            <w:pPr>
              <w:spacing w:after="60" w:line="240" w:lineRule="auto"/>
              <w:rPr>
                <w:rFonts w:ascii="Times New Roman" w:hAnsi="Times New Roman" w:cs="Times New Roman"/>
                <w:lang w:val="sr-Cyrl-CS"/>
              </w:rPr>
            </w:pPr>
          </w:p>
        </w:tc>
        <w:tc>
          <w:tcPr>
            <w:tcW w:w="773" w:type="pct"/>
            <w:tcBorders>
              <w:top w:val="single" w:sz="4" w:space="0" w:color="auto"/>
              <w:left w:val="single" w:sz="4" w:space="0" w:color="auto"/>
              <w:bottom w:val="single" w:sz="4" w:space="0" w:color="auto"/>
              <w:right w:val="single" w:sz="4" w:space="0" w:color="auto"/>
            </w:tcBorders>
          </w:tcPr>
          <w:p w14:paraId="2FD1616D" w14:textId="77777777" w:rsidR="00497092" w:rsidRPr="00644F20" w:rsidRDefault="00497092">
            <w:pPr>
              <w:spacing w:after="60" w:line="240" w:lineRule="auto"/>
              <w:rPr>
                <w:rFonts w:ascii="Times New Roman" w:hAnsi="Times New Roman" w:cs="Times New Roman"/>
                <w:lang w:val="sr-Cyrl-CS"/>
              </w:rPr>
            </w:pPr>
          </w:p>
        </w:tc>
      </w:tr>
    </w:tbl>
    <w:p w14:paraId="45F0B62C" w14:textId="77777777" w:rsidR="00497092" w:rsidRPr="00644F20" w:rsidRDefault="00497092">
      <w:pPr>
        <w:spacing w:after="240"/>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217"/>
        <w:gridCol w:w="1417"/>
        <w:gridCol w:w="2410"/>
        <w:gridCol w:w="1276"/>
        <w:gridCol w:w="1417"/>
        <w:gridCol w:w="1560"/>
        <w:gridCol w:w="1559"/>
        <w:gridCol w:w="979"/>
      </w:tblGrid>
      <w:tr w:rsidR="00497092" w:rsidRPr="00644F20" w14:paraId="40C0C7E8" w14:textId="77777777" w:rsidTr="002F4AEF">
        <w:trPr>
          <w:trHeight w:val="168"/>
        </w:trPr>
        <w:tc>
          <w:tcPr>
            <w:tcW w:w="1383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3E899FB5"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Мера 1.3: Анализа потенцијала за примену модела циркуларне економије у одређеним областима прерађивачке индустрије и подршка одабраним привредним субјектима</w:t>
            </w:r>
          </w:p>
        </w:tc>
      </w:tr>
      <w:tr w:rsidR="00497092" w:rsidRPr="00644F20" w14:paraId="31554DB5" w14:textId="77777777" w:rsidTr="002F4AEF">
        <w:trPr>
          <w:trHeight w:val="298"/>
        </w:trPr>
        <w:tc>
          <w:tcPr>
            <w:tcW w:w="1383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EC1F15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r w:rsidRPr="00644F20">
              <w:rPr>
                <w:rFonts w:ascii="Times New Roman" w:eastAsia="Times New Roman" w:hAnsi="Times New Roman" w:cs="Times New Roman"/>
                <w:lang w:val="sr-Cyrl-CS"/>
              </w:rPr>
              <w:t xml:space="preserve"> </w:t>
            </w:r>
          </w:p>
        </w:tc>
      </w:tr>
      <w:tr w:rsidR="00497092" w:rsidRPr="00644F20" w14:paraId="55EBA498" w14:textId="77777777" w:rsidTr="002F4AEF">
        <w:trPr>
          <w:trHeight w:val="298"/>
        </w:trPr>
        <w:tc>
          <w:tcPr>
            <w:tcW w:w="7044"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92F93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Период спровођења: 2022 – 2024.</w:t>
            </w:r>
          </w:p>
        </w:tc>
        <w:tc>
          <w:tcPr>
            <w:tcW w:w="6791"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16E778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1E052B7E" w14:textId="77777777" w:rsidTr="002F4AEF">
        <w:trPr>
          <w:trHeight w:val="298"/>
        </w:trPr>
        <w:tc>
          <w:tcPr>
            <w:tcW w:w="7044"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164A6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791"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318D44"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7C0E54E0" w14:textId="77777777" w:rsidTr="002F4AEF">
        <w:trPr>
          <w:trHeight w:val="950"/>
        </w:trPr>
        <w:tc>
          <w:tcPr>
            <w:tcW w:w="32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76246A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4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03E6D1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15EC943B" w14:textId="77777777" w:rsidR="00497092" w:rsidRPr="00644F20" w:rsidRDefault="00497092">
            <w:pPr>
              <w:spacing w:after="60" w:line="240" w:lineRule="auto"/>
              <w:rPr>
                <w:rFonts w:ascii="Times New Roman" w:hAnsi="Times New Roman" w:cs="Times New Roman"/>
                <w:lang w:val="sr-Cyrl-CS"/>
              </w:rPr>
            </w:pPr>
          </w:p>
        </w:tc>
        <w:tc>
          <w:tcPr>
            <w:tcW w:w="241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FFF52B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2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115ABB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4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7699F3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56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A0EC87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55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042E61B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97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026872F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68AD3E80" w14:textId="77777777" w:rsidTr="002F4AEF">
        <w:trPr>
          <w:trHeight w:val="302"/>
        </w:trPr>
        <w:tc>
          <w:tcPr>
            <w:tcW w:w="3217" w:type="dxa"/>
            <w:tcBorders>
              <w:top w:val="double" w:sz="4" w:space="0" w:color="auto"/>
              <w:left w:val="single" w:sz="4" w:space="0" w:color="auto"/>
              <w:bottom w:val="double" w:sz="4" w:space="0" w:color="auto"/>
              <w:right w:val="single" w:sz="4" w:space="0" w:color="auto"/>
            </w:tcBorders>
            <w:shd w:val="clear" w:color="auto" w:fill="FFFFFF" w:themeFill="background1"/>
          </w:tcPr>
          <w:p w14:paraId="4CDB0099" w14:textId="77777777" w:rsidR="00497092" w:rsidRPr="00644F20" w:rsidRDefault="002F45E1" w:rsidP="002F4AEF">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Укупан број области прерађивачке индустрије обухваћене анализом </w:t>
            </w:r>
            <w:r w:rsidR="002F4AEF" w:rsidRPr="00644F20">
              <w:rPr>
                <w:rFonts w:ascii="Times New Roman" w:hAnsi="Times New Roman" w:cs="Times New Roman"/>
                <w:lang w:val="sr-Cyrl-CS"/>
              </w:rPr>
              <w:t xml:space="preserve">потенцијала за примену модела </w:t>
            </w:r>
            <w:r w:rsidR="002F4AEF" w:rsidRPr="00644F20">
              <w:rPr>
                <w:rFonts w:ascii="Times New Roman" w:eastAsia="Calibri" w:hAnsi="Times New Roman" w:cs="Times New Roman"/>
                <w:lang w:val="sr-Cyrl-CS"/>
              </w:rPr>
              <w:t>ЦЕ</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08B2DBA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10" w:type="dxa"/>
            <w:tcBorders>
              <w:top w:val="double" w:sz="4" w:space="0" w:color="auto"/>
              <w:left w:val="single" w:sz="4" w:space="0" w:color="auto"/>
              <w:bottom w:val="double" w:sz="4" w:space="0" w:color="auto"/>
              <w:right w:val="single" w:sz="4" w:space="0" w:color="auto"/>
            </w:tcBorders>
            <w:shd w:val="clear" w:color="auto" w:fill="FFFFFF" w:themeFill="background1"/>
          </w:tcPr>
          <w:p w14:paraId="50A168F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реализованој активности</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5B458B2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15F8177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60" w:type="dxa"/>
            <w:tcBorders>
              <w:top w:val="double" w:sz="4" w:space="0" w:color="auto"/>
              <w:left w:val="single" w:sz="4" w:space="0" w:color="auto"/>
              <w:bottom w:val="double" w:sz="4" w:space="0" w:color="auto"/>
              <w:right w:val="single" w:sz="4" w:space="0" w:color="auto"/>
            </w:tcBorders>
            <w:shd w:val="clear" w:color="auto" w:fill="FFFFFF" w:themeFill="background1"/>
          </w:tcPr>
          <w:p w14:paraId="69A8B77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w:t>
            </w:r>
          </w:p>
        </w:tc>
        <w:tc>
          <w:tcPr>
            <w:tcW w:w="1559" w:type="dxa"/>
            <w:tcBorders>
              <w:top w:val="double" w:sz="4" w:space="0" w:color="auto"/>
              <w:left w:val="single" w:sz="4" w:space="0" w:color="auto"/>
              <w:bottom w:val="double" w:sz="4" w:space="0" w:color="auto"/>
              <w:right w:val="double" w:sz="4" w:space="0" w:color="auto"/>
            </w:tcBorders>
            <w:shd w:val="clear" w:color="auto" w:fill="FFFFFF" w:themeFill="background1"/>
          </w:tcPr>
          <w:p w14:paraId="089474B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w:t>
            </w:r>
          </w:p>
        </w:tc>
        <w:tc>
          <w:tcPr>
            <w:tcW w:w="979" w:type="dxa"/>
            <w:tcBorders>
              <w:top w:val="double" w:sz="4" w:space="0" w:color="auto"/>
              <w:left w:val="single" w:sz="4" w:space="0" w:color="auto"/>
              <w:bottom w:val="double" w:sz="4" w:space="0" w:color="auto"/>
              <w:right w:val="double" w:sz="4" w:space="0" w:color="auto"/>
            </w:tcBorders>
            <w:shd w:val="clear" w:color="auto" w:fill="FFFFFF" w:themeFill="background1"/>
          </w:tcPr>
          <w:p w14:paraId="424EEB7F"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r>
      <w:tr w:rsidR="00497092" w:rsidRPr="00644F20" w14:paraId="3D807343" w14:textId="77777777" w:rsidTr="002F4AEF">
        <w:trPr>
          <w:trHeight w:val="302"/>
        </w:trPr>
        <w:tc>
          <w:tcPr>
            <w:tcW w:w="3217" w:type="dxa"/>
            <w:tcBorders>
              <w:top w:val="double" w:sz="4" w:space="0" w:color="auto"/>
              <w:left w:val="single" w:sz="4" w:space="0" w:color="auto"/>
              <w:bottom w:val="double" w:sz="4" w:space="0" w:color="auto"/>
              <w:right w:val="single" w:sz="4" w:space="0" w:color="auto"/>
            </w:tcBorders>
            <w:shd w:val="clear" w:color="auto" w:fill="FFFFFF" w:themeFill="background1"/>
          </w:tcPr>
          <w:p w14:paraId="5943ACC2" w14:textId="77777777" w:rsidR="00497092" w:rsidRPr="00644F20" w:rsidRDefault="002F45E1" w:rsidP="002F4AEF">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привредних субјеката који имају израђене пословне а</w:t>
            </w:r>
            <w:r w:rsidR="002F4AEF" w:rsidRPr="00644F20">
              <w:rPr>
                <w:rFonts w:ascii="Times New Roman" w:hAnsi="Times New Roman" w:cs="Times New Roman"/>
                <w:lang w:val="sr-Cyrl-CS"/>
              </w:rPr>
              <w:t xml:space="preserve">кционе планове за прелазак на </w:t>
            </w:r>
            <w:r w:rsidR="002F4AEF" w:rsidRPr="00644F20">
              <w:rPr>
                <w:rFonts w:ascii="Times New Roman" w:eastAsia="Calibri" w:hAnsi="Times New Roman" w:cs="Times New Roman"/>
                <w:lang w:val="sr-Cyrl-CS"/>
              </w:rPr>
              <w:t>ЦЕ</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14477CC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10" w:type="dxa"/>
            <w:tcBorders>
              <w:top w:val="double" w:sz="4" w:space="0" w:color="auto"/>
              <w:left w:val="single" w:sz="4" w:space="0" w:color="auto"/>
              <w:bottom w:val="double" w:sz="4" w:space="0" w:color="auto"/>
              <w:right w:val="single" w:sz="4" w:space="0" w:color="auto"/>
            </w:tcBorders>
            <w:shd w:val="clear" w:color="auto" w:fill="FFFFFF" w:themeFill="background1"/>
          </w:tcPr>
          <w:p w14:paraId="158A79C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реализованој активности</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7C6F2D9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5036148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60" w:type="dxa"/>
            <w:tcBorders>
              <w:top w:val="double" w:sz="4" w:space="0" w:color="auto"/>
              <w:left w:val="single" w:sz="4" w:space="0" w:color="auto"/>
              <w:bottom w:val="double" w:sz="4" w:space="0" w:color="auto"/>
              <w:right w:val="single" w:sz="4" w:space="0" w:color="auto"/>
            </w:tcBorders>
            <w:shd w:val="clear" w:color="auto" w:fill="FFFFFF" w:themeFill="background1"/>
          </w:tcPr>
          <w:p w14:paraId="45BEBBA3"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59" w:type="dxa"/>
            <w:tcBorders>
              <w:top w:val="double" w:sz="4" w:space="0" w:color="auto"/>
              <w:left w:val="single" w:sz="4" w:space="0" w:color="auto"/>
              <w:bottom w:val="double" w:sz="4" w:space="0" w:color="auto"/>
              <w:right w:val="double" w:sz="4" w:space="0" w:color="auto"/>
            </w:tcBorders>
            <w:shd w:val="clear" w:color="auto" w:fill="FFFFFF" w:themeFill="background1"/>
          </w:tcPr>
          <w:p w14:paraId="41313D5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c>
          <w:tcPr>
            <w:tcW w:w="979" w:type="dxa"/>
            <w:tcBorders>
              <w:top w:val="double" w:sz="4" w:space="0" w:color="auto"/>
              <w:left w:val="single" w:sz="4" w:space="0" w:color="auto"/>
              <w:bottom w:val="double" w:sz="4" w:space="0" w:color="auto"/>
              <w:right w:val="double" w:sz="4" w:space="0" w:color="auto"/>
            </w:tcBorders>
            <w:shd w:val="clear" w:color="auto" w:fill="FFFFFF" w:themeFill="background1"/>
          </w:tcPr>
          <w:p w14:paraId="190A5C3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6</w:t>
            </w:r>
          </w:p>
        </w:tc>
      </w:tr>
    </w:tbl>
    <w:p w14:paraId="03D29D8C" w14:textId="77777777" w:rsidR="00497092" w:rsidRPr="00644F20" w:rsidRDefault="00497092">
      <w:pPr>
        <w:rPr>
          <w:rFonts w:ascii="Times New Roman" w:hAnsi="Times New Roman" w:cs="Times New Roman"/>
          <w:lang w:val="sr-Cyrl-CS"/>
        </w:rPr>
      </w:pPr>
    </w:p>
    <w:p w14:paraId="41F2ACEC" w14:textId="77777777" w:rsidR="005320FF" w:rsidRPr="00644F20" w:rsidRDefault="005320FF">
      <w:pPr>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674"/>
        <w:gridCol w:w="2785"/>
        <w:gridCol w:w="2853"/>
        <w:gridCol w:w="2693"/>
        <w:gridCol w:w="1830"/>
      </w:tblGrid>
      <w:tr w:rsidR="00497092" w:rsidRPr="00644F20" w14:paraId="44E67A2D" w14:textId="77777777" w:rsidTr="002F4AEF">
        <w:trPr>
          <w:trHeight w:val="227"/>
        </w:trPr>
        <w:tc>
          <w:tcPr>
            <w:tcW w:w="3674"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15E0A1E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Извор финансирања мере</w:t>
            </w:r>
          </w:p>
          <w:p w14:paraId="65AF7E98" w14:textId="77777777" w:rsidR="00497092" w:rsidRPr="00644F20" w:rsidRDefault="00497092">
            <w:pPr>
              <w:spacing w:after="60" w:line="240" w:lineRule="auto"/>
              <w:rPr>
                <w:rFonts w:ascii="Times New Roman" w:hAnsi="Times New Roman" w:cs="Times New Roman"/>
                <w:lang w:val="sr-Cyrl-CS"/>
              </w:rPr>
            </w:pPr>
          </w:p>
        </w:tc>
        <w:tc>
          <w:tcPr>
            <w:tcW w:w="278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1898741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2BAAA59F" w14:textId="77777777" w:rsidR="00497092" w:rsidRPr="00644F20" w:rsidRDefault="00497092">
            <w:pPr>
              <w:spacing w:after="60" w:line="240" w:lineRule="auto"/>
              <w:rPr>
                <w:rFonts w:ascii="Times New Roman" w:hAnsi="Times New Roman" w:cs="Times New Roman"/>
                <w:lang w:val="sr-Cyrl-CS"/>
              </w:rPr>
            </w:pPr>
          </w:p>
        </w:tc>
        <w:tc>
          <w:tcPr>
            <w:tcW w:w="7376"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CA083A0"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r w:rsidRPr="00644F20">
              <w:rPr>
                <w:rStyle w:val="FootnoteReference"/>
                <w:rFonts w:ascii="Times New Roman" w:hAnsi="Times New Roman" w:cs="Times New Roman"/>
                <w:lang w:val="sr-Cyrl-CS"/>
              </w:rPr>
              <w:t xml:space="preserve"> </w:t>
            </w:r>
          </w:p>
        </w:tc>
      </w:tr>
      <w:tr w:rsidR="00497092" w:rsidRPr="00644F20" w14:paraId="1D0389B9" w14:textId="77777777" w:rsidTr="002F4AEF">
        <w:trPr>
          <w:trHeight w:val="227"/>
        </w:trPr>
        <w:tc>
          <w:tcPr>
            <w:tcW w:w="3674" w:type="dxa"/>
            <w:vMerge/>
            <w:tcBorders>
              <w:top w:val="single" w:sz="4" w:space="0" w:color="auto"/>
              <w:left w:val="double" w:sz="4" w:space="0" w:color="auto"/>
              <w:bottom w:val="single" w:sz="4" w:space="0" w:color="auto"/>
              <w:right w:val="double" w:sz="4" w:space="0" w:color="auto"/>
            </w:tcBorders>
            <w:vAlign w:val="center"/>
          </w:tcPr>
          <w:p w14:paraId="58E9DD26" w14:textId="77777777" w:rsidR="00497092" w:rsidRPr="00644F20" w:rsidRDefault="00497092">
            <w:pPr>
              <w:spacing w:after="0" w:line="240" w:lineRule="auto"/>
              <w:rPr>
                <w:rFonts w:ascii="Times New Roman" w:hAnsi="Times New Roman" w:cs="Times New Roman"/>
                <w:lang w:val="sr-Cyrl-CS"/>
              </w:rPr>
            </w:pPr>
          </w:p>
        </w:tc>
        <w:tc>
          <w:tcPr>
            <w:tcW w:w="2785" w:type="dxa"/>
            <w:vMerge/>
            <w:tcBorders>
              <w:top w:val="single" w:sz="4" w:space="0" w:color="auto"/>
              <w:left w:val="double" w:sz="4" w:space="0" w:color="auto"/>
              <w:bottom w:val="single" w:sz="4" w:space="0" w:color="auto"/>
              <w:right w:val="double" w:sz="4" w:space="0" w:color="auto"/>
            </w:tcBorders>
            <w:vAlign w:val="center"/>
          </w:tcPr>
          <w:p w14:paraId="1ED5DB9D" w14:textId="77777777" w:rsidR="00497092" w:rsidRPr="00644F20" w:rsidRDefault="00497092">
            <w:pPr>
              <w:spacing w:after="0" w:line="240" w:lineRule="auto"/>
              <w:rPr>
                <w:rFonts w:ascii="Times New Roman" w:hAnsi="Times New Roman" w:cs="Times New Roman"/>
                <w:lang w:val="sr-Cyrl-CS"/>
              </w:rPr>
            </w:pPr>
          </w:p>
        </w:tc>
        <w:tc>
          <w:tcPr>
            <w:tcW w:w="285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56E397"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69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65CB4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18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336DA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6DCF7715" w14:textId="77777777" w:rsidTr="002F4AEF">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BC74C0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7BDAABA" w14:textId="77777777" w:rsidR="00497092" w:rsidRPr="00644F20" w:rsidRDefault="00497092">
            <w:pPr>
              <w:spacing w:after="60" w:line="240" w:lineRule="auto"/>
              <w:rPr>
                <w:rFonts w:ascii="Times New Roman" w:hAnsi="Times New Roman" w:cs="Times New Roman"/>
                <w:lang w:val="sr-Cyrl-CS"/>
              </w:rPr>
            </w:pPr>
          </w:p>
        </w:tc>
        <w:tc>
          <w:tcPr>
            <w:tcW w:w="2853" w:type="dxa"/>
            <w:tcBorders>
              <w:top w:val="single" w:sz="4" w:space="0" w:color="auto"/>
              <w:left w:val="double" w:sz="4" w:space="0" w:color="auto"/>
              <w:bottom w:val="double" w:sz="4" w:space="0" w:color="auto"/>
              <w:right w:val="double" w:sz="4" w:space="0" w:color="auto"/>
            </w:tcBorders>
            <w:shd w:val="clear" w:color="auto" w:fill="FFFFFF" w:themeFill="background1"/>
          </w:tcPr>
          <w:p w14:paraId="624B5BC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1.000</w:t>
            </w:r>
          </w:p>
        </w:tc>
        <w:tc>
          <w:tcPr>
            <w:tcW w:w="2693" w:type="dxa"/>
            <w:tcBorders>
              <w:top w:val="single" w:sz="4" w:space="0" w:color="auto"/>
              <w:left w:val="double" w:sz="4" w:space="0" w:color="auto"/>
              <w:bottom w:val="double" w:sz="4" w:space="0" w:color="auto"/>
              <w:right w:val="double" w:sz="4" w:space="0" w:color="auto"/>
            </w:tcBorders>
            <w:shd w:val="clear" w:color="auto" w:fill="FFFFFF" w:themeFill="background1"/>
          </w:tcPr>
          <w:p w14:paraId="000D336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5.000</w:t>
            </w:r>
          </w:p>
        </w:tc>
        <w:tc>
          <w:tcPr>
            <w:tcW w:w="1830" w:type="dxa"/>
            <w:tcBorders>
              <w:top w:val="single" w:sz="4" w:space="0" w:color="auto"/>
              <w:left w:val="double" w:sz="4" w:space="0" w:color="auto"/>
              <w:bottom w:val="double" w:sz="4" w:space="0" w:color="auto"/>
              <w:right w:val="double" w:sz="4" w:space="0" w:color="auto"/>
            </w:tcBorders>
            <w:shd w:val="clear" w:color="auto" w:fill="FFFFFF" w:themeFill="background1"/>
          </w:tcPr>
          <w:p w14:paraId="1579697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4.000</w:t>
            </w:r>
          </w:p>
        </w:tc>
      </w:tr>
    </w:tbl>
    <w:p w14:paraId="4B18565C"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10"/>
        <w:gridCol w:w="1160"/>
        <w:gridCol w:w="1339"/>
        <w:gridCol w:w="1278"/>
        <w:gridCol w:w="1490"/>
        <w:gridCol w:w="1453"/>
        <w:gridCol w:w="1071"/>
        <w:gridCol w:w="1288"/>
        <w:gridCol w:w="1163"/>
      </w:tblGrid>
      <w:tr w:rsidR="00497092" w:rsidRPr="00644F20" w14:paraId="2C1AFF27"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7FB5E74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45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0758EA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8EEF8E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2CEC9D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223582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0FA092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433E7C28" w14:textId="77777777" w:rsidR="00497092" w:rsidRPr="00644F20" w:rsidRDefault="00497092">
            <w:pPr>
              <w:spacing w:after="60" w:line="240" w:lineRule="auto"/>
              <w:jc w:val="center"/>
              <w:rPr>
                <w:rFonts w:ascii="Times New Roman" w:hAnsi="Times New Roman" w:cs="Times New Roman"/>
                <w:lang w:val="sr-Cyrl-CS"/>
              </w:rPr>
            </w:pPr>
          </w:p>
        </w:tc>
        <w:tc>
          <w:tcPr>
            <w:tcW w:w="1527"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F2DD39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5CF8CB16"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22BB56F5"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803BC0A"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251869B"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CA599E9"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80E62EC"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3AF5EB6D" w14:textId="77777777" w:rsidR="00497092" w:rsidRPr="00644F20" w:rsidRDefault="00497092">
            <w:pPr>
              <w:spacing w:after="0" w:line="240" w:lineRule="auto"/>
              <w:rPr>
                <w:rFonts w:ascii="Times New Roman" w:hAnsi="Times New Roman" w:cs="Times New Roman"/>
                <w:lang w:val="sr-Cyrl-CS"/>
              </w:rPr>
            </w:pPr>
          </w:p>
        </w:tc>
        <w:tc>
          <w:tcPr>
            <w:tcW w:w="47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55797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 xml:space="preserve">2022. </w:t>
            </w:r>
          </w:p>
        </w:tc>
        <w:tc>
          <w:tcPr>
            <w:tcW w:w="553"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21549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503"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B6416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6058B1E9"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4F93F8B0" w14:textId="77777777" w:rsidR="00497092" w:rsidRPr="00644F20" w:rsidRDefault="002F45E1" w:rsidP="002F4AEF">
            <w:pPr>
              <w:spacing w:after="60" w:line="240" w:lineRule="auto"/>
              <w:rPr>
                <w:rFonts w:ascii="Times New Roman" w:hAnsi="Times New Roman" w:cs="Times New Roman"/>
                <w:lang w:val="sr-Cyrl-CS"/>
              </w:rPr>
            </w:pPr>
            <w:r w:rsidRPr="00644F20">
              <w:rPr>
                <w:rFonts w:ascii="Times New Roman" w:hAnsi="Times New Roman" w:cs="Times New Roman"/>
                <w:lang w:val="sr-Cyrl-CS"/>
              </w:rPr>
              <w:t>1.3.1. Анализа потенцијала и неопходн</w:t>
            </w:r>
            <w:r w:rsidR="002F4AEF" w:rsidRPr="00644F20">
              <w:rPr>
                <w:rFonts w:ascii="Times New Roman" w:hAnsi="Times New Roman" w:cs="Times New Roman"/>
                <w:lang w:val="sr-Cyrl-CS"/>
              </w:rPr>
              <w:t xml:space="preserve">их инвестиција за прелазак на </w:t>
            </w:r>
            <w:r w:rsidR="002F4AEF" w:rsidRPr="00644F20">
              <w:rPr>
                <w:rFonts w:ascii="Times New Roman" w:eastAsia="Calibri" w:hAnsi="Times New Roman" w:cs="Times New Roman"/>
                <w:lang w:val="sr-Cyrl-CS"/>
              </w:rPr>
              <w:t xml:space="preserve">ЦЕ </w:t>
            </w:r>
            <w:r w:rsidRPr="00644F20">
              <w:rPr>
                <w:rFonts w:ascii="Times New Roman" w:hAnsi="Times New Roman" w:cs="Times New Roman"/>
                <w:lang w:val="sr-Cyrl-CS"/>
              </w:rPr>
              <w:t>за две области прерађивачке индустрије</w:t>
            </w:r>
          </w:p>
        </w:tc>
        <w:tc>
          <w:tcPr>
            <w:tcW w:w="459" w:type="pct"/>
            <w:tcBorders>
              <w:top w:val="single" w:sz="4" w:space="0" w:color="auto"/>
              <w:left w:val="single" w:sz="4" w:space="0" w:color="auto"/>
              <w:bottom w:val="single" w:sz="4" w:space="0" w:color="auto"/>
              <w:right w:val="single" w:sz="4" w:space="0" w:color="auto"/>
            </w:tcBorders>
          </w:tcPr>
          <w:p w14:paraId="7AB84EC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0BB3162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tc>
        <w:tc>
          <w:tcPr>
            <w:tcW w:w="464" w:type="pct"/>
            <w:tcBorders>
              <w:top w:val="single" w:sz="4" w:space="0" w:color="auto"/>
              <w:left w:val="single" w:sz="4" w:space="0" w:color="auto"/>
              <w:bottom w:val="single" w:sz="4" w:space="0" w:color="auto"/>
              <w:right w:val="single" w:sz="4" w:space="0" w:color="auto"/>
            </w:tcBorders>
          </w:tcPr>
          <w:p w14:paraId="706521A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629" w:type="pct"/>
            <w:tcBorders>
              <w:top w:val="single" w:sz="4" w:space="0" w:color="auto"/>
              <w:left w:val="single" w:sz="4" w:space="0" w:color="auto"/>
              <w:bottom w:val="single" w:sz="4" w:space="0" w:color="auto"/>
              <w:right w:val="single" w:sz="4" w:space="0" w:color="auto"/>
            </w:tcBorders>
          </w:tcPr>
          <w:p w14:paraId="72C8841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11815056" w14:textId="77777777" w:rsidR="00497092" w:rsidRPr="00644F20" w:rsidRDefault="00497092">
            <w:pPr>
              <w:spacing w:after="60" w:line="240" w:lineRule="auto"/>
              <w:rPr>
                <w:rFonts w:ascii="Times New Roman" w:hAnsi="Times New Roman" w:cs="Times New Roman"/>
                <w:lang w:val="sr-Cyrl-CS"/>
              </w:rPr>
            </w:pPr>
          </w:p>
        </w:tc>
        <w:tc>
          <w:tcPr>
            <w:tcW w:w="471" w:type="pct"/>
            <w:tcBorders>
              <w:top w:val="single" w:sz="4" w:space="0" w:color="auto"/>
              <w:left w:val="single" w:sz="4" w:space="0" w:color="auto"/>
              <w:bottom w:val="single" w:sz="4" w:space="0" w:color="auto"/>
              <w:right w:val="single" w:sz="4" w:space="0" w:color="auto"/>
            </w:tcBorders>
          </w:tcPr>
          <w:p w14:paraId="28F3BA33" w14:textId="77777777" w:rsidR="00497092" w:rsidRPr="00644F20" w:rsidRDefault="00497092">
            <w:pPr>
              <w:spacing w:after="60" w:line="240" w:lineRule="auto"/>
              <w:rPr>
                <w:rFonts w:ascii="Times New Roman" w:hAnsi="Times New Roman" w:cs="Times New Roman"/>
                <w:lang w:val="sr-Cyrl-CS"/>
              </w:rPr>
            </w:pPr>
          </w:p>
        </w:tc>
        <w:tc>
          <w:tcPr>
            <w:tcW w:w="553" w:type="pct"/>
            <w:tcBorders>
              <w:top w:val="single" w:sz="4" w:space="0" w:color="auto"/>
              <w:left w:val="single" w:sz="4" w:space="0" w:color="auto"/>
              <w:bottom w:val="single" w:sz="4" w:space="0" w:color="auto"/>
              <w:right w:val="single" w:sz="4" w:space="0" w:color="auto"/>
            </w:tcBorders>
          </w:tcPr>
          <w:p w14:paraId="293B10E5" w14:textId="77777777" w:rsidR="00497092" w:rsidRPr="00644F20" w:rsidRDefault="00497092">
            <w:pPr>
              <w:spacing w:after="60" w:line="240" w:lineRule="auto"/>
              <w:rPr>
                <w:rFonts w:ascii="Times New Roman" w:hAnsi="Times New Roman" w:cs="Times New Roman"/>
                <w:lang w:val="sr-Cyrl-CS"/>
              </w:rPr>
            </w:pPr>
          </w:p>
        </w:tc>
        <w:tc>
          <w:tcPr>
            <w:tcW w:w="503" w:type="pct"/>
            <w:tcBorders>
              <w:top w:val="single" w:sz="4" w:space="0" w:color="auto"/>
              <w:left w:val="single" w:sz="4" w:space="0" w:color="auto"/>
              <w:bottom w:val="single" w:sz="4" w:space="0" w:color="auto"/>
              <w:right w:val="single" w:sz="4" w:space="0" w:color="auto"/>
            </w:tcBorders>
          </w:tcPr>
          <w:p w14:paraId="5A03D6EA"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539143BC" w14:textId="77777777">
        <w:trPr>
          <w:trHeight w:val="140"/>
        </w:trPr>
        <w:tc>
          <w:tcPr>
            <w:tcW w:w="960" w:type="pct"/>
            <w:tcBorders>
              <w:top w:val="single" w:sz="4" w:space="0" w:color="auto"/>
              <w:left w:val="double" w:sz="4" w:space="0" w:color="auto"/>
              <w:bottom w:val="single" w:sz="4" w:space="0" w:color="auto"/>
              <w:right w:val="single" w:sz="4" w:space="0" w:color="auto"/>
            </w:tcBorders>
          </w:tcPr>
          <w:p w14:paraId="45AE2EDB" w14:textId="77777777" w:rsidR="00497092" w:rsidRPr="00644F20" w:rsidRDefault="002F45E1" w:rsidP="002F4AEF">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1.3.2. Израда пословних акционих планова за прелазак на </w:t>
            </w:r>
            <w:r w:rsidR="002F4AEF" w:rsidRPr="00644F20">
              <w:rPr>
                <w:rFonts w:ascii="Times New Roman" w:eastAsia="Calibri" w:hAnsi="Times New Roman" w:cs="Times New Roman"/>
                <w:lang w:val="sr-Cyrl-CS"/>
              </w:rPr>
              <w:t xml:space="preserve">ЦЕ </w:t>
            </w:r>
            <w:r w:rsidRPr="00644F20">
              <w:rPr>
                <w:rFonts w:ascii="Times New Roman" w:hAnsi="Times New Roman" w:cs="Times New Roman"/>
                <w:lang w:val="sr-Cyrl-CS"/>
              </w:rPr>
              <w:t>за одабране представнике анализираних области прерађивачке индустрије</w:t>
            </w:r>
          </w:p>
        </w:tc>
        <w:tc>
          <w:tcPr>
            <w:tcW w:w="459" w:type="pct"/>
            <w:tcBorders>
              <w:top w:val="single" w:sz="4" w:space="0" w:color="auto"/>
              <w:left w:val="single" w:sz="4" w:space="0" w:color="auto"/>
              <w:bottom w:val="single" w:sz="4" w:space="0" w:color="auto"/>
              <w:right w:val="single" w:sz="4" w:space="0" w:color="auto"/>
            </w:tcBorders>
          </w:tcPr>
          <w:p w14:paraId="4648610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61BEF85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tc>
        <w:tc>
          <w:tcPr>
            <w:tcW w:w="464" w:type="pct"/>
            <w:tcBorders>
              <w:top w:val="single" w:sz="4" w:space="0" w:color="auto"/>
              <w:left w:val="single" w:sz="4" w:space="0" w:color="auto"/>
              <w:bottom w:val="single" w:sz="4" w:space="0" w:color="auto"/>
              <w:right w:val="single" w:sz="4" w:space="0" w:color="auto"/>
            </w:tcBorders>
          </w:tcPr>
          <w:p w14:paraId="764B428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4043419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6F37A833" w14:textId="77777777" w:rsidR="00497092" w:rsidRPr="00644F20" w:rsidRDefault="00497092">
            <w:pPr>
              <w:spacing w:after="60" w:line="240" w:lineRule="auto"/>
              <w:rPr>
                <w:rFonts w:ascii="Times New Roman" w:hAnsi="Times New Roman" w:cs="Times New Roman"/>
                <w:lang w:val="sr-Cyrl-CS"/>
              </w:rPr>
            </w:pPr>
          </w:p>
        </w:tc>
        <w:tc>
          <w:tcPr>
            <w:tcW w:w="471" w:type="pct"/>
            <w:tcBorders>
              <w:top w:val="single" w:sz="4" w:space="0" w:color="auto"/>
              <w:left w:val="single" w:sz="4" w:space="0" w:color="auto"/>
              <w:bottom w:val="single" w:sz="4" w:space="0" w:color="auto"/>
              <w:right w:val="single" w:sz="4" w:space="0" w:color="auto"/>
            </w:tcBorders>
          </w:tcPr>
          <w:p w14:paraId="453C99C6" w14:textId="77777777" w:rsidR="00497092" w:rsidRPr="00644F20" w:rsidRDefault="00497092">
            <w:pPr>
              <w:spacing w:after="60" w:line="240" w:lineRule="auto"/>
              <w:rPr>
                <w:rFonts w:ascii="Times New Roman" w:hAnsi="Times New Roman" w:cs="Times New Roman"/>
                <w:lang w:val="sr-Cyrl-CS"/>
              </w:rPr>
            </w:pPr>
          </w:p>
        </w:tc>
        <w:tc>
          <w:tcPr>
            <w:tcW w:w="553" w:type="pct"/>
            <w:tcBorders>
              <w:top w:val="single" w:sz="4" w:space="0" w:color="auto"/>
              <w:left w:val="single" w:sz="4" w:space="0" w:color="auto"/>
              <w:bottom w:val="single" w:sz="4" w:space="0" w:color="auto"/>
              <w:right w:val="single" w:sz="4" w:space="0" w:color="auto"/>
            </w:tcBorders>
          </w:tcPr>
          <w:p w14:paraId="40E4147A" w14:textId="77777777" w:rsidR="00497092" w:rsidRPr="00644F20" w:rsidRDefault="00497092">
            <w:pPr>
              <w:spacing w:after="60" w:line="240" w:lineRule="auto"/>
              <w:rPr>
                <w:rFonts w:ascii="Times New Roman" w:hAnsi="Times New Roman" w:cs="Times New Roman"/>
                <w:lang w:val="sr-Cyrl-CS"/>
              </w:rPr>
            </w:pPr>
          </w:p>
        </w:tc>
        <w:tc>
          <w:tcPr>
            <w:tcW w:w="503" w:type="pct"/>
            <w:tcBorders>
              <w:top w:val="single" w:sz="4" w:space="0" w:color="auto"/>
              <w:left w:val="single" w:sz="4" w:space="0" w:color="auto"/>
              <w:bottom w:val="single" w:sz="4" w:space="0" w:color="auto"/>
              <w:right w:val="single" w:sz="4" w:space="0" w:color="auto"/>
            </w:tcBorders>
          </w:tcPr>
          <w:p w14:paraId="08F2541B" w14:textId="77777777" w:rsidR="00497092" w:rsidRPr="00644F20" w:rsidRDefault="00497092">
            <w:pPr>
              <w:spacing w:after="60" w:line="240" w:lineRule="auto"/>
              <w:rPr>
                <w:rFonts w:ascii="Times New Roman" w:hAnsi="Times New Roman" w:cs="Times New Roman"/>
                <w:lang w:val="sr-Cyrl-CS"/>
              </w:rPr>
            </w:pPr>
          </w:p>
        </w:tc>
      </w:tr>
    </w:tbl>
    <w:p w14:paraId="06E0586B" w14:textId="77777777" w:rsidR="00497092" w:rsidRPr="00644F20" w:rsidRDefault="00497092">
      <w:pPr>
        <w:spacing w:after="240"/>
        <w:rPr>
          <w:rFonts w:ascii="Times New Roman" w:hAnsi="Times New Roman" w:cs="Times New Roman"/>
          <w:lang w:val="sr-Cyrl-CS"/>
        </w:rPr>
      </w:pPr>
    </w:p>
    <w:p w14:paraId="67ACC188" w14:textId="77777777" w:rsidR="005320FF" w:rsidRPr="00644F20" w:rsidRDefault="005320FF">
      <w:pPr>
        <w:spacing w:after="240"/>
        <w:rPr>
          <w:rFonts w:ascii="Times New Roman" w:hAnsi="Times New Roman" w:cs="Times New Roman"/>
          <w:lang w:val="sr-Cyrl-CS"/>
        </w:rPr>
      </w:pPr>
    </w:p>
    <w:p w14:paraId="6989753E" w14:textId="77777777" w:rsidR="005320FF" w:rsidRPr="00644F20" w:rsidRDefault="005320FF">
      <w:pPr>
        <w:spacing w:after="240"/>
        <w:rPr>
          <w:rFonts w:ascii="Times New Roman" w:hAnsi="Times New Roman" w:cs="Times New Roman"/>
          <w:lang w:val="sr-Cyrl-CS"/>
        </w:rPr>
      </w:pPr>
    </w:p>
    <w:p w14:paraId="5963A882" w14:textId="77777777" w:rsidR="005320FF" w:rsidRPr="00644F20" w:rsidRDefault="005320FF">
      <w:pPr>
        <w:spacing w:after="240"/>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500"/>
        <w:gridCol w:w="1418"/>
        <w:gridCol w:w="1984"/>
        <w:gridCol w:w="1418"/>
        <w:gridCol w:w="1226"/>
        <w:gridCol w:w="1537"/>
        <w:gridCol w:w="1573"/>
        <w:gridCol w:w="1179"/>
      </w:tblGrid>
      <w:tr w:rsidR="00497092" w:rsidRPr="00644F20" w14:paraId="5F176B4D" w14:textId="77777777" w:rsidTr="002F4AEF">
        <w:trPr>
          <w:trHeight w:val="168"/>
        </w:trPr>
        <w:tc>
          <w:tcPr>
            <w:tcW w:w="1383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5F446D06" w14:textId="77777777" w:rsidR="00497092" w:rsidRPr="00644F20" w:rsidRDefault="002F45E1" w:rsidP="00BE4F0A">
            <w:pPr>
              <w:spacing w:after="60" w:line="240" w:lineRule="auto"/>
              <w:rPr>
                <w:rFonts w:ascii="Times New Roman" w:hAnsi="Times New Roman" w:cs="Times New Roman"/>
                <w:b/>
                <w:lang w:val="sr-Cyrl-CS"/>
              </w:rPr>
            </w:pPr>
            <w:r w:rsidRPr="00644F20">
              <w:rPr>
                <w:rFonts w:ascii="Times New Roman" w:hAnsi="Times New Roman" w:cs="Times New Roman"/>
                <w:b/>
                <w:lang w:val="sr-Cyrl-CS"/>
              </w:rPr>
              <w:lastRenderedPageBreak/>
              <w:t>Мера 1.4: Подстицање сарадње између научноистраживачких организација и привредних субјеката у области иновација и оптимизације производње</w:t>
            </w:r>
          </w:p>
        </w:tc>
      </w:tr>
      <w:tr w:rsidR="00497092" w:rsidRPr="00644F20" w14:paraId="5ABA101F" w14:textId="77777777" w:rsidTr="002F4AEF">
        <w:trPr>
          <w:trHeight w:val="298"/>
        </w:trPr>
        <w:tc>
          <w:tcPr>
            <w:tcW w:w="1383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07C46E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p>
        </w:tc>
      </w:tr>
      <w:tr w:rsidR="00497092" w:rsidRPr="00644F20" w14:paraId="5336CFCE" w14:textId="77777777" w:rsidTr="002F4AEF">
        <w:trPr>
          <w:trHeight w:val="298"/>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F09522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Период спровођења: 2023 – 2024. </w:t>
            </w:r>
          </w:p>
        </w:tc>
        <w:tc>
          <w:tcPr>
            <w:tcW w:w="693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3A244D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подстицајна</w:t>
            </w:r>
          </w:p>
        </w:tc>
      </w:tr>
      <w:tr w:rsidR="00497092" w:rsidRPr="00644F20" w14:paraId="351DFF3D" w14:textId="77777777" w:rsidTr="002F4AEF">
        <w:trPr>
          <w:trHeight w:val="298"/>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8CEEF6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93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5C3D70E"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66DB6185" w14:textId="77777777" w:rsidTr="002F4AEF">
        <w:trPr>
          <w:trHeight w:val="950"/>
        </w:trPr>
        <w:tc>
          <w:tcPr>
            <w:tcW w:w="350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AD5A81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19F626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6A8E417C" w14:textId="77777777" w:rsidR="00497092" w:rsidRPr="00644F20" w:rsidRDefault="00497092">
            <w:pPr>
              <w:spacing w:after="60" w:line="240" w:lineRule="auto"/>
              <w:rPr>
                <w:rFonts w:ascii="Times New Roman" w:hAnsi="Times New Roman" w:cs="Times New Roman"/>
                <w:lang w:val="sr-Cyrl-CS"/>
              </w:rPr>
            </w:pPr>
          </w:p>
        </w:tc>
        <w:tc>
          <w:tcPr>
            <w:tcW w:w="198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E7323D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233ABC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22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350D64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53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F38CFA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573"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718361E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117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584EECB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1A36984D" w14:textId="77777777" w:rsidTr="002F4AEF">
        <w:trPr>
          <w:trHeight w:val="302"/>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09392AFF" w14:textId="77777777" w:rsidR="00497092" w:rsidRPr="00644F20" w:rsidRDefault="002F45E1" w:rsidP="002F4AEF">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јавних позива за пројекте на тему увођења иновативних и других техничких</w:t>
            </w:r>
            <w:r w:rsidR="002F4AEF" w:rsidRPr="00644F20">
              <w:rPr>
                <w:rFonts w:ascii="Times New Roman" w:hAnsi="Times New Roman" w:cs="Times New Roman"/>
                <w:lang w:val="sr-Cyrl-CS"/>
              </w:rPr>
              <w:t xml:space="preserve"> решења у циљу примене модела </w:t>
            </w:r>
            <w:r w:rsidR="002F4AEF" w:rsidRPr="00644F20">
              <w:rPr>
                <w:rFonts w:ascii="Times New Roman" w:eastAsia="Calibri" w:hAnsi="Times New Roman" w:cs="Times New Roman"/>
                <w:lang w:val="sr-Cyrl-CS"/>
              </w:rPr>
              <w:t xml:space="preserve">ЦЕ </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71333FE4"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Број </w:t>
            </w:r>
          </w:p>
        </w:tc>
        <w:tc>
          <w:tcPr>
            <w:tcW w:w="1984" w:type="dxa"/>
            <w:tcBorders>
              <w:top w:val="double" w:sz="4" w:space="0" w:color="auto"/>
              <w:left w:val="single" w:sz="4" w:space="0" w:color="auto"/>
              <w:bottom w:val="double" w:sz="4" w:space="0" w:color="auto"/>
              <w:right w:val="single" w:sz="4" w:space="0" w:color="auto"/>
            </w:tcBorders>
            <w:shd w:val="clear" w:color="auto" w:fill="FFFFFF" w:themeFill="background1"/>
          </w:tcPr>
          <w:p w14:paraId="5627041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реализованим позивима и прихваћеним пројектима</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31D3CBE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26" w:type="dxa"/>
            <w:tcBorders>
              <w:top w:val="double" w:sz="4" w:space="0" w:color="auto"/>
              <w:left w:val="single" w:sz="4" w:space="0" w:color="auto"/>
              <w:bottom w:val="double" w:sz="4" w:space="0" w:color="auto"/>
              <w:right w:val="single" w:sz="4" w:space="0" w:color="auto"/>
            </w:tcBorders>
            <w:shd w:val="clear" w:color="auto" w:fill="FFFFFF" w:themeFill="background1"/>
          </w:tcPr>
          <w:p w14:paraId="2543357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1E65EA9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w:t>
            </w: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46E4B78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w:t>
            </w:r>
          </w:p>
        </w:tc>
        <w:tc>
          <w:tcPr>
            <w:tcW w:w="1179" w:type="dxa"/>
            <w:tcBorders>
              <w:top w:val="double" w:sz="4" w:space="0" w:color="auto"/>
              <w:left w:val="single" w:sz="4" w:space="0" w:color="auto"/>
              <w:bottom w:val="double" w:sz="4" w:space="0" w:color="auto"/>
              <w:right w:val="double" w:sz="4" w:space="0" w:color="auto"/>
            </w:tcBorders>
            <w:shd w:val="clear" w:color="auto" w:fill="FFFFFF" w:themeFill="background1"/>
          </w:tcPr>
          <w:p w14:paraId="4F62BE9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r>
      <w:tr w:rsidR="00497092" w:rsidRPr="00644F20" w14:paraId="25BF7559" w14:textId="77777777" w:rsidTr="002F4AEF">
        <w:trPr>
          <w:trHeight w:val="302"/>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3B7D7599" w14:textId="77777777" w:rsidR="00497092" w:rsidRPr="00644F20" w:rsidRDefault="002F45E1" w:rsidP="00BE4F0A">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привредних субјеката који су остварили сарадњу са научноистраживачким организацијама у циљу развоја иновација и решења ко</w:t>
            </w:r>
            <w:r w:rsidR="002F4AEF" w:rsidRPr="00644F20">
              <w:rPr>
                <w:rFonts w:ascii="Times New Roman" w:hAnsi="Times New Roman" w:cs="Times New Roman"/>
                <w:lang w:val="sr-Cyrl-CS"/>
              </w:rPr>
              <w:t xml:space="preserve">ји се заснивају на принципима </w:t>
            </w:r>
            <w:r w:rsidRPr="00644F20">
              <w:rPr>
                <w:rFonts w:ascii="Times New Roman" w:hAnsi="Times New Roman" w:cs="Times New Roman"/>
                <w:lang w:val="sr-Cyrl-CS"/>
              </w:rPr>
              <w:t xml:space="preserve"> </w:t>
            </w:r>
            <w:r w:rsidR="002F4AEF" w:rsidRPr="00644F20">
              <w:rPr>
                <w:rFonts w:ascii="Times New Roman" w:eastAsia="Calibri" w:hAnsi="Times New Roman" w:cs="Times New Roman"/>
                <w:lang w:val="sr-Cyrl-CS"/>
              </w:rPr>
              <w:t xml:space="preserve">ЦЕ </w:t>
            </w:r>
            <w:r w:rsidRPr="00644F20">
              <w:rPr>
                <w:rFonts w:ascii="Times New Roman" w:hAnsi="Times New Roman" w:cs="Times New Roman"/>
                <w:lang w:val="sr-Cyrl-CS"/>
              </w:rPr>
              <w:t xml:space="preserve">кроз позиве за пројекте </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57154E3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1984" w:type="dxa"/>
            <w:tcBorders>
              <w:top w:val="double" w:sz="4" w:space="0" w:color="auto"/>
              <w:left w:val="single" w:sz="4" w:space="0" w:color="auto"/>
              <w:bottom w:val="double" w:sz="4" w:space="0" w:color="auto"/>
              <w:right w:val="single" w:sz="4" w:space="0" w:color="auto"/>
            </w:tcBorders>
            <w:shd w:val="clear" w:color="auto" w:fill="FFFFFF" w:themeFill="background1"/>
          </w:tcPr>
          <w:p w14:paraId="67657EF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реализованим позивима и прихваћеним пројектима</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3BC3FF4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26" w:type="dxa"/>
            <w:tcBorders>
              <w:top w:val="double" w:sz="4" w:space="0" w:color="auto"/>
              <w:left w:val="single" w:sz="4" w:space="0" w:color="auto"/>
              <w:bottom w:val="double" w:sz="4" w:space="0" w:color="auto"/>
              <w:right w:val="single" w:sz="4" w:space="0" w:color="auto"/>
            </w:tcBorders>
            <w:shd w:val="clear" w:color="auto" w:fill="FFFFFF" w:themeFill="background1"/>
          </w:tcPr>
          <w:p w14:paraId="6924255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2AB8AA4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096970C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6</w:t>
            </w:r>
          </w:p>
        </w:tc>
        <w:tc>
          <w:tcPr>
            <w:tcW w:w="1179" w:type="dxa"/>
            <w:tcBorders>
              <w:top w:val="double" w:sz="4" w:space="0" w:color="auto"/>
              <w:left w:val="single" w:sz="4" w:space="0" w:color="auto"/>
              <w:bottom w:val="double" w:sz="4" w:space="0" w:color="auto"/>
              <w:right w:val="double" w:sz="4" w:space="0" w:color="auto"/>
            </w:tcBorders>
            <w:shd w:val="clear" w:color="auto" w:fill="FFFFFF" w:themeFill="background1"/>
          </w:tcPr>
          <w:p w14:paraId="2D18A6B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9</w:t>
            </w:r>
          </w:p>
        </w:tc>
      </w:tr>
    </w:tbl>
    <w:p w14:paraId="3D058EC8" w14:textId="77777777" w:rsidR="00497092" w:rsidRPr="00644F20" w:rsidRDefault="00497092">
      <w:pPr>
        <w:rPr>
          <w:rFonts w:ascii="Times New Roman" w:hAnsi="Times New Roman" w:cs="Times New Roman"/>
          <w:lang w:val="sr-Cyrl-CS"/>
        </w:rPr>
      </w:pPr>
    </w:p>
    <w:tbl>
      <w:tblPr>
        <w:tblStyle w:val="TableGrid"/>
        <w:tblW w:w="13925" w:type="dxa"/>
        <w:tblInd w:w="10" w:type="dxa"/>
        <w:tblLayout w:type="fixed"/>
        <w:tblLook w:val="04A0" w:firstRow="1" w:lastRow="0" w:firstColumn="1" w:lastColumn="0" w:noHBand="0" w:noVBand="1"/>
      </w:tblPr>
      <w:tblGrid>
        <w:gridCol w:w="3665"/>
        <w:gridCol w:w="2778"/>
        <w:gridCol w:w="2835"/>
        <w:gridCol w:w="2577"/>
        <w:gridCol w:w="2070"/>
      </w:tblGrid>
      <w:tr w:rsidR="00497092" w:rsidRPr="00644F20" w14:paraId="2EFC8EA6" w14:textId="77777777" w:rsidTr="002F4AEF">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1943520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46AE489B"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double" w:sz="4" w:space="0" w:color="auto"/>
              <w:right w:val="double" w:sz="4" w:space="0" w:color="auto"/>
            </w:tcBorders>
            <w:shd w:val="clear" w:color="auto" w:fill="A8D08D" w:themeFill="accent6" w:themeFillTint="99"/>
          </w:tcPr>
          <w:p w14:paraId="2724446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35608140" w14:textId="77777777" w:rsidR="00497092" w:rsidRPr="00644F20" w:rsidRDefault="00497092">
            <w:pPr>
              <w:spacing w:after="60" w:line="240" w:lineRule="auto"/>
              <w:rPr>
                <w:rFonts w:ascii="Times New Roman" w:hAnsi="Times New Roman" w:cs="Times New Roman"/>
                <w:lang w:val="sr-Cyrl-CS"/>
              </w:rPr>
            </w:pPr>
          </w:p>
        </w:tc>
        <w:tc>
          <w:tcPr>
            <w:tcW w:w="748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4B54A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5F1A1F86" w14:textId="77777777" w:rsidTr="002F4AEF">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29F93E50"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double" w:sz="4" w:space="0" w:color="auto"/>
              <w:right w:val="double" w:sz="4" w:space="0" w:color="auto"/>
            </w:tcBorders>
            <w:vAlign w:val="center"/>
          </w:tcPr>
          <w:p w14:paraId="59D84BE4" w14:textId="77777777" w:rsidR="00497092" w:rsidRPr="00644F20" w:rsidRDefault="00497092">
            <w:pPr>
              <w:spacing w:after="0" w:line="240" w:lineRule="auto"/>
              <w:rPr>
                <w:rFonts w:ascii="Times New Roman" w:hAnsi="Times New Roman" w:cs="Times New Roman"/>
                <w:lang w:val="sr-Cyrl-CS"/>
              </w:rPr>
            </w:pPr>
          </w:p>
        </w:tc>
        <w:tc>
          <w:tcPr>
            <w:tcW w:w="283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E458F2"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7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35241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07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9B5661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0C772815" w14:textId="77777777" w:rsidTr="002F4AEF">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838471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Директна донаторска подршка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720C67BD" w14:textId="77777777" w:rsidR="00497092" w:rsidRPr="00644F20" w:rsidRDefault="00497092">
            <w:pPr>
              <w:spacing w:after="60" w:line="240" w:lineRule="auto"/>
              <w:rPr>
                <w:rFonts w:ascii="Times New Roman" w:hAnsi="Times New Roman" w:cs="Times New Roman"/>
                <w:lang w:val="sr-Cyrl-CS"/>
              </w:rPr>
            </w:pPr>
          </w:p>
        </w:tc>
        <w:tc>
          <w:tcPr>
            <w:tcW w:w="2835" w:type="dxa"/>
            <w:tcBorders>
              <w:top w:val="single" w:sz="4" w:space="0" w:color="auto"/>
              <w:left w:val="double" w:sz="4" w:space="0" w:color="auto"/>
              <w:bottom w:val="double" w:sz="4" w:space="0" w:color="auto"/>
              <w:right w:val="double" w:sz="4" w:space="0" w:color="auto"/>
            </w:tcBorders>
            <w:shd w:val="clear" w:color="auto" w:fill="FFFFFF" w:themeFill="background1"/>
          </w:tcPr>
          <w:p w14:paraId="60F4BFC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3.600</w:t>
            </w:r>
          </w:p>
        </w:tc>
        <w:tc>
          <w:tcPr>
            <w:tcW w:w="2577" w:type="dxa"/>
            <w:tcBorders>
              <w:top w:val="single" w:sz="4" w:space="0" w:color="auto"/>
              <w:left w:val="double" w:sz="4" w:space="0" w:color="auto"/>
              <w:bottom w:val="double" w:sz="4" w:space="0" w:color="auto"/>
              <w:right w:val="double" w:sz="4" w:space="0" w:color="auto"/>
            </w:tcBorders>
            <w:shd w:val="clear" w:color="auto" w:fill="FFFFFF" w:themeFill="background1"/>
          </w:tcPr>
          <w:p w14:paraId="286F55AC" w14:textId="77777777" w:rsidR="00497092" w:rsidRPr="00644F20" w:rsidRDefault="00497092">
            <w:pPr>
              <w:spacing w:after="60" w:line="240" w:lineRule="auto"/>
              <w:rPr>
                <w:rFonts w:ascii="Times New Roman" w:hAnsi="Times New Roman" w:cs="Times New Roman"/>
                <w:lang w:val="sr-Cyrl-CS"/>
              </w:rPr>
            </w:pPr>
          </w:p>
        </w:tc>
        <w:tc>
          <w:tcPr>
            <w:tcW w:w="2070" w:type="dxa"/>
            <w:tcBorders>
              <w:top w:val="single" w:sz="4" w:space="0" w:color="auto"/>
              <w:left w:val="double" w:sz="4" w:space="0" w:color="auto"/>
              <w:bottom w:val="double" w:sz="4" w:space="0" w:color="auto"/>
              <w:right w:val="double" w:sz="4" w:space="0" w:color="auto"/>
            </w:tcBorders>
            <w:shd w:val="clear" w:color="auto" w:fill="FFFFFF" w:themeFill="background1"/>
          </w:tcPr>
          <w:p w14:paraId="5236696C"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5648EBBE" w14:textId="77777777" w:rsidTr="002F4AEF">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2496AE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 - Смањење угљеничног отиска локалних заједница применом принципа циркуларне економије у Р</w:t>
            </w:r>
            <w:r w:rsidR="002F4AEF" w:rsidRPr="00644F20">
              <w:rPr>
                <w:rFonts w:ascii="Times New Roman" w:hAnsi="Times New Roman" w:cs="Times New Roman"/>
                <w:lang w:val="sr-Cyrl-CS"/>
              </w:rPr>
              <w:t xml:space="preserve">епублици </w:t>
            </w:r>
            <w:r w:rsidRPr="00644F20">
              <w:rPr>
                <w:rFonts w:ascii="Times New Roman" w:hAnsi="Times New Roman" w:cs="Times New Roman"/>
                <w:lang w:val="sr-Cyrl-CS"/>
              </w:rPr>
              <w:t>С</w:t>
            </w:r>
            <w:r w:rsidR="002F4AEF" w:rsidRPr="00644F20">
              <w:rPr>
                <w:rFonts w:ascii="Times New Roman" w:hAnsi="Times New Roman" w:cs="Times New Roman"/>
                <w:lang w:val="sr-Cyrl-CS"/>
              </w:rPr>
              <w:t>рбији</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6597A98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0405-4011</w:t>
            </w:r>
          </w:p>
        </w:tc>
        <w:tc>
          <w:tcPr>
            <w:tcW w:w="2835" w:type="dxa"/>
            <w:tcBorders>
              <w:top w:val="single" w:sz="4" w:space="0" w:color="auto"/>
              <w:left w:val="double" w:sz="4" w:space="0" w:color="auto"/>
              <w:bottom w:val="double" w:sz="4" w:space="0" w:color="auto"/>
              <w:right w:val="double" w:sz="4" w:space="0" w:color="auto"/>
            </w:tcBorders>
            <w:shd w:val="clear" w:color="auto" w:fill="FFFFFF" w:themeFill="background1"/>
          </w:tcPr>
          <w:p w14:paraId="064FE9C1" w14:textId="77777777" w:rsidR="00497092" w:rsidRPr="00644F20" w:rsidRDefault="00497092">
            <w:pPr>
              <w:spacing w:after="60" w:line="240" w:lineRule="auto"/>
              <w:rPr>
                <w:rFonts w:ascii="Times New Roman" w:hAnsi="Times New Roman" w:cs="Times New Roman"/>
                <w:lang w:val="sr-Cyrl-CS"/>
              </w:rPr>
            </w:pPr>
          </w:p>
        </w:tc>
        <w:tc>
          <w:tcPr>
            <w:tcW w:w="2577" w:type="dxa"/>
            <w:tcBorders>
              <w:top w:val="single" w:sz="4" w:space="0" w:color="auto"/>
              <w:left w:val="double" w:sz="4" w:space="0" w:color="auto"/>
              <w:bottom w:val="double" w:sz="4" w:space="0" w:color="auto"/>
              <w:right w:val="double" w:sz="4" w:space="0" w:color="auto"/>
            </w:tcBorders>
            <w:shd w:val="clear" w:color="auto" w:fill="FFFFFF" w:themeFill="background1"/>
          </w:tcPr>
          <w:p w14:paraId="42C743B1" w14:textId="77777777" w:rsidR="00497092" w:rsidRPr="00644F20" w:rsidRDefault="00497092">
            <w:pPr>
              <w:spacing w:after="60" w:line="240" w:lineRule="auto"/>
              <w:rPr>
                <w:rFonts w:ascii="Times New Roman" w:hAnsi="Times New Roman" w:cs="Times New Roman"/>
                <w:lang w:val="sr-Cyrl-CS"/>
              </w:rPr>
            </w:pPr>
          </w:p>
        </w:tc>
        <w:tc>
          <w:tcPr>
            <w:tcW w:w="2070" w:type="dxa"/>
            <w:tcBorders>
              <w:top w:val="single" w:sz="4" w:space="0" w:color="auto"/>
              <w:left w:val="double" w:sz="4" w:space="0" w:color="auto"/>
              <w:bottom w:val="double" w:sz="4" w:space="0" w:color="auto"/>
              <w:right w:val="double" w:sz="4" w:space="0" w:color="auto"/>
            </w:tcBorders>
            <w:shd w:val="clear" w:color="auto" w:fill="FFFFFF" w:themeFill="background1"/>
          </w:tcPr>
          <w:p w14:paraId="717CA81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3.600</w:t>
            </w:r>
          </w:p>
        </w:tc>
      </w:tr>
    </w:tbl>
    <w:p w14:paraId="4688C831"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115"/>
        <w:gridCol w:w="1160"/>
        <w:gridCol w:w="2227"/>
        <w:gridCol w:w="1278"/>
        <w:gridCol w:w="1490"/>
        <w:gridCol w:w="1453"/>
        <w:gridCol w:w="931"/>
        <w:gridCol w:w="959"/>
        <w:gridCol w:w="939"/>
      </w:tblGrid>
      <w:tr w:rsidR="00497092" w:rsidRPr="00644F20" w14:paraId="45936B42"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0874D66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Назив активности:</w:t>
            </w:r>
          </w:p>
        </w:tc>
        <w:tc>
          <w:tcPr>
            <w:tcW w:w="45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5529FD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56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DC9B95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2"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ED82315"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58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4C6CCB8"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8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69A8A4D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05C942A0" w14:textId="77777777" w:rsidR="00497092" w:rsidRPr="00644F20" w:rsidRDefault="00497092">
            <w:pPr>
              <w:spacing w:after="60" w:line="240" w:lineRule="auto"/>
              <w:jc w:val="center"/>
              <w:rPr>
                <w:rFonts w:ascii="Times New Roman" w:hAnsi="Times New Roman" w:cs="Times New Roman"/>
                <w:lang w:val="sr-Cyrl-CS"/>
              </w:rPr>
            </w:pPr>
          </w:p>
        </w:tc>
        <w:tc>
          <w:tcPr>
            <w:tcW w:w="1478"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50D982B"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5E33F6B7"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4386A150"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EE747D7"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9BBCB6A"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4775FDA"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2A4E678"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B2A4CE1" w14:textId="77777777" w:rsidR="00497092" w:rsidRPr="00644F20" w:rsidRDefault="00497092">
            <w:pPr>
              <w:spacing w:after="0" w:line="240" w:lineRule="auto"/>
              <w:rPr>
                <w:rFonts w:ascii="Times New Roman" w:hAnsi="Times New Roman" w:cs="Times New Roman"/>
                <w:lang w:val="sr-Cyrl-CS"/>
              </w:rPr>
            </w:pPr>
          </w:p>
        </w:tc>
        <w:tc>
          <w:tcPr>
            <w:tcW w:w="488"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D431ED"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499"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8C10E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7297B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6A279690"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0A8CA82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1.4.1. Објављивање позива и селекција пријављених пројеката у складу са дефинисаним критеријумима</w:t>
            </w:r>
          </w:p>
        </w:tc>
        <w:tc>
          <w:tcPr>
            <w:tcW w:w="459" w:type="pct"/>
            <w:tcBorders>
              <w:top w:val="single" w:sz="4" w:space="0" w:color="auto"/>
              <w:left w:val="single" w:sz="4" w:space="0" w:color="auto"/>
              <w:bottom w:val="single" w:sz="4" w:space="0" w:color="auto"/>
              <w:right w:val="single" w:sz="4" w:space="0" w:color="auto"/>
            </w:tcBorders>
          </w:tcPr>
          <w:p w14:paraId="511B48D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69" w:type="pct"/>
            <w:tcBorders>
              <w:top w:val="single" w:sz="4" w:space="0" w:color="auto"/>
              <w:left w:val="single" w:sz="4" w:space="0" w:color="auto"/>
              <w:bottom w:val="single" w:sz="4" w:space="0" w:color="auto"/>
              <w:right w:val="single" w:sz="4" w:space="0" w:color="auto"/>
            </w:tcBorders>
          </w:tcPr>
          <w:p w14:paraId="1EC733AF" w14:textId="77777777" w:rsidR="00497092" w:rsidRPr="00644F20" w:rsidRDefault="002F45E1">
            <w:pPr>
              <w:spacing w:after="60" w:line="240" w:lineRule="auto"/>
              <w:rPr>
                <w:rStyle w:val="jlqj4b"/>
                <w:lang w:val="sr-Cyrl-CS"/>
              </w:rPr>
            </w:pPr>
            <w:r w:rsidRPr="00644F20">
              <w:rPr>
                <w:rStyle w:val="jlqj4b"/>
                <w:rFonts w:ascii="Times New Roman" w:hAnsi="Times New Roman" w:cs="Times New Roman"/>
                <w:lang w:val="sr-Cyrl-CS"/>
              </w:rPr>
              <w:t>УНДП</w:t>
            </w:r>
          </w:p>
          <w:p w14:paraId="5B167B8B" w14:textId="77777777" w:rsidR="00497092" w:rsidRPr="00644F20" w:rsidRDefault="002F45E1">
            <w:pPr>
              <w:spacing w:after="60" w:line="240" w:lineRule="auto"/>
              <w:rPr>
                <w:lang w:val="sr-Cyrl-CS"/>
              </w:rPr>
            </w:pPr>
            <w:r w:rsidRPr="00644F20">
              <w:rPr>
                <w:rStyle w:val="jlqj4b"/>
                <w:rFonts w:ascii="Times New Roman" w:hAnsi="Times New Roman" w:cs="Times New Roman"/>
                <w:lang w:val="sr-Cyrl-CS"/>
              </w:rPr>
              <w:t>Фонд за иновационе делатности</w:t>
            </w:r>
          </w:p>
          <w:p w14:paraId="088E5B7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Научноистраживачке организације</w:t>
            </w:r>
          </w:p>
          <w:p w14:paraId="5857A12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Привредни субјекти </w:t>
            </w:r>
          </w:p>
        </w:tc>
        <w:tc>
          <w:tcPr>
            <w:tcW w:w="462" w:type="pct"/>
            <w:tcBorders>
              <w:top w:val="single" w:sz="4" w:space="0" w:color="auto"/>
              <w:left w:val="single" w:sz="4" w:space="0" w:color="auto"/>
              <w:bottom w:val="single" w:sz="4" w:space="0" w:color="auto"/>
              <w:right w:val="single" w:sz="4" w:space="0" w:color="auto"/>
            </w:tcBorders>
          </w:tcPr>
          <w:p w14:paraId="34CDFC2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583" w:type="pct"/>
            <w:tcBorders>
              <w:top w:val="single" w:sz="4" w:space="0" w:color="auto"/>
              <w:left w:val="single" w:sz="4" w:space="0" w:color="auto"/>
              <w:bottom w:val="single" w:sz="4" w:space="0" w:color="auto"/>
              <w:right w:val="single" w:sz="4" w:space="0" w:color="auto"/>
            </w:tcBorders>
          </w:tcPr>
          <w:p w14:paraId="5D4E693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89" w:type="pct"/>
            <w:tcBorders>
              <w:top w:val="single" w:sz="4" w:space="0" w:color="auto"/>
              <w:left w:val="single" w:sz="4" w:space="0" w:color="auto"/>
              <w:bottom w:val="single" w:sz="4" w:space="0" w:color="auto"/>
              <w:right w:val="single" w:sz="4" w:space="0" w:color="auto"/>
            </w:tcBorders>
          </w:tcPr>
          <w:p w14:paraId="242713B0" w14:textId="77777777" w:rsidR="00497092" w:rsidRPr="00644F20" w:rsidRDefault="00497092">
            <w:pPr>
              <w:spacing w:after="60" w:line="240" w:lineRule="auto"/>
              <w:rPr>
                <w:rFonts w:ascii="Times New Roman" w:hAnsi="Times New Roman" w:cs="Times New Roman"/>
                <w:lang w:val="sr-Cyrl-CS"/>
              </w:rPr>
            </w:pPr>
          </w:p>
        </w:tc>
        <w:tc>
          <w:tcPr>
            <w:tcW w:w="488" w:type="pct"/>
            <w:tcBorders>
              <w:top w:val="single" w:sz="4" w:space="0" w:color="auto"/>
              <w:left w:val="single" w:sz="4" w:space="0" w:color="auto"/>
              <w:bottom w:val="single" w:sz="4" w:space="0" w:color="auto"/>
              <w:right w:val="single" w:sz="4" w:space="0" w:color="auto"/>
            </w:tcBorders>
          </w:tcPr>
          <w:p w14:paraId="0A2AFCF7" w14:textId="77777777" w:rsidR="00497092" w:rsidRPr="00644F20" w:rsidRDefault="00497092">
            <w:pPr>
              <w:spacing w:after="60" w:line="240" w:lineRule="auto"/>
              <w:rPr>
                <w:rFonts w:ascii="Times New Roman" w:hAnsi="Times New Roman" w:cs="Times New Roman"/>
                <w:lang w:val="sr-Cyrl-CS"/>
              </w:rPr>
            </w:pPr>
          </w:p>
        </w:tc>
        <w:tc>
          <w:tcPr>
            <w:tcW w:w="499" w:type="pct"/>
            <w:tcBorders>
              <w:top w:val="single" w:sz="4" w:space="0" w:color="auto"/>
              <w:left w:val="single" w:sz="4" w:space="0" w:color="auto"/>
              <w:bottom w:val="single" w:sz="4" w:space="0" w:color="auto"/>
              <w:right w:val="single" w:sz="4" w:space="0" w:color="auto"/>
            </w:tcBorders>
          </w:tcPr>
          <w:p w14:paraId="2E3741C9"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18E37C63"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58A09617"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0BC7FFC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1.4.2. Додела средстава изабраним пројектима и промоција резултата позива </w:t>
            </w:r>
          </w:p>
        </w:tc>
        <w:tc>
          <w:tcPr>
            <w:tcW w:w="459" w:type="pct"/>
            <w:tcBorders>
              <w:top w:val="single" w:sz="4" w:space="0" w:color="auto"/>
              <w:left w:val="single" w:sz="4" w:space="0" w:color="auto"/>
              <w:bottom w:val="single" w:sz="4" w:space="0" w:color="auto"/>
              <w:right w:val="single" w:sz="4" w:space="0" w:color="auto"/>
            </w:tcBorders>
          </w:tcPr>
          <w:p w14:paraId="12AC83F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69" w:type="pct"/>
            <w:tcBorders>
              <w:top w:val="single" w:sz="4" w:space="0" w:color="auto"/>
              <w:left w:val="single" w:sz="4" w:space="0" w:color="auto"/>
              <w:bottom w:val="single" w:sz="4" w:space="0" w:color="auto"/>
              <w:right w:val="single" w:sz="4" w:space="0" w:color="auto"/>
            </w:tcBorders>
          </w:tcPr>
          <w:p w14:paraId="7F4F21D8" w14:textId="77777777" w:rsidR="00497092" w:rsidRPr="00644F20" w:rsidRDefault="00497092">
            <w:pPr>
              <w:spacing w:after="60" w:line="240" w:lineRule="auto"/>
              <w:rPr>
                <w:rFonts w:ascii="Times New Roman" w:hAnsi="Times New Roman" w:cs="Times New Roman"/>
                <w:lang w:val="sr-Cyrl-CS"/>
              </w:rPr>
            </w:pPr>
          </w:p>
        </w:tc>
        <w:tc>
          <w:tcPr>
            <w:tcW w:w="462" w:type="pct"/>
            <w:tcBorders>
              <w:top w:val="single" w:sz="4" w:space="0" w:color="auto"/>
              <w:left w:val="single" w:sz="4" w:space="0" w:color="auto"/>
              <w:bottom w:val="single" w:sz="4" w:space="0" w:color="auto"/>
              <w:right w:val="single" w:sz="4" w:space="0" w:color="auto"/>
            </w:tcBorders>
          </w:tcPr>
          <w:p w14:paraId="19D2657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583" w:type="pct"/>
            <w:tcBorders>
              <w:top w:val="single" w:sz="4" w:space="0" w:color="auto"/>
              <w:left w:val="single" w:sz="4" w:space="0" w:color="auto"/>
              <w:bottom w:val="single" w:sz="4" w:space="0" w:color="auto"/>
              <w:right w:val="single" w:sz="4" w:space="0" w:color="auto"/>
            </w:tcBorders>
          </w:tcPr>
          <w:p w14:paraId="378C365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89" w:type="pct"/>
            <w:tcBorders>
              <w:top w:val="single" w:sz="4" w:space="0" w:color="auto"/>
              <w:left w:val="single" w:sz="4" w:space="0" w:color="auto"/>
              <w:bottom w:val="single" w:sz="4" w:space="0" w:color="auto"/>
              <w:right w:val="single" w:sz="4" w:space="0" w:color="auto"/>
            </w:tcBorders>
          </w:tcPr>
          <w:p w14:paraId="190E7257" w14:textId="77777777" w:rsidR="00497092" w:rsidRPr="00644F20" w:rsidRDefault="00497092">
            <w:pPr>
              <w:spacing w:after="60" w:line="240" w:lineRule="auto"/>
              <w:rPr>
                <w:rFonts w:ascii="Times New Roman" w:hAnsi="Times New Roman" w:cs="Times New Roman"/>
                <w:lang w:val="sr-Cyrl-CS"/>
              </w:rPr>
            </w:pPr>
          </w:p>
        </w:tc>
        <w:tc>
          <w:tcPr>
            <w:tcW w:w="488" w:type="pct"/>
            <w:tcBorders>
              <w:top w:val="single" w:sz="4" w:space="0" w:color="auto"/>
              <w:left w:val="single" w:sz="4" w:space="0" w:color="auto"/>
              <w:bottom w:val="single" w:sz="4" w:space="0" w:color="auto"/>
              <w:right w:val="single" w:sz="4" w:space="0" w:color="auto"/>
            </w:tcBorders>
          </w:tcPr>
          <w:p w14:paraId="5A45444D" w14:textId="77777777" w:rsidR="00497092" w:rsidRPr="00644F20" w:rsidRDefault="00497092">
            <w:pPr>
              <w:spacing w:after="60" w:line="240" w:lineRule="auto"/>
              <w:rPr>
                <w:rFonts w:ascii="Times New Roman" w:hAnsi="Times New Roman" w:cs="Times New Roman"/>
                <w:lang w:val="sr-Cyrl-CS"/>
              </w:rPr>
            </w:pPr>
          </w:p>
        </w:tc>
        <w:tc>
          <w:tcPr>
            <w:tcW w:w="499" w:type="pct"/>
            <w:tcBorders>
              <w:top w:val="single" w:sz="4" w:space="0" w:color="auto"/>
              <w:left w:val="single" w:sz="4" w:space="0" w:color="auto"/>
              <w:bottom w:val="single" w:sz="4" w:space="0" w:color="auto"/>
              <w:right w:val="single" w:sz="4" w:space="0" w:color="auto"/>
            </w:tcBorders>
          </w:tcPr>
          <w:p w14:paraId="2E5A2FDD"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54EB0EB8" w14:textId="77777777" w:rsidR="00497092" w:rsidRPr="00644F20" w:rsidRDefault="00497092">
            <w:pPr>
              <w:spacing w:after="60" w:line="240" w:lineRule="auto"/>
              <w:rPr>
                <w:rFonts w:ascii="Times New Roman" w:hAnsi="Times New Roman" w:cs="Times New Roman"/>
                <w:lang w:val="sr-Cyrl-CS"/>
              </w:rPr>
            </w:pPr>
          </w:p>
        </w:tc>
      </w:tr>
    </w:tbl>
    <w:p w14:paraId="23AAC3C1" w14:textId="77777777" w:rsidR="00497092" w:rsidRPr="00644F20" w:rsidRDefault="00497092">
      <w:pPr>
        <w:rPr>
          <w:rFonts w:ascii="Times New Roman" w:hAnsi="Times New Roman" w:cs="Times New Roman"/>
          <w:lang w:val="sr-Cyrl-CS"/>
        </w:rPr>
      </w:pPr>
    </w:p>
    <w:tbl>
      <w:tblPr>
        <w:tblStyle w:val="TableGrid"/>
        <w:tblW w:w="12781" w:type="dxa"/>
        <w:tblInd w:w="10" w:type="dxa"/>
        <w:tblLayout w:type="fixed"/>
        <w:tblLook w:val="04A0" w:firstRow="1" w:lastRow="0" w:firstColumn="1" w:lastColumn="0" w:noHBand="0" w:noVBand="1"/>
      </w:tblPr>
      <w:tblGrid>
        <w:gridCol w:w="2780"/>
        <w:gridCol w:w="1077"/>
        <w:gridCol w:w="2136"/>
        <w:gridCol w:w="1256"/>
        <w:gridCol w:w="1257"/>
        <w:gridCol w:w="1256"/>
        <w:gridCol w:w="1382"/>
        <w:gridCol w:w="1637"/>
      </w:tblGrid>
      <w:tr w:rsidR="00497092" w:rsidRPr="00644F20" w14:paraId="37DAA589" w14:textId="77777777" w:rsidTr="002B261C">
        <w:trPr>
          <w:trHeight w:val="298"/>
        </w:trPr>
        <w:tc>
          <w:tcPr>
            <w:tcW w:w="12781"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tcPr>
          <w:p w14:paraId="69247CF5"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Посебан циљ 2: Подршка локалним самоуправама у стварању циркуларних заједница</w:t>
            </w:r>
          </w:p>
        </w:tc>
      </w:tr>
      <w:tr w:rsidR="00497092" w:rsidRPr="00644F20" w14:paraId="4B5525C9" w14:textId="77777777" w:rsidTr="002B261C">
        <w:trPr>
          <w:trHeight w:val="298"/>
        </w:trPr>
        <w:tc>
          <w:tcPr>
            <w:tcW w:w="12781"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vAlign w:val="center"/>
          </w:tcPr>
          <w:p w14:paraId="5A0D4D2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координацију и извештавање:</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p>
        </w:tc>
      </w:tr>
      <w:tr w:rsidR="00497092" w:rsidRPr="00644F20" w14:paraId="421EF840" w14:textId="77777777" w:rsidTr="002B261C">
        <w:trPr>
          <w:trHeight w:val="536"/>
        </w:trPr>
        <w:tc>
          <w:tcPr>
            <w:tcW w:w="278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C97635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посебног циља </w:t>
            </w:r>
            <w:r w:rsidRPr="00644F20">
              <w:rPr>
                <w:rFonts w:ascii="Times New Roman" w:hAnsi="Times New Roman" w:cs="Times New Roman"/>
                <w:i/>
                <w:lang w:val="sr-Cyrl-CS"/>
              </w:rPr>
              <w:t>(показатељ исхода)</w:t>
            </w:r>
          </w:p>
        </w:tc>
        <w:tc>
          <w:tcPr>
            <w:tcW w:w="107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6CAD9D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5F141A1E" w14:textId="77777777" w:rsidR="00497092" w:rsidRPr="00644F20" w:rsidRDefault="00497092">
            <w:pPr>
              <w:spacing w:after="60" w:line="240" w:lineRule="auto"/>
              <w:rPr>
                <w:rFonts w:ascii="Times New Roman" w:hAnsi="Times New Roman" w:cs="Times New Roman"/>
                <w:lang w:val="sr-Cyrl-CS"/>
              </w:rPr>
            </w:pPr>
          </w:p>
        </w:tc>
        <w:tc>
          <w:tcPr>
            <w:tcW w:w="213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13AEB6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25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C65CDF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25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89A9C9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25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E7671C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2022.</w:t>
            </w:r>
          </w:p>
        </w:tc>
        <w:tc>
          <w:tcPr>
            <w:tcW w:w="1382"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0F78AC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2023.</w:t>
            </w:r>
          </w:p>
        </w:tc>
        <w:tc>
          <w:tcPr>
            <w:tcW w:w="1634"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5392CF1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2024.</w:t>
            </w:r>
          </w:p>
        </w:tc>
      </w:tr>
      <w:tr w:rsidR="00497092" w:rsidRPr="00644F20" w14:paraId="64599BE0" w14:textId="77777777" w:rsidTr="002B261C">
        <w:trPr>
          <w:trHeight w:val="237"/>
        </w:trPr>
        <w:tc>
          <w:tcPr>
            <w:tcW w:w="2780" w:type="dxa"/>
            <w:tcBorders>
              <w:top w:val="double" w:sz="4" w:space="0" w:color="auto"/>
              <w:left w:val="single" w:sz="4" w:space="0" w:color="auto"/>
              <w:bottom w:val="single" w:sz="4" w:space="0" w:color="auto"/>
              <w:right w:val="single" w:sz="4" w:space="0" w:color="auto"/>
            </w:tcBorders>
            <w:shd w:val="clear" w:color="auto" w:fill="FFFFFF" w:themeFill="background1"/>
          </w:tcPr>
          <w:p w14:paraId="39267BC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ЈЛС којима је кроз програм пружена подршка у увођењу концепта ЦЕ</w:t>
            </w:r>
          </w:p>
        </w:tc>
        <w:tc>
          <w:tcPr>
            <w:tcW w:w="1077" w:type="dxa"/>
            <w:tcBorders>
              <w:top w:val="double" w:sz="4" w:space="0" w:color="auto"/>
              <w:left w:val="single" w:sz="4" w:space="0" w:color="auto"/>
              <w:bottom w:val="single" w:sz="4" w:space="0" w:color="auto"/>
              <w:right w:val="single" w:sz="4" w:space="0" w:color="auto"/>
            </w:tcBorders>
            <w:shd w:val="clear" w:color="auto" w:fill="FFFFFF" w:themeFill="background1"/>
          </w:tcPr>
          <w:p w14:paraId="1466600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136" w:type="dxa"/>
            <w:tcBorders>
              <w:top w:val="double" w:sz="4" w:space="0" w:color="auto"/>
              <w:left w:val="single" w:sz="4" w:space="0" w:color="auto"/>
              <w:bottom w:val="single" w:sz="4" w:space="0" w:color="auto"/>
              <w:right w:val="single" w:sz="4" w:space="0" w:color="auto"/>
            </w:tcBorders>
            <w:shd w:val="clear" w:color="auto" w:fill="FFFFFF" w:themeFill="background1"/>
          </w:tcPr>
          <w:p w14:paraId="367F8A6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256" w:type="dxa"/>
            <w:tcBorders>
              <w:top w:val="double" w:sz="4" w:space="0" w:color="auto"/>
              <w:left w:val="single" w:sz="4" w:space="0" w:color="auto"/>
              <w:bottom w:val="single" w:sz="4" w:space="0" w:color="auto"/>
              <w:right w:val="single" w:sz="4" w:space="0" w:color="auto"/>
            </w:tcBorders>
            <w:shd w:val="clear" w:color="auto" w:fill="FFFFFF" w:themeFill="background1"/>
          </w:tcPr>
          <w:p w14:paraId="55ED1CF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57" w:type="dxa"/>
            <w:tcBorders>
              <w:top w:val="double" w:sz="4" w:space="0" w:color="auto"/>
              <w:left w:val="single" w:sz="4" w:space="0" w:color="auto"/>
              <w:bottom w:val="single" w:sz="4" w:space="0" w:color="auto"/>
              <w:right w:val="single" w:sz="4" w:space="0" w:color="auto"/>
            </w:tcBorders>
            <w:shd w:val="clear" w:color="auto" w:fill="FFFFFF" w:themeFill="background1"/>
          </w:tcPr>
          <w:p w14:paraId="047CBBC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256" w:type="dxa"/>
            <w:tcBorders>
              <w:top w:val="double" w:sz="4" w:space="0" w:color="auto"/>
              <w:left w:val="single" w:sz="4" w:space="0" w:color="auto"/>
              <w:bottom w:val="single" w:sz="4" w:space="0" w:color="auto"/>
              <w:right w:val="single" w:sz="4" w:space="0" w:color="auto"/>
            </w:tcBorders>
            <w:shd w:val="clear" w:color="auto" w:fill="FFFFFF" w:themeFill="background1"/>
          </w:tcPr>
          <w:p w14:paraId="403D3DF4"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382" w:type="dxa"/>
            <w:tcBorders>
              <w:top w:val="double" w:sz="4" w:space="0" w:color="auto"/>
              <w:left w:val="single" w:sz="4" w:space="0" w:color="auto"/>
              <w:bottom w:val="single" w:sz="4" w:space="0" w:color="auto"/>
              <w:right w:val="single" w:sz="4" w:space="0" w:color="auto"/>
            </w:tcBorders>
            <w:shd w:val="clear" w:color="auto" w:fill="FFFFFF" w:themeFill="background1"/>
          </w:tcPr>
          <w:p w14:paraId="087E8001"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634" w:type="dxa"/>
            <w:tcBorders>
              <w:top w:val="double" w:sz="4" w:space="0" w:color="auto"/>
              <w:left w:val="single" w:sz="4" w:space="0" w:color="auto"/>
              <w:bottom w:val="single" w:sz="4" w:space="0" w:color="auto"/>
              <w:right w:val="double" w:sz="4" w:space="0" w:color="auto"/>
            </w:tcBorders>
            <w:shd w:val="clear" w:color="auto" w:fill="FFFFFF" w:themeFill="background1"/>
          </w:tcPr>
          <w:p w14:paraId="780148F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50</w:t>
            </w:r>
          </w:p>
        </w:tc>
      </w:tr>
    </w:tbl>
    <w:p w14:paraId="5CBDC05B" w14:textId="77777777" w:rsidR="00497092" w:rsidRPr="00644F20" w:rsidRDefault="00497092">
      <w:pPr>
        <w:tabs>
          <w:tab w:val="left" w:pos="1940"/>
        </w:tabs>
        <w:spacing w:after="240" w:line="240" w:lineRule="auto"/>
        <w:rPr>
          <w:rFonts w:ascii="Times New Roman" w:hAnsi="Times New Roman" w:cs="Times New Roman"/>
          <w:lang w:val="sr-Cyrl-CS"/>
        </w:rPr>
      </w:pPr>
    </w:p>
    <w:p w14:paraId="7689570B" w14:textId="77777777" w:rsidR="005320FF" w:rsidRPr="00644F20" w:rsidRDefault="005320FF">
      <w:pPr>
        <w:tabs>
          <w:tab w:val="left" w:pos="1940"/>
        </w:tabs>
        <w:spacing w:after="240" w:line="240" w:lineRule="auto"/>
        <w:rPr>
          <w:rFonts w:ascii="Times New Roman" w:hAnsi="Times New Roman" w:cs="Times New Roman"/>
          <w:lang w:val="sr-Cyrl-CS"/>
        </w:rPr>
      </w:pPr>
    </w:p>
    <w:p w14:paraId="0DDD4818" w14:textId="77777777" w:rsidR="005320FF" w:rsidRPr="00644F20" w:rsidRDefault="005320FF">
      <w:pPr>
        <w:tabs>
          <w:tab w:val="left" w:pos="1940"/>
        </w:tabs>
        <w:spacing w:after="240" w:line="240" w:lineRule="auto"/>
        <w:rPr>
          <w:rFonts w:ascii="Times New Roman" w:hAnsi="Times New Roman" w:cs="Times New Roman"/>
          <w:lang w:val="sr-Cyrl-CS"/>
        </w:rPr>
      </w:pPr>
    </w:p>
    <w:tbl>
      <w:tblPr>
        <w:tblStyle w:val="TableGrid"/>
        <w:tblW w:w="13655" w:type="dxa"/>
        <w:tblInd w:w="10" w:type="dxa"/>
        <w:tblLayout w:type="fixed"/>
        <w:tblLook w:val="04A0" w:firstRow="1" w:lastRow="0" w:firstColumn="1" w:lastColumn="0" w:noHBand="0" w:noVBand="1"/>
      </w:tblPr>
      <w:tblGrid>
        <w:gridCol w:w="3149"/>
        <w:gridCol w:w="1202"/>
        <w:gridCol w:w="2410"/>
        <w:gridCol w:w="141"/>
        <w:gridCol w:w="1276"/>
        <w:gridCol w:w="1418"/>
        <w:gridCol w:w="1417"/>
        <w:gridCol w:w="1370"/>
        <w:gridCol w:w="1272"/>
      </w:tblGrid>
      <w:tr w:rsidR="00497092" w:rsidRPr="00644F20" w14:paraId="570D52BA" w14:textId="77777777" w:rsidTr="002B261C">
        <w:trPr>
          <w:trHeight w:val="169"/>
        </w:trPr>
        <w:tc>
          <w:tcPr>
            <w:tcW w:w="1365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7D23875F"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lastRenderedPageBreak/>
              <w:t xml:space="preserve">Мера 2.1: Подршка одабраним јединицама локалне самоуправе у припреми локалних мапа пута за циркуларну економију </w:t>
            </w:r>
          </w:p>
        </w:tc>
      </w:tr>
      <w:tr w:rsidR="00497092" w:rsidRPr="00644F20" w14:paraId="64318439" w14:textId="77777777" w:rsidTr="002B261C">
        <w:trPr>
          <w:trHeight w:val="300"/>
        </w:trPr>
        <w:tc>
          <w:tcPr>
            <w:tcW w:w="1365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52B964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реализацију:</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r w:rsidRPr="00644F20">
              <w:rPr>
                <w:rFonts w:ascii="Times New Roman" w:eastAsia="Times New Roman" w:hAnsi="Times New Roman" w:cs="Times New Roman"/>
                <w:lang w:val="sr-Cyrl-CS"/>
              </w:rPr>
              <w:t xml:space="preserve"> </w:t>
            </w:r>
          </w:p>
        </w:tc>
      </w:tr>
      <w:tr w:rsidR="00497092" w:rsidRPr="00644F20" w14:paraId="0AADD769" w14:textId="77777777" w:rsidTr="002B261C">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AAA7BC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Период спровођења: 2022 – 2024.</w:t>
            </w:r>
          </w:p>
        </w:tc>
        <w:tc>
          <w:tcPr>
            <w:tcW w:w="675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95AC7B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0CFD94A5" w14:textId="77777777" w:rsidTr="002B261C">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A2D95A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75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1D2546C"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317B11FD" w14:textId="77777777" w:rsidTr="002B261C">
        <w:trPr>
          <w:trHeight w:val="955"/>
        </w:trPr>
        <w:tc>
          <w:tcPr>
            <w:tcW w:w="314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73C368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202"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C041EB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251C799A" w14:textId="77777777" w:rsidR="00497092" w:rsidRPr="00644F20" w:rsidRDefault="00497092">
            <w:pPr>
              <w:spacing w:after="60" w:line="240" w:lineRule="auto"/>
              <w:rPr>
                <w:rFonts w:ascii="Times New Roman" w:hAnsi="Times New Roman" w:cs="Times New Roman"/>
                <w:lang w:val="sr-Cyrl-CS"/>
              </w:rPr>
            </w:pPr>
          </w:p>
        </w:tc>
        <w:tc>
          <w:tcPr>
            <w:tcW w:w="241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071D83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417"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A80BCE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7DCAF1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4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83684E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370"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0E96B4D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1272"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46A48B2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4D7FC5D5" w14:textId="77777777" w:rsidTr="002B261C">
        <w:trPr>
          <w:trHeight w:val="304"/>
        </w:trPr>
        <w:tc>
          <w:tcPr>
            <w:tcW w:w="3149" w:type="dxa"/>
            <w:tcBorders>
              <w:top w:val="double" w:sz="4" w:space="0" w:color="auto"/>
              <w:left w:val="single" w:sz="4" w:space="0" w:color="auto"/>
              <w:bottom w:val="double" w:sz="4" w:space="0" w:color="auto"/>
              <w:right w:val="single" w:sz="4" w:space="0" w:color="auto"/>
            </w:tcBorders>
            <w:shd w:val="clear" w:color="auto" w:fill="FFFFFF" w:themeFill="background1"/>
          </w:tcPr>
          <w:p w14:paraId="596DE0F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ЈЛС зa које су израђене локалне мапе пута</w:t>
            </w:r>
          </w:p>
        </w:tc>
        <w:tc>
          <w:tcPr>
            <w:tcW w:w="1202" w:type="dxa"/>
            <w:tcBorders>
              <w:top w:val="double" w:sz="4" w:space="0" w:color="auto"/>
              <w:left w:val="single" w:sz="4" w:space="0" w:color="auto"/>
              <w:bottom w:val="double" w:sz="4" w:space="0" w:color="auto"/>
              <w:right w:val="single" w:sz="4" w:space="0" w:color="auto"/>
            </w:tcBorders>
            <w:shd w:val="clear" w:color="auto" w:fill="FFFFFF" w:themeFill="background1"/>
          </w:tcPr>
          <w:p w14:paraId="675B42B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10" w:type="dxa"/>
            <w:tcBorders>
              <w:top w:val="double" w:sz="4" w:space="0" w:color="auto"/>
              <w:left w:val="single" w:sz="4" w:space="0" w:color="auto"/>
              <w:bottom w:val="double" w:sz="4" w:space="0" w:color="auto"/>
              <w:right w:val="single" w:sz="4" w:space="0" w:color="auto"/>
            </w:tcBorders>
            <w:shd w:val="clear" w:color="auto" w:fill="FFFFFF" w:themeFill="background1"/>
          </w:tcPr>
          <w:p w14:paraId="331B0CB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417"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2FC2D49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6061989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1B27B18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w:t>
            </w:r>
          </w:p>
        </w:tc>
        <w:tc>
          <w:tcPr>
            <w:tcW w:w="1370" w:type="dxa"/>
            <w:tcBorders>
              <w:top w:val="double" w:sz="4" w:space="0" w:color="auto"/>
              <w:left w:val="single" w:sz="4" w:space="0" w:color="auto"/>
              <w:bottom w:val="double" w:sz="4" w:space="0" w:color="auto"/>
              <w:right w:val="double" w:sz="4" w:space="0" w:color="auto"/>
            </w:tcBorders>
            <w:shd w:val="clear" w:color="auto" w:fill="FFFFFF" w:themeFill="background1"/>
          </w:tcPr>
          <w:p w14:paraId="5CD12A67"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3</w:t>
            </w:r>
          </w:p>
        </w:tc>
        <w:tc>
          <w:tcPr>
            <w:tcW w:w="1272" w:type="dxa"/>
            <w:tcBorders>
              <w:top w:val="double" w:sz="4" w:space="0" w:color="auto"/>
              <w:left w:val="single" w:sz="4" w:space="0" w:color="auto"/>
              <w:bottom w:val="double" w:sz="4" w:space="0" w:color="auto"/>
              <w:right w:val="double" w:sz="4" w:space="0" w:color="auto"/>
            </w:tcBorders>
            <w:shd w:val="clear" w:color="auto" w:fill="FFFFFF" w:themeFill="background1"/>
          </w:tcPr>
          <w:p w14:paraId="5F54A661"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5</w:t>
            </w:r>
          </w:p>
        </w:tc>
      </w:tr>
    </w:tbl>
    <w:p w14:paraId="39D55A1D" w14:textId="77777777" w:rsidR="00497092" w:rsidRPr="00644F20" w:rsidRDefault="00497092">
      <w:pPr>
        <w:rPr>
          <w:rFonts w:ascii="Times New Roman" w:hAnsi="Times New Roman" w:cs="Times New Roman"/>
          <w:lang w:val="sr-Cyrl-CS"/>
        </w:rPr>
      </w:pPr>
    </w:p>
    <w:tbl>
      <w:tblPr>
        <w:tblStyle w:val="TableGrid"/>
        <w:tblW w:w="13655" w:type="dxa"/>
        <w:tblInd w:w="10" w:type="dxa"/>
        <w:tblLayout w:type="fixed"/>
        <w:tblLook w:val="04A0" w:firstRow="1" w:lastRow="0" w:firstColumn="1" w:lastColumn="0" w:noHBand="0" w:noVBand="1"/>
      </w:tblPr>
      <w:tblGrid>
        <w:gridCol w:w="3665"/>
        <w:gridCol w:w="2778"/>
        <w:gridCol w:w="2869"/>
        <w:gridCol w:w="2543"/>
        <w:gridCol w:w="1800"/>
      </w:tblGrid>
      <w:tr w:rsidR="00497092" w:rsidRPr="00644F20" w14:paraId="1307DB9F" w14:textId="77777777" w:rsidTr="002B261C">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48EEED4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11121929"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7E5BF53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28DBF99B" w14:textId="77777777" w:rsidR="00497092" w:rsidRPr="00644F20" w:rsidRDefault="00497092">
            <w:pPr>
              <w:spacing w:after="60" w:line="240" w:lineRule="auto"/>
              <w:rPr>
                <w:rFonts w:ascii="Times New Roman" w:hAnsi="Times New Roman" w:cs="Times New Roman"/>
                <w:lang w:val="sr-Cyrl-CS"/>
              </w:rPr>
            </w:pPr>
          </w:p>
        </w:tc>
        <w:tc>
          <w:tcPr>
            <w:tcW w:w="721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A037E10"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577D2EE7" w14:textId="77777777" w:rsidTr="002B261C">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2F8111E5"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05983B56"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290E1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0F270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180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6593618"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0F7BDF11" w14:textId="77777777" w:rsidTr="002B261C">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87D3B3E" w14:textId="77777777" w:rsidR="00497092" w:rsidRPr="00644F20" w:rsidRDefault="002F45E1" w:rsidP="00691B7A">
            <w:pPr>
              <w:spacing w:after="60" w:line="240" w:lineRule="auto"/>
              <w:rPr>
                <w:rFonts w:ascii="Times New Roman" w:hAnsi="Times New Roman" w:cs="Times New Roman"/>
                <w:lang w:val="sr-Cyrl-CS"/>
              </w:rPr>
            </w:pPr>
            <w:r w:rsidRPr="00644F20">
              <w:rPr>
                <w:rFonts w:ascii="Times New Roman" w:hAnsi="Times New Roman" w:cs="Times New Roman"/>
                <w:lang w:val="sr-Cyrl-CS"/>
              </w:rPr>
              <w:t>01-Приходи из буџета-Смањење угљеничног отиска локалних заједница применом принципа циркуларне економије у Р</w:t>
            </w:r>
            <w:r w:rsidR="00691B7A" w:rsidRPr="00644F20">
              <w:rPr>
                <w:rFonts w:ascii="Times New Roman" w:hAnsi="Times New Roman" w:cs="Times New Roman"/>
                <w:lang w:val="sr-Cyrl-CS"/>
              </w:rPr>
              <w:t xml:space="preserve">епублици  Србији </w:t>
            </w:r>
          </w:p>
        </w:tc>
        <w:tc>
          <w:tcPr>
            <w:tcW w:w="2778" w:type="dxa"/>
            <w:vMerge w:val="restart"/>
            <w:tcBorders>
              <w:top w:val="double" w:sz="4" w:space="0" w:color="auto"/>
              <w:left w:val="double" w:sz="4" w:space="0" w:color="auto"/>
              <w:bottom w:val="double" w:sz="4" w:space="0" w:color="auto"/>
              <w:right w:val="double" w:sz="4" w:space="0" w:color="auto"/>
            </w:tcBorders>
            <w:shd w:val="clear" w:color="auto" w:fill="FFFFFF" w:themeFill="background1"/>
          </w:tcPr>
          <w:p w14:paraId="7756A5D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0405-4011</w:t>
            </w: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522628A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1.600</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1CF2D4B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1.600</w:t>
            </w:r>
          </w:p>
        </w:tc>
        <w:tc>
          <w:tcPr>
            <w:tcW w:w="1800" w:type="dxa"/>
            <w:tcBorders>
              <w:top w:val="single" w:sz="4" w:space="0" w:color="auto"/>
              <w:left w:val="double" w:sz="4" w:space="0" w:color="auto"/>
              <w:bottom w:val="double" w:sz="4" w:space="0" w:color="auto"/>
              <w:right w:val="double" w:sz="4" w:space="0" w:color="auto"/>
            </w:tcBorders>
            <w:shd w:val="clear" w:color="auto" w:fill="FFFFFF" w:themeFill="background1"/>
          </w:tcPr>
          <w:p w14:paraId="2AD6DA2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1.700</w:t>
            </w:r>
          </w:p>
        </w:tc>
      </w:tr>
      <w:tr w:rsidR="00497092" w:rsidRPr="00644F20" w14:paraId="29DE6240" w14:textId="77777777" w:rsidTr="002B261C">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1E293AF0" w14:textId="77777777" w:rsidR="00497092" w:rsidRPr="00644F20" w:rsidRDefault="00497092">
            <w:pPr>
              <w:spacing w:after="60" w:line="240" w:lineRule="auto"/>
              <w:rPr>
                <w:rFonts w:ascii="Times New Roman" w:hAnsi="Times New Roman" w:cs="Times New Roman"/>
                <w:lang w:val="sr-Cyrl-CS"/>
              </w:rPr>
            </w:pPr>
          </w:p>
        </w:tc>
        <w:tc>
          <w:tcPr>
            <w:tcW w:w="2778" w:type="dxa"/>
            <w:vMerge/>
            <w:tcBorders>
              <w:top w:val="double" w:sz="4" w:space="0" w:color="auto"/>
              <w:left w:val="double" w:sz="4" w:space="0" w:color="auto"/>
              <w:bottom w:val="double" w:sz="4" w:space="0" w:color="auto"/>
              <w:right w:val="double" w:sz="4" w:space="0" w:color="auto"/>
            </w:tcBorders>
            <w:vAlign w:val="center"/>
          </w:tcPr>
          <w:p w14:paraId="2EC6BFA9"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19B39242"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18FEBBFB" w14:textId="77777777" w:rsidR="00497092" w:rsidRPr="00644F20" w:rsidRDefault="00497092">
            <w:pPr>
              <w:spacing w:after="60" w:line="240" w:lineRule="auto"/>
              <w:rPr>
                <w:rFonts w:ascii="Times New Roman" w:hAnsi="Times New Roman" w:cs="Times New Roman"/>
                <w:lang w:val="sr-Cyrl-CS"/>
              </w:rPr>
            </w:pPr>
          </w:p>
        </w:tc>
        <w:tc>
          <w:tcPr>
            <w:tcW w:w="1800" w:type="dxa"/>
            <w:tcBorders>
              <w:top w:val="single" w:sz="4" w:space="0" w:color="auto"/>
              <w:left w:val="double" w:sz="4" w:space="0" w:color="auto"/>
              <w:bottom w:val="double" w:sz="4" w:space="0" w:color="auto"/>
              <w:right w:val="double" w:sz="4" w:space="0" w:color="auto"/>
            </w:tcBorders>
            <w:shd w:val="clear" w:color="auto" w:fill="FFFFFF" w:themeFill="background1"/>
          </w:tcPr>
          <w:p w14:paraId="7F7E4307" w14:textId="77777777" w:rsidR="00497092" w:rsidRPr="00644F20" w:rsidRDefault="00497092">
            <w:pPr>
              <w:spacing w:after="60" w:line="240" w:lineRule="auto"/>
              <w:rPr>
                <w:rFonts w:ascii="Times New Roman" w:hAnsi="Times New Roman" w:cs="Times New Roman"/>
                <w:lang w:val="sr-Cyrl-CS"/>
              </w:rPr>
            </w:pPr>
          </w:p>
        </w:tc>
      </w:tr>
    </w:tbl>
    <w:p w14:paraId="536BEAB8"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451"/>
        <w:gridCol w:w="1160"/>
        <w:gridCol w:w="1339"/>
        <w:gridCol w:w="1278"/>
        <w:gridCol w:w="1490"/>
        <w:gridCol w:w="1453"/>
        <w:gridCol w:w="1164"/>
        <w:gridCol w:w="1134"/>
        <w:gridCol w:w="1083"/>
      </w:tblGrid>
      <w:tr w:rsidR="00497092" w:rsidRPr="00644F20" w14:paraId="72DE252F" w14:textId="77777777">
        <w:trPr>
          <w:trHeight w:val="140"/>
        </w:trPr>
        <w:tc>
          <w:tcPr>
            <w:tcW w:w="1014"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6E187AE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461"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C2F8C2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512"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721138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2"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AF70DF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15"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2DE9F9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61"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19DDAF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1FE637E2" w14:textId="77777777" w:rsidR="00497092" w:rsidRPr="00644F20" w:rsidRDefault="00497092">
            <w:pPr>
              <w:spacing w:after="60" w:line="240" w:lineRule="auto"/>
              <w:jc w:val="center"/>
              <w:rPr>
                <w:rFonts w:ascii="Times New Roman" w:hAnsi="Times New Roman" w:cs="Times New Roman"/>
                <w:lang w:val="sr-Cyrl-CS"/>
              </w:rPr>
            </w:pPr>
          </w:p>
        </w:tc>
        <w:tc>
          <w:tcPr>
            <w:tcW w:w="1476"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DFAA022"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6D1598D2"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4F4562BA"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33E94DB7"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8573EA6"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60B1F9F"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3C9153D"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440B660" w14:textId="77777777" w:rsidR="00497092" w:rsidRPr="00644F20" w:rsidRDefault="00497092">
            <w:pPr>
              <w:spacing w:after="0" w:line="240" w:lineRule="auto"/>
              <w:rPr>
                <w:rFonts w:ascii="Times New Roman" w:hAnsi="Times New Roman" w:cs="Times New Roman"/>
                <w:lang w:val="sr-Cyrl-CS"/>
              </w:rPr>
            </w:pPr>
          </w:p>
        </w:tc>
        <w:tc>
          <w:tcPr>
            <w:tcW w:w="517"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1A16C5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489"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C571C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469"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AA15DD"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5DAC235E" w14:textId="77777777">
        <w:trPr>
          <w:trHeight w:val="543"/>
        </w:trPr>
        <w:tc>
          <w:tcPr>
            <w:tcW w:w="1014" w:type="pct"/>
            <w:tcBorders>
              <w:top w:val="single" w:sz="4" w:space="0" w:color="auto"/>
              <w:left w:val="double" w:sz="4" w:space="0" w:color="auto"/>
              <w:bottom w:val="single" w:sz="4" w:space="0" w:color="auto"/>
              <w:right w:val="single" w:sz="4" w:space="0" w:color="auto"/>
            </w:tcBorders>
          </w:tcPr>
          <w:p w14:paraId="7094B2D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2.1.1. Анализа постојећег стања и потенцијала за увођење циркуларне економије у изабраним ЈЛС </w:t>
            </w:r>
          </w:p>
        </w:tc>
        <w:tc>
          <w:tcPr>
            <w:tcW w:w="461" w:type="pct"/>
            <w:tcBorders>
              <w:top w:val="single" w:sz="4" w:space="0" w:color="auto"/>
              <w:left w:val="single" w:sz="4" w:space="0" w:color="auto"/>
              <w:bottom w:val="single" w:sz="4" w:space="0" w:color="auto"/>
              <w:right w:val="single" w:sz="4" w:space="0" w:color="auto"/>
            </w:tcBorders>
          </w:tcPr>
          <w:p w14:paraId="139CBF9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12" w:type="pct"/>
            <w:tcBorders>
              <w:top w:val="single" w:sz="4" w:space="0" w:color="auto"/>
              <w:left w:val="single" w:sz="4" w:space="0" w:color="auto"/>
              <w:bottom w:val="single" w:sz="4" w:space="0" w:color="auto"/>
              <w:right w:val="single" w:sz="4" w:space="0" w:color="auto"/>
            </w:tcBorders>
          </w:tcPr>
          <w:p w14:paraId="7F6EB83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СКГО</w:t>
            </w:r>
          </w:p>
          <w:p w14:paraId="559E87F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ЈЛС</w:t>
            </w:r>
          </w:p>
          <w:p w14:paraId="3DD4367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УНДП</w:t>
            </w:r>
          </w:p>
          <w:p w14:paraId="1139BA7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tc>
        <w:tc>
          <w:tcPr>
            <w:tcW w:w="462" w:type="pct"/>
            <w:tcBorders>
              <w:top w:val="single" w:sz="4" w:space="0" w:color="auto"/>
              <w:left w:val="single" w:sz="4" w:space="0" w:color="auto"/>
              <w:bottom w:val="single" w:sz="4" w:space="0" w:color="auto"/>
              <w:right w:val="single" w:sz="4" w:space="0" w:color="auto"/>
            </w:tcBorders>
          </w:tcPr>
          <w:p w14:paraId="6EB21A4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615" w:type="pct"/>
            <w:tcBorders>
              <w:top w:val="single" w:sz="4" w:space="0" w:color="auto"/>
              <w:left w:val="single" w:sz="4" w:space="0" w:color="auto"/>
              <w:bottom w:val="single" w:sz="4" w:space="0" w:color="auto"/>
              <w:right w:val="single" w:sz="4" w:space="0" w:color="auto"/>
            </w:tcBorders>
          </w:tcPr>
          <w:p w14:paraId="41A7DDF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1" w:type="pct"/>
            <w:tcBorders>
              <w:top w:val="single" w:sz="4" w:space="0" w:color="auto"/>
              <w:left w:val="single" w:sz="4" w:space="0" w:color="auto"/>
              <w:bottom w:val="single" w:sz="4" w:space="0" w:color="auto"/>
              <w:right w:val="single" w:sz="4" w:space="0" w:color="auto"/>
            </w:tcBorders>
          </w:tcPr>
          <w:p w14:paraId="5FFBB023" w14:textId="77777777" w:rsidR="00497092" w:rsidRPr="00644F20" w:rsidRDefault="00497092">
            <w:pPr>
              <w:spacing w:after="60" w:line="240" w:lineRule="auto"/>
              <w:rPr>
                <w:rFonts w:ascii="Times New Roman" w:hAnsi="Times New Roman" w:cs="Times New Roman"/>
                <w:lang w:val="sr-Cyrl-CS"/>
              </w:rPr>
            </w:pPr>
          </w:p>
        </w:tc>
        <w:tc>
          <w:tcPr>
            <w:tcW w:w="517" w:type="pct"/>
            <w:tcBorders>
              <w:top w:val="single" w:sz="4" w:space="0" w:color="auto"/>
              <w:left w:val="single" w:sz="4" w:space="0" w:color="auto"/>
              <w:bottom w:val="single" w:sz="4" w:space="0" w:color="auto"/>
              <w:right w:val="single" w:sz="4" w:space="0" w:color="auto"/>
            </w:tcBorders>
          </w:tcPr>
          <w:p w14:paraId="55A11345" w14:textId="77777777" w:rsidR="00497092" w:rsidRPr="00644F20" w:rsidRDefault="00497092">
            <w:pPr>
              <w:spacing w:after="60" w:line="240" w:lineRule="auto"/>
              <w:rPr>
                <w:rFonts w:ascii="Times New Roman" w:hAnsi="Times New Roman" w:cs="Times New Roman"/>
                <w:lang w:val="sr-Cyrl-CS"/>
              </w:rPr>
            </w:pPr>
          </w:p>
        </w:tc>
        <w:tc>
          <w:tcPr>
            <w:tcW w:w="489" w:type="pct"/>
            <w:tcBorders>
              <w:top w:val="single" w:sz="4" w:space="0" w:color="auto"/>
              <w:left w:val="single" w:sz="4" w:space="0" w:color="auto"/>
              <w:bottom w:val="single" w:sz="4" w:space="0" w:color="auto"/>
              <w:right w:val="single" w:sz="4" w:space="0" w:color="auto"/>
            </w:tcBorders>
          </w:tcPr>
          <w:p w14:paraId="1F6D0EC4" w14:textId="77777777" w:rsidR="00497092" w:rsidRPr="00644F20" w:rsidRDefault="00497092">
            <w:pPr>
              <w:spacing w:after="60" w:line="240" w:lineRule="auto"/>
              <w:rPr>
                <w:rFonts w:ascii="Times New Roman" w:hAnsi="Times New Roman" w:cs="Times New Roman"/>
                <w:lang w:val="sr-Cyrl-CS"/>
              </w:rPr>
            </w:pPr>
          </w:p>
        </w:tc>
        <w:tc>
          <w:tcPr>
            <w:tcW w:w="469" w:type="pct"/>
            <w:tcBorders>
              <w:top w:val="single" w:sz="4" w:space="0" w:color="auto"/>
              <w:left w:val="single" w:sz="4" w:space="0" w:color="auto"/>
              <w:bottom w:val="single" w:sz="4" w:space="0" w:color="auto"/>
              <w:right w:val="single" w:sz="4" w:space="0" w:color="auto"/>
            </w:tcBorders>
          </w:tcPr>
          <w:p w14:paraId="35DC40BB"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5EBFD3D2" w14:textId="77777777">
        <w:trPr>
          <w:trHeight w:val="140"/>
        </w:trPr>
        <w:tc>
          <w:tcPr>
            <w:tcW w:w="1014" w:type="pct"/>
            <w:tcBorders>
              <w:top w:val="single" w:sz="4" w:space="0" w:color="auto"/>
              <w:left w:val="double" w:sz="4" w:space="0" w:color="auto"/>
              <w:bottom w:val="single" w:sz="4" w:space="0" w:color="auto"/>
              <w:right w:val="single" w:sz="4" w:space="0" w:color="auto"/>
            </w:tcBorders>
          </w:tcPr>
          <w:p w14:paraId="2FD5BA6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2.1.2. Израда локалних мапа пута за циркуларну економију за изабране ЈЛС</w:t>
            </w:r>
          </w:p>
        </w:tc>
        <w:tc>
          <w:tcPr>
            <w:tcW w:w="461" w:type="pct"/>
            <w:tcBorders>
              <w:top w:val="single" w:sz="4" w:space="0" w:color="auto"/>
              <w:left w:val="single" w:sz="4" w:space="0" w:color="auto"/>
              <w:bottom w:val="single" w:sz="4" w:space="0" w:color="auto"/>
              <w:right w:val="single" w:sz="4" w:space="0" w:color="auto"/>
            </w:tcBorders>
          </w:tcPr>
          <w:p w14:paraId="355C881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12" w:type="pct"/>
            <w:tcBorders>
              <w:top w:val="single" w:sz="4" w:space="0" w:color="auto"/>
              <w:left w:val="single" w:sz="4" w:space="0" w:color="auto"/>
              <w:bottom w:val="single" w:sz="4" w:space="0" w:color="auto"/>
              <w:right w:val="single" w:sz="4" w:space="0" w:color="auto"/>
            </w:tcBorders>
          </w:tcPr>
          <w:p w14:paraId="39DD943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СКГО</w:t>
            </w:r>
          </w:p>
          <w:p w14:paraId="048B4B1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ЈЛС</w:t>
            </w:r>
          </w:p>
          <w:p w14:paraId="6ECB52D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УНДП</w:t>
            </w:r>
          </w:p>
          <w:p w14:paraId="09350A0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tc>
        <w:tc>
          <w:tcPr>
            <w:tcW w:w="462" w:type="pct"/>
            <w:tcBorders>
              <w:top w:val="single" w:sz="4" w:space="0" w:color="auto"/>
              <w:left w:val="single" w:sz="4" w:space="0" w:color="auto"/>
              <w:bottom w:val="single" w:sz="4" w:space="0" w:color="auto"/>
              <w:right w:val="single" w:sz="4" w:space="0" w:color="auto"/>
            </w:tcBorders>
          </w:tcPr>
          <w:p w14:paraId="52CD4F0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15" w:type="pct"/>
            <w:tcBorders>
              <w:top w:val="single" w:sz="4" w:space="0" w:color="auto"/>
              <w:left w:val="single" w:sz="4" w:space="0" w:color="auto"/>
              <w:bottom w:val="single" w:sz="4" w:space="0" w:color="auto"/>
              <w:right w:val="single" w:sz="4" w:space="0" w:color="auto"/>
            </w:tcBorders>
          </w:tcPr>
          <w:p w14:paraId="295DC61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1" w:type="pct"/>
            <w:tcBorders>
              <w:top w:val="single" w:sz="4" w:space="0" w:color="auto"/>
              <w:left w:val="single" w:sz="4" w:space="0" w:color="auto"/>
              <w:bottom w:val="single" w:sz="4" w:space="0" w:color="auto"/>
              <w:right w:val="single" w:sz="4" w:space="0" w:color="auto"/>
            </w:tcBorders>
          </w:tcPr>
          <w:p w14:paraId="0D862912" w14:textId="77777777" w:rsidR="00497092" w:rsidRPr="00644F20" w:rsidRDefault="00497092">
            <w:pPr>
              <w:spacing w:after="60" w:line="240" w:lineRule="auto"/>
              <w:rPr>
                <w:rFonts w:ascii="Times New Roman" w:hAnsi="Times New Roman" w:cs="Times New Roman"/>
                <w:lang w:val="sr-Cyrl-CS"/>
              </w:rPr>
            </w:pPr>
          </w:p>
        </w:tc>
        <w:tc>
          <w:tcPr>
            <w:tcW w:w="517" w:type="pct"/>
            <w:tcBorders>
              <w:top w:val="single" w:sz="4" w:space="0" w:color="auto"/>
              <w:left w:val="single" w:sz="4" w:space="0" w:color="auto"/>
              <w:bottom w:val="single" w:sz="4" w:space="0" w:color="auto"/>
              <w:right w:val="single" w:sz="4" w:space="0" w:color="auto"/>
            </w:tcBorders>
          </w:tcPr>
          <w:p w14:paraId="6EE2458B" w14:textId="77777777" w:rsidR="00497092" w:rsidRPr="00644F20" w:rsidRDefault="00497092">
            <w:pPr>
              <w:spacing w:after="60" w:line="240" w:lineRule="auto"/>
              <w:rPr>
                <w:rFonts w:ascii="Times New Roman" w:hAnsi="Times New Roman" w:cs="Times New Roman"/>
                <w:lang w:val="sr-Cyrl-CS"/>
              </w:rPr>
            </w:pPr>
          </w:p>
        </w:tc>
        <w:tc>
          <w:tcPr>
            <w:tcW w:w="489" w:type="pct"/>
            <w:tcBorders>
              <w:top w:val="single" w:sz="4" w:space="0" w:color="auto"/>
              <w:left w:val="single" w:sz="4" w:space="0" w:color="auto"/>
              <w:bottom w:val="single" w:sz="4" w:space="0" w:color="auto"/>
              <w:right w:val="single" w:sz="4" w:space="0" w:color="auto"/>
            </w:tcBorders>
          </w:tcPr>
          <w:p w14:paraId="7992D390" w14:textId="77777777" w:rsidR="00497092" w:rsidRPr="00644F20" w:rsidRDefault="00497092">
            <w:pPr>
              <w:spacing w:after="60" w:line="240" w:lineRule="auto"/>
              <w:rPr>
                <w:rFonts w:ascii="Times New Roman" w:hAnsi="Times New Roman" w:cs="Times New Roman"/>
                <w:lang w:val="sr-Cyrl-CS"/>
              </w:rPr>
            </w:pPr>
          </w:p>
        </w:tc>
        <w:tc>
          <w:tcPr>
            <w:tcW w:w="469" w:type="pct"/>
            <w:tcBorders>
              <w:top w:val="single" w:sz="4" w:space="0" w:color="auto"/>
              <w:left w:val="single" w:sz="4" w:space="0" w:color="auto"/>
              <w:bottom w:val="single" w:sz="4" w:space="0" w:color="auto"/>
              <w:right w:val="single" w:sz="4" w:space="0" w:color="auto"/>
            </w:tcBorders>
          </w:tcPr>
          <w:p w14:paraId="10CB3513" w14:textId="77777777" w:rsidR="00497092" w:rsidRPr="00644F20" w:rsidRDefault="00497092">
            <w:pPr>
              <w:spacing w:after="60" w:line="240" w:lineRule="auto"/>
              <w:rPr>
                <w:rFonts w:ascii="Times New Roman" w:hAnsi="Times New Roman" w:cs="Times New Roman"/>
                <w:lang w:val="sr-Cyrl-CS"/>
              </w:rPr>
            </w:pPr>
          </w:p>
        </w:tc>
      </w:tr>
    </w:tbl>
    <w:p w14:paraId="002E08CB" w14:textId="77777777" w:rsidR="00497092" w:rsidRPr="00644F20" w:rsidRDefault="00497092">
      <w:pPr>
        <w:spacing w:after="240"/>
        <w:rPr>
          <w:rFonts w:ascii="Times New Roman" w:hAnsi="Times New Roman" w:cs="Times New Roman"/>
          <w:lang w:val="sr-Cyrl-CS"/>
        </w:rPr>
      </w:pPr>
    </w:p>
    <w:tbl>
      <w:tblPr>
        <w:tblStyle w:val="TableGrid"/>
        <w:tblW w:w="13745" w:type="dxa"/>
        <w:tblInd w:w="10" w:type="dxa"/>
        <w:tblLayout w:type="fixed"/>
        <w:tblLook w:val="04A0" w:firstRow="1" w:lastRow="0" w:firstColumn="1" w:lastColumn="0" w:noHBand="0" w:noVBand="1"/>
      </w:tblPr>
      <w:tblGrid>
        <w:gridCol w:w="3217"/>
        <w:gridCol w:w="1276"/>
        <w:gridCol w:w="2409"/>
        <w:gridCol w:w="1276"/>
        <w:gridCol w:w="1276"/>
        <w:gridCol w:w="1417"/>
        <w:gridCol w:w="1512"/>
        <w:gridCol w:w="1362"/>
      </w:tblGrid>
      <w:tr w:rsidR="00497092" w:rsidRPr="00644F20" w14:paraId="76F5F7EE" w14:textId="77777777" w:rsidTr="002B261C">
        <w:trPr>
          <w:trHeight w:val="169"/>
        </w:trPr>
        <w:tc>
          <w:tcPr>
            <w:tcW w:w="1374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0113FDA3"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Мера 2.2: Подизање свести надлежних органа локалних самоуправа, јавних и комуналних предузећа и локалне привреде о концепту циркуларне економије</w:t>
            </w:r>
          </w:p>
        </w:tc>
      </w:tr>
      <w:tr w:rsidR="00497092" w:rsidRPr="00644F20" w14:paraId="7D303685" w14:textId="77777777" w:rsidTr="002B261C">
        <w:trPr>
          <w:trHeight w:val="300"/>
        </w:trPr>
        <w:tc>
          <w:tcPr>
            <w:tcW w:w="1374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53569F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реализацију:</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p>
        </w:tc>
      </w:tr>
      <w:tr w:rsidR="00497092" w:rsidRPr="00644F20" w14:paraId="6B9FF9D2" w14:textId="77777777" w:rsidTr="002B261C">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DA8992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Период спровођења: 2023 – 2024. </w:t>
            </w:r>
          </w:p>
        </w:tc>
        <w:tc>
          <w:tcPr>
            <w:tcW w:w="684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09662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4C82C344" w14:textId="77777777" w:rsidTr="002B261C">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33FD47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84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2C6B7B6"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2503452B" w14:textId="77777777" w:rsidTr="002B261C">
        <w:trPr>
          <w:trHeight w:val="955"/>
        </w:trPr>
        <w:tc>
          <w:tcPr>
            <w:tcW w:w="32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F89F52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2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A8F814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6E5FA15D" w14:textId="77777777" w:rsidR="00497092" w:rsidRPr="00644F20" w:rsidRDefault="00497092">
            <w:pPr>
              <w:spacing w:after="60" w:line="240" w:lineRule="auto"/>
              <w:rPr>
                <w:rFonts w:ascii="Times New Roman" w:hAnsi="Times New Roman" w:cs="Times New Roman"/>
                <w:lang w:val="sr-Cyrl-CS"/>
              </w:rPr>
            </w:pPr>
          </w:p>
        </w:tc>
        <w:tc>
          <w:tcPr>
            <w:tcW w:w="240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5BE508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2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123A8C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2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00F99E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4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191616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512"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5151B43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години 2023.</w:t>
            </w:r>
          </w:p>
        </w:tc>
        <w:tc>
          <w:tcPr>
            <w:tcW w:w="1362"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467C2E2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0FE0E4BD" w14:textId="77777777" w:rsidTr="002B261C">
        <w:trPr>
          <w:trHeight w:val="304"/>
        </w:trPr>
        <w:tc>
          <w:tcPr>
            <w:tcW w:w="3217" w:type="dxa"/>
            <w:tcBorders>
              <w:top w:val="double" w:sz="4" w:space="0" w:color="auto"/>
              <w:left w:val="single" w:sz="4" w:space="0" w:color="auto"/>
              <w:bottom w:val="double" w:sz="4" w:space="0" w:color="auto"/>
              <w:right w:val="single" w:sz="4" w:space="0" w:color="auto"/>
            </w:tcBorders>
            <w:shd w:val="clear" w:color="auto" w:fill="FFFFFF" w:themeFill="background1"/>
          </w:tcPr>
          <w:p w14:paraId="0981428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ЈЛС обухваћених активностима за јачање капацитета за увођење ЦЕ</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3EE2594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09" w:type="dxa"/>
            <w:tcBorders>
              <w:top w:val="double" w:sz="4" w:space="0" w:color="auto"/>
              <w:left w:val="single" w:sz="4" w:space="0" w:color="auto"/>
              <w:bottom w:val="double" w:sz="4" w:space="0" w:color="auto"/>
              <w:right w:val="single" w:sz="4" w:space="0" w:color="auto"/>
            </w:tcBorders>
            <w:shd w:val="clear" w:color="auto" w:fill="FFFFFF" w:themeFill="background1"/>
          </w:tcPr>
          <w:p w14:paraId="0C88255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5E0DD3B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53812F5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1E02C89F"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12" w:type="dxa"/>
            <w:tcBorders>
              <w:top w:val="double" w:sz="4" w:space="0" w:color="auto"/>
              <w:left w:val="single" w:sz="4" w:space="0" w:color="auto"/>
              <w:bottom w:val="double" w:sz="4" w:space="0" w:color="auto"/>
              <w:right w:val="double" w:sz="4" w:space="0" w:color="auto"/>
            </w:tcBorders>
            <w:shd w:val="clear" w:color="auto" w:fill="FFFFFF" w:themeFill="background1"/>
          </w:tcPr>
          <w:p w14:paraId="6BD73A53"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362" w:type="dxa"/>
            <w:tcBorders>
              <w:top w:val="double" w:sz="4" w:space="0" w:color="auto"/>
              <w:left w:val="single" w:sz="4" w:space="0" w:color="auto"/>
              <w:bottom w:val="double" w:sz="4" w:space="0" w:color="auto"/>
              <w:right w:val="double" w:sz="4" w:space="0" w:color="auto"/>
            </w:tcBorders>
            <w:shd w:val="clear" w:color="auto" w:fill="FFFFFF" w:themeFill="background1"/>
          </w:tcPr>
          <w:p w14:paraId="3AE575B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50</w:t>
            </w:r>
          </w:p>
        </w:tc>
      </w:tr>
    </w:tbl>
    <w:p w14:paraId="41B3ED8B" w14:textId="77777777" w:rsidR="00497092" w:rsidRPr="00644F20" w:rsidRDefault="00497092">
      <w:pPr>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665"/>
        <w:gridCol w:w="2778"/>
        <w:gridCol w:w="2869"/>
        <w:gridCol w:w="2543"/>
        <w:gridCol w:w="1980"/>
      </w:tblGrid>
      <w:tr w:rsidR="00497092" w:rsidRPr="00644F20" w14:paraId="75CD2DBD" w14:textId="77777777" w:rsidTr="002B261C">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2EACC0E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3470CB09"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6629FAC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73875ED7" w14:textId="77777777" w:rsidR="00497092" w:rsidRPr="00644F20" w:rsidRDefault="00497092">
            <w:pPr>
              <w:spacing w:after="60" w:line="240" w:lineRule="auto"/>
              <w:rPr>
                <w:rFonts w:ascii="Times New Roman" w:hAnsi="Times New Roman" w:cs="Times New Roman"/>
                <w:lang w:val="sr-Cyrl-CS"/>
              </w:rPr>
            </w:pPr>
          </w:p>
        </w:tc>
        <w:tc>
          <w:tcPr>
            <w:tcW w:w="739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B4E4C2D"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6B3B93A6" w14:textId="77777777" w:rsidTr="002B261C">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5B60B23B"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27A263F7"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E1CF1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0D2E027"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19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4EE0B7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65494F2F" w14:textId="77777777" w:rsidTr="002B261C">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79C2E0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 - Смањење угљеничног отиска локалних заједница применом принципа циркуларне економије у РС</w:t>
            </w:r>
          </w:p>
        </w:tc>
        <w:tc>
          <w:tcPr>
            <w:tcW w:w="2778" w:type="dxa"/>
            <w:vMerge w:val="restart"/>
            <w:tcBorders>
              <w:top w:val="double" w:sz="4" w:space="0" w:color="auto"/>
              <w:left w:val="double" w:sz="4" w:space="0" w:color="auto"/>
              <w:bottom w:val="double" w:sz="4" w:space="0" w:color="auto"/>
              <w:right w:val="double" w:sz="4" w:space="0" w:color="auto"/>
            </w:tcBorders>
            <w:shd w:val="clear" w:color="auto" w:fill="FFFFFF" w:themeFill="background1"/>
          </w:tcPr>
          <w:p w14:paraId="6D9EC3F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0405-4011</w:t>
            </w: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7ECFE8F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1.416</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092A163E" w14:textId="77777777" w:rsidR="00497092" w:rsidRPr="00644F20" w:rsidRDefault="00497092">
            <w:pPr>
              <w:spacing w:after="60" w:line="240" w:lineRule="auto"/>
              <w:rPr>
                <w:rFonts w:ascii="Times New Roman" w:hAnsi="Times New Roman" w:cs="Times New Roman"/>
                <w:lang w:val="sr-Cyrl-CS"/>
              </w:rPr>
            </w:pPr>
          </w:p>
        </w:tc>
        <w:tc>
          <w:tcPr>
            <w:tcW w:w="1980" w:type="dxa"/>
            <w:tcBorders>
              <w:top w:val="single" w:sz="4" w:space="0" w:color="auto"/>
              <w:left w:val="double" w:sz="4" w:space="0" w:color="auto"/>
              <w:bottom w:val="double" w:sz="4" w:space="0" w:color="auto"/>
              <w:right w:val="double" w:sz="4" w:space="0" w:color="auto"/>
            </w:tcBorders>
            <w:shd w:val="clear" w:color="auto" w:fill="FFFFFF" w:themeFill="background1"/>
          </w:tcPr>
          <w:p w14:paraId="2EA4046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267</w:t>
            </w:r>
          </w:p>
        </w:tc>
      </w:tr>
      <w:tr w:rsidR="00497092" w:rsidRPr="00644F20" w14:paraId="20BCBD0E" w14:textId="77777777" w:rsidTr="002B261C">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86FBCA1" w14:textId="77777777" w:rsidR="00497092" w:rsidRPr="00644F20" w:rsidRDefault="00497092">
            <w:pPr>
              <w:spacing w:after="60" w:line="240" w:lineRule="auto"/>
              <w:rPr>
                <w:rFonts w:ascii="Times New Roman" w:hAnsi="Times New Roman" w:cs="Times New Roman"/>
                <w:lang w:val="sr-Cyrl-CS"/>
              </w:rPr>
            </w:pPr>
          </w:p>
        </w:tc>
        <w:tc>
          <w:tcPr>
            <w:tcW w:w="2778" w:type="dxa"/>
            <w:vMerge/>
            <w:tcBorders>
              <w:top w:val="double" w:sz="4" w:space="0" w:color="auto"/>
              <w:left w:val="double" w:sz="4" w:space="0" w:color="auto"/>
              <w:bottom w:val="double" w:sz="4" w:space="0" w:color="auto"/>
              <w:right w:val="double" w:sz="4" w:space="0" w:color="auto"/>
            </w:tcBorders>
            <w:vAlign w:val="center"/>
          </w:tcPr>
          <w:p w14:paraId="01A43E50"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14F74407"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6CF98686" w14:textId="77777777" w:rsidR="00497092" w:rsidRPr="00644F20" w:rsidRDefault="00497092">
            <w:pPr>
              <w:spacing w:after="60" w:line="240" w:lineRule="auto"/>
              <w:rPr>
                <w:rFonts w:ascii="Times New Roman" w:hAnsi="Times New Roman" w:cs="Times New Roman"/>
                <w:lang w:val="sr-Cyrl-CS"/>
              </w:rPr>
            </w:pPr>
          </w:p>
        </w:tc>
        <w:tc>
          <w:tcPr>
            <w:tcW w:w="1980" w:type="dxa"/>
            <w:tcBorders>
              <w:top w:val="single" w:sz="4" w:space="0" w:color="auto"/>
              <w:left w:val="double" w:sz="4" w:space="0" w:color="auto"/>
              <w:bottom w:val="double" w:sz="4" w:space="0" w:color="auto"/>
              <w:right w:val="double" w:sz="4" w:space="0" w:color="auto"/>
            </w:tcBorders>
            <w:shd w:val="clear" w:color="auto" w:fill="FFFFFF" w:themeFill="background1"/>
          </w:tcPr>
          <w:p w14:paraId="3BAAC10C" w14:textId="77777777" w:rsidR="00497092" w:rsidRPr="00644F20" w:rsidRDefault="00497092">
            <w:pPr>
              <w:spacing w:after="60" w:line="240" w:lineRule="auto"/>
              <w:rPr>
                <w:rFonts w:ascii="Times New Roman" w:hAnsi="Times New Roman" w:cs="Times New Roman"/>
                <w:lang w:val="sr-Cyrl-CS"/>
              </w:rPr>
            </w:pPr>
          </w:p>
        </w:tc>
      </w:tr>
    </w:tbl>
    <w:p w14:paraId="03AD97CF" w14:textId="77777777" w:rsidR="00497092" w:rsidRPr="00644F20" w:rsidRDefault="00497092">
      <w:pPr>
        <w:rPr>
          <w:rFonts w:ascii="Times New Roman" w:hAnsi="Times New Roman" w:cs="Times New Roman"/>
          <w:lang w:val="sr-Cyrl-CS"/>
        </w:rPr>
      </w:pPr>
    </w:p>
    <w:p w14:paraId="35A58BE2" w14:textId="77777777" w:rsidR="005320FF" w:rsidRPr="00644F20" w:rsidRDefault="005320FF">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22"/>
        <w:gridCol w:w="1160"/>
        <w:gridCol w:w="1339"/>
        <w:gridCol w:w="1278"/>
        <w:gridCol w:w="1490"/>
        <w:gridCol w:w="1453"/>
        <w:gridCol w:w="1129"/>
        <w:gridCol w:w="1213"/>
        <w:gridCol w:w="1168"/>
      </w:tblGrid>
      <w:tr w:rsidR="00497092" w:rsidRPr="00644F20" w14:paraId="40FC32FE" w14:textId="77777777">
        <w:trPr>
          <w:trHeight w:val="140"/>
        </w:trPr>
        <w:tc>
          <w:tcPr>
            <w:tcW w:w="962"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2AF432F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Назив активности:</w:t>
            </w:r>
          </w:p>
        </w:tc>
        <w:tc>
          <w:tcPr>
            <w:tcW w:w="462"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554341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512"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A5EB0E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1"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DB4FB8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12"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32389E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56DF41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66396D98" w14:textId="77777777" w:rsidR="00497092" w:rsidRPr="00644F20" w:rsidRDefault="00497092">
            <w:pPr>
              <w:spacing w:after="60" w:line="240" w:lineRule="auto"/>
              <w:jc w:val="center"/>
              <w:rPr>
                <w:rFonts w:ascii="Times New Roman" w:hAnsi="Times New Roman" w:cs="Times New Roman"/>
                <w:lang w:val="sr-Cyrl-CS"/>
              </w:rPr>
            </w:pPr>
          </w:p>
        </w:tc>
        <w:tc>
          <w:tcPr>
            <w:tcW w:w="1528"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42E583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670E8409"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263D0667"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E2B65E1"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31F00EA7"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16EF30F"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786F70D8"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6490BF9" w14:textId="77777777" w:rsidR="00497092" w:rsidRPr="00644F20" w:rsidRDefault="00497092">
            <w:pPr>
              <w:spacing w:after="0" w:line="240" w:lineRule="auto"/>
              <w:rPr>
                <w:rFonts w:ascii="Times New Roman" w:hAnsi="Times New Roman" w:cs="Times New Roman"/>
                <w:lang w:val="sr-Cyrl-CS"/>
              </w:rPr>
            </w:pPr>
          </w:p>
        </w:tc>
        <w:tc>
          <w:tcPr>
            <w:tcW w:w="505"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5D32E4"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520"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7609B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503"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860078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79BE7913" w14:textId="77777777">
        <w:trPr>
          <w:trHeight w:val="543"/>
        </w:trPr>
        <w:tc>
          <w:tcPr>
            <w:tcW w:w="962" w:type="pct"/>
            <w:tcBorders>
              <w:top w:val="single" w:sz="4" w:space="0" w:color="auto"/>
              <w:left w:val="double" w:sz="4" w:space="0" w:color="auto"/>
              <w:bottom w:val="single" w:sz="4" w:space="0" w:color="auto"/>
              <w:right w:val="single" w:sz="4" w:space="0" w:color="auto"/>
            </w:tcBorders>
          </w:tcPr>
          <w:p w14:paraId="32EC48F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2.2.1. Припрема водича са методологијом за израду локалне мапе пута за циркуларну економију</w:t>
            </w:r>
          </w:p>
        </w:tc>
        <w:tc>
          <w:tcPr>
            <w:tcW w:w="462" w:type="pct"/>
            <w:tcBorders>
              <w:top w:val="single" w:sz="4" w:space="0" w:color="auto"/>
              <w:left w:val="single" w:sz="4" w:space="0" w:color="auto"/>
              <w:bottom w:val="single" w:sz="4" w:space="0" w:color="auto"/>
              <w:right w:val="single" w:sz="4" w:space="0" w:color="auto"/>
            </w:tcBorders>
          </w:tcPr>
          <w:p w14:paraId="2DB8746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12" w:type="pct"/>
            <w:tcBorders>
              <w:top w:val="single" w:sz="4" w:space="0" w:color="auto"/>
              <w:left w:val="single" w:sz="4" w:space="0" w:color="auto"/>
              <w:bottom w:val="single" w:sz="4" w:space="0" w:color="auto"/>
              <w:right w:val="single" w:sz="4" w:space="0" w:color="auto"/>
            </w:tcBorders>
          </w:tcPr>
          <w:p w14:paraId="1855E47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СКГО</w:t>
            </w:r>
          </w:p>
          <w:p w14:paraId="32297AC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p w14:paraId="7C58C35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ОЦД</w:t>
            </w:r>
          </w:p>
        </w:tc>
        <w:tc>
          <w:tcPr>
            <w:tcW w:w="461" w:type="pct"/>
            <w:tcBorders>
              <w:top w:val="single" w:sz="4" w:space="0" w:color="auto"/>
              <w:left w:val="single" w:sz="4" w:space="0" w:color="auto"/>
              <w:bottom w:val="single" w:sz="4" w:space="0" w:color="auto"/>
              <w:right w:val="single" w:sz="4" w:space="0" w:color="auto"/>
            </w:tcBorders>
          </w:tcPr>
          <w:p w14:paraId="744ADBA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2022.</w:t>
            </w:r>
          </w:p>
        </w:tc>
        <w:tc>
          <w:tcPr>
            <w:tcW w:w="612" w:type="pct"/>
            <w:tcBorders>
              <w:top w:val="single" w:sz="4" w:space="0" w:color="auto"/>
              <w:left w:val="single" w:sz="4" w:space="0" w:color="auto"/>
              <w:bottom w:val="single" w:sz="4" w:space="0" w:color="auto"/>
              <w:right w:val="single" w:sz="4" w:space="0" w:color="auto"/>
            </w:tcBorders>
          </w:tcPr>
          <w:p w14:paraId="76D8DFF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4" w:type="pct"/>
            <w:tcBorders>
              <w:top w:val="single" w:sz="4" w:space="0" w:color="auto"/>
              <w:left w:val="single" w:sz="4" w:space="0" w:color="auto"/>
              <w:bottom w:val="single" w:sz="4" w:space="0" w:color="auto"/>
              <w:right w:val="single" w:sz="4" w:space="0" w:color="auto"/>
            </w:tcBorders>
          </w:tcPr>
          <w:p w14:paraId="791417C2" w14:textId="77777777" w:rsidR="00497092" w:rsidRPr="00644F20" w:rsidRDefault="00497092">
            <w:pPr>
              <w:spacing w:after="60" w:line="240" w:lineRule="auto"/>
              <w:rPr>
                <w:rFonts w:ascii="Times New Roman" w:hAnsi="Times New Roman" w:cs="Times New Roman"/>
                <w:lang w:val="sr-Cyrl-CS"/>
              </w:rPr>
            </w:pPr>
          </w:p>
        </w:tc>
        <w:tc>
          <w:tcPr>
            <w:tcW w:w="505" w:type="pct"/>
            <w:tcBorders>
              <w:top w:val="single" w:sz="4" w:space="0" w:color="auto"/>
              <w:left w:val="single" w:sz="4" w:space="0" w:color="auto"/>
              <w:bottom w:val="single" w:sz="4" w:space="0" w:color="auto"/>
              <w:right w:val="single" w:sz="4" w:space="0" w:color="auto"/>
            </w:tcBorders>
          </w:tcPr>
          <w:p w14:paraId="12E06D6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1.416</w:t>
            </w:r>
          </w:p>
        </w:tc>
        <w:tc>
          <w:tcPr>
            <w:tcW w:w="520" w:type="pct"/>
            <w:tcBorders>
              <w:top w:val="single" w:sz="4" w:space="0" w:color="auto"/>
              <w:left w:val="single" w:sz="4" w:space="0" w:color="auto"/>
              <w:bottom w:val="single" w:sz="4" w:space="0" w:color="auto"/>
              <w:right w:val="single" w:sz="4" w:space="0" w:color="auto"/>
            </w:tcBorders>
          </w:tcPr>
          <w:p w14:paraId="46D0FE7A" w14:textId="77777777" w:rsidR="00497092" w:rsidRPr="00644F20" w:rsidRDefault="00497092">
            <w:pPr>
              <w:spacing w:after="60" w:line="240" w:lineRule="auto"/>
              <w:rPr>
                <w:rFonts w:ascii="Times New Roman" w:hAnsi="Times New Roman" w:cs="Times New Roman"/>
                <w:lang w:val="sr-Cyrl-CS"/>
              </w:rPr>
            </w:pPr>
          </w:p>
        </w:tc>
        <w:tc>
          <w:tcPr>
            <w:tcW w:w="503" w:type="pct"/>
            <w:tcBorders>
              <w:top w:val="single" w:sz="4" w:space="0" w:color="auto"/>
              <w:left w:val="single" w:sz="4" w:space="0" w:color="auto"/>
              <w:bottom w:val="single" w:sz="4" w:space="0" w:color="auto"/>
              <w:right w:val="single" w:sz="4" w:space="0" w:color="auto"/>
            </w:tcBorders>
          </w:tcPr>
          <w:p w14:paraId="5ABF58CC"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770FC4D6" w14:textId="77777777">
        <w:trPr>
          <w:trHeight w:val="140"/>
        </w:trPr>
        <w:tc>
          <w:tcPr>
            <w:tcW w:w="962" w:type="pct"/>
            <w:tcBorders>
              <w:top w:val="single" w:sz="4" w:space="0" w:color="auto"/>
              <w:left w:val="double" w:sz="4" w:space="0" w:color="auto"/>
              <w:bottom w:val="single" w:sz="4" w:space="0" w:color="auto"/>
              <w:right w:val="single" w:sz="4" w:space="0" w:color="auto"/>
            </w:tcBorders>
          </w:tcPr>
          <w:p w14:paraId="1B37CE7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2.2.2. Промоција израђеног водича и локалних мапа пута за ЦЕ кроз радионице и кампање</w:t>
            </w:r>
          </w:p>
        </w:tc>
        <w:tc>
          <w:tcPr>
            <w:tcW w:w="462" w:type="pct"/>
            <w:tcBorders>
              <w:top w:val="single" w:sz="4" w:space="0" w:color="auto"/>
              <w:left w:val="single" w:sz="4" w:space="0" w:color="auto"/>
              <w:bottom w:val="single" w:sz="4" w:space="0" w:color="auto"/>
              <w:right w:val="single" w:sz="4" w:space="0" w:color="auto"/>
            </w:tcBorders>
          </w:tcPr>
          <w:p w14:paraId="46F912D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12" w:type="pct"/>
            <w:tcBorders>
              <w:top w:val="single" w:sz="4" w:space="0" w:color="auto"/>
              <w:left w:val="single" w:sz="4" w:space="0" w:color="auto"/>
              <w:bottom w:val="single" w:sz="4" w:space="0" w:color="auto"/>
              <w:right w:val="single" w:sz="4" w:space="0" w:color="auto"/>
            </w:tcBorders>
          </w:tcPr>
          <w:p w14:paraId="5C54608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СКГО</w:t>
            </w:r>
          </w:p>
          <w:p w14:paraId="2C07EB2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p w14:paraId="46D4A49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ОЦД</w:t>
            </w:r>
          </w:p>
        </w:tc>
        <w:tc>
          <w:tcPr>
            <w:tcW w:w="461" w:type="pct"/>
            <w:tcBorders>
              <w:top w:val="single" w:sz="4" w:space="0" w:color="auto"/>
              <w:left w:val="single" w:sz="4" w:space="0" w:color="auto"/>
              <w:bottom w:val="single" w:sz="4" w:space="0" w:color="auto"/>
              <w:right w:val="single" w:sz="4" w:space="0" w:color="auto"/>
            </w:tcBorders>
          </w:tcPr>
          <w:p w14:paraId="66BAE68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12" w:type="pct"/>
            <w:tcBorders>
              <w:top w:val="single" w:sz="4" w:space="0" w:color="auto"/>
              <w:left w:val="single" w:sz="4" w:space="0" w:color="auto"/>
              <w:bottom w:val="single" w:sz="4" w:space="0" w:color="auto"/>
              <w:right w:val="single" w:sz="4" w:space="0" w:color="auto"/>
            </w:tcBorders>
          </w:tcPr>
          <w:p w14:paraId="2B2AD9A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4" w:type="pct"/>
            <w:tcBorders>
              <w:top w:val="single" w:sz="4" w:space="0" w:color="auto"/>
              <w:left w:val="single" w:sz="4" w:space="0" w:color="auto"/>
              <w:bottom w:val="single" w:sz="4" w:space="0" w:color="auto"/>
              <w:right w:val="single" w:sz="4" w:space="0" w:color="auto"/>
            </w:tcBorders>
          </w:tcPr>
          <w:p w14:paraId="25ECCB3D" w14:textId="77777777" w:rsidR="00497092" w:rsidRPr="00644F20" w:rsidRDefault="00497092">
            <w:pPr>
              <w:spacing w:after="60" w:line="240" w:lineRule="auto"/>
              <w:rPr>
                <w:rFonts w:ascii="Times New Roman" w:hAnsi="Times New Roman" w:cs="Times New Roman"/>
                <w:lang w:val="sr-Cyrl-CS"/>
              </w:rPr>
            </w:pPr>
          </w:p>
        </w:tc>
        <w:tc>
          <w:tcPr>
            <w:tcW w:w="505" w:type="pct"/>
            <w:tcBorders>
              <w:top w:val="single" w:sz="4" w:space="0" w:color="auto"/>
              <w:left w:val="single" w:sz="4" w:space="0" w:color="auto"/>
              <w:bottom w:val="single" w:sz="4" w:space="0" w:color="auto"/>
              <w:right w:val="single" w:sz="4" w:space="0" w:color="auto"/>
            </w:tcBorders>
          </w:tcPr>
          <w:p w14:paraId="083DA866" w14:textId="77777777" w:rsidR="00497092" w:rsidRPr="00644F20" w:rsidRDefault="00497092">
            <w:pPr>
              <w:spacing w:after="60" w:line="240" w:lineRule="auto"/>
              <w:rPr>
                <w:rFonts w:ascii="Times New Roman" w:hAnsi="Times New Roman" w:cs="Times New Roman"/>
                <w:lang w:val="sr-Cyrl-CS"/>
              </w:rPr>
            </w:pPr>
          </w:p>
        </w:tc>
        <w:tc>
          <w:tcPr>
            <w:tcW w:w="520" w:type="pct"/>
            <w:tcBorders>
              <w:top w:val="single" w:sz="4" w:space="0" w:color="auto"/>
              <w:left w:val="single" w:sz="4" w:space="0" w:color="auto"/>
              <w:bottom w:val="single" w:sz="4" w:space="0" w:color="auto"/>
              <w:right w:val="single" w:sz="4" w:space="0" w:color="auto"/>
            </w:tcBorders>
          </w:tcPr>
          <w:p w14:paraId="4071FE3D" w14:textId="77777777" w:rsidR="00497092" w:rsidRPr="00644F20" w:rsidRDefault="00497092">
            <w:pPr>
              <w:spacing w:after="60" w:line="240" w:lineRule="auto"/>
              <w:rPr>
                <w:rFonts w:ascii="Times New Roman" w:hAnsi="Times New Roman" w:cs="Times New Roman"/>
                <w:lang w:val="sr-Cyrl-CS"/>
              </w:rPr>
            </w:pPr>
          </w:p>
        </w:tc>
        <w:tc>
          <w:tcPr>
            <w:tcW w:w="503" w:type="pct"/>
            <w:tcBorders>
              <w:top w:val="single" w:sz="4" w:space="0" w:color="auto"/>
              <w:left w:val="single" w:sz="4" w:space="0" w:color="auto"/>
              <w:bottom w:val="single" w:sz="4" w:space="0" w:color="auto"/>
              <w:right w:val="single" w:sz="4" w:space="0" w:color="auto"/>
            </w:tcBorders>
          </w:tcPr>
          <w:p w14:paraId="703331F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267</w:t>
            </w:r>
          </w:p>
        </w:tc>
      </w:tr>
    </w:tbl>
    <w:p w14:paraId="32FF414D" w14:textId="77777777" w:rsidR="00497092" w:rsidRPr="00644F20" w:rsidRDefault="00497092">
      <w:pPr>
        <w:spacing w:after="0" w:line="240" w:lineRule="auto"/>
        <w:rPr>
          <w:rFonts w:ascii="Times New Roman" w:hAnsi="Times New Roman" w:cs="Times New Roman"/>
          <w:lang w:val="sr-Cyrl-CS"/>
        </w:rPr>
      </w:pPr>
    </w:p>
    <w:p w14:paraId="0578EEAF" w14:textId="77777777" w:rsidR="00497092" w:rsidRPr="00644F20" w:rsidRDefault="00497092">
      <w:pPr>
        <w:spacing w:after="0" w:line="240" w:lineRule="auto"/>
        <w:rPr>
          <w:rFonts w:ascii="Times New Roman" w:hAnsi="Times New Roman" w:cs="Times New Roman"/>
          <w:lang w:val="sr-Cyrl-CS"/>
        </w:rPr>
      </w:pPr>
    </w:p>
    <w:tbl>
      <w:tblPr>
        <w:tblStyle w:val="TableGrid"/>
        <w:tblW w:w="13935" w:type="dxa"/>
        <w:tblInd w:w="10" w:type="dxa"/>
        <w:tblLayout w:type="fixed"/>
        <w:tblLook w:val="04A0" w:firstRow="1" w:lastRow="0" w:firstColumn="1" w:lastColumn="0" w:noHBand="0" w:noVBand="1"/>
      </w:tblPr>
      <w:tblGrid>
        <w:gridCol w:w="3500"/>
        <w:gridCol w:w="1418"/>
        <w:gridCol w:w="1984"/>
        <w:gridCol w:w="1418"/>
        <w:gridCol w:w="1276"/>
        <w:gridCol w:w="1417"/>
        <w:gridCol w:w="1701"/>
        <w:gridCol w:w="1221"/>
      </w:tblGrid>
      <w:tr w:rsidR="00497092" w:rsidRPr="00644F20" w14:paraId="640FA6A5" w14:textId="77777777" w:rsidTr="002B261C">
        <w:trPr>
          <w:trHeight w:val="320"/>
        </w:trPr>
        <w:tc>
          <w:tcPr>
            <w:tcW w:w="13935"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tcPr>
          <w:p w14:paraId="0B695C89"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Посебан циљ 3: Унапређење система управљања отпадом кроз ефикасније коришћење отпада у циркуларној економији</w:t>
            </w:r>
          </w:p>
        </w:tc>
      </w:tr>
      <w:tr w:rsidR="00497092" w:rsidRPr="00644F20" w14:paraId="05661138" w14:textId="77777777" w:rsidTr="002B261C">
        <w:trPr>
          <w:trHeight w:val="320"/>
        </w:trPr>
        <w:tc>
          <w:tcPr>
            <w:tcW w:w="13935"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vAlign w:val="center"/>
          </w:tcPr>
          <w:p w14:paraId="4778EE9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координацију и извештавање: </w:t>
            </w:r>
            <w:r w:rsidR="001B6E66" w:rsidRPr="00644F20">
              <w:rPr>
                <w:rFonts w:ascii="Times New Roman" w:eastAsia="Times New Roman" w:hAnsi="Times New Roman" w:cs="Times New Roman"/>
                <w:lang w:val="sr-Cyrl-CS"/>
              </w:rPr>
              <w:t>МЗЖС</w:t>
            </w:r>
          </w:p>
        </w:tc>
      </w:tr>
      <w:tr w:rsidR="00497092" w:rsidRPr="00644F20" w14:paraId="73A8DE82" w14:textId="77777777" w:rsidTr="002B261C">
        <w:trPr>
          <w:trHeight w:val="575"/>
        </w:trPr>
        <w:tc>
          <w:tcPr>
            <w:tcW w:w="350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7AF363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посебног циља </w:t>
            </w:r>
            <w:r w:rsidRPr="00644F20">
              <w:rPr>
                <w:rFonts w:ascii="Times New Roman" w:hAnsi="Times New Roman" w:cs="Times New Roman"/>
                <w:i/>
                <w:lang w:val="sr-Cyrl-CS"/>
              </w:rPr>
              <w:t>(показатељ исхода)</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7BF772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674BF713" w14:textId="77777777" w:rsidR="00497092" w:rsidRPr="00644F20" w:rsidRDefault="00497092">
            <w:pPr>
              <w:spacing w:after="60" w:line="240" w:lineRule="auto"/>
              <w:rPr>
                <w:rFonts w:ascii="Times New Roman" w:hAnsi="Times New Roman" w:cs="Times New Roman"/>
                <w:lang w:val="sr-Cyrl-CS"/>
              </w:rPr>
            </w:pPr>
          </w:p>
        </w:tc>
        <w:tc>
          <w:tcPr>
            <w:tcW w:w="198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8528C2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1D7EF3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2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3FFECA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4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C2702A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2022.</w:t>
            </w:r>
          </w:p>
        </w:tc>
        <w:tc>
          <w:tcPr>
            <w:tcW w:w="1701"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F9CE8A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2023.</w:t>
            </w:r>
          </w:p>
        </w:tc>
        <w:tc>
          <w:tcPr>
            <w:tcW w:w="122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219531E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2024.</w:t>
            </w:r>
          </w:p>
        </w:tc>
      </w:tr>
      <w:tr w:rsidR="00497092" w:rsidRPr="00644F20" w14:paraId="4BE370DE" w14:textId="77777777" w:rsidTr="002B261C">
        <w:trPr>
          <w:trHeight w:val="254"/>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306D0EC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израђених докумената</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62DC8AF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1984" w:type="dxa"/>
            <w:tcBorders>
              <w:top w:val="double" w:sz="4" w:space="0" w:color="auto"/>
              <w:left w:val="single" w:sz="4" w:space="0" w:color="auto"/>
              <w:bottom w:val="double" w:sz="4" w:space="0" w:color="auto"/>
              <w:right w:val="single" w:sz="4" w:space="0" w:color="auto"/>
            </w:tcBorders>
            <w:shd w:val="clear" w:color="auto" w:fill="FFFFFF" w:themeFill="background1"/>
          </w:tcPr>
          <w:p w14:paraId="41CCC33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6769A40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5AC7010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1F7F4AE1" w14:textId="77777777" w:rsidR="00497092" w:rsidRPr="00644F20" w:rsidRDefault="00497092">
            <w:pPr>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71684B5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c>
          <w:tcPr>
            <w:tcW w:w="1221" w:type="dxa"/>
            <w:tcBorders>
              <w:top w:val="double" w:sz="4" w:space="0" w:color="auto"/>
              <w:left w:val="single" w:sz="4" w:space="0" w:color="auto"/>
              <w:bottom w:val="double" w:sz="4" w:space="0" w:color="auto"/>
              <w:right w:val="double" w:sz="4" w:space="0" w:color="auto"/>
            </w:tcBorders>
            <w:shd w:val="clear" w:color="auto" w:fill="FFFFFF" w:themeFill="background1"/>
          </w:tcPr>
          <w:p w14:paraId="491F2BE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w:t>
            </w:r>
          </w:p>
        </w:tc>
      </w:tr>
      <w:tr w:rsidR="00497092" w:rsidRPr="00644F20" w14:paraId="474D4D33" w14:textId="77777777" w:rsidTr="002B261C">
        <w:trPr>
          <w:trHeight w:val="254"/>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6F6DC07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радионица и промотивних активности за унапређење система управљања отпадом</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607DDB4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1984" w:type="dxa"/>
            <w:tcBorders>
              <w:top w:val="double" w:sz="4" w:space="0" w:color="auto"/>
              <w:left w:val="single" w:sz="4" w:space="0" w:color="auto"/>
              <w:bottom w:val="double" w:sz="4" w:space="0" w:color="auto"/>
              <w:right w:val="single" w:sz="4" w:space="0" w:color="auto"/>
            </w:tcBorders>
            <w:shd w:val="clear" w:color="auto" w:fill="FFFFFF" w:themeFill="background1"/>
          </w:tcPr>
          <w:p w14:paraId="57519C8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70EF35F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23F745A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60375B80" w14:textId="77777777" w:rsidR="00497092" w:rsidRPr="00644F20" w:rsidRDefault="00497092">
            <w:pPr>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46BE1CC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w:t>
            </w:r>
          </w:p>
        </w:tc>
        <w:tc>
          <w:tcPr>
            <w:tcW w:w="1221" w:type="dxa"/>
            <w:tcBorders>
              <w:top w:val="double" w:sz="4" w:space="0" w:color="auto"/>
              <w:left w:val="single" w:sz="4" w:space="0" w:color="auto"/>
              <w:bottom w:val="double" w:sz="4" w:space="0" w:color="auto"/>
              <w:right w:val="double" w:sz="4" w:space="0" w:color="auto"/>
            </w:tcBorders>
            <w:shd w:val="clear" w:color="auto" w:fill="FFFFFF" w:themeFill="background1"/>
          </w:tcPr>
          <w:p w14:paraId="06640CD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14</w:t>
            </w:r>
          </w:p>
        </w:tc>
      </w:tr>
    </w:tbl>
    <w:p w14:paraId="7B978719" w14:textId="77777777" w:rsidR="00497092" w:rsidRPr="00644F20" w:rsidRDefault="00497092">
      <w:pPr>
        <w:tabs>
          <w:tab w:val="left" w:pos="1940"/>
        </w:tabs>
        <w:spacing w:after="240" w:line="240" w:lineRule="auto"/>
        <w:rPr>
          <w:rFonts w:ascii="Times New Roman" w:hAnsi="Times New Roman" w:cs="Times New Roman"/>
          <w:lang w:val="sr-Cyrl-CS"/>
        </w:rPr>
      </w:pPr>
    </w:p>
    <w:p w14:paraId="7F26C7A9" w14:textId="77777777" w:rsidR="005320FF" w:rsidRPr="00644F20" w:rsidRDefault="005320FF">
      <w:pPr>
        <w:tabs>
          <w:tab w:val="left" w:pos="1940"/>
        </w:tabs>
        <w:spacing w:after="240" w:line="240" w:lineRule="auto"/>
        <w:rPr>
          <w:rFonts w:ascii="Times New Roman" w:hAnsi="Times New Roman" w:cs="Times New Roman"/>
          <w:lang w:val="sr-Cyrl-CS"/>
        </w:rPr>
      </w:pPr>
    </w:p>
    <w:p w14:paraId="0DC688B9" w14:textId="77777777" w:rsidR="005320FF" w:rsidRPr="00644F20" w:rsidRDefault="005320FF">
      <w:pPr>
        <w:tabs>
          <w:tab w:val="left" w:pos="1940"/>
        </w:tabs>
        <w:spacing w:after="240" w:line="240" w:lineRule="auto"/>
        <w:rPr>
          <w:rFonts w:ascii="Times New Roman" w:hAnsi="Times New Roman" w:cs="Times New Roman"/>
          <w:lang w:val="sr-Cyrl-CS"/>
        </w:rPr>
      </w:pPr>
    </w:p>
    <w:tbl>
      <w:tblPr>
        <w:tblStyle w:val="TableGrid"/>
        <w:tblW w:w="14015" w:type="dxa"/>
        <w:tblInd w:w="10" w:type="dxa"/>
        <w:tblLayout w:type="fixed"/>
        <w:tblLook w:val="04A0" w:firstRow="1" w:lastRow="0" w:firstColumn="1" w:lastColumn="0" w:noHBand="0" w:noVBand="1"/>
      </w:tblPr>
      <w:tblGrid>
        <w:gridCol w:w="3500"/>
        <w:gridCol w:w="1418"/>
        <w:gridCol w:w="1984"/>
        <w:gridCol w:w="1418"/>
        <w:gridCol w:w="1276"/>
        <w:gridCol w:w="1417"/>
        <w:gridCol w:w="1701"/>
        <w:gridCol w:w="1301"/>
      </w:tblGrid>
      <w:tr w:rsidR="00497092" w:rsidRPr="00644F20" w14:paraId="52B71FCD" w14:textId="77777777" w:rsidTr="002B261C">
        <w:trPr>
          <w:trHeight w:val="169"/>
        </w:trPr>
        <w:tc>
          <w:tcPr>
            <w:tcW w:w="1401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1477CB18"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lastRenderedPageBreak/>
              <w:t xml:space="preserve">Мера 3.1: </w:t>
            </w:r>
            <w:r w:rsidRPr="00644F20">
              <w:rPr>
                <w:rFonts w:ascii="Times New Roman" w:eastAsia="Calibri" w:hAnsi="Times New Roman" w:cs="Times New Roman"/>
                <w:b/>
                <w:lang w:val="sr-Cyrl-CS"/>
              </w:rPr>
              <w:t>Смањење настајања отпада од пластичних производа за једнократну употребу</w:t>
            </w:r>
          </w:p>
        </w:tc>
      </w:tr>
      <w:tr w:rsidR="00497092" w:rsidRPr="00644F20" w14:paraId="34C20111" w14:textId="77777777" w:rsidTr="002B261C">
        <w:trPr>
          <w:trHeight w:val="300"/>
        </w:trPr>
        <w:tc>
          <w:tcPr>
            <w:tcW w:w="1401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64BCB4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реализацију:</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p>
        </w:tc>
      </w:tr>
      <w:tr w:rsidR="00497092" w:rsidRPr="00644F20" w14:paraId="70DFE990" w14:textId="77777777" w:rsidTr="002B261C">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1AFAB5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Период спровођења: 2022 – 2024. </w:t>
            </w:r>
          </w:p>
        </w:tc>
        <w:tc>
          <w:tcPr>
            <w:tcW w:w="711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B4CEAF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02C7D947" w14:textId="77777777" w:rsidTr="002B261C">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9102A9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711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C3F485C"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64E8F60F" w14:textId="77777777" w:rsidTr="002B261C">
        <w:trPr>
          <w:trHeight w:val="955"/>
        </w:trPr>
        <w:tc>
          <w:tcPr>
            <w:tcW w:w="350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7E722D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92FF50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0FD838D5" w14:textId="77777777" w:rsidR="00497092" w:rsidRPr="00644F20" w:rsidRDefault="00497092">
            <w:pPr>
              <w:spacing w:after="60" w:line="240" w:lineRule="auto"/>
              <w:rPr>
                <w:rFonts w:ascii="Times New Roman" w:hAnsi="Times New Roman" w:cs="Times New Roman"/>
                <w:lang w:val="sr-Cyrl-CS"/>
              </w:rPr>
            </w:pPr>
          </w:p>
        </w:tc>
        <w:tc>
          <w:tcPr>
            <w:tcW w:w="198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508FFB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41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54631F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2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0F7DCE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4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FE31DE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70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26FE19E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130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7D34929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14088DCC" w14:textId="77777777" w:rsidTr="002B261C">
        <w:trPr>
          <w:trHeight w:val="304"/>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58348EA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Анализа тржишта једнократне пластике у РС</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7351FB3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1984" w:type="dxa"/>
            <w:tcBorders>
              <w:top w:val="double" w:sz="4" w:space="0" w:color="auto"/>
              <w:left w:val="single" w:sz="4" w:space="0" w:color="auto"/>
              <w:bottom w:val="double" w:sz="4" w:space="0" w:color="auto"/>
              <w:right w:val="single" w:sz="4" w:space="0" w:color="auto"/>
            </w:tcBorders>
            <w:shd w:val="clear" w:color="auto" w:fill="FFFFFF" w:themeFill="background1"/>
          </w:tcPr>
          <w:p w14:paraId="2B1EE5D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израђеној анализи</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5B651F6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5171D31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16BCB137" w14:textId="77777777" w:rsidR="00497092" w:rsidRPr="00644F20" w:rsidRDefault="00497092">
            <w:pPr>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5FE74ED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Да</w:t>
            </w:r>
          </w:p>
        </w:tc>
        <w:tc>
          <w:tcPr>
            <w:tcW w:w="1301" w:type="dxa"/>
            <w:tcBorders>
              <w:top w:val="double" w:sz="4" w:space="0" w:color="auto"/>
              <w:left w:val="single" w:sz="4" w:space="0" w:color="auto"/>
              <w:bottom w:val="double" w:sz="4" w:space="0" w:color="auto"/>
              <w:right w:val="double" w:sz="4" w:space="0" w:color="auto"/>
            </w:tcBorders>
            <w:shd w:val="clear" w:color="auto" w:fill="FFFFFF" w:themeFill="background1"/>
          </w:tcPr>
          <w:p w14:paraId="47C963DA"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0E8789BF" w14:textId="77777777" w:rsidTr="002B261C">
        <w:trPr>
          <w:trHeight w:val="304"/>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2734784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Израђене смернице за замену једнократне пластике одрживијим  материјалима</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22F79D0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1984" w:type="dxa"/>
            <w:tcBorders>
              <w:top w:val="double" w:sz="4" w:space="0" w:color="auto"/>
              <w:left w:val="single" w:sz="4" w:space="0" w:color="auto"/>
              <w:bottom w:val="double" w:sz="4" w:space="0" w:color="auto"/>
              <w:right w:val="single" w:sz="4" w:space="0" w:color="auto"/>
            </w:tcBorders>
            <w:shd w:val="clear" w:color="auto" w:fill="FFFFFF" w:themeFill="background1"/>
          </w:tcPr>
          <w:p w14:paraId="104FEFD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израђеној анализи</w:t>
            </w:r>
          </w:p>
        </w:tc>
        <w:tc>
          <w:tcPr>
            <w:tcW w:w="1418" w:type="dxa"/>
            <w:tcBorders>
              <w:top w:val="double" w:sz="4" w:space="0" w:color="auto"/>
              <w:left w:val="single" w:sz="4" w:space="0" w:color="auto"/>
              <w:bottom w:val="double" w:sz="4" w:space="0" w:color="auto"/>
              <w:right w:val="single" w:sz="4" w:space="0" w:color="auto"/>
            </w:tcBorders>
            <w:shd w:val="clear" w:color="auto" w:fill="FFFFFF" w:themeFill="background1"/>
          </w:tcPr>
          <w:p w14:paraId="65B0937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276" w:type="dxa"/>
            <w:tcBorders>
              <w:top w:val="double" w:sz="4" w:space="0" w:color="auto"/>
              <w:left w:val="single" w:sz="4" w:space="0" w:color="auto"/>
              <w:bottom w:val="double" w:sz="4" w:space="0" w:color="auto"/>
              <w:right w:val="single" w:sz="4" w:space="0" w:color="auto"/>
            </w:tcBorders>
            <w:shd w:val="clear" w:color="auto" w:fill="FFFFFF" w:themeFill="background1"/>
          </w:tcPr>
          <w:p w14:paraId="4217562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417" w:type="dxa"/>
            <w:tcBorders>
              <w:top w:val="double" w:sz="4" w:space="0" w:color="auto"/>
              <w:left w:val="single" w:sz="4" w:space="0" w:color="auto"/>
              <w:bottom w:val="double" w:sz="4" w:space="0" w:color="auto"/>
              <w:right w:val="single" w:sz="4" w:space="0" w:color="auto"/>
            </w:tcBorders>
            <w:shd w:val="clear" w:color="auto" w:fill="FFFFFF" w:themeFill="background1"/>
          </w:tcPr>
          <w:p w14:paraId="145159BC" w14:textId="77777777" w:rsidR="00497092" w:rsidRPr="00644F20" w:rsidRDefault="00497092">
            <w:pPr>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0FEC37E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Да</w:t>
            </w:r>
          </w:p>
        </w:tc>
        <w:tc>
          <w:tcPr>
            <w:tcW w:w="1301" w:type="dxa"/>
            <w:tcBorders>
              <w:top w:val="double" w:sz="4" w:space="0" w:color="auto"/>
              <w:left w:val="single" w:sz="4" w:space="0" w:color="auto"/>
              <w:bottom w:val="double" w:sz="4" w:space="0" w:color="auto"/>
              <w:right w:val="double" w:sz="4" w:space="0" w:color="auto"/>
            </w:tcBorders>
            <w:shd w:val="clear" w:color="auto" w:fill="FFFFFF" w:themeFill="background1"/>
          </w:tcPr>
          <w:p w14:paraId="742A1C2B" w14:textId="77777777" w:rsidR="00497092" w:rsidRPr="00644F20" w:rsidRDefault="00497092">
            <w:pPr>
              <w:spacing w:after="60" w:line="240" w:lineRule="auto"/>
              <w:rPr>
                <w:rFonts w:ascii="Times New Roman" w:hAnsi="Times New Roman" w:cs="Times New Roman"/>
                <w:lang w:val="sr-Cyrl-CS"/>
              </w:rPr>
            </w:pPr>
          </w:p>
        </w:tc>
      </w:tr>
    </w:tbl>
    <w:p w14:paraId="00BC1C10" w14:textId="77777777" w:rsidR="00497092" w:rsidRPr="00644F20" w:rsidRDefault="00497092">
      <w:pPr>
        <w:rPr>
          <w:rFonts w:ascii="Times New Roman" w:hAnsi="Times New Roman" w:cs="Times New Roman"/>
          <w:lang w:val="sr-Cyrl-CS"/>
        </w:rPr>
      </w:pPr>
    </w:p>
    <w:tbl>
      <w:tblPr>
        <w:tblStyle w:val="TableGrid"/>
        <w:tblW w:w="14105" w:type="dxa"/>
        <w:tblInd w:w="10" w:type="dxa"/>
        <w:tblLayout w:type="fixed"/>
        <w:tblLook w:val="04A0" w:firstRow="1" w:lastRow="0" w:firstColumn="1" w:lastColumn="0" w:noHBand="0" w:noVBand="1"/>
      </w:tblPr>
      <w:tblGrid>
        <w:gridCol w:w="3665"/>
        <w:gridCol w:w="2778"/>
        <w:gridCol w:w="2869"/>
        <w:gridCol w:w="2543"/>
        <w:gridCol w:w="2250"/>
      </w:tblGrid>
      <w:tr w:rsidR="00497092" w:rsidRPr="00644F20" w14:paraId="788BE492" w14:textId="77777777" w:rsidTr="002B261C">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4B8D43B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056B9C47"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0C56F1B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7E849DFF" w14:textId="77777777" w:rsidR="00497092" w:rsidRPr="00644F20" w:rsidRDefault="00497092">
            <w:pPr>
              <w:spacing w:after="60" w:line="240" w:lineRule="auto"/>
              <w:rPr>
                <w:rFonts w:ascii="Times New Roman" w:hAnsi="Times New Roman" w:cs="Times New Roman"/>
                <w:lang w:val="sr-Cyrl-CS"/>
              </w:rPr>
            </w:pPr>
          </w:p>
        </w:tc>
        <w:tc>
          <w:tcPr>
            <w:tcW w:w="766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0AE44A2"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14B06D04" w14:textId="77777777" w:rsidTr="002B261C">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29CCC08F"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2F03E9D1"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42DD5C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D6F583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25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397E17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3E64283C" w14:textId="77777777" w:rsidTr="002B261C">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F52F86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vMerge w:val="restart"/>
            <w:tcBorders>
              <w:top w:val="double" w:sz="4" w:space="0" w:color="auto"/>
              <w:left w:val="double" w:sz="4" w:space="0" w:color="auto"/>
              <w:bottom w:val="double" w:sz="4" w:space="0" w:color="auto"/>
              <w:right w:val="double" w:sz="4" w:space="0" w:color="auto"/>
            </w:tcBorders>
            <w:shd w:val="clear" w:color="auto" w:fill="FFFFFF" w:themeFill="background1"/>
          </w:tcPr>
          <w:p w14:paraId="3D11AD31"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6A2DF5BC"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00390B5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2.400</w:t>
            </w:r>
          </w:p>
        </w:tc>
        <w:tc>
          <w:tcPr>
            <w:tcW w:w="2250" w:type="dxa"/>
            <w:tcBorders>
              <w:top w:val="single" w:sz="4" w:space="0" w:color="auto"/>
              <w:left w:val="double" w:sz="4" w:space="0" w:color="auto"/>
              <w:bottom w:val="double" w:sz="4" w:space="0" w:color="auto"/>
              <w:right w:val="double" w:sz="4" w:space="0" w:color="auto"/>
            </w:tcBorders>
            <w:shd w:val="clear" w:color="auto" w:fill="FFFFFF" w:themeFill="background1"/>
          </w:tcPr>
          <w:p w14:paraId="27749425"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65AA0FEE" w14:textId="77777777" w:rsidTr="002B261C">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3685107" w14:textId="77777777" w:rsidR="00497092" w:rsidRPr="00644F20" w:rsidRDefault="00497092">
            <w:pPr>
              <w:spacing w:after="60" w:line="240" w:lineRule="auto"/>
              <w:rPr>
                <w:rFonts w:ascii="Times New Roman" w:hAnsi="Times New Roman" w:cs="Times New Roman"/>
                <w:lang w:val="sr-Cyrl-CS"/>
              </w:rPr>
            </w:pPr>
          </w:p>
        </w:tc>
        <w:tc>
          <w:tcPr>
            <w:tcW w:w="2778" w:type="dxa"/>
            <w:vMerge/>
            <w:tcBorders>
              <w:top w:val="double" w:sz="4" w:space="0" w:color="auto"/>
              <w:left w:val="double" w:sz="4" w:space="0" w:color="auto"/>
              <w:bottom w:val="double" w:sz="4" w:space="0" w:color="auto"/>
              <w:right w:val="double" w:sz="4" w:space="0" w:color="auto"/>
            </w:tcBorders>
            <w:vAlign w:val="center"/>
          </w:tcPr>
          <w:p w14:paraId="73F93B1A"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3B5D522D"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06265A66" w14:textId="77777777" w:rsidR="00497092" w:rsidRPr="00644F20" w:rsidRDefault="00497092">
            <w:pPr>
              <w:spacing w:after="60" w:line="240" w:lineRule="auto"/>
              <w:rPr>
                <w:rFonts w:ascii="Times New Roman" w:hAnsi="Times New Roman" w:cs="Times New Roman"/>
                <w:lang w:val="sr-Cyrl-CS"/>
              </w:rPr>
            </w:pPr>
          </w:p>
        </w:tc>
        <w:tc>
          <w:tcPr>
            <w:tcW w:w="2250" w:type="dxa"/>
            <w:tcBorders>
              <w:top w:val="single" w:sz="4" w:space="0" w:color="auto"/>
              <w:left w:val="double" w:sz="4" w:space="0" w:color="auto"/>
              <w:bottom w:val="double" w:sz="4" w:space="0" w:color="auto"/>
              <w:right w:val="double" w:sz="4" w:space="0" w:color="auto"/>
            </w:tcBorders>
            <w:shd w:val="clear" w:color="auto" w:fill="FFFFFF" w:themeFill="background1"/>
          </w:tcPr>
          <w:p w14:paraId="0866AA90" w14:textId="77777777" w:rsidR="00497092" w:rsidRPr="00644F20" w:rsidRDefault="00497092">
            <w:pPr>
              <w:spacing w:after="60" w:line="240" w:lineRule="auto"/>
              <w:rPr>
                <w:rFonts w:ascii="Times New Roman" w:hAnsi="Times New Roman" w:cs="Times New Roman"/>
                <w:lang w:val="sr-Cyrl-CS"/>
              </w:rPr>
            </w:pPr>
          </w:p>
        </w:tc>
      </w:tr>
    </w:tbl>
    <w:p w14:paraId="48321173" w14:textId="77777777" w:rsidR="00497092" w:rsidRPr="00644F20" w:rsidRDefault="00497092">
      <w:pPr>
        <w:rPr>
          <w:rFonts w:ascii="Times New Roman" w:hAnsi="Times New Roman" w:cs="Times New Roman"/>
          <w:lang w:val="sr-Cyrl-CS"/>
        </w:rPr>
      </w:pPr>
    </w:p>
    <w:tbl>
      <w:tblPr>
        <w:tblStyle w:val="TableGrid"/>
        <w:tblW w:w="14205" w:type="dxa"/>
        <w:tblLayout w:type="fixed"/>
        <w:tblLook w:val="04A0" w:firstRow="1" w:lastRow="0" w:firstColumn="1" w:lastColumn="0" w:noHBand="0" w:noVBand="1"/>
      </w:tblPr>
      <w:tblGrid>
        <w:gridCol w:w="2655"/>
        <w:gridCol w:w="1267"/>
        <w:gridCol w:w="1372"/>
        <w:gridCol w:w="1284"/>
        <w:gridCol w:w="1741"/>
        <w:gridCol w:w="1281"/>
        <w:gridCol w:w="1557"/>
        <w:gridCol w:w="1571"/>
        <w:gridCol w:w="1477"/>
      </w:tblGrid>
      <w:tr w:rsidR="00497092" w:rsidRPr="00644F20" w14:paraId="3E609F23" w14:textId="77777777" w:rsidTr="002B261C">
        <w:trPr>
          <w:trHeight w:val="140"/>
        </w:trPr>
        <w:tc>
          <w:tcPr>
            <w:tcW w:w="2655" w:type="dxa"/>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43D4498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1267"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214ED2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1372"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7DB8ED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1284"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D04CB5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1741"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BF9A9A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1281"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3EDB4B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013BD7C3" w14:textId="77777777" w:rsidR="00497092" w:rsidRPr="00644F20" w:rsidRDefault="00497092">
            <w:pPr>
              <w:spacing w:after="60" w:line="240" w:lineRule="auto"/>
              <w:jc w:val="center"/>
              <w:rPr>
                <w:rFonts w:ascii="Times New Roman" w:hAnsi="Times New Roman" w:cs="Times New Roman"/>
                <w:lang w:val="sr-Cyrl-CS"/>
              </w:rPr>
            </w:pPr>
          </w:p>
        </w:tc>
        <w:tc>
          <w:tcPr>
            <w:tcW w:w="4605" w:type="dxa"/>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6FD0F555"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7A999A20" w14:textId="77777777" w:rsidTr="002B261C">
        <w:trPr>
          <w:trHeight w:val="386"/>
        </w:trPr>
        <w:tc>
          <w:tcPr>
            <w:tcW w:w="2655" w:type="dxa"/>
            <w:vMerge/>
            <w:tcBorders>
              <w:top w:val="double" w:sz="4" w:space="0" w:color="auto"/>
              <w:left w:val="double" w:sz="4" w:space="0" w:color="auto"/>
              <w:bottom w:val="single" w:sz="4" w:space="0" w:color="auto"/>
              <w:right w:val="single" w:sz="4" w:space="0" w:color="auto"/>
            </w:tcBorders>
            <w:vAlign w:val="center"/>
          </w:tcPr>
          <w:p w14:paraId="1BC5DE41" w14:textId="77777777" w:rsidR="00497092" w:rsidRPr="00644F20" w:rsidRDefault="00497092">
            <w:pPr>
              <w:spacing w:after="0" w:line="240" w:lineRule="auto"/>
              <w:rPr>
                <w:rFonts w:ascii="Times New Roman" w:hAnsi="Times New Roman" w:cs="Times New Roman"/>
                <w:lang w:val="sr-Cyrl-CS"/>
              </w:rPr>
            </w:pPr>
          </w:p>
        </w:tc>
        <w:tc>
          <w:tcPr>
            <w:tcW w:w="1267" w:type="dxa"/>
            <w:vMerge/>
            <w:tcBorders>
              <w:top w:val="double" w:sz="4" w:space="0" w:color="auto"/>
              <w:left w:val="single" w:sz="4" w:space="0" w:color="auto"/>
              <w:bottom w:val="single" w:sz="4" w:space="0" w:color="auto"/>
              <w:right w:val="single" w:sz="4" w:space="0" w:color="auto"/>
            </w:tcBorders>
            <w:vAlign w:val="center"/>
          </w:tcPr>
          <w:p w14:paraId="10EC239B" w14:textId="77777777" w:rsidR="00497092" w:rsidRPr="00644F20" w:rsidRDefault="00497092">
            <w:pPr>
              <w:spacing w:after="0" w:line="240" w:lineRule="auto"/>
              <w:rPr>
                <w:rFonts w:ascii="Times New Roman" w:hAnsi="Times New Roman" w:cs="Times New Roman"/>
                <w:lang w:val="sr-Cyrl-CS"/>
              </w:rPr>
            </w:pPr>
          </w:p>
        </w:tc>
        <w:tc>
          <w:tcPr>
            <w:tcW w:w="1372" w:type="dxa"/>
            <w:vMerge/>
            <w:tcBorders>
              <w:top w:val="double" w:sz="4" w:space="0" w:color="auto"/>
              <w:left w:val="single" w:sz="4" w:space="0" w:color="auto"/>
              <w:bottom w:val="single" w:sz="4" w:space="0" w:color="auto"/>
              <w:right w:val="single" w:sz="4" w:space="0" w:color="auto"/>
            </w:tcBorders>
            <w:vAlign w:val="center"/>
          </w:tcPr>
          <w:p w14:paraId="4E1EA96E" w14:textId="77777777" w:rsidR="00497092" w:rsidRPr="00644F20" w:rsidRDefault="00497092">
            <w:pPr>
              <w:spacing w:after="0" w:line="240" w:lineRule="auto"/>
              <w:rPr>
                <w:rFonts w:ascii="Times New Roman" w:hAnsi="Times New Roman" w:cs="Times New Roman"/>
                <w:lang w:val="sr-Cyrl-CS"/>
              </w:rPr>
            </w:pPr>
          </w:p>
        </w:tc>
        <w:tc>
          <w:tcPr>
            <w:tcW w:w="1284" w:type="dxa"/>
            <w:vMerge/>
            <w:tcBorders>
              <w:top w:val="double" w:sz="4" w:space="0" w:color="auto"/>
              <w:left w:val="single" w:sz="4" w:space="0" w:color="auto"/>
              <w:bottom w:val="single" w:sz="4" w:space="0" w:color="auto"/>
              <w:right w:val="single" w:sz="4" w:space="0" w:color="auto"/>
            </w:tcBorders>
            <w:vAlign w:val="center"/>
          </w:tcPr>
          <w:p w14:paraId="0956BCAD" w14:textId="77777777" w:rsidR="00497092" w:rsidRPr="00644F20" w:rsidRDefault="00497092">
            <w:pPr>
              <w:spacing w:after="0" w:line="240" w:lineRule="auto"/>
              <w:rPr>
                <w:rFonts w:ascii="Times New Roman" w:hAnsi="Times New Roman" w:cs="Times New Roman"/>
                <w:lang w:val="sr-Cyrl-CS"/>
              </w:rPr>
            </w:pPr>
          </w:p>
        </w:tc>
        <w:tc>
          <w:tcPr>
            <w:tcW w:w="1741" w:type="dxa"/>
            <w:vMerge/>
            <w:tcBorders>
              <w:top w:val="double" w:sz="4" w:space="0" w:color="auto"/>
              <w:left w:val="single" w:sz="4" w:space="0" w:color="auto"/>
              <w:bottom w:val="single" w:sz="4" w:space="0" w:color="auto"/>
              <w:right w:val="single" w:sz="4" w:space="0" w:color="auto"/>
            </w:tcBorders>
            <w:vAlign w:val="center"/>
          </w:tcPr>
          <w:p w14:paraId="5F90F8E9" w14:textId="77777777" w:rsidR="00497092" w:rsidRPr="00644F20" w:rsidRDefault="00497092">
            <w:pPr>
              <w:spacing w:after="0" w:line="240" w:lineRule="auto"/>
              <w:rPr>
                <w:rFonts w:ascii="Times New Roman" w:hAnsi="Times New Roman" w:cs="Times New Roman"/>
                <w:lang w:val="sr-Cyrl-CS"/>
              </w:rPr>
            </w:pPr>
          </w:p>
        </w:tc>
        <w:tc>
          <w:tcPr>
            <w:tcW w:w="1281" w:type="dxa"/>
            <w:vMerge/>
            <w:tcBorders>
              <w:top w:val="double" w:sz="4" w:space="0" w:color="auto"/>
              <w:left w:val="single" w:sz="4" w:space="0" w:color="auto"/>
              <w:bottom w:val="single" w:sz="4" w:space="0" w:color="auto"/>
              <w:right w:val="single" w:sz="4" w:space="0" w:color="auto"/>
            </w:tcBorders>
            <w:vAlign w:val="center"/>
          </w:tcPr>
          <w:p w14:paraId="57A9E819" w14:textId="77777777" w:rsidR="00497092" w:rsidRPr="00644F20" w:rsidRDefault="00497092">
            <w:pPr>
              <w:spacing w:after="0" w:line="240" w:lineRule="auto"/>
              <w:rPr>
                <w:rFonts w:ascii="Times New Roman" w:hAnsi="Times New Roman" w:cs="Times New Roman"/>
                <w:lang w:val="sr-Cyrl-CS"/>
              </w:rPr>
            </w:pPr>
          </w:p>
        </w:tc>
        <w:tc>
          <w:tcPr>
            <w:tcW w:w="155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39DEAD"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157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20534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147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27F97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06CBFCEF" w14:textId="77777777" w:rsidTr="002B261C">
        <w:trPr>
          <w:trHeight w:val="1448"/>
        </w:trPr>
        <w:tc>
          <w:tcPr>
            <w:tcW w:w="2655" w:type="dxa"/>
            <w:tcBorders>
              <w:top w:val="single" w:sz="4" w:space="0" w:color="auto"/>
              <w:left w:val="double" w:sz="4" w:space="0" w:color="auto"/>
              <w:bottom w:val="single" w:sz="4" w:space="0" w:color="auto"/>
              <w:right w:val="single" w:sz="4" w:space="0" w:color="auto"/>
            </w:tcBorders>
          </w:tcPr>
          <w:p w14:paraId="71BAA64C" w14:textId="77777777" w:rsidR="00497092" w:rsidRPr="00644F20" w:rsidRDefault="002F45E1" w:rsidP="00691B7A">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3.1.1. </w:t>
            </w:r>
            <w:r w:rsidRPr="00644F20">
              <w:rPr>
                <w:rFonts w:ascii="Times New Roman" w:eastAsia="Calibri" w:hAnsi="Times New Roman" w:cs="Times New Roman"/>
                <w:lang w:val="sr-Cyrl-CS"/>
              </w:rPr>
              <w:t>Анализа тржишта једнократне пластике у Р</w:t>
            </w:r>
            <w:r w:rsidR="00691B7A" w:rsidRPr="00644F20">
              <w:rPr>
                <w:rFonts w:ascii="Times New Roman" w:eastAsia="Calibri" w:hAnsi="Times New Roman" w:cs="Times New Roman"/>
                <w:lang w:val="sr-Cyrl-CS"/>
              </w:rPr>
              <w:t xml:space="preserve">епублици Србији </w:t>
            </w:r>
          </w:p>
        </w:tc>
        <w:tc>
          <w:tcPr>
            <w:tcW w:w="1267" w:type="dxa"/>
            <w:tcBorders>
              <w:top w:val="single" w:sz="4" w:space="0" w:color="auto"/>
              <w:left w:val="single" w:sz="4" w:space="0" w:color="auto"/>
              <w:bottom w:val="single" w:sz="4" w:space="0" w:color="auto"/>
              <w:right w:val="single" w:sz="4" w:space="0" w:color="auto"/>
            </w:tcBorders>
          </w:tcPr>
          <w:p w14:paraId="208AA85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1372" w:type="dxa"/>
            <w:tcBorders>
              <w:top w:val="single" w:sz="4" w:space="0" w:color="auto"/>
              <w:left w:val="single" w:sz="4" w:space="0" w:color="auto"/>
              <w:bottom w:val="single" w:sz="4" w:space="0" w:color="auto"/>
              <w:right w:val="single" w:sz="4" w:space="0" w:color="auto"/>
            </w:tcBorders>
          </w:tcPr>
          <w:p w14:paraId="026A1A9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w:t>
            </w:r>
          </w:p>
          <w:p w14:paraId="3B8B7AD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tc>
        <w:tc>
          <w:tcPr>
            <w:tcW w:w="1284" w:type="dxa"/>
            <w:tcBorders>
              <w:top w:val="single" w:sz="4" w:space="0" w:color="auto"/>
              <w:left w:val="single" w:sz="4" w:space="0" w:color="auto"/>
              <w:bottom w:val="single" w:sz="4" w:space="0" w:color="auto"/>
              <w:right w:val="single" w:sz="4" w:space="0" w:color="auto"/>
            </w:tcBorders>
          </w:tcPr>
          <w:p w14:paraId="70F4250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1741" w:type="dxa"/>
            <w:tcBorders>
              <w:top w:val="single" w:sz="4" w:space="0" w:color="auto"/>
              <w:left w:val="single" w:sz="4" w:space="0" w:color="auto"/>
              <w:bottom w:val="single" w:sz="4" w:space="0" w:color="auto"/>
              <w:right w:val="single" w:sz="4" w:space="0" w:color="auto"/>
            </w:tcBorders>
          </w:tcPr>
          <w:p w14:paraId="613C903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1281" w:type="dxa"/>
            <w:tcBorders>
              <w:top w:val="single" w:sz="4" w:space="0" w:color="auto"/>
              <w:left w:val="single" w:sz="4" w:space="0" w:color="auto"/>
              <w:bottom w:val="single" w:sz="4" w:space="0" w:color="auto"/>
              <w:right w:val="single" w:sz="4" w:space="0" w:color="auto"/>
            </w:tcBorders>
          </w:tcPr>
          <w:p w14:paraId="6B75B418" w14:textId="77777777" w:rsidR="00497092" w:rsidRPr="00644F20" w:rsidRDefault="00497092">
            <w:pPr>
              <w:spacing w:after="60" w:line="240" w:lineRule="auto"/>
              <w:rPr>
                <w:rFonts w:ascii="Times New Roman" w:hAnsi="Times New Roman" w:cs="Times New Roman"/>
                <w:lang w:val="sr-Cyrl-CS"/>
              </w:rPr>
            </w:pPr>
          </w:p>
        </w:tc>
        <w:tc>
          <w:tcPr>
            <w:tcW w:w="1557" w:type="dxa"/>
            <w:tcBorders>
              <w:top w:val="single" w:sz="4" w:space="0" w:color="auto"/>
              <w:left w:val="single" w:sz="4" w:space="0" w:color="auto"/>
              <w:bottom w:val="single" w:sz="4" w:space="0" w:color="auto"/>
              <w:right w:val="single" w:sz="4" w:space="0" w:color="auto"/>
            </w:tcBorders>
          </w:tcPr>
          <w:p w14:paraId="1D8AF14F" w14:textId="77777777" w:rsidR="00497092" w:rsidRPr="00644F20" w:rsidRDefault="00497092">
            <w:pPr>
              <w:spacing w:after="60" w:line="240" w:lineRule="auto"/>
              <w:rPr>
                <w:rFonts w:ascii="Times New Roman" w:hAnsi="Times New Roman" w:cs="Times New Roman"/>
                <w:lang w:val="sr-Cyrl-CS"/>
              </w:rPr>
            </w:pPr>
          </w:p>
        </w:tc>
        <w:tc>
          <w:tcPr>
            <w:tcW w:w="1571" w:type="dxa"/>
            <w:tcBorders>
              <w:top w:val="single" w:sz="4" w:space="0" w:color="auto"/>
              <w:left w:val="single" w:sz="4" w:space="0" w:color="auto"/>
              <w:bottom w:val="single" w:sz="4" w:space="0" w:color="auto"/>
              <w:right w:val="single" w:sz="4" w:space="0" w:color="auto"/>
            </w:tcBorders>
          </w:tcPr>
          <w:p w14:paraId="76582F73" w14:textId="77777777" w:rsidR="00497092" w:rsidRPr="00644F20" w:rsidRDefault="00497092">
            <w:pPr>
              <w:spacing w:after="60" w:line="240" w:lineRule="auto"/>
              <w:rPr>
                <w:rFonts w:ascii="Times New Roman" w:hAnsi="Times New Roman" w:cs="Times New Roman"/>
                <w:lang w:val="sr-Cyrl-CS"/>
              </w:rPr>
            </w:pPr>
          </w:p>
        </w:tc>
        <w:tc>
          <w:tcPr>
            <w:tcW w:w="1477" w:type="dxa"/>
            <w:tcBorders>
              <w:top w:val="single" w:sz="4" w:space="0" w:color="auto"/>
              <w:left w:val="single" w:sz="4" w:space="0" w:color="auto"/>
              <w:bottom w:val="single" w:sz="4" w:space="0" w:color="auto"/>
              <w:right w:val="single" w:sz="4" w:space="0" w:color="auto"/>
            </w:tcBorders>
          </w:tcPr>
          <w:p w14:paraId="3021411F"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2DB389BF" w14:textId="77777777" w:rsidTr="002B261C">
        <w:trPr>
          <w:trHeight w:val="140"/>
        </w:trPr>
        <w:tc>
          <w:tcPr>
            <w:tcW w:w="2655" w:type="dxa"/>
            <w:tcBorders>
              <w:top w:val="single" w:sz="4" w:space="0" w:color="auto"/>
              <w:left w:val="double" w:sz="4" w:space="0" w:color="auto"/>
              <w:bottom w:val="single" w:sz="4" w:space="0" w:color="auto"/>
              <w:right w:val="single" w:sz="4" w:space="0" w:color="auto"/>
            </w:tcBorders>
          </w:tcPr>
          <w:p w14:paraId="5AB318E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3.1.2. Израда смерница за замену једнократне пластике одрживијим  материјалима</w:t>
            </w:r>
          </w:p>
        </w:tc>
        <w:tc>
          <w:tcPr>
            <w:tcW w:w="1267" w:type="dxa"/>
            <w:tcBorders>
              <w:top w:val="single" w:sz="4" w:space="0" w:color="auto"/>
              <w:left w:val="single" w:sz="4" w:space="0" w:color="auto"/>
              <w:bottom w:val="single" w:sz="4" w:space="0" w:color="auto"/>
              <w:right w:val="single" w:sz="4" w:space="0" w:color="auto"/>
            </w:tcBorders>
          </w:tcPr>
          <w:p w14:paraId="23CFBCC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1372" w:type="dxa"/>
            <w:tcBorders>
              <w:top w:val="single" w:sz="4" w:space="0" w:color="auto"/>
              <w:left w:val="single" w:sz="4" w:space="0" w:color="auto"/>
              <w:bottom w:val="single" w:sz="4" w:space="0" w:color="auto"/>
              <w:right w:val="single" w:sz="4" w:space="0" w:color="auto"/>
            </w:tcBorders>
          </w:tcPr>
          <w:p w14:paraId="7389C3C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tc>
        <w:tc>
          <w:tcPr>
            <w:tcW w:w="1284" w:type="dxa"/>
            <w:tcBorders>
              <w:top w:val="single" w:sz="4" w:space="0" w:color="auto"/>
              <w:left w:val="single" w:sz="4" w:space="0" w:color="auto"/>
              <w:bottom w:val="single" w:sz="4" w:space="0" w:color="auto"/>
              <w:right w:val="single" w:sz="4" w:space="0" w:color="auto"/>
            </w:tcBorders>
          </w:tcPr>
          <w:p w14:paraId="0727BC6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1741" w:type="dxa"/>
            <w:tcBorders>
              <w:top w:val="single" w:sz="4" w:space="0" w:color="auto"/>
              <w:left w:val="single" w:sz="4" w:space="0" w:color="auto"/>
              <w:bottom w:val="single" w:sz="4" w:space="0" w:color="auto"/>
              <w:right w:val="single" w:sz="4" w:space="0" w:color="auto"/>
            </w:tcBorders>
          </w:tcPr>
          <w:p w14:paraId="1A74581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1281" w:type="dxa"/>
            <w:tcBorders>
              <w:top w:val="single" w:sz="4" w:space="0" w:color="auto"/>
              <w:left w:val="single" w:sz="4" w:space="0" w:color="auto"/>
              <w:bottom w:val="single" w:sz="4" w:space="0" w:color="auto"/>
              <w:right w:val="single" w:sz="4" w:space="0" w:color="auto"/>
            </w:tcBorders>
          </w:tcPr>
          <w:p w14:paraId="7C638666" w14:textId="77777777" w:rsidR="00497092" w:rsidRPr="00644F20" w:rsidRDefault="00497092">
            <w:pPr>
              <w:spacing w:after="60" w:line="240" w:lineRule="auto"/>
              <w:rPr>
                <w:rFonts w:ascii="Times New Roman" w:hAnsi="Times New Roman" w:cs="Times New Roman"/>
                <w:lang w:val="sr-Cyrl-CS"/>
              </w:rPr>
            </w:pPr>
          </w:p>
        </w:tc>
        <w:tc>
          <w:tcPr>
            <w:tcW w:w="1557" w:type="dxa"/>
            <w:tcBorders>
              <w:top w:val="single" w:sz="4" w:space="0" w:color="auto"/>
              <w:left w:val="single" w:sz="4" w:space="0" w:color="auto"/>
              <w:bottom w:val="single" w:sz="4" w:space="0" w:color="auto"/>
              <w:right w:val="single" w:sz="4" w:space="0" w:color="auto"/>
            </w:tcBorders>
          </w:tcPr>
          <w:p w14:paraId="1127EB6C" w14:textId="77777777" w:rsidR="00497092" w:rsidRPr="00644F20" w:rsidRDefault="00497092">
            <w:pPr>
              <w:spacing w:after="60" w:line="240" w:lineRule="auto"/>
              <w:rPr>
                <w:rFonts w:ascii="Times New Roman" w:hAnsi="Times New Roman" w:cs="Times New Roman"/>
                <w:lang w:val="sr-Cyrl-CS"/>
              </w:rPr>
            </w:pPr>
          </w:p>
        </w:tc>
        <w:tc>
          <w:tcPr>
            <w:tcW w:w="1571" w:type="dxa"/>
            <w:tcBorders>
              <w:top w:val="single" w:sz="4" w:space="0" w:color="auto"/>
              <w:left w:val="single" w:sz="4" w:space="0" w:color="auto"/>
              <w:bottom w:val="single" w:sz="4" w:space="0" w:color="auto"/>
              <w:right w:val="single" w:sz="4" w:space="0" w:color="auto"/>
            </w:tcBorders>
          </w:tcPr>
          <w:p w14:paraId="437F4528" w14:textId="77777777" w:rsidR="00497092" w:rsidRPr="00644F20" w:rsidRDefault="00497092">
            <w:pPr>
              <w:spacing w:after="60" w:line="240" w:lineRule="auto"/>
              <w:rPr>
                <w:rFonts w:ascii="Times New Roman" w:hAnsi="Times New Roman" w:cs="Times New Roman"/>
                <w:lang w:val="sr-Cyrl-CS"/>
              </w:rPr>
            </w:pPr>
          </w:p>
        </w:tc>
        <w:tc>
          <w:tcPr>
            <w:tcW w:w="1477" w:type="dxa"/>
            <w:tcBorders>
              <w:top w:val="single" w:sz="4" w:space="0" w:color="auto"/>
              <w:left w:val="single" w:sz="4" w:space="0" w:color="auto"/>
              <w:bottom w:val="single" w:sz="4" w:space="0" w:color="auto"/>
              <w:right w:val="single" w:sz="4" w:space="0" w:color="auto"/>
            </w:tcBorders>
          </w:tcPr>
          <w:p w14:paraId="048CEED8" w14:textId="77777777" w:rsidR="00497092" w:rsidRPr="00644F20" w:rsidRDefault="00497092">
            <w:pPr>
              <w:spacing w:after="60" w:line="240" w:lineRule="auto"/>
              <w:rPr>
                <w:rFonts w:ascii="Times New Roman" w:hAnsi="Times New Roman" w:cs="Times New Roman"/>
                <w:lang w:val="sr-Cyrl-CS"/>
              </w:rPr>
            </w:pPr>
          </w:p>
        </w:tc>
      </w:tr>
    </w:tbl>
    <w:p w14:paraId="5BB81D7B" w14:textId="77777777" w:rsidR="00497092" w:rsidRPr="00644F20" w:rsidRDefault="00497092">
      <w:pPr>
        <w:spacing w:after="240"/>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359"/>
        <w:gridCol w:w="1559"/>
        <w:gridCol w:w="1701"/>
        <w:gridCol w:w="19"/>
        <w:gridCol w:w="1540"/>
        <w:gridCol w:w="1368"/>
        <w:gridCol w:w="1537"/>
        <w:gridCol w:w="1573"/>
        <w:gridCol w:w="1179"/>
      </w:tblGrid>
      <w:tr w:rsidR="00497092" w:rsidRPr="00644F20" w14:paraId="30817832" w14:textId="77777777" w:rsidTr="002B261C">
        <w:trPr>
          <w:trHeight w:val="168"/>
        </w:trPr>
        <w:tc>
          <w:tcPr>
            <w:tcW w:w="1383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414FE142"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Мера 3.2: Унапређење индустријске симбиозе у циљу оптимизације коришћења ресурса и смањивања количине отпада</w:t>
            </w:r>
          </w:p>
        </w:tc>
      </w:tr>
      <w:tr w:rsidR="00497092" w:rsidRPr="00644F20" w14:paraId="2678CDCD" w14:textId="77777777" w:rsidTr="002B261C">
        <w:trPr>
          <w:trHeight w:val="298"/>
        </w:trPr>
        <w:tc>
          <w:tcPr>
            <w:tcW w:w="1383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1ECDA1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реализацију:</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p>
        </w:tc>
      </w:tr>
      <w:tr w:rsidR="00497092" w:rsidRPr="00644F20" w14:paraId="5D0BD28C" w14:textId="77777777" w:rsidTr="002B261C">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37BF2B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Период спровођења: 2022 – 2024. </w:t>
            </w:r>
          </w:p>
        </w:tc>
        <w:tc>
          <w:tcPr>
            <w:tcW w:w="719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51BF82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регулаторна</w:t>
            </w:r>
          </w:p>
        </w:tc>
      </w:tr>
      <w:tr w:rsidR="00497092" w:rsidRPr="00644F20" w14:paraId="3A1AF08C" w14:textId="77777777" w:rsidTr="002B261C">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99931A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719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512C9FA" w14:textId="77777777" w:rsidR="00220394" w:rsidRPr="00644F20" w:rsidRDefault="002F45E1" w:rsidP="00220394">
            <w:pPr>
              <w:spacing w:after="0" w:line="240" w:lineRule="auto"/>
              <w:rPr>
                <w:rFonts w:ascii="Times New Roman" w:hAnsi="Times New Roman" w:cs="Times New Roman"/>
                <w:lang w:val="sr-Cyrl-CS"/>
              </w:rPr>
            </w:pPr>
            <w:r w:rsidRPr="00644F20">
              <w:rPr>
                <w:rFonts w:ascii="Times New Roman" w:hAnsi="Times New Roman" w:cs="Times New Roman"/>
                <w:lang w:val="sr-Cyrl-CS"/>
              </w:rPr>
              <w:t xml:space="preserve">Правилник о критеријумима за одређивање нуспроизвода и обрасцу извештаја о нуспроизводима, начину и роковима за његово достављање Правилник о техничким захтевима и другим посебним критеријумима за поједине врсте отпада који престају да буду отпад </w:t>
            </w:r>
          </w:p>
          <w:p w14:paraId="6CDB74C1" w14:textId="77777777" w:rsidR="00497092" w:rsidRPr="00644F20" w:rsidRDefault="002F45E1" w:rsidP="00220394">
            <w:pPr>
              <w:spacing w:after="0" w:line="240" w:lineRule="auto"/>
              <w:rPr>
                <w:rFonts w:ascii="Times New Roman" w:hAnsi="Times New Roman" w:cs="Times New Roman"/>
                <w:lang w:val="sr-Cyrl-CS"/>
              </w:rPr>
            </w:pPr>
            <w:r w:rsidRPr="00644F20">
              <w:rPr>
                <w:rFonts w:ascii="Times New Roman" w:hAnsi="Times New Roman" w:cs="Times New Roman"/>
                <w:lang w:val="sr-Cyrl-CS"/>
              </w:rPr>
              <w:t xml:space="preserve">Правилник о садржини захтева за упис у Регистар нуспроизвода и Регистар отпада који је престао да буде отпад </w:t>
            </w:r>
          </w:p>
        </w:tc>
      </w:tr>
      <w:tr w:rsidR="00497092" w:rsidRPr="00644F20" w14:paraId="302240EF" w14:textId="77777777" w:rsidTr="002B261C">
        <w:trPr>
          <w:trHeight w:val="950"/>
        </w:trPr>
        <w:tc>
          <w:tcPr>
            <w:tcW w:w="335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68AFC0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55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CF2A7B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54186919" w14:textId="77777777" w:rsidR="00497092" w:rsidRPr="00644F20" w:rsidRDefault="00497092">
            <w:pPr>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784D39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559"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DB5930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36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9D6719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53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2CFDBC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573"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3B30720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117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4C92A07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5AE43ED0" w14:textId="77777777" w:rsidTr="002B261C">
        <w:trPr>
          <w:trHeight w:val="302"/>
        </w:trPr>
        <w:tc>
          <w:tcPr>
            <w:tcW w:w="3359" w:type="dxa"/>
            <w:tcBorders>
              <w:top w:val="double" w:sz="4" w:space="0" w:color="auto"/>
              <w:left w:val="single" w:sz="4" w:space="0" w:color="auto"/>
              <w:bottom w:val="double" w:sz="4" w:space="0" w:color="auto"/>
              <w:right w:val="single" w:sz="4" w:space="0" w:color="auto"/>
            </w:tcBorders>
            <w:shd w:val="clear" w:color="auto" w:fill="FFFFFF" w:themeFill="background1"/>
          </w:tcPr>
          <w:p w14:paraId="2D21CC8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Успостављена база података о количинама и врстама производних остатака</w:t>
            </w:r>
          </w:p>
        </w:tc>
        <w:tc>
          <w:tcPr>
            <w:tcW w:w="1559" w:type="dxa"/>
            <w:tcBorders>
              <w:top w:val="double" w:sz="4" w:space="0" w:color="auto"/>
              <w:left w:val="single" w:sz="4" w:space="0" w:color="auto"/>
              <w:bottom w:val="double" w:sz="4" w:space="0" w:color="auto"/>
              <w:right w:val="single" w:sz="4" w:space="0" w:color="auto"/>
            </w:tcBorders>
            <w:shd w:val="clear" w:color="auto" w:fill="FFFFFF" w:themeFill="background1"/>
          </w:tcPr>
          <w:p w14:paraId="04B0C16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0BF9064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tc>
        <w:tc>
          <w:tcPr>
            <w:tcW w:w="155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6B73AF6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368" w:type="dxa"/>
            <w:tcBorders>
              <w:top w:val="double" w:sz="4" w:space="0" w:color="auto"/>
              <w:left w:val="single" w:sz="4" w:space="0" w:color="auto"/>
              <w:bottom w:val="double" w:sz="4" w:space="0" w:color="auto"/>
              <w:right w:val="single" w:sz="4" w:space="0" w:color="auto"/>
            </w:tcBorders>
            <w:shd w:val="clear" w:color="auto" w:fill="FFFFFF" w:themeFill="background1"/>
          </w:tcPr>
          <w:p w14:paraId="501D172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070DFC14"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3E8C34A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w:t>
            </w:r>
          </w:p>
        </w:tc>
        <w:tc>
          <w:tcPr>
            <w:tcW w:w="1179" w:type="dxa"/>
            <w:tcBorders>
              <w:top w:val="double" w:sz="4" w:space="0" w:color="auto"/>
              <w:left w:val="single" w:sz="4" w:space="0" w:color="auto"/>
              <w:bottom w:val="double" w:sz="4" w:space="0" w:color="auto"/>
              <w:right w:val="double" w:sz="4" w:space="0" w:color="auto"/>
            </w:tcBorders>
            <w:shd w:val="clear" w:color="auto" w:fill="FFFFFF" w:themeFill="background1"/>
          </w:tcPr>
          <w:p w14:paraId="23CBC228"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r>
      <w:tr w:rsidR="00497092" w:rsidRPr="00644F20" w14:paraId="766206CD" w14:textId="77777777" w:rsidTr="002B261C">
        <w:trPr>
          <w:trHeight w:val="302"/>
        </w:trPr>
        <w:tc>
          <w:tcPr>
            <w:tcW w:w="3359" w:type="dxa"/>
            <w:tcBorders>
              <w:top w:val="double" w:sz="4" w:space="0" w:color="auto"/>
              <w:left w:val="single" w:sz="4" w:space="0" w:color="auto"/>
              <w:bottom w:val="double" w:sz="4" w:space="0" w:color="auto"/>
              <w:right w:val="single" w:sz="4" w:space="0" w:color="auto"/>
            </w:tcBorders>
            <w:shd w:val="clear" w:color="auto" w:fill="FFFFFF" w:themeFill="background1"/>
          </w:tcPr>
          <w:p w14:paraId="014A99F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потврда о упису у Регистар нуспроизвода</w:t>
            </w:r>
          </w:p>
        </w:tc>
        <w:tc>
          <w:tcPr>
            <w:tcW w:w="1559" w:type="dxa"/>
            <w:tcBorders>
              <w:top w:val="double" w:sz="4" w:space="0" w:color="auto"/>
              <w:left w:val="single" w:sz="4" w:space="0" w:color="auto"/>
              <w:bottom w:val="double" w:sz="4" w:space="0" w:color="auto"/>
              <w:right w:val="single" w:sz="4" w:space="0" w:color="auto"/>
            </w:tcBorders>
            <w:shd w:val="clear" w:color="auto" w:fill="FFFFFF" w:themeFill="background1"/>
          </w:tcPr>
          <w:p w14:paraId="2600670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787C4A8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АЗЖС</w:t>
            </w:r>
          </w:p>
        </w:tc>
        <w:tc>
          <w:tcPr>
            <w:tcW w:w="155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53443F73"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4</w:t>
            </w:r>
          </w:p>
        </w:tc>
        <w:tc>
          <w:tcPr>
            <w:tcW w:w="1368" w:type="dxa"/>
            <w:tcBorders>
              <w:top w:val="double" w:sz="4" w:space="0" w:color="auto"/>
              <w:left w:val="single" w:sz="4" w:space="0" w:color="auto"/>
              <w:bottom w:val="double" w:sz="4" w:space="0" w:color="auto"/>
              <w:right w:val="single" w:sz="4" w:space="0" w:color="auto"/>
            </w:tcBorders>
            <w:shd w:val="clear" w:color="auto" w:fill="FFFFFF" w:themeFill="background1"/>
          </w:tcPr>
          <w:p w14:paraId="7C43008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3179495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5</w:t>
            </w: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15003F5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10</w:t>
            </w:r>
          </w:p>
        </w:tc>
        <w:tc>
          <w:tcPr>
            <w:tcW w:w="1179" w:type="dxa"/>
            <w:tcBorders>
              <w:top w:val="double" w:sz="4" w:space="0" w:color="auto"/>
              <w:left w:val="single" w:sz="4" w:space="0" w:color="auto"/>
              <w:bottom w:val="double" w:sz="4" w:space="0" w:color="auto"/>
              <w:right w:val="double" w:sz="4" w:space="0" w:color="auto"/>
            </w:tcBorders>
            <w:shd w:val="clear" w:color="auto" w:fill="FFFFFF" w:themeFill="background1"/>
          </w:tcPr>
          <w:p w14:paraId="458ABC2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w:t>
            </w:r>
          </w:p>
        </w:tc>
      </w:tr>
      <w:tr w:rsidR="00497092" w:rsidRPr="00644F20" w14:paraId="742243C0" w14:textId="77777777" w:rsidTr="002B261C">
        <w:trPr>
          <w:trHeight w:val="302"/>
        </w:trPr>
        <w:tc>
          <w:tcPr>
            <w:tcW w:w="3359" w:type="dxa"/>
            <w:tcBorders>
              <w:top w:val="double" w:sz="4" w:space="0" w:color="auto"/>
              <w:left w:val="single" w:sz="4" w:space="0" w:color="auto"/>
              <w:bottom w:val="double" w:sz="4" w:space="0" w:color="auto"/>
              <w:right w:val="single" w:sz="4" w:space="0" w:color="auto"/>
            </w:tcBorders>
            <w:shd w:val="clear" w:color="auto" w:fill="FFFFFF" w:themeFill="background1"/>
          </w:tcPr>
          <w:p w14:paraId="29ABDB5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потврда за поједине врсте отпада о престанку статуса отпада</w:t>
            </w:r>
          </w:p>
        </w:tc>
        <w:tc>
          <w:tcPr>
            <w:tcW w:w="1559" w:type="dxa"/>
            <w:tcBorders>
              <w:top w:val="double" w:sz="4" w:space="0" w:color="auto"/>
              <w:left w:val="single" w:sz="4" w:space="0" w:color="auto"/>
              <w:bottom w:val="double" w:sz="4" w:space="0" w:color="auto"/>
              <w:right w:val="single" w:sz="4" w:space="0" w:color="auto"/>
            </w:tcBorders>
            <w:shd w:val="clear" w:color="auto" w:fill="FFFFFF" w:themeFill="background1"/>
          </w:tcPr>
          <w:p w14:paraId="410B400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67A4EE3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АЗЖС</w:t>
            </w:r>
          </w:p>
        </w:tc>
        <w:tc>
          <w:tcPr>
            <w:tcW w:w="155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3D53965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w:t>
            </w:r>
          </w:p>
        </w:tc>
        <w:tc>
          <w:tcPr>
            <w:tcW w:w="1368" w:type="dxa"/>
            <w:tcBorders>
              <w:top w:val="double" w:sz="4" w:space="0" w:color="auto"/>
              <w:left w:val="single" w:sz="4" w:space="0" w:color="auto"/>
              <w:bottom w:val="double" w:sz="4" w:space="0" w:color="auto"/>
              <w:right w:val="single" w:sz="4" w:space="0" w:color="auto"/>
            </w:tcBorders>
            <w:shd w:val="clear" w:color="auto" w:fill="FFFFFF" w:themeFill="background1"/>
          </w:tcPr>
          <w:p w14:paraId="4ABC343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312C184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03ACC7D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6</w:t>
            </w:r>
          </w:p>
        </w:tc>
        <w:tc>
          <w:tcPr>
            <w:tcW w:w="1179" w:type="dxa"/>
            <w:tcBorders>
              <w:top w:val="double" w:sz="4" w:space="0" w:color="auto"/>
              <w:left w:val="single" w:sz="4" w:space="0" w:color="auto"/>
              <w:bottom w:val="double" w:sz="4" w:space="0" w:color="auto"/>
              <w:right w:val="double" w:sz="4" w:space="0" w:color="auto"/>
            </w:tcBorders>
            <w:shd w:val="clear" w:color="auto" w:fill="FFFFFF" w:themeFill="background1"/>
          </w:tcPr>
          <w:p w14:paraId="167A7D3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8 </w:t>
            </w:r>
          </w:p>
        </w:tc>
      </w:tr>
    </w:tbl>
    <w:p w14:paraId="618E135C" w14:textId="77777777" w:rsidR="00497092" w:rsidRPr="00644F20" w:rsidRDefault="00497092">
      <w:pPr>
        <w:rPr>
          <w:rFonts w:ascii="Times New Roman" w:hAnsi="Times New Roman" w:cs="Times New Roman"/>
          <w:lang w:val="sr-Cyrl-CS"/>
        </w:rPr>
      </w:pPr>
    </w:p>
    <w:p w14:paraId="22899EF1" w14:textId="77777777" w:rsidR="005320FF" w:rsidRPr="00644F20" w:rsidRDefault="005320FF">
      <w:pPr>
        <w:rPr>
          <w:rFonts w:ascii="Times New Roman" w:hAnsi="Times New Roman" w:cs="Times New Roman"/>
          <w:lang w:val="sr-Cyrl-CS"/>
        </w:rPr>
      </w:pPr>
    </w:p>
    <w:p w14:paraId="14A35A52" w14:textId="77777777" w:rsidR="005320FF" w:rsidRPr="00644F20" w:rsidRDefault="005320FF">
      <w:pPr>
        <w:rPr>
          <w:rFonts w:ascii="Times New Roman" w:hAnsi="Times New Roman" w:cs="Times New Roman"/>
          <w:lang w:val="sr-Cyrl-CS"/>
        </w:rPr>
      </w:pPr>
    </w:p>
    <w:tbl>
      <w:tblPr>
        <w:tblStyle w:val="TableGrid"/>
        <w:tblW w:w="13925" w:type="dxa"/>
        <w:tblInd w:w="10" w:type="dxa"/>
        <w:tblLayout w:type="fixed"/>
        <w:tblLook w:val="04A0" w:firstRow="1" w:lastRow="0" w:firstColumn="1" w:lastColumn="0" w:noHBand="0" w:noVBand="1"/>
      </w:tblPr>
      <w:tblGrid>
        <w:gridCol w:w="3665"/>
        <w:gridCol w:w="2778"/>
        <w:gridCol w:w="2869"/>
        <w:gridCol w:w="2543"/>
        <w:gridCol w:w="2070"/>
      </w:tblGrid>
      <w:tr w:rsidR="00497092" w:rsidRPr="00644F20" w14:paraId="6A49AC24" w14:textId="77777777" w:rsidTr="002B261C">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59CCBC4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Извор финансирања мере</w:t>
            </w:r>
          </w:p>
          <w:p w14:paraId="1E60BEE0"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0087563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63044B35" w14:textId="77777777" w:rsidR="00497092" w:rsidRPr="00644F20" w:rsidRDefault="00497092">
            <w:pPr>
              <w:spacing w:after="60" w:line="240" w:lineRule="auto"/>
              <w:rPr>
                <w:rFonts w:ascii="Times New Roman" w:hAnsi="Times New Roman" w:cs="Times New Roman"/>
                <w:lang w:val="sr-Cyrl-CS"/>
              </w:rPr>
            </w:pPr>
          </w:p>
        </w:tc>
        <w:tc>
          <w:tcPr>
            <w:tcW w:w="748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C6236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03659105" w14:textId="77777777" w:rsidTr="002B261C">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275DCCFA"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548D5BE0"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E0A7E0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91FB10"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07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59357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4F3365C7" w14:textId="77777777" w:rsidTr="002B261C">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A791E6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vMerge w:val="restart"/>
            <w:tcBorders>
              <w:top w:val="double" w:sz="4" w:space="0" w:color="auto"/>
              <w:left w:val="double" w:sz="4" w:space="0" w:color="auto"/>
              <w:bottom w:val="double" w:sz="4" w:space="0" w:color="auto"/>
              <w:right w:val="double" w:sz="4" w:space="0" w:color="auto"/>
            </w:tcBorders>
            <w:shd w:val="clear" w:color="auto" w:fill="FFFFFF" w:themeFill="background1"/>
          </w:tcPr>
          <w:p w14:paraId="4390D227"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25DAEF7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1.200</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5B229FF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6.000</w:t>
            </w:r>
          </w:p>
        </w:tc>
        <w:tc>
          <w:tcPr>
            <w:tcW w:w="2070" w:type="dxa"/>
            <w:tcBorders>
              <w:top w:val="single" w:sz="4" w:space="0" w:color="auto"/>
              <w:left w:val="double" w:sz="4" w:space="0" w:color="auto"/>
              <w:bottom w:val="double" w:sz="4" w:space="0" w:color="auto"/>
              <w:right w:val="double" w:sz="4" w:space="0" w:color="auto"/>
            </w:tcBorders>
            <w:shd w:val="clear" w:color="auto" w:fill="FFFFFF" w:themeFill="background1"/>
          </w:tcPr>
          <w:p w14:paraId="5A60D0B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4.000</w:t>
            </w:r>
          </w:p>
        </w:tc>
      </w:tr>
      <w:tr w:rsidR="00497092" w:rsidRPr="00644F20" w14:paraId="51512AB1" w14:textId="77777777" w:rsidTr="002B261C">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1D45BB6" w14:textId="77777777" w:rsidR="00497092" w:rsidRPr="00644F20" w:rsidRDefault="00497092">
            <w:pPr>
              <w:spacing w:after="60" w:line="240" w:lineRule="auto"/>
              <w:rPr>
                <w:rFonts w:ascii="Times New Roman" w:hAnsi="Times New Roman" w:cs="Times New Roman"/>
                <w:lang w:val="sr-Cyrl-CS"/>
              </w:rPr>
            </w:pPr>
          </w:p>
        </w:tc>
        <w:tc>
          <w:tcPr>
            <w:tcW w:w="2778" w:type="dxa"/>
            <w:vMerge/>
            <w:tcBorders>
              <w:top w:val="double" w:sz="4" w:space="0" w:color="auto"/>
              <w:left w:val="double" w:sz="4" w:space="0" w:color="auto"/>
              <w:bottom w:val="double" w:sz="4" w:space="0" w:color="auto"/>
              <w:right w:val="double" w:sz="4" w:space="0" w:color="auto"/>
            </w:tcBorders>
            <w:vAlign w:val="center"/>
          </w:tcPr>
          <w:p w14:paraId="4ACF157B"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0577EAA7"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6471C06A" w14:textId="77777777" w:rsidR="00497092" w:rsidRPr="00644F20" w:rsidRDefault="00497092">
            <w:pPr>
              <w:spacing w:after="60" w:line="240" w:lineRule="auto"/>
              <w:rPr>
                <w:rFonts w:ascii="Times New Roman" w:hAnsi="Times New Roman" w:cs="Times New Roman"/>
                <w:lang w:val="sr-Cyrl-CS"/>
              </w:rPr>
            </w:pPr>
          </w:p>
        </w:tc>
        <w:tc>
          <w:tcPr>
            <w:tcW w:w="2070" w:type="dxa"/>
            <w:tcBorders>
              <w:top w:val="single" w:sz="4" w:space="0" w:color="auto"/>
              <w:left w:val="double" w:sz="4" w:space="0" w:color="auto"/>
              <w:bottom w:val="double" w:sz="4" w:space="0" w:color="auto"/>
              <w:right w:val="double" w:sz="4" w:space="0" w:color="auto"/>
            </w:tcBorders>
            <w:shd w:val="clear" w:color="auto" w:fill="FFFFFF" w:themeFill="background1"/>
          </w:tcPr>
          <w:p w14:paraId="7AEF81BD" w14:textId="77777777" w:rsidR="00497092" w:rsidRPr="00644F20" w:rsidRDefault="00497092">
            <w:pPr>
              <w:spacing w:after="60" w:line="240" w:lineRule="auto"/>
              <w:rPr>
                <w:rFonts w:ascii="Times New Roman" w:hAnsi="Times New Roman" w:cs="Times New Roman"/>
                <w:lang w:val="sr-Cyrl-CS"/>
              </w:rPr>
            </w:pPr>
          </w:p>
        </w:tc>
      </w:tr>
    </w:tbl>
    <w:p w14:paraId="31DFAC08"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08"/>
        <w:gridCol w:w="1160"/>
        <w:gridCol w:w="1339"/>
        <w:gridCol w:w="1278"/>
        <w:gridCol w:w="1490"/>
        <w:gridCol w:w="1453"/>
        <w:gridCol w:w="1135"/>
        <w:gridCol w:w="1257"/>
        <w:gridCol w:w="1132"/>
      </w:tblGrid>
      <w:tr w:rsidR="00497092" w:rsidRPr="00644F20" w14:paraId="62D85F5D"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6CD77FA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458"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224A08B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D3CE12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39616A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FF069D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251A826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050A7774" w14:textId="77777777" w:rsidR="00497092" w:rsidRPr="00644F20" w:rsidRDefault="00497092">
            <w:pPr>
              <w:spacing w:after="60" w:line="240" w:lineRule="auto"/>
              <w:jc w:val="center"/>
              <w:rPr>
                <w:rFonts w:ascii="Times New Roman" w:hAnsi="Times New Roman" w:cs="Times New Roman"/>
                <w:lang w:val="sr-Cyrl-CS"/>
              </w:rPr>
            </w:pPr>
          </w:p>
        </w:tc>
        <w:tc>
          <w:tcPr>
            <w:tcW w:w="1530"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D95472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39686E9E"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21CF60B5"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BBDC524"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A40B133"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EDAB112"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76C7B436"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659700E" w14:textId="77777777" w:rsidR="00497092" w:rsidRPr="00644F20" w:rsidRDefault="00497092">
            <w:pPr>
              <w:spacing w:after="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2CAD6B"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54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059DAB"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7E5AA5"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18C4662D"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766874D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3.2.1.  Унапређење правилника који се односе на нуспроизводе и престанак статуса отпада у циљу бржег и лакшег уписивања производних остатака или одређених врста отпада у одговарајуће регистре</w:t>
            </w:r>
          </w:p>
        </w:tc>
        <w:tc>
          <w:tcPr>
            <w:tcW w:w="458" w:type="pct"/>
            <w:tcBorders>
              <w:top w:val="single" w:sz="4" w:space="0" w:color="auto"/>
              <w:left w:val="single" w:sz="4" w:space="0" w:color="auto"/>
              <w:bottom w:val="single" w:sz="4" w:space="0" w:color="auto"/>
              <w:right w:val="single" w:sz="4" w:space="0" w:color="auto"/>
            </w:tcBorders>
          </w:tcPr>
          <w:p w14:paraId="20576D5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5509972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w:t>
            </w:r>
          </w:p>
          <w:p w14:paraId="6BF8FED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4A54B2F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АЗЖС</w:t>
            </w:r>
          </w:p>
        </w:tc>
        <w:tc>
          <w:tcPr>
            <w:tcW w:w="464" w:type="pct"/>
            <w:tcBorders>
              <w:top w:val="single" w:sz="4" w:space="0" w:color="auto"/>
              <w:left w:val="single" w:sz="4" w:space="0" w:color="auto"/>
              <w:bottom w:val="single" w:sz="4" w:space="0" w:color="auto"/>
              <w:right w:val="single" w:sz="4" w:space="0" w:color="auto"/>
            </w:tcBorders>
          </w:tcPr>
          <w:p w14:paraId="2E620D7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2022.</w:t>
            </w:r>
          </w:p>
        </w:tc>
        <w:tc>
          <w:tcPr>
            <w:tcW w:w="629" w:type="pct"/>
            <w:tcBorders>
              <w:top w:val="single" w:sz="4" w:space="0" w:color="auto"/>
              <w:left w:val="single" w:sz="4" w:space="0" w:color="auto"/>
              <w:bottom w:val="single" w:sz="4" w:space="0" w:color="auto"/>
              <w:right w:val="single" w:sz="4" w:space="0" w:color="auto"/>
            </w:tcBorders>
          </w:tcPr>
          <w:p w14:paraId="02AA508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5ADF8EB9" w14:textId="77777777" w:rsidR="00497092" w:rsidRPr="00644F20" w:rsidRDefault="00497092">
            <w:pPr>
              <w:spacing w:after="6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4D7346F2" w14:textId="77777777" w:rsidR="00497092" w:rsidRPr="00644F20" w:rsidRDefault="00497092">
            <w:pPr>
              <w:spacing w:after="60" w:line="240" w:lineRule="auto"/>
              <w:rPr>
                <w:rFonts w:ascii="Times New Roman"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5A75866F"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69B325F7"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5DE688E3"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41907FF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3.2.2. Успостављање и промоција дигиталне базе података привредних субјеката о количинама и врстама производних остатака у циљу развоја берзе секундарних сировина </w:t>
            </w:r>
          </w:p>
        </w:tc>
        <w:tc>
          <w:tcPr>
            <w:tcW w:w="458" w:type="pct"/>
            <w:tcBorders>
              <w:top w:val="single" w:sz="4" w:space="0" w:color="auto"/>
              <w:left w:val="single" w:sz="4" w:space="0" w:color="auto"/>
              <w:bottom w:val="single" w:sz="4" w:space="0" w:color="auto"/>
              <w:right w:val="single" w:sz="4" w:space="0" w:color="auto"/>
            </w:tcBorders>
          </w:tcPr>
          <w:p w14:paraId="5F8A531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58A1845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w:t>
            </w:r>
          </w:p>
          <w:p w14:paraId="475E332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03DC3DB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АЗЖС</w:t>
            </w:r>
          </w:p>
        </w:tc>
        <w:tc>
          <w:tcPr>
            <w:tcW w:w="464" w:type="pct"/>
            <w:tcBorders>
              <w:top w:val="single" w:sz="4" w:space="0" w:color="auto"/>
              <w:left w:val="single" w:sz="4" w:space="0" w:color="auto"/>
              <w:bottom w:val="single" w:sz="4" w:space="0" w:color="auto"/>
              <w:right w:val="single" w:sz="4" w:space="0" w:color="auto"/>
            </w:tcBorders>
          </w:tcPr>
          <w:p w14:paraId="3337C52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629" w:type="pct"/>
            <w:tcBorders>
              <w:top w:val="single" w:sz="4" w:space="0" w:color="auto"/>
              <w:left w:val="single" w:sz="4" w:space="0" w:color="auto"/>
              <w:bottom w:val="single" w:sz="4" w:space="0" w:color="auto"/>
              <w:right w:val="single" w:sz="4" w:space="0" w:color="auto"/>
            </w:tcBorders>
          </w:tcPr>
          <w:p w14:paraId="7D93742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1CDC2090" w14:textId="77777777" w:rsidR="00497092" w:rsidRPr="00644F20" w:rsidRDefault="00497092">
            <w:pPr>
              <w:spacing w:after="6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43D9FBDE" w14:textId="77777777" w:rsidR="00497092" w:rsidRPr="00644F20" w:rsidRDefault="00497092">
            <w:pPr>
              <w:spacing w:after="60" w:line="240" w:lineRule="auto"/>
              <w:rPr>
                <w:rFonts w:ascii="Times New Roman"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1CA05F66"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4F78872C" w14:textId="77777777" w:rsidR="00497092" w:rsidRPr="00644F20" w:rsidRDefault="00497092">
            <w:pPr>
              <w:spacing w:after="60" w:line="240" w:lineRule="auto"/>
              <w:rPr>
                <w:rFonts w:ascii="Times New Roman" w:hAnsi="Times New Roman" w:cs="Times New Roman"/>
                <w:lang w:val="sr-Cyrl-CS"/>
              </w:rPr>
            </w:pPr>
          </w:p>
        </w:tc>
      </w:tr>
    </w:tbl>
    <w:p w14:paraId="701E4780" w14:textId="77777777" w:rsidR="00497092" w:rsidRPr="00644F20" w:rsidRDefault="00497092">
      <w:pPr>
        <w:spacing w:after="240"/>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149"/>
        <w:gridCol w:w="1443"/>
        <w:gridCol w:w="1347"/>
        <w:gridCol w:w="963"/>
        <w:gridCol w:w="768"/>
        <w:gridCol w:w="1670"/>
        <w:gridCol w:w="1673"/>
        <w:gridCol w:w="1701"/>
        <w:gridCol w:w="1121"/>
      </w:tblGrid>
      <w:tr w:rsidR="00497092" w:rsidRPr="00644F20" w14:paraId="1619F485" w14:textId="77777777" w:rsidTr="002B261C">
        <w:trPr>
          <w:trHeight w:val="169"/>
        </w:trPr>
        <w:tc>
          <w:tcPr>
            <w:tcW w:w="1383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54A9EDF0"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lastRenderedPageBreak/>
              <w:t>Мера 3.3: Подршка грађевинском сектору у развоју система управљања отпадом од грађења и рушења</w:t>
            </w:r>
          </w:p>
        </w:tc>
      </w:tr>
      <w:tr w:rsidR="00497092" w:rsidRPr="00644F20" w14:paraId="5EAF6010" w14:textId="77777777" w:rsidTr="002B261C">
        <w:trPr>
          <w:trHeight w:val="300"/>
        </w:trPr>
        <w:tc>
          <w:tcPr>
            <w:tcW w:w="1383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CC64E1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реализацију:</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p>
        </w:tc>
      </w:tr>
      <w:tr w:rsidR="00497092" w:rsidRPr="00644F20" w14:paraId="392BC247" w14:textId="77777777" w:rsidTr="002B261C">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905223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Период спровођења: 2022 – 2024. </w:t>
            </w:r>
          </w:p>
        </w:tc>
        <w:tc>
          <w:tcPr>
            <w:tcW w:w="693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4FDD6F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026FC96F" w14:textId="77777777" w:rsidTr="002B261C">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EC8F8C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93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EFBF195" w14:textId="77777777" w:rsidR="00497092" w:rsidRPr="00644F20" w:rsidRDefault="002F45E1" w:rsidP="00691B7A">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Закон о управљању отпадом </w:t>
            </w:r>
          </w:p>
        </w:tc>
      </w:tr>
      <w:tr w:rsidR="00497092" w:rsidRPr="00644F20" w14:paraId="47B2DC48" w14:textId="77777777" w:rsidTr="002B261C">
        <w:trPr>
          <w:trHeight w:val="955"/>
        </w:trPr>
        <w:tc>
          <w:tcPr>
            <w:tcW w:w="314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58F54C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443"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6B5467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635E3094" w14:textId="77777777" w:rsidR="00497092" w:rsidRPr="00644F20" w:rsidRDefault="00497092">
            <w:pPr>
              <w:spacing w:after="60" w:line="240" w:lineRule="auto"/>
              <w:rPr>
                <w:rFonts w:ascii="Times New Roman" w:hAnsi="Times New Roman" w:cs="Times New Roman"/>
                <w:lang w:val="sr-Cyrl-CS"/>
              </w:rPr>
            </w:pPr>
          </w:p>
        </w:tc>
        <w:tc>
          <w:tcPr>
            <w:tcW w:w="134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F7A91A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731"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C3399F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67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2A6D68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673"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580B03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70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74F415A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112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52EF76F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3C6D623E" w14:textId="77777777" w:rsidTr="002B261C">
        <w:trPr>
          <w:trHeight w:val="304"/>
        </w:trPr>
        <w:tc>
          <w:tcPr>
            <w:tcW w:w="3149" w:type="dxa"/>
            <w:tcBorders>
              <w:top w:val="double" w:sz="4" w:space="0" w:color="auto"/>
              <w:left w:val="single" w:sz="4" w:space="0" w:color="auto"/>
              <w:bottom w:val="double" w:sz="4" w:space="0" w:color="auto"/>
              <w:right w:val="single" w:sz="4" w:space="0" w:color="auto"/>
            </w:tcBorders>
            <w:shd w:val="clear" w:color="auto" w:fill="FFFFFF" w:themeFill="background1"/>
          </w:tcPr>
          <w:p w14:paraId="33B9A31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Анализа тренутног стања поступања са отпадом од грађења и рушења и потенцијала за рециклажу у грађевинском сектору</w:t>
            </w:r>
          </w:p>
        </w:tc>
        <w:tc>
          <w:tcPr>
            <w:tcW w:w="1443" w:type="dxa"/>
            <w:tcBorders>
              <w:top w:val="double" w:sz="4" w:space="0" w:color="auto"/>
              <w:left w:val="single" w:sz="4" w:space="0" w:color="auto"/>
              <w:bottom w:val="double" w:sz="4" w:space="0" w:color="auto"/>
              <w:right w:val="single" w:sz="4" w:space="0" w:color="auto"/>
            </w:tcBorders>
            <w:shd w:val="clear" w:color="auto" w:fill="FFFFFF" w:themeFill="background1"/>
          </w:tcPr>
          <w:p w14:paraId="73B2FA54"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1347" w:type="dxa"/>
            <w:tcBorders>
              <w:top w:val="double" w:sz="4" w:space="0" w:color="auto"/>
              <w:left w:val="single" w:sz="4" w:space="0" w:color="auto"/>
              <w:bottom w:val="double" w:sz="4" w:space="0" w:color="auto"/>
              <w:right w:val="single" w:sz="4" w:space="0" w:color="auto"/>
            </w:tcBorders>
            <w:shd w:val="clear" w:color="auto" w:fill="FFFFFF" w:themeFill="background1"/>
          </w:tcPr>
          <w:p w14:paraId="343A593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израђеној анализи</w:t>
            </w:r>
          </w:p>
        </w:tc>
        <w:tc>
          <w:tcPr>
            <w:tcW w:w="1731"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3D7D274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670" w:type="dxa"/>
            <w:tcBorders>
              <w:top w:val="double" w:sz="4" w:space="0" w:color="auto"/>
              <w:left w:val="single" w:sz="4" w:space="0" w:color="auto"/>
              <w:bottom w:val="double" w:sz="4" w:space="0" w:color="auto"/>
              <w:right w:val="single" w:sz="4" w:space="0" w:color="auto"/>
            </w:tcBorders>
            <w:shd w:val="clear" w:color="auto" w:fill="FFFFFF" w:themeFill="background1"/>
          </w:tcPr>
          <w:p w14:paraId="0558FDF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73" w:type="dxa"/>
            <w:tcBorders>
              <w:top w:val="double" w:sz="4" w:space="0" w:color="auto"/>
              <w:left w:val="single" w:sz="4" w:space="0" w:color="auto"/>
              <w:bottom w:val="double" w:sz="4" w:space="0" w:color="auto"/>
              <w:right w:val="single" w:sz="4" w:space="0" w:color="auto"/>
            </w:tcBorders>
            <w:shd w:val="clear" w:color="auto" w:fill="FFFFFF" w:themeFill="background1"/>
          </w:tcPr>
          <w:p w14:paraId="42142D39"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1B17AF89"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121" w:type="dxa"/>
            <w:tcBorders>
              <w:top w:val="double" w:sz="4" w:space="0" w:color="auto"/>
              <w:left w:val="single" w:sz="4" w:space="0" w:color="auto"/>
              <w:bottom w:val="double" w:sz="4" w:space="0" w:color="auto"/>
              <w:right w:val="double" w:sz="4" w:space="0" w:color="auto"/>
            </w:tcBorders>
            <w:shd w:val="clear" w:color="auto" w:fill="FFFFFF" w:themeFill="background1"/>
          </w:tcPr>
          <w:p w14:paraId="76B5EDB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w:t>
            </w:r>
          </w:p>
        </w:tc>
      </w:tr>
      <w:tr w:rsidR="00497092" w:rsidRPr="00644F20" w14:paraId="1F5A81DB" w14:textId="77777777" w:rsidTr="002B261C">
        <w:trPr>
          <w:trHeight w:val="304"/>
        </w:trPr>
        <w:tc>
          <w:tcPr>
            <w:tcW w:w="3149" w:type="dxa"/>
            <w:tcBorders>
              <w:top w:val="double" w:sz="4" w:space="0" w:color="auto"/>
              <w:left w:val="single" w:sz="4" w:space="0" w:color="auto"/>
              <w:bottom w:val="double" w:sz="4" w:space="0" w:color="auto"/>
              <w:right w:val="single" w:sz="4" w:space="0" w:color="auto"/>
            </w:tcBorders>
            <w:shd w:val="clear" w:color="auto" w:fill="FFFFFF" w:themeFill="background1"/>
          </w:tcPr>
          <w:p w14:paraId="4B5EB99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Израђен водич о правилном поступању  са отпадом од грађења и рушења</w:t>
            </w:r>
          </w:p>
        </w:tc>
        <w:tc>
          <w:tcPr>
            <w:tcW w:w="1443" w:type="dxa"/>
            <w:tcBorders>
              <w:top w:val="double" w:sz="4" w:space="0" w:color="auto"/>
              <w:left w:val="single" w:sz="4" w:space="0" w:color="auto"/>
              <w:bottom w:val="double" w:sz="4" w:space="0" w:color="auto"/>
              <w:right w:val="single" w:sz="4" w:space="0" w:color="auto"/>
            </w:tcBorders>
            <w:shd w:val="clear" w:color="auto" w:fill="FFFFFF" w:themeFill="background1"/>
          </w:tcPr>
          <w:p w14:paraId="0C01CFB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1347" w:type="dxa"/>
            <w:tcBorders>
              <w:top w:val="double" w:sz="4" w:space="0" w:color="auto"/>
              <w:left w:val="single" w:sz="4" w:space="0" w:color="auto"/>
              <w:bottom w:val="double" w:sz="4" w:space="0" w:color="auto"/>
              <w:right w:val="single" w:sz="4" w:space="0" w:color="auto"/>
            </w:tcBorders>
            <w:shd w:val="clear" w:color="auto" w:fill="FFFFFF" w:themeFill="background1"/>
          </w:tcPr>
          <w:p w14:paraId="3C8B33E4"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731"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43528E7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670" w:type="dxa"/>
            <w:tcBorders>
              <w:top w:val="double" w:sz="4" w:space="0" w:color="auto"/>
              <w:left w:val="single" w:sz="4" w:space="0" w:color="auto"/>
              <w:bottom w:val="double" w:sz="4" w:space="0" w:color="auto"/>
              <w:right w:val="single" w:sz="4" w:space="0" w:color="auto"/>
            </w:tcBorders>
            <w:shd w:val="clear" w:color="auto" w:fill="FFFFFF" w:themeFill="background1"/>
          </w:tcPr>
          <w:p w14:paraId="512F4C0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73" w:type="dxa"/>
            <w:tcBorders>
              <w:top w:val="double" w:sz="4" w:space="0" w:color="auto"/>
              <w:left w:val="single" w:sz="4" w:space="0" w:color="auto"/>
              <w:bottom w:val="double" w:sz="4" w:space="0" w:color="auto"/>
              <w:right w:val="single" w:sz="4" w:space="0" w:color="auto"/>
            </w:tcBorders>
            <w:shd w:val="clear" w:color="auto" w:fill="FFFFFF" w:themeFill="background1"/>
          </w:tcPr>
          <w:p w14:paraId="1E83C318"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3FE02571"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121" w:type="dxa"/>
            <w:tcBorders>
              <w:top w:val="double" w:sz="4" w:space="0" w:color="auto"/>
              <w:left w:val="single" w:sz="4" w:space="0" w:color="auto"/>
              <w:bottom w:val="double" w:sz="4" w:space="0" w:color="auto"/>
              <w:right w:val="double" w:sz="4" w:space="0" w:color="auto"/>
            </w:tcBorders>
            <w:shd w:val="clear" w:color="auto" w:fill="FFFFFF" w:themeFill="background1"/>
          </w:tcPr>
          <w:p w14:paraId="150942F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w:t>
            </w:r>
          </w:p>
        </w:tc>
      </w:tr>
    </w:tbl>
    <w:p w14:paraId="6E3461A8" w14:textId="77777777" w:rsidR="00497092" w:rsidRPr="00644F20" w:rsidRDefault="00497092">
      <w:pPr>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665"/>
        <w:gridCol w:w="2778"/>
        <w:gridCol w:w="2869"/>
        <w:gridCol w:w="2543"/>
        <w:gridCol w:w="1980"/>
      </w:tblGrid>
      <w:tr w:rsidR="00497092" w:rsidRPr="00644F20" w14:paraId="387E01B9" w14:textId="77777777" w:rsidTr="006C4B8A">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6A93659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33AD1990"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12BA7CA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174C2C18" w14:textId="77777777" w:rsidR="00497092" w:rsidRPr="00644F20" w:rsidRDefault="00497092">
            <w:pPr>
              <w:spacing w:after="60" w:line="240" w:lineRule="auto"/>
              <w:rPr>
                <w:rFonts w:ascii="Times New Roman" w:hAnsi="Times New Roman" w:cs="Times New Roman"/>
                <w:lang w:val="sr-Cyrl-CS"/>
              </w:rPr>
            </w:pPr>
          </w:p>
        </w:tc>
        <w:tc>
          <w:tcPr>
            <w:tcW w:w="739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044550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104CE93B" w14:textId="77777777" w:rsidTr="006C4B8A">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5514E16F"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1D194741"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CF399D"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1E2344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19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DFD0F9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4F920549" w14:textId="77777777" w:rsidTr="006C4B8A">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19C453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13172A97"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7AC9A8E9"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2561EC7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882</w:t>
            </w:r>
          </w:p>
        </w:tc>
        <w:tc>
          <w:tcPr>
            <w:tcW w:w="1980" w:type="dxa"/>
            <w:tcBorders>
              <w:top w:val="single" w:sz="4" w:space="0" w:color="auto"/>
              <w:left w:val="double" w:sz="4" w:space="0" w:color="auto"/>
              <w:bottom w:val="double" w:sz="4" w:space="0" w:color="auto"/>
              <w:right w:val="double" w:sz="4" w:space="0" w:color="auto"/>
            </w:tcBorders>
            <w:shd w:val="clear" w:color="auto" w:fill="FFFFFF" w:themeFill="background1"/>
          </w:tcPr>
          <w:p w14:paraId="38B9EBA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816</w:t>
            </w:r>
          </w:p>
        </w:tc>
      </w:tr>
      <w:tr w:rsidR="00497092" w:rsidRPr="00644F20" w14:paraId="4AFCE013" w14:textId="77777777" w:rsidTr="006C4B8A">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FE1B463" w14:textId="77777777" w:rsidR="00497092" w:rsidRPr="00644F20" w:rsidRDefault="002F45E1" w:rsidP="00691B7A">
            <w:pPr>
              <w:spacing w:after="60" w:line="240" w:lineRule="auto"/>
              <w:rPr>
                <w:rFonts w:ascii="Times New Roman" w:hAnsi="Times New Roman" w:cs="Times New Roman"/>
                <w:lang w:val="sr-Cyrl-CS"/>
              </w:rPr>
            </w:pPr>
            <w:r w:rsidRPr="00644F20">
              <w:rPr>
                <w:rFonts w:ascii="Times New Roman" w:hAnsi="Times New Roman" w:cs="Times New Roman"/>
                <w:lang w:val="sr-Cyrl-CS"/>
              </w:rPr>
              <w:t>Буџет Р</w:t>
            </w:r>
            <w:r w:rsidR="00691B7A" w:rsidRPr="00644F20">
              <w:rPr>
                <w:rFonts w:ascii="Times New Roman" w:hAnsi="Times New Roman" w:cs="Times New Roman"/>
                <w:lang w:val="sr-Cyrl-CS"/>
              </w:rPr>
              <w:t xml:space="preserve">епублике Србије </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vAlign w:val="center"/>
          </w:tcPr>
          <w:p w14:paraId="00D1FEE7"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0404-0004</w:t>
            </w: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132C9B98"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3159C820" w14:textId="77777777" w:rsidR="00497092" w:rsidRPr="00644F20" w:rsidRDefault="00497092">
            <w:pPr>
              <w:spacing w:after="60" w:line="240" w:lineRule="auto"/>
              <w:rPr>
                <w:rFonts w:ascii="Times New Roman" w:hAnsi="Times New Roman" w:cs="Times New Roman"/>
                <w:lang w:val="sr-Cyrl-CS"/>
              </w:rPr>
            </w:pPr>
          </w:p>
        </w:tc>
        <w:tc>
          <w:tcPr>
            <w:tcW w:w="1980" w:type="dxa"/>
            <w:tcBorders>
              <w:top w:val="single" w:sz="4" w:space="0" w:color="auto"/>
              <w:left w:val="double" w:sz="4" w:space="0" w:color="auto"/>
              <w:bottom w:val="double" w:sz="4" w:space="0" w:color="auto"/>
              <w:right w:val="double" w:sz="4" w:space="0" w:color="auto"/>
            </w:tcBorders>
            <w:shd w:val="clear" w:color="auto" w:fill="FFFFFF" w:themeFill="background1"/>
          </w:tcPr>
          <w:p w14:paraId="5C5F318D" w14:textId="77777777" w:rsidR="00497092" w:rsidRPr="00644F20" w:rsidRDefault="00497092">
            <w:pPr>
              <w:spacing w:after="60" w:line="240" w:lineRule="auto"/>
              <w:rPr>
                <w:rFonts w:ascii="Times New Roman" w:hAnsi="Times New Roman" w:cs="Times New Roman"/>
                <w:lang w:val="sr-Cyrl-CS"/>
              </w:rPr>
            </w:pPr>
          </w:p>
        </w:tc>
      </w:tr>
    </w:tbl>
    <w:p w14:paraId="622D25FF"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08"/>
        <w:gridCol w:w="1160"/>
        <w:gridCol w:w="1339"/>
        <w:gridCol w:w="1278"/>
        <w:gridCol w:w="1490"/>
        <w:gridCol w:w="1453"/>
        <w:gridCol w:w="1135"/>
        <w:gridCol w:w="1134"/>
        <w:gridCol w:w="1255"/>
      </w:tblGrid>
      <w:tr w:rsidR="00497092" w:rsidRPr="00644F20" w14:paraId="01BD11F1"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7917937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458"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880D7F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21E98D9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7E90364"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6133D5A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C97C4E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0569A0F9" w14:textId="77777777" w:rsidR="00497092" w:rsidRPr="00644F20" w:rsidRDefault="00497092">
            <w:pPr>
              <w:spacing w:after="60" w:line="240" w:lineRule="auto"/>
              <w:jc w:val="center"/>
              <w:rPr>
                <w:rFonts w:ascii="Times New Roman" w:hAnsi="Times New Roman" w:cs="Times New Roman"/>
                <w:lang w:val="sr-Cyrl-CS"/>
              </w:rPr>
            </w:pPr>
          </w:p>
        </w:tc>
        <w:tc>
          <w:tcPr>
            <w:tcW w:w="1530"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05115C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574D5236"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4D660931"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E7B70F2"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40A8E415"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A42D03F"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03BD9D3"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732064CB" w14:textId="77777777" w:rsidR="00497092" w:rsidRPr="00644F20" w:rsidRDefault="00497092">
            <w:pPr>
              <w:spacing w:after="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CC7A43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492"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F40EE0"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540"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EB7DF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525B0CDC"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4C57D2C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3.3.1. Израда анализе тренутног управљања са отпадом од грађења и рушења и </w:t>
            </w:r>
            <w:r w:rsidRPr="00644F20">
              <w:rPr>
                <w:rFonts w:ascii="Times New Roman" w:hAnsi="Times New Roman" w:cs="Times New Roman"/>
                <w:lang w:val="sr-Cyrl-CS"/>
              </w:rPr>
              <w:lastRenderedPageBreak/>
              <w:t>потенцијала за рециклажу у грађевинском сектору</w:t>
            </w:r>
          </w:p>
        </w:tc>
        <w:tc>
          <w:tcPr>
            <w:tcW w:w="458" w:type="pct"/>
            <w:tcBorders>
              <w:top w:val="single" w:sz="4" w:space="0" w:color="auto"/>
              <w:left w:val="single" w:sz="4" w:space="0" w:color="auto"/>
              <w:bottom w:val="single" w:sz="4" w:space="0" w:color="auto"/>
              <w:right w:val="single" w:sz="4" w:space="0" w:color="auto"/>
            </w:tcBorders>
          </w:tcPr>
          <w:p w14:paraId="603D40F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МЗЖС</w:t>
            </w:r>
          </w:p>
        </w:tc>
        <w:tc>
          <w:tcPr>
            <w:tcW w:w="496" w:type="pct"/>
            <w:tcBorders>
              <w:top w:val="single" w:sz="4" w:space="0" w:color="auto"/>
              <w:left w:val="single" w:sz="4" w:space="0" w:color="auto"/>
              <w:bottom w:val="single" w:sz="4" w:space="0" w:color="auto"/>
              <w:right w:val="single" w:sz="4" w:space="0" w:color="auto"/>
            </w:tcBorders>
          </w:tcPr>
          <w:p w14:paraId="28F1C0B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МГСИ</w:t>
            </w:r>
          </w:p>
        </w:tc>
        <w:tc>
          <w:tcPr>
            <w:tcW w:w="464" w:type="pct"/>
            <w:tcBorders>
              <w:top w:val="single" w:sz="4" w:space="0" w:color="auto"/>
              <w:left w:val="single" w:sz="4" w:space="0" w:color="auto"/>
              <w:bottom w:val="single" w:sz="4" w:space="0" w:color="auto"/>
              <w:right w:val="single" w:sz="4" w:space="0" w:color="auto"/>
            </w:tcBorders>
          </w:tcPr>
          <w:p w14:paraId="5D7BBBF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6EE60FF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Извори финансирања и средстава </w:t>
            </w:r>
            <w:r w:rsidRPr="00644F20">
              <w:rPr>
                <w:rFonts w:ascii="Times New Roman" w:hAnsi="Times New Roman" w:cs="Times New Roman"/>
                <w:lang w:val="sr-Cyrl-CS"/>
              </w:rPr>
              <w:lastRenderedPageBreak/>
              <w:t>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0AFFB43A" w14:textId="77777777" w:rsidR="00497092" w:rsidRPr="00644F20" w:rsidRDefault="00497092">
            <w:pPr>
              <w:spacing w:after="6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0EB1D6C9" w14:textId="77777777" w:rsidR="00497092" w:rsidRPr="00644F20" w:rsidRDefault="00497092">
            <w:pPr>
              <w:spacing w:after="60" w:line="240" w:lineRule="auto"/>
              <w:rPr>
                <w:rFonts w:ascii="Times New Roman" w:hAnsi="Times New Roman" w:cs="Times New Roman"/>
                <w:lang w:val="sr-Cyrl-CS"/>
              </w:rPr>
            </w:pPr>
          </w:p>
        </w:tc>
        <w:tc>
          <w:tcPr>
            <w:tcW w:w="492" w:type="pct"/>
            <w:tcBorders>
              <w:top w:val="single" w:sz="4" w:space="0" w:color="auto"/>
              <w:left w:val="single" w:sz="4" w:space="0" w:color="auto"/>
              <w:bottom w:val="single" w:sz="4" w:space="0" w:color="auto"/>
              <w:right w:val="single" w:sz="4" w:space="0" w:color="auto"/>
            </w:tcBorders>
          </w:tcPr>
          <w:p w14:paraId="57899BF5" w14:textId="77777777" w:rsidR="00497092" w:rsidRPr="00644F20" w:rsidRDefault="00497092">
            <w:pPr>
              <w:spacing w:after="60" w:line="240" w:lineRule="auto"/>
              <w:rPr>
                <w:rFonts w:ascii="Times New Roman" w:hAnsi="Times New Roman" w:cs="Times New Roman"/>
                <w:lang w:val="sr-Cyrl-CS"/>
              </w:rPr>
            </w:pPr>
          </w:p>
        </w:tc>
        <w:tc>
          <w:tcPr>
            <w:tcW w:w="540" w:type="pct"/>
            <w:tcBorders>
              <w:top w:val="single" w:sz="4" w:space="0" w:color="auto"/>
              <w:left w:val="single" w:sz="4" w:space="0" w:color="auto"/>
              <w:bottom w:val="single" w:sz="4" w:space="0" w:color="auto"/>
              <w:right w:val="single" w:sz="4" w:space="0" w:color="auto"/>
            </w:tcBorders>
          </w:tcPr>
          <w:p w14:paraId="5530F605"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768ABB7A" w14:textId="77777777">
        <w:trPr>
          <w:trHeight w:val="140"/>
        </w:trPr>
        <w:tc>
          <w:tcPr>
            <w:tcW w:w="960" w:type="pct"/>
            <w:tcBorders>
              <w:top w:val="single" w:sz="4" w:space="0" w:color="auto"/>
              <w:left w:val="double" w:sz="4" w:space="0" w:color="auto"/>
              <w:bottom w:val="single" w:sz="4" w:space="0" w:color="auto"/>
              <w:right w:val="single" w:sz="4" w:space="0" w:color="auto"/>
            </w:tcBorders>
          </w:tcPr>
          <w:p w14:paraId="0A09351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3.3.2. Израда и промоција водича о правилном поступању са отпадом од грађења и рушења</w:t>
            </w:r>
          </w:p>
        </w:tc>
        <w:tc>
          <w:tcPr>
            <w:tcW w:w="458" w:type="pct"/>
            <w:tcBorders>
              <w:top w:val="single" w:sz="4" w:space="0" w:color="auto"/>
              <w:left w:val="single" w:sz="4" w:space="0" w:color="auto"/>
              <w:bottom w:val="single" w:sz="4" w:space="0" w:color="auto"/>
              <w:right w:val="single" w:sz="4" w:space="0" w:color="auto"/>
            </w:tcBorders>
          </w:tcPr>
          <w:p w14:paraId="1E4716D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2843FB4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tc>
        <w:tc>
          <w:tcPr>
            <w:tcW w:w="464" w:type="pct"/>
            <w:tcBorders>
              <w:top w:val="single" w:sz="4" w:space="0" w:color="auto"/>
              <w:left w:val="single" w:sz="4" w:space="0" w:color="auto"/>
              <w:bottom w:val="single" w:sz="4" w:space="0" w:color="auto"/>
              <w:right w:val="single" w:sz="4" w:space="0" w:color="auto"/>
            </w:tcBorders>
          </w:tcPr>
          <w:p w14:paraId="530B2C4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6EAE920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3A26235D" w14:textId="77777777" w:rsidR="00497092" w:rsidRPr="00644F20" w:rsidRDefault="00497092">
            <w:pPr>
              <w:spacing w:after="6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64277F6C" w14:textId="77777777" w:rsidR="00497092" w:rsidRPr="00644F20" w:rsidRDefault="00497092">
            <w:pPr>
              <w:spacing w:after="60" w:line="240" w:lineRule="auto"/>
              <w:rPr>
                <w:rFonts w:ascii="Times New Roman" w:hAnsi="Times New Roman" w:cs="Times New Roman"/>
                <w:lang w:val="sr-Cyrl-CS"/>
              </w:rPr>
            </w:pPr>
          </w:p>
        </w:tc>
        <w:tc>
          <w:tcPr>
            <w:tcW w:w="492" w:type="pct"/>
            <w:tcBorders>
              <w:top w:val="single" w:sz="4" w:space="0" w:color="auto"/>
              <w:left w:val="single" w:sz="4" w:space="0" w:color="auto"/>
              <w:bottom w:val="single" w:sz="4" w:space="0" w:color="auto"/>
              <w:right w:val="single" w:sz="4" w:space="0" w:color="auto"/>
            </w:tcBorders>
          </w:tcPr>
          <w:p w14:paraId="5A504DDD" w14:textId="77777777" w:rsidR="00497092" w:rsidRPr="00644F20" w:rsidRDefault="00497092">
            <w:pPr>
              <w:spacing w:after="60" w:line="240" w:lineRule="auto"/>
              <w:rPr>
                <w:rFonts w:ascii="Times New Roman" w:hAnsi="Times New Roman" w:cs="Times New Roman"/>
                <w:lang w:val="sr-Cyrl-CS"/>
              </w:rPr>
            </w:pPr>
          </w:p>
        </w:tc>
        <w:tc>
          <w:tcPr>
            <w:tcW w:w="540" w:type="pct"/>
            <w:tcBorders>
              <w:top w:val="single" w:sz="4" w:space="0" w:color="auto"/>
              <w:left w:val="single" w:sz="4" w:space="0" w:color="auto"/>
              <w:bottom w:val="single" w:sz="4" w:space="0" w:color="auto"/>
              <w:right w:val="single" w:sz="4" w:space="0" w:color="auto"/>
            </w:tcBorders>
          </w:tcPr>
          <w:p w14:paraId="55C80C3F" w14:textId="77777777" w:rsidR="00497092" w:rsidRPr="00644F20" w:rsidRDefault="00497092">
            <w:pPr>
              <w:spacing w:after="60" w:line="240" w:lineRule="auto"/>
              <w:rPr>
                <w:rFonts w:ascii="Times New Roman" w:hAnsi="Times New Roman" w:cs="Times New Roman"/>
                <w:lang w:val="sr-Cyrl-CS"/>
              </w:rPr>
            </w:pPr>
          </w:p>
        </w:tc>
      </w:tr>
    </w:tbl>
    <w:p w14:paraId="43473B6B" w14:textId="77777777" w:rsidR="00497092" w:rsidRPr="00644F20" w:rsidRDefault="00497092">
      <w:pPr>
        <w:tabs>
          <w:tab w:val="left" w:pos="1940"/>
        </w:tabs>
        <w:spacing w:after="240" w:line="240" w:lineRule="auto"/>
        <w:rPr>
          <w:rFonts w:ascii="Times New Roman" w:hAnsi="Times New Roman" w:cs="Times New Roman"/>
          <w:lang w:val="sr-Cyrl-CS"/>
        </w:rPr>
      </w:pPr>
    </w:p>
    <w:tbl>
      <w:tblPr>
        <w:tblStyle w:val="TableGrid"/>
        <w:tblW w:w="13655" w:type="dxa"/>
        <w:tblInd w:w="10" w:type="dxa"/>
        <w:tblLayout w:type="fixed"/>
        <w:tblLook w:val="04A0" w:firstRow="1" w:lastRow="0" w:firstColumn="1" w:lastColumn="0" w:noHBand="0" w:noVBand="1"/>
      </w:tblPr>
      <w:tblGrid>
        <w:gridCol w:w="3500"/>
        <w:gridCol w:w="1134"/>
        <w:gridCol w:w="2410"/>
        <w:gridCol w:w="1134"/>
        <w:gridCol w:w="1162"/>
        <w:gridCol w:w="1673"/>
        <w:gridCol w:w="1701"/>
        <w:gridCol w:w="941"/>
      </w:tblGrid>
      <w:tr w:rsidR="00497092" w:rsidRPr="00644F20" w14:paraId="2E077545" w14:textId="77777777" w:rsidTr="006C4B8A">
        <w:trPr>
          <w:trHeight w:val="169"/>
        </w:trPr>
        <w:tc>
          <w:tcPr>
            <w:tcW w:w="1365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1EBF5AB4"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Мера 3.4: Подршка рециклажном сектору за унапређење рециклажних процеса за поједине токове отпада</w:t>
            </w:r>
            <w:r w:rsidRPr="00644F20">
              <w:rPr>
                <w:rFonts w:ascii="Times New Roman" w:hAnsi="Times New Roman" w:cs="Times New Roman"/>
                <w:lang w:val="sr-Cyrl-CS"/>
              </w:rPr>
              <w:t xml:space="preserve"> </w:t>
            </w:r>
            <w:r w:rsidRPr="00644F20">
              <w:rPr>
                <w:rFonts w:ascii="Times New Roman" w:hAnsi="Times New Roman" w:cs="Times New Roman"/>
                <w:b/>
                <w:lang w:val="sr-Cyrl-CS"/>
              </w:rPr>
              <w:t>у односу на супстанце које изазивају забринутост</w:t>
            </w:r>
          </w:p>
        </w:tc>
      </w:tr>
      <w:tr w:rsidR="00497092" w:rsidRPr="00644F20" w14:paraId="54879C7C" w14:textId="77777777" w:rsidTr="006C4B8A">
        <w:trPr>
          <w:trHeight w:val="300"/>
        </w:trPr>
        <w:tc>
          <w:tcPr>
            <w:tcW w:w="1365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F2AB5A6" w14:textId="77777777" w:rsidR="00497092" w:rsidRPr="00644F20" w:rsidRDefault="002F45E1" w:rsidP="00691B7A">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r w:rsidRPr="00644F20">
              <w:rPr>
                <w:rFonts w:ascii="Times New Roman" w:eastAsia="Times New Roman" w:hAnsi="Times New Roman" w:cs="Times New Roman"/>
                <w:lang w:val="sr-Cyrl-CS"/>
              </w:rPr>
              <w:t xml:space="preserve"> </w:t>
            </w:r>
          </w:p>
        </w:tc>
      </w:tr>
      <w:tr w:rsidR="00497092" w:rsidRPr="00644F20" w14:paraId="4C2DF5B4" w14:textId="77777777" w:rsidTr="006C4B8A">
        <w:trPr>
          <w:trHeight w:val="300"/>
        </w:trPr>
        <w:tc>
          <w:tcPr>
            <w:tcW w:w="7044"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8B328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Период спровођења: 2022 – 2024. </w:t>
            </w:r>
          </w:p>
        </w:tc>
        <w:tc>
          <w:tcPr>
            <w:tcW w:w="6611"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1F9F4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70FFC3FF" w14:textId="77777777" w:rsidTr="006C4B8A">
        <w:trPr>
          <w:trHeight w:val="300"/>
        </w:trPr>
        <w:tc>
          <w:tcPr>
            <w:tcW w:w="7044"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A37D9D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611"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BAD4367"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52D469A2" w14:textId="77777777" w:rsidTr="006C4B8A">
        <w:trPr>
          <w:trHeight w:val="955"/>
        </w:trPr>
        <w:tc>
          <w:tcPr>
            <w:tcW w:w="350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F0EF7F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13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C4B689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13F93D7C" w14:textId="77777777" w:rsidR="00497092" w:rsidRPr="00644F20" w:rsidRDefault="00497092">
            <w:pPr>
              <w:spacing w:after="60" w:line="240" w:lineRule="auto"/>
              <w:rPr>
                <w:rFonts w:ascii="Times New Roman" w:hAnsi="Times New Roman" w:cs="Times New Roman"/>
                <w:lang w:val="sr-Cyrl-CS"/>
              </w:rPr>
            </w:pPr>
          </w:p>
        </w:tc>
        <w:tc>
          <w:tcPr>
            <w:tcW w:w="241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BB8677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13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C66C4A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162"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D942FB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673"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8F8280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70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43252BA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94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0408709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3F6DCCEF" w14:textId="77777777" w:rsidTr="006C4B8A">
        <w:trPr>
          <w:trHeight w:val="304"/>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39E553B4"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Израђен приручник за контролу супстанци које изазивају забринутост у рециклажним процесима</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2DC8F0C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2410" w:type="dxa"/>
            <w:tcBorders>
              <w:top w:val="double" w:sz="4" w:space="0" w:color="auto"/>
              <w:left w:val="single" w:sz="4" w:space="0" w:color="auto"/>
              <w:bottom w:val="double" w:sz="4" w:space="0" w:color="auto"/>
              <w:right w:val="single" w:sz="4" w:space="0" w:color="auto"/>
            </w:tcBorders>
            <w:shd w:val="clear" w:color="auto" w:fill="FFFFFF" w:themeFill="background1"/>
          </w:tcPr>
          <w:p w14:paraId="10CA4B6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 о израђеном приручнику</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3BBB75F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162" w:type="dxa"/>
            <w:tcBorders>
              <w:top w:val="double" w:sz="4" w:space="0" w:color="auto"/>
              <w:left w:val="single" w:sz="4" w:space="0" w:color="auto"/>
              <w:bottom w:val="double" w:sz="4" w:space="0" w:color="auto"/>
              <w:right w:val="single" w:sz="4" w:space="0" w:color="auto"/>
            </w:tcBorders>
            <w:shd w:val="clear" w:color="auto" w:fill="FFFFFF" w:themeFill="background1"/>
          </w:tcPr>
          <w:p w14:paraId="21A9BD3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73" w:type="dxa"/>
            <w:tcBorders>
              <w:top w:val="double" w:sz="4" w:space="0" w:color="auto"/>
              <w:left w:val="single" w:sz="4" w:space="0" w:color="auto"/>
              <w:bottom w:val="double" w:sz="4" w:space="0" w:color="auto"/>
              <w:right w:val="single" w:sz="4" w:space="0" w:color="auto"/>
            </w:tcBorders>
            <w:shd w:val="clear" w:color="auto" w:fill="FFFFFF" w:themeFill="background1"/>
          </w:tcPr>
          <w:p w14:paraId="07CC5560"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44F4036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w:t>
            </w:r>
          </w:p>
        </w:tc>
        <w:tc>
          <w:tcPr>
            <w:tcW w:w="941" w:type="dxa"/>
            <w:tcBorders>
              <w:top w:val="double" w:sz="4" w:space="0" w:color="auto"/>
              <w:left w:val="single" w:sz="4" w:space="0" w:color="auto"/>
              <w:bottom w:val="double" w:sz="4" w:space="0" w:color="auto"/>
              <w:right w:val="double" w:sz="4" w:space="0" w:color="auto"/>
            </w:tcBorders>
            <w:shd w:val="clear" w:color="auto" w:fill="FFFFFF" w:themeFill="background1"/>
          </w:tcPr>
          <w:p w14:paraId="6033D48B"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r>
      <w:tr w:rsidR="00497092" w:rsidRPr="00644F20" w14:paraId="12900597" w14:textId="77777777" w:rsidTr="006C4B8A">
        <w:trPr>
          <w:trHeight w:val="304"/>
        </w:trPr>
        <w:tc>
          <w:tcPr>
            <w:tcW w:w="3500" w:type="dxa"/>
            <w:tcBorders>
              <w:top w:val="double" w:sz="4" w:space="0" w:color="auto"/>
              <w:left w:val="single" w:sz="4" w:space="0" w:color="auto"/>
              <w:bottom w:val="double" w:sz="4" w:space="0" w:color="auto"/>
              <w:right w:val="single" w:sz="4" w:space="0" w:color="auto"/>
            </w:tcBorders>
            <w:shd w:val="clear" w:color="auto" w:fill="FFFFFF" w:themeFill="background1"/>
          </w:tcPr>
          <w:p w14:paraId="725BD10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радионица на тему  унапређења рециклажних процеса са акцентом на најопасније хемикалије које могу да контаминирају циркуларне токове</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476DE79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10" w:type="dxa"/>
            <w:tcBorders>
              <w:top w:val="double" w:sz="4" w:space="0" w:color="auto"/>
              <w:left w:val="single" w:sz="4" w:space="0" w:color="auto"/>
              <w:bottom w:val="double" w:sz="4" w:space="0" w:color="auto"/>
              <w:right w:val="single" w:sz="4" w:space="0" w:color="auto"/>
            </w:tcBorders>
            <w:shd w:val="clear" w:color="auto" w:fill="FFFFFF" w:themeFill="background1"/>
          </w:tcPr>
          <w:p w14:paraId="5E5A1F43"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Записници о спроведеним радионицама </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426E28E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162" w:type="dxa"/>
            <w:tcBorders>
              <w:top w:val="double" w:sz="4" w:space="0" w:color="auto"/>
              <w:left w:val="single" w:sz="4" w:space="0" w:color="auto"/>
              <w:bottom w:val="double" w:sz="4" w:space="0" w:color="auto"/>
              <w:right w:val="single" w:sz="4" w:space="0" w:color="auto"/>
            </w:tcBorders>
            <w:shd w:val="clear" w:color="auto" w:fill="FFFFFF" w:themeFill="background1"/>
          </w:tcPr>
          <w:p w14:paraId="1723FE6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73" w:type="dxa"/>
            <w:tcBorders>
              <w:top w:val="double" w:sz="4" w:space="0" w:color="auto"/>
              <w:left w:val="single" w:sz="4" w:space="0" w:color="auto"/>
              <w:bottom w:val="double" w:sz="4" w:space="0" w:color="auto"/>
              <w:right w:val="single" w:sz="4" w:space="0" w:color="auto"/>
            </w:tcBorders>
            <w:shd w:val="clear" w:color="auto" w:fill="FFFFFF" w:themeFill="background1"/>
          </w:tcPr>
          <w:p w14:paraId="5AE3C97A"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6FB5242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w:t>
            </w:r>
          </w:p>
        </w:tc>
        <w:tc>
          <w:tcPr>
            <w:tcW w:w="941" w:type="dxa"/>
            <w:tcBorders>
              <w:top w:val="double" w:sz="4" w:space="0" w:color="auto"/>
              <w:left w:val="single" w:sz="4" w:space="0" w:color="auto"/>
              <w:bottom w:val="double" w:sz="4" w:space="0" w:color="auto"/>
              <w:right w:val="double" w:sz="4" w:space="0" w:color="auto"/>
            </w:tcBorders>
            <w:shd w:val="clear" w:color="auto" w:fill="FFFFFF" w:themeFill="background1"/>
          </w:tcPr>
          <w:p w14:paraId="133926B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w:t>
            </w:r>
          </w:p>
        </w:tc>
      </w:tr>
    </w:tbl>
    <w:p w14:paraId="3A333F08" w14:textId="77777777" w:rsidR="00497092" w:rsidRPr="00644F20" w:rsidRDefault="00497092">
      <w:pPr>
        <w:rPr>
          <w:rFonts w:ascii="Times New Roman" w:hAnsi="Times New Roman" w:cs="Times New Roman"/>
          <w:lang w:val="sr-Cyrl-CS"/>
        </w:rPr>
      </w:pPr>
    </w:p>
    <w:p w14:paraId="5B05F331" w14:textId="77777777" w:rsidR="005320FF" w:rsidRPr="00644F20" w:rsidRDefault="005320FF">
      <w:pPr>
        <w:rPr>
          <w:rFonts w:ascii="Times New Roman" w:hAnsi="Times New Roman" w:cs="Times New Roman"/>
          <w:lang w:val="sr-Cyrl-CS"/>
        </w:rPr>
      </w:pPr>
    </w:p>
    <w:tbl>
      <w:tblPr>
        <w:tblStyle w:val="TableGrid"/>
        <w:tblW w:w="13745" w:type="dxa"/>
        <w:tblInd w:w="10" w:type="dxa"/>
        <w:tblLayout w:type="fixed"/>
        <w:tblLook w:val="04A0" w:firstRow="1" w:lastRow="0" w:firstColumn="1" w:lastColumn="0" w:noHBand="0" w:noVBand="1"/>
      </w:tblPr>
      <w:tblGrid>
        <w:gridCol w:w="3665"/>
        <w:gridCol w:w="2778"/>
        <w:gridCol w:w="2869"/>
        <w:gridCol w:w="2543"/>
        <w:gridCol w:w="1890"/>
      </w:tblGrid>
      <w:tr w:rsidR="00497092" w:rsidRPr="00644F20" w14:paraId="42282901" w14:textId="77777777" w:rsidTr="006C4B8A">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0E4F7E1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Извор финансирања мере</w:t>
            </w:r>
          </w:p>
          <w:p w14:paraId="1AA5D3D0"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66BB8BA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43E9959B" w14:textId="77777777" w:rsidR="00497092" w:rsidRPr="00644F20" w:rsidRDefault="00497092">
            <w:pPr>
              <w:spacing w:after="60" w:line="240" w:lineRule="auto"/>
              <w:rPr>
                <w:rFonts w:ascii="Times New Roman" w:hAnsi="Times New Roman" w:cs="Times New Roman"/>
                <w:lang w:val="sr-Cyrl-CS"/>
              </w:rPr>
            </w:pPr>
          </w:p>
        </w:tc>
        <w:tc>
          <w:tcPr>
            <w:tcW w:w="730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1D328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7CFDE21E" w14:textId="77777777" w:rsidTr="006C4B8A">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19B9DB9D"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0A2ADE1F"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997F4B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933BA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189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64AAE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1308BEC7" w14:textId="77777777" w:rsidTr="006C4B8A">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32D8968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vMerge w:val="restart"/>
            <w:tcBorders>
              <w:top w:val="double" w:sz="4" w:space="0" w:color="auto"/>
              <w:left w:val="double" w:sz="4" w:space="0" w:color="auto"/>
              <w:bottom w:val="double" w:sz="4" w:space="0" w:color="auto"/>
              <w:right w:val="double" w:sz="4" w:space="0" w:color="auto"/>
            </w:tcBorders>
            <w:shd w:val="clear" w:color="auto" w:fill="FFFFFF" w:themeFill="background1"/>
          </w:tcPr>
          <w:p w14:paraId="3A149097"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41FBC3E0"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72964C1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1.116</w:t>
            </w:r>
          </w:p>
        </w:tc>
        <w:tc>
          <w:tcPr>
            <w:tcW w:w="1890" w:type="dxa"/>
            <w:tcBorders>
              <w:top w:val="single" w:sz="4" w:space="0" w:color="auto"/>
              <w:left w:val="double" w:sz="4" w:space="0" w:color="auto"/>
              <w:bottom w:val="double" w:sz="4" w:space="0" w:color="auto"/>
              <w:right w:val="double" w:sz="4" w:space="0" w:color="auto"/>
            </w:tcBorders>
            <w:shd w:val="clear" w:color="auto" w:fill="FFFFFF" w:themeFill="background1"/>
          </w:tcPr>
          <w:p w14:paraId="0AF2789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477,6</w:t>
            </w:r>
          </w:p>
        </w:tc>
      </w:tr>
      <w:tr w:rsidR="00497092" w:rsidRPr="00644F20" w14:paraId="7A97CEA2" w14:textId="77777777" w:rsidTr="006C4B8A">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18B992E" w14:textId="77777777" w:rsidR="00497092" w:rsidRPr="00644F20" w:rsidRDefault="00497092">
            <w:pPr>
              <w:spacing w:after="60" w:line="240" w:lineRule="auto"/>
              <w:rPr>
                <w:rFonts w:ascii="Times New Roman" w:hAnsi="Times New Roman" w:cs="Times New Roman"/>
                <w:lang w:val="sr-Cyrl-CS"/>
              </w:rPr>
            </w:pPr>
          </w:p>
        </w:tc>
        <w:tc>
          <w:tcPr>
            <w:tcW w:w="2778" w:type="dxa"/>
            <w:vMerge/>
            <w:tcBorders>
              <w:top w:val="double" w:sz="4" w:space="0" w:color="auto"/>
              <w:left w:val="double" w:sz="4" w:space="0" w:color="auto"/>
              <w:bottom w:val="double" w:sz="4" w:space="0" w:color="auto"/>
              <w:right w:val="double" w:sz="4" w:space="0" w:color="auto"/>
            </w:tcBorders>
            <w:vAlign w:val="center"/>
          </w:tcPr>
          <w:p w14:paraId="73805F16"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1ECCC5FB"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30D3F2BF" w14:textId="77777777" w:rsidR="00497092" w:rsidRPr="00644F20" w:rsidRDefault="00497092">
            <w:pPr>
              <w:spacing w:after="60" w:line="240" w:lineRule="auto"/>
              <w:rPr>
                <w:rFonts w:ascii="Times New Roman" w:hAnsi="Times New Roman" w:cs="Times New Roman"/>
                <w:lang w:val="sr-Cyrl-CS"/>
              </w:rPr>
            </w:pPr>
          </w:p>
        </w:tc>
        <w:tc>
          <w:tcPr>
            <w:tcW w:w="1890" w:type="dxa"/>
            <w:tcBorders>
              <w:top w:val="single" w:sz="4" w:space="0" w:color="auto"/>
              <w:left w:val="double" w:sz="4" w:space="0" w:color="auto"/>
              <w:bottom w:val="double" w:sz="4" w:space="0" w:color="auto"/>
              <w:right w:val="double" w:sz="4" w:space="0" w:color="auto"/>
            </w:tcBorders>
            <w:shd w:val="clear" w:color="auto" w:fill="FFFFFF" w:themeFill="background1"/>
          </w:tcPr>
          <w:p w14:paraId="4E144494" w14:textId="77777777" w:rsidR="00497092" w:rsidRPr="00644F20" w:rsidRDefault="00497092">
            <w:pPr>
              <w:spacing w:after="60" w:line="240" w:lineRule="auto"/>
              <w:rPr>
                <w:rFonts w:ascii="Times New Roman" w:hAnsi="Times New Roman" w:cs="Times New Roman"/>
                <w:lang w:val="sr-Cyrl-CS"/>
              </w:rPr>
            </w:pPr>
          </w:p>
        </w:tc>
      </w:tr>
    </w:tbl>
    <w:p w14:paraId="2CDF1A22"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08"/>
        <w:gridCol w:w="1160"/>
        <w:gridCol w:w="1339"/>
        <w:gridCol w:w="1278"/>
        <w:gridCol w:w="1490"/>
        <w:gridCol w:w="1453"/>
        <w:gridCol w:w="1135"/>
        <w:gridCol w:w="1257"/>
        <w:gridCol w:w="1132"/>
      </w:tblGrid>
      <w:tr w:rsidR="00497092" w:rsidRPr="00644F20" w14:paraId="0A53F0E1"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05FA58C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458"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02D912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F2584F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D6AD9C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732D17D"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39B627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3B1DD9C2" w14:textId="77777777" w:rsidR="00497092" w:rsidRPr="00644F20" w:rsidRDefault="00497092">
            <w:pPr>
              <w:spacing w:after="60" w:line="240" w:lineRule="auto"/>
              <w:jc w:val="center"/>
              <w:rPr>
                <w:rFonts w:ascii="Times New Roman" w:hAnsi="Times New Roman" w:cs="Times New Roman"/>
                <w:lang w:val="sr-Cyrl-CS"/>
              </w:rPr>
            </w:pPr>
          </w:p>
        </w:tc>
        <w:tc>
          <w:tcPr>
            <w:tcW w:w="1530"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337AF7D"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68BEF6D1"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514CB07F"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61BD0EC"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742A9B4A"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1945082"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1E150FC"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4BECB182" w14:textId="77777777" w:rsidR="00497092" w:rsidRPr="00644F20" w:rsidRDefault="00497092">
            <w:pPr>
              <w:spacing w:after="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62998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54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A88698"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4031A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26F959BC"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010F8DA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3.4.1. Анализа потенцијала за унапређење рециклажних процеса за одабране токове отпада у односу на супстанце које изазивају забринутост</w:t>
            </w:r>
          </w:p>
        </w:tc>
        <w:tc>
          <w:tcPr>
            <w:tcW w:w="458" w:type="pct"/>
            <w:tcBorders>
              <w:top w:val="single" w:sz="4" w:space="0" w:color="auto"/>
              <w:left w:val="single" w:sz="4" w:space="0" w:color="auto"/>
              <w:bottom w:val="single" w:sz="4" w:space="0" w:color="auto"/>
              <w:right w:val="single" w:sz="4" w:space="0" w:color="auto"/>
            </w:tcBorders>
          </w:tcPr>
          <w:p w14:paraId="4CBA6F2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2746EE1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Удружења рециклера</w:t>
            </w:r>
          </w:p>
        </w:tc>
        <w:tc>
          <w:tcPr>
            <w:tcW w:w="464" w:type="pct"/>
            <w:tcBorders>
              <w:top w:val="single" w:sz="4" w:space="0" w:color="auto"/>
              <w:left w:val="single" w:sz="4" w:space="0" w:color="auto"/>
              <w:bottom w:val="single" w:sz="4" w:space="0" w:color="auto"/>
              <w:right w:val="single" w:sz="4" w:space="0" w:color="auto"/>
            </w:tcBorders>
          </w:tcPr>
          <w:p w14:paraId="6728626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13552F1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463" w:type="pct"/>
            <w:tcBorders>
              <w:top w:val="single" w:sz="4" w:space="0" w:color="auto"/>
              <w:left w:val="single" w:sz="4" w:space="0" w:color="auto"/>
              <w:bottom w:val="single" w:sz="4" w:space="0" w:color="auto"/>
              <w:right w:val="single" w:sz="4" w:space="0" w:color="auto"/>
            </w:tcBorders>
          </w:tcPr>
          <w:p w14:paraId="45FD4FDD" w14:textId="77777777" w:rsidR="00497092" w:rsidRPr="00644F20" w:rsidRDefault="00497092">
            <w:pPr>
              <w:spacing w:after="6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21EDB372" w14:textId="77777777" w:rsidR="00497092" w:rsidRPr="00644F20" w:rsidRDefault="00497092">
            <w:pPr>
              <w:spacing w:after="60" w:line="240" w:lineRule="auto"/>
              <w:rPr>
                <w:rFonts w:ascii="Times New Roman"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3709CDF1"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0E2E72D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300</w:t>
            </w:r>
          </w:p>
        </w:tc>
      </w:tr>
      <w:tr w:rsidR="00497092" w:rsidRPr="00644F20" w14:paraId="0D99F947" w14:textId="77777777">
        <w:trPr>
          <w:trHeight w:val="140"/>
        </w:trPr>
        <w:tc>
          <w:tcPr>
            <w:tcW w:w="960" w:type="pct"/>
            <w:tcBorders>
              <w:top w:val="single" w:sz="4" w:space="0" w:color="auto"/>
              <w:left w:val="double" w:sz="4" w:space="0" w:color="auto"/>
              <w:bottom w:val="single" w:sz="4" w:space="0" w:color="auto"/>
              <w:right w:val="single" w:sz="4" w:space="0" w:color="auto"/>
            </w:tcBorders>
          </w:tcPr>
          <w:p w14:paraId="46F445C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3.4.2. Израда приручника  за контролу супстанци које изазивају забринутост у рециклажним процесима</w:t>
            </w:r>
          </w:p>
        </w:tc>
        <w:tc>
          <w:tcPr>
            <w:tcW w:w="458" w:type="pct"/>
            <w:tcBorders>
              <w:top w:val="single" w:sz="4" w:space="0" w:color="auto"/>
              <w:left w:val="single" w:sz="4" w:space="0" w:color="auto"/>
              <w:bottom w:val="single" w:sz="4" w:space="0" w:color="auto"/>
              <w:right w:val="single" w:sz="4" w:space="0" w:color="auto"/>
            </w:tcBorders>
          </w:tcPr>
          <w:p w14:paraId="2425E43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5CB20F8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Удружења рециклера</w:t>
            </w:r>
          </w:p>
        </w:tc>
        <w:tc>
          <w:tcPr>
            <w:tcW w:w="464" w:type="pct"/>
            <w:tcBorders>
              <w:top w:val="single" w:sz="4" w:space="0" w:color="auto"/>
              <w:left w:val="single" w:sz="4" w:space="0" w:color="auto"/>
              <w:bottom w:val="single" w:sz="4" w:space="0" w:color="auto"/>
              <w:right w:val="single" w:sz="4" w:space="0" w:color="auto"/>
            </w:tcBorders>
          </w:tcPr>
          <w:p w14:paraId="360A117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629" w:type="pct"/>
            <w:tcBorders>
              <w:top w:val="single" w:sz="4" w:space="0" w:color="auto"/>
              <w:left w:val="single" w:sz="4" w:space="0" w:color="auto"/>
              <w:bottom w:val="single" w:sz="4" w:space="0" w:color="auto"/>
              <w:right w:val="single" w:sz="4" w:space="0" w:color="auto"/>
            </w:tcBorders>
          </w:tcPr>
          <w:p w14:paraId="3B4E071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463" w:type="pct"/>
            <w:tcBorders>
              <w:top w:val="single" w:sz="4" w:space="0" w:color="auto"/>
              <w:left w:val="single" w:sz="4" w:space="0" w:color="auto"/>
              <w:bottom w:val="single" w:sz="4" w:space="0" w:color="auto"/>
              <w:right w:val="single" w:sz="4" w:space="0" w:color="auto"/>
            </w:tcBorders>
          </w:tcPr>
          <w:p w14:paraId="3B738C12" w14:textId="77777777" w:rsidR="00497092" w:rsidRPr="00644F20" w:rsidRDefault="00497092">
            <w:pPr>
              <w:spacing w:after="6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5AD172A4" w14:textId="77777777" w:rsidR="00497092" w:rsidRPr="00644F20" w:rsidRDefault="00497092">
            <w:pPr>
              <w:spacing w:after="60" w:line="240" w:lineRule="auto"/>
              <w:rPr>
                <w:rFonts w:ascii="Times New Roman"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3027F13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1.116</w:t>
            </w:r>
          </w:p>
        </w:tc>
        <w:tc>
          <w:tcPr>
            <w:tcW w:w="491" w:type="pct"/>
            <w:tcBorders>
              <w:top w:val="single" w:sz="4" w:space="0" w:color="auto"/>
              <w:left w:val="single" w:sz="4" w:space="0" w:color="auto"/>
              <w:bottom w:val="single" w:sz="4" w:space="0" w:color="auto"/>
              <w:right w:val="single" w:sz="4" w:space="0" w:color="auto"/>
            </w:tcBorders>
          </w:tcPr>
          <w:p w14:paraId="075CC90F"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55010816" w14:textId="77777777">
        <w:trPr>
          <w:trHeight w:val="140"/>
        </w:trPr>
        <w:tc>
          <w:tcPr>
            <w:tcW w:w="960" w:type="pct"/>
            <w:tcBorders>
              <w:top w:val="single" w:sz="4" w:space="0" w:color="auto"/>
              <w:left w:val="double" w:sz="4" w:space="0" w:color="auto"/>
              <w:bottom w:val="single" w:sz="4" w:space="0" w:color="auto"/>
              <w:right w:val="single" w:sz="4" w:space="0" w:color="auto"/>
            </w:tcBorders>
          </w:tcPr>
          <w:p w14:paraId="66FCCE7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3.4.3. Одржавање     радионица/семинара на теме које су од значаја за рециклажне процесе у складу са принципима ЦЕ и увођење рециклата у циркуларне токове</w:t>
            </w:r>
          </w:p>
        </w:tc>
        <w:tc>
          <w:tcPr>
            <w:tcW w:w="458" w:type="pct"/>
            <w:tcBorders>
              <w:top w:val="single" w:sz="4" w:space="0" w:color="auto"/>
              <w:left w:val="single" w:sz="4" w:space="0" w:color="auto"/>
              <w:bottom w:val="single" w:sz="4" w:space="0" w:color="auto"/>
              <w:right w:val="single" w:sz="4" w:space="0" w:color="auto"/>
            </w:tcBorders>
          </w:tcPr>
          <w:p w14:paraId="0B88A0F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1394DEE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Удружења рециклера</w:t>
            </w:r>
          </w:p>
        </w:tc>
        <w:tc>
          <w:tcPr>
            <w:tcW w:w="464" w:type="pct"/>
            <w:tcBorders>
              <w:top w:val="single" w:sz="4" w:space="0" w:color="auto"/>
              <w:left w:val="single" w:sz="4" w:space="0" w:color="auto"/>
              <w:bottom w:val="single" w:sz="4" w:space="0" w:color="auto"/>
              <w:right w:val="single" w:sz="4" w:space="0" w:color="auto"/>
            </w:tcBorders>
          </w:tcPr>
          <w:p w14:paraId="513736D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4E3F3BB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463" w:type="pct"/>
            <w:tcBorders>
              <w:top w:val="single" w:sz="4" w:space="0" w:color="auto"/>
              <w:left w:val="single" w:sz="4" w:space="0" w:color="auto"/>
              <w:bottom w:val="single" w:sz="4" w:space="0" w:color="auto"/>
              <w:right w:val="single" w:sz="4" w:space="0" w:color="auto"/>
            </w:tcBorders>
          </w:tcPr>
          <w:p w14:paraId="6AE3512B" w14:textId="77777777" w:rsidR="00497092" w:rsidRPr="00644F20" w:rsidRDefault="00497092">
            <w:pPr>
              <w:spacing w:after="60" w:line="240" w:lineRule="auto"/>
              <w:rPr>
                <w:rFonts w:ascii="Times New Roman"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2DADCF77" w14:textId="77777777" w:rsidR="00497092" w:rsidRPr="00644F20" w:rsidRDefault="00497092">
            <w:pPr>
              <w:spacing w:after="60" w:line="240" w:lineRule="auto"/>
              <w:rPr>
                <w:rFonts w:ascii="Times New Roman"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7FFCD0FB"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20EA3BB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177,6</w:t>
            </w:r>
          </w:p>
        </w:tc>
      </w:tr>
    </w:tbl>
    <w:p w14:paraId="23A00777" w14:textId="77777777" w:rsidR="00497092" w:rsidRPr="00644F20" w:rsidRDefault="00497092">
      <w:pPr>
        <w:spacing w:after="240"/>
        <w:rPr>
          <w:rFonts w:ascii="Times New Roman" w:hAnsi="Times New Roman" w:cs="Times New Roman"/>
          <w:lang w:val="sr-Cyrl-CS"/>
        </w:rPr>
      </w:pPr>
    </w:p>
    <w:tbl>
      <w:tblPr>
        <w:tblStyle w:val="TableGrid"/>
        <w:tblW w:w="13655" w:type="dxa"/>
        <w:tblInd w:w="10" w:type="dxa"/>
        <w:tblLayout w:type="fixed"/>
        <w:tblLook w:val="04A0" w:firstRow="1" w:lastRow="0" w:firstColumn="1" w:lastColumn="0" w:noHBand="0" w:noVBand="1"/>
      </w:tblPr>
      <w:tblGrid>
        <w:gridCol w:w="3149"/>
        <w:gridCol w:w="1443"/>
        <w:gridCol w:w="1347"/>
        <w:gridCol w:w="963"/>
        <w:gridCol w:w="768"/>
        <w:gridCol w:w="1784"/>
        <w:gridCol w:w="1701"/>
        <w:gridCol w:w="1559"/>
        <w:gridCol w:w="941"/>
      </w:tblGrid>
      <w:tr w:rsidR="00497092" w:rsidRPr="00644F20" w14:paraId="563F8168" w14:textId="77777777" w:rsidTr="006C4B8A">
        <w:trPr>
          <w:trHeight w:val="169"/>
        </w:trPr>
        <w:tc>
          <w:tcPr>
            <w:tcW w:w="1365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4D4B210B"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Мера 3.5: Подршка за унапређење система управљања храном, вишковима хране и отпадом од хране</w:t>
            </w:r>
            <w:r w:rsidRPr="00644F20">
              <w:rPr>
                <w:rFonts w:ascii="Times New Roman" w:hAnsi="Times New Roman" w:cs="Times New Roman"/>
                <w:lang w:val="sr-Cyrl-CS"/>
              </w:rPr>
              <w:t xml:space="preserve"> </w:t>
            </w:r>
            <w:r w:rsidRPr="00644F20">
              <w:rPr>
                <w:rFonts w:ascii="Times New Roman" w:hAnsi="Times New Roman" w:cs="Times New Roman"/>
                <w:b/>
                <w:lang w:val="sr-Cyrl-CS"/>
              </w:rPr>
              <w:t>у контексту циркуларне економије</w:t>
            </w:r>
          </w:p>
        </w:tc>
      </w:tr>
      <w:tr w:rsidR="00497092" w:rsidRPr="00644F20" w14:paraId="0548CA3B" w14:textId="77777777" w:rsidTr="006C4B8A">
        <w:trPr>
          <w:trHeight w:val="300"/>
        </w:trPr>
        <w:tc>
          <w:tcPr>
            <w:tcW w:w="1365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D54478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реализацију:</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p>
        </w:tc>
      </w:tr>
      <w:tr w:rsidR="00497092" w:rsidRPr="00644F20" w14:paraId="45A1A06A" w14:textId="77777777" w:rsidTr="006C4B8A">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482F82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Период спровођења: 2022 – 2024.</w:t>
            </w:r>
          </w:p>
        </w:tc>
        <w:tc>
          <w:tcPr>
            <w:tcW w:w="675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F76A4E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5BD598AD" w14:textId="77777777" w:rsidTr="006C4B8A">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493E29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75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867A946"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4715EC94" w14:textId="77777777" w:rsidTr="006C4B8A">
        <w:trPr>
          <w:trHeight w:val="955"/>
        </w:trPr>
        <w:tc>
          <w:tcPr>
            <w:tcW w:w="314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C4F122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443"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078D5F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66B600A2" w14:textId="77777777" w:rsidR="00497092" w:rsidRPr="00644F20" w:rsidRDefault="00497092">
            <w:pPr>
              <w:spacing w:after="60" w:line="240" w:lineRule="auto"/>
              <w:rPr>
                <w:rFonts w:ascii="Times New Roman" w:hAnsi="Times New Roman" w:cs="Times New Roman"/>
                <w:lang w:val="sr-Cyrl-CS"/>
              </w:rPr>
            </w:pPr>
          </w:p>
        </w:tc>
        <w:tc>
          <w:tcPr>
            <w:tcW w:w="134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F4329D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731"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EA8A83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78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7495B8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701"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4485FD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55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2792B91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94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42D3815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27A94424" w14:textId="77777777" w:rsidTr="006C4B8A">
        <w:trPr>
          <w:trHeight w:val="304"/>
        </w:trPr>
        <w:tc>
          <w:tcPr>
            <w:tcW w:w="3149" w:type="dxa"/>
            <w:tcBorders>
              <w:top w:val="double" w:sz="4" w:space="0" w:color="auto"/>
              <w:left w:val="single" w:sz="4" w:space="0" w:color="auto"/>
              <w:bottom w:val="double" w:sz="4" w:space="0" w:color="auto"/>
              <w:right w:val="single" w:sz="4" w:space="0" w:color="auto"/>
            </w:tcBorders>
            <w:shd w:val="clear" w:color="auto" w:fill="FFFFFF" w:themeFill="background1"/>
          </w:tcPr>
          <w:p w14:paraId="2F21BAE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Смернице за управљање храном, вишковима хране и отпадом од хране за ХОРЕКА сектор</w:t>
            </w:r>
          </w:p>
        </w:tc>
        <w:tc>
          <w:tcPr>
            <w:tcW w:w="1443" w:type="dxa"/>
            <w:tcBorders>
              <w:top w:val="double" w:sz="4" w:space="0" w:color="auto"/>
              <w:left w:val="single" w:sz="4" w:space="0" w:color="auto"/>
              <w:bottom w:val="double" w:sz="4" w:space="0" w:color="auto"/>
              <w:right w:val="single" w:sz="4" w:space="0" w:color="auto"/>
            </w:tcBorders>
            <w:shd w:val="clear" w:color="auto" w:fill="FFFFFF" w:themeFill="background1"/>
          </w:tcPr>
          <w:p w14:paraId="3C0C71F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1347" w:type="dxa"/>
            <w:tcBorders>
              <w:top w:val="double" w:sz="4" w:space="0" w:color="auto"/>
              <w:left w:val="single" w:sz="4" w:space="0" w:color="auto"/>
              <w:bottom w:val="double" w:sz="4" w:space="0" w:color="auto"/>
              <w:right w:val="single" w:sz="4" w:space="0" w:color="auto"/>
            </w:tcBorders>
            <w:shd w:val="clear" w:color="auto" w:fill="FFFFFF" w:themeFill="background1"/>
          </w:tcPr>
          <w:p w14:paraId="447D954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731"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20D3CE1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784" w:type="dxa"/>
            <w:tcBorders>
              <w:top w:val="double" w:sz="4" w:space="0" w:color="auto"/>
              <w:left w:val="single" w:sz="4" w:space="0" w:color="auto"/>
              <w:bottom w:val="double" w:sz="4" w:space="0" w:color="auto"/>
              <w:right w:val="single" w:sz="4" w:space="0" w:color="auto"/>
            </w:tcBorders>
            <w:shd w:val="clear" w:color="auto" w:fill="FFFFFF" w:themeFill="background1"/>
          </w:tcPr>
          <w:p w14:paraId="7896C66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4B478E5A"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59" w:type="dxa"/>
            <w:tcBorders>
              <w:top w:val="double" w:sz="4" w:space="0" w:color="auto"/>
              <w:left w:val="single" w:sz="4" w:space="0" w:color="auto"/>
              <w:bottom w:val="double" w:sz="4" w:space="0" w:color="auto"/>
              <w:right w:val="double" w:sz="4" w:space="0" w:color="auto"/>
            </w:tcBorders>
            <w:shd w:val="clear" w:color="auto" w:fill="FFFFFF" w:themeFill="background1"/>
          </w:tcPr>
          <w:p w14:paraId="132D009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w:t>
            </w:r>
          </w:p>
        </w:tc>
        <w:tc>
          <w:tcPr>
            <w:tcW w:w="941" w:type="dxa"/>
            <w:tcBorders>
              <w:top w:val="double" w:sz="4" w:space="0" w:color="auto"/>
              <w:left w:val="single" w:sz="4" w:space="0" w:color="auto"/>
              <w:bottom w:val="double" w:sz="4" w:space="0" w:color="auto"/>
              <w:right w:val="double" w:sz="4" w:space="0" w:color="auto"/>
            </w:tcBorders>
            <w:shd w:val="clear" w:color="auto" w:fill="FFFFFF" w:themeFill="background1"/>
          </w:tcPr>
          <w:p w14:paraId="407D72C8"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r>
      <w:tr w:rsidR="00497092" w:rsidRPr="00644F20" w14:paraId="2BAE6C91" w14:textId="77777777" w:rsidTr="006C4B8A">
        <w:trPr>
          <w:trHeight w:val="304"/>
        </w:trPr>
        <w:tc>
          <w:tcPr>
            <w:tcW w:w="3149" w:type="dxa"/>
            <w:tcBorders>
              <w:top w:val="double" w:sz="4" w:space="0" w:color="auto"/>
              <w:left w:val="single" w:sz="4" w:space="0" w:color="auto"/>
              <w:bottom w:val="double" w:sz="4" w:space="0" w:color="auto"/>
              <w:right w:val="single" w:sz="4" w:space="0" w:color="auto"/>
            </w:tcBorders>
            <w:shd w:val="clear" w:color="auto" w:fill="FFFFFF" w:themeFill="background1"/>
          </w:tcPr>
          <w:p w14:paraId="23A7D89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догађаја у току промоције  пилот пројекта и израђених смерница за ХОРЕКА сектор</w:t>
            </w:r>
          </w:p>
        </w:tc>
        <w:tc>
          <w:tcPr>
            <w:tcW w:w="1443" w:type="dxa"/>
            <w:tcBorders>
              <w:top w:val="double" w:sz="4" w:space="0" w:color="auto"/>
              <w:left w:val="single" w:sz="4" w:space="0" w:color="auto"/>
              <w:bottom w:val="double" w:sz="4" w:space="0" w:color="auto"/>
              <w:right w:val="single" w:sz="4" w:space="0" w:color="auto"/>
            </w:tcBorders>
            <w:shd w:val="clear" w:color="auto" w:fill="FFFFFF" w:themeFill="background1"/>
          </w:tcPr>
          <w:p w14:paraId="792E006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1347" w:type="dxa"/>
            <w:tcBorders>
              <w:top w:val="double" w:sz="4" w:space="0" w:color="auto"/>
              <w:left w:val="single" w:sz="4" w:space="0" w:color="auto"/>
              <w:bottom w:val="double" w:sz="4" w:space="0" w:color="auto"/>
              <w:right w:val="single" w:sz="4" w:space="0" w:color="auto"/>
            </w:tcBorders>
            <w:shd w:val="clear" w:color="auto" w:fill="FFFFFF" w:themeFill="background1"/>
          </w:tcPr>
          <w:p w14:paraId="74D396C3"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731"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744B9B2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784" w:type="dxa"/>
            <w:tcBorders>
              <w:top w:val="double" w:sz="4" w:space="0" w:color="auto"/>
              <w:left w:val="single" w:sz="4" w:space="0" w:color="auto"/>
              <w:bottom w:val="double" w:sz="4" w:space="0" w:color="auto"/>
              <w:right w:val="single" w:sz="4" w:space="0" w:color="auto"/>
            </w:tcBorders>
            <w:shd w:val="clear" w:color="auto" w:fill="FFFFFF" w:themeFill="background1"/>
          </w:tcPr>
          <w:p w14:paraId="138CA2D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15506422"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59" w:type="dxa"/>
            <w:tcBorders>
              <w:top w:val="double" w:sz="4" w:space="0" w:color="auto"/>
              <w:left w:val="single" w:sz="4" w:space="0" w:color="auto"/>
              <w:bottom w:val="double" w:sz="4" w:space="0" w:color="auto"/>
              <w:right w:val="double" w:sz="4" w:space="0" w:color="auto"/>
            </w:tcBorders>
            <w:shd w:val="clear" w:color="auto" w:fill="FFFFFF" w:themeFill="background1"/>
          </w:tcPr>
          <w:p w14:paraId="481E2526"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941" w:type="dxa"/>
            <w:tcBorders>
              <w:top w:val="double" w:sz="4" w:space="0" w:color="auto"/>
              <w:left w:val="single" w:sz="4" w:space="0" w:color="auto"/>
              <w:bottom w:val="double" w:sz="4" w:space="0" w:color="auto"/>
              <w:right w:val="double" w:sz="4" w:space="0" w:color="auto"/>
            </w:tcBorders>
            <w:shd w:val="clear" w:color="auto" w:fill="FFFFFF" w:themeFill="background1"/>
          </w:tcPr>
          <w:p w14:paraId="4783F08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r>
      <w:tr w:rsidR="00497092" w:rsidRPr="00644F20" w14:paraId="21103685" w14:textId="77777777" w:rsidTr="006C4B8A">
        <w:trPr>
          <w:trHeight w:val="304"/>
        </w:trPr>
        <w:tc>
          <w:tcPr>
            <w:tcW w:w="3149" w:type="dxa"/>
            <w:tcBorders>
              <w:top w:val="double" w:sz="4" w:space="0" w:color="auto"/>
              <w:left w:val="single" w:sz="4" w:space="0" w:color="auto"/>
              <w:bottom w:val="double" w:sz="4" w:space="0" w:color="auto"/>
              <w:right w:val="single" w:sz="4" w:space="0" w:color="auto"/>
            </w:tcBorders>
            <w:shd w:val="clear" w:color="auto" w:fill="FFFFFF" w:themeFill="background1"/>
          </w:tcPr>
          <w:p w14:paraId="5D87B923"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Укупан број догађаја у току промоције дигиталних алата за праћење хране и управљања храном међу трговачким ланцима и потрошачима </w:t>
            </w:r>
          </w:p>
        </w:tc>
        <w:tc>
          <w:tcPr>
            <w:tcW w:w="1443" w:type="dxa"/>
            <w:tcBorders>
              <w:top w:val="double" w:sz="4" w:space="0" w:color="auto"/>
              <w:left w:val="single" w:sz="4" w:space="0" w:color="auto"/>
              <w:bottom w:val="double" w:sz="4" w:space="0" w:color="auto"/>
              <w:right w:val="single" w:sz="4" w:space="0" w:color="auto"/>
            </w:tcBorders>
            <w:shd w:val="clear" w:color="auto" w:fill="FFFFFF" w:themeFill="background1"/>
          </w:tcPr>
          <w:p w14:paraId="3AD651F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1347" w:type="dxa"/>
            <w:tcBorders>
              <w:top w:val="double" w:sz="4" w:space="0" w:color="auto"/>
              <w:left w:val="single" w:sz="4" w:space="0" w:color="auto"/>
              <w:bottom w:val="double" w:sz="4" w:space="0" w:color="auto"/>
              <w:right w:val="single" w:sz="4" w:space="0" w:color="auto"/>
            </w:tcBorders>
            <w:shd w:val="clear" w:color="auto" w:fill="FFFFFF" w:themeFill="background1"/>
          </w:tcPr>
          <w:p w14:paraId="4B13AAA1"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731"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4C85AEE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784" w:type="dxa"/>
            <w:tcBorders>
              <w:top w:val="double" w:sz="4" w:space="0" w:color="auto"/>
              <w:left w:val="single" w:sz="4" w:space="0" w:color="auto"/>
              <w:bottom w:val="double" w:sz="4" w:space="0" w:color="auto"/>
              <w:right w:val="single" w:sz="4" w:space="0" w:color="auto"/>
            </w:tcBorders>
            <w:shd w:val="clear" w:color="auto" w:fill="FFFFFF" w:themeFill="background1"/>
          </w:tcPr>
          <w:p w14:paraId="3F942B5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324F6466"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559" w:type="dxa"/>
            <w:tcBorders>
              <w:top w:val="double" w:sz="4" w:space="0" w:color="auto"/>
              <w:left w:val="single" w:sz="4" w:space="0" w:color="auto"/>
              <w:bottom w:val="double" w:sz="4" w:space="0" w:color="auto"/>
              <w:right w:val="double" w:sz="4" w:space="0" w:color="auto"/>
            </w:tcBorders>
            <w:shd w:val="clear" w:color="auto" w:fill="FFFFFF" w:themeFill="background1"/>
          </w:tcPr>
          <w:p w14:paraId="2ACB74F2"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941" w:type="dxa"/>
            <w:tcBorders>
              <w:top w:val="double" w:sz="4" w:space="0" w:color="auto"/>
              <w:left w:val="single" w:sz="4" w:space="0" w:color="auto"/>
              <w:bottom w:val="double" w:sz="4" w:space="0" w:color="auto"/>
              <w:right w:val="double" w:sz="4" w:space="0" w:color="auto"/>
            </w:tcBorders>
            <w:shd w:val="clear" w:color="auto" w:fill="FFFFFF" w:themeFill="background1"/>
          </w:tcPr>
          <w:p w14:paraId="5A52443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5</w:t>
            </w:r>
          </w:p>
        </w:tc>
      </w:tr>
    </w:tbl>
    <w:p w14:paraId="060850CE" w14:textId="77777777" w:rsidR="00497092" w:rsidRPr="00644F20" w:rsidRDefault="00497092">
      <w:pPr>
        <w:rPr>
          <w:rFonts w:ascii="Times New Roman" w:hAnsi="Times New Roman" w:cs="Times New Roman"/>
          <w:lang w:val="sr-Cyrl-CS"/>
        </w:rPr>
      </w:pPr>
    </w:p>
    <w:tbl>
      <w:tblPr>
        <w:tblStyle w:val="TableGrid"/>
        <w:tblW w:w="13655" w:type="dxa"/>
        <w:tblInd w:w="10" w:type="dxa"/>
        <w:tblLayout w:type="fixed"/>
        <w:tblLook w:val="04A0" w:firstRow="1" w:lastRow="0" w:firstColumn="1" w:lastColumn="0" w:noHBand="0" w:noVBand="1"/>
      </w:tblPr>
      <w:tblGrid>
        <w:gridCol w:w="3665"/>
        <w:gridCol w:w="2778"/>
        <w:gridCol w:w="2869"/>
        <w:gridCol w:w="2543"/>
        <w:gridCol w:w="1800"/>
      </w:tblGrid>
      <w:tr w:rsidR="00497092" w:rsidRPr="00644F20" w14:paraId="040E4238" w14:textId="77777777" w:rsidTr="00691B7A">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0810A31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014C6772"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6B29309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263A0932" w14:textId="77777777" w:rsidR="00497092" w:rsidRPr="00644F20" w:rsidRDefault="00497092">
            <w:pPr>
              <w:spacing w:after="60" w:line="240" w:lineRule="auto"/>
              <w:rPr>
                <w:rFonts w:ascii="Times New Roman" w:hAnsi="Times New Roman" w:cs="Times New Roman"/>
                <w:lang w:val="sr-Cyrl-CS"/>
              </w:rPr>
            </w:pPr>
          </w:p>
        </w:tc>
        <w:tc>
          <w:tcPr>
            <w:tcW w:w="721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7F773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5F7EEC51" w14:textId="77777777" w:rsidTr="00691B7A">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320F16C4"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07E92E6E"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7A6E18B"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275215"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180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784DF80"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41A2E794" w14:textId="77777777" w:rsidTr="00691B7A">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33CCFD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vMerge w:val="restart"/>
            <w:tcBorders>
              <w:top w:val="double" w:sz="4" w:space="0" w:color="auto"/>
              <w:left w:val="double" w:sz="4" w:space="0" w:color="auto"/>
              <w:bottom w:val="double" w:sz="4" w:space="0" w:color="auto"/>
              <w:right w:val="double" w:sz="4" w:space="0" w:color="auto"/>
            </w:tcBorders>
            <w:shd w:val="clear" w:color="auto" w:fill="FFFFFF" w:themeFill="background1"/>
          </w:tcPr>
          <w:p w14:paraId="6EFD7072"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0BCFB85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500</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3AE0471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1.612,9</w:t>
            </w:r>
          </w:p>
        </w:tc>
        <w:tc>
          <w:tcPr>
            <w:tcW w:w="1800" w:type="dxa"/>
            <w:tcBorders>
              <w:top w:val="single" w:sz="4" w:space="0" w:color="auto"/>
              <w:left w:val="double" w:sz="4" w:space="0" w:color="auto"/>
              <w:bottom w:val="double" w:sz="4" w:space="0" w:color="auto"/>
              <w:right w:val="double" w:sz="4" w:space="0" w:color="auto"/>
            </w:tcBorders>
            <w:shd w:val="clear" w:color="auto" w:fill="FFFFFF" w:themeFill="background1"/>
          </w:tcPr>
          <w:p w14:paraId="4914E506"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17F30E46" w14:textId="77777777" w:rsidTr="00691B7A">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19AEEC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Директна донаторска подршка</w:t>
            </w:r>
          </w:p>
        </w:tc>
        <w:tc>
          <w:tcPr>
            <w:tcW w:w="2778" w:type="dxa"/>
            <w:vMerge/>
            <w:tcBorders>
              <w:top w:val="double" w:sz="4" w:space="0" w:color="auto"/>
              <w:left w:val="double" w:sz="4" w:space="0" w:color="auto"/>
              <w:bottom w:val="double" w:sz="4" w:space="0" w:color="auto"/>
              <w:right w:val="double" w:sz="4" w:space="0" w:color="auto"/>
            </w:tcBorders>
            <w:vAlign w:val="center"/>
          </w:tcPr>
          <w:p w14:paraId="4FC75C93"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2E375F2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2.300</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1D4A164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3.500</w:t>
            </w:r>
          </w:p>
        </w:tc>
        <w:tc>
          <w:tcPr>
            <w:tcW w:w="1800" w:type="dxa"/>
            <w:tcBorders>
              <w:top w:val="single" w:sz="4" w:space="0" w:color="auto"/>
              <w:left w:val="double" w:sz="4" w:space="0" w:color="auto"/>
              <w:bottom w:val="double" w:sz="4" w:space="0" w:color="auto"/>
              <w:right w:val="double" w:sz="4" w:space="0" w:color="auto"/>
            </w:tcBorders>
            <w:shd w:val="clear" w:color="auto" w:fill="FFFFFF" w:themeFill="background1"/>
          </w:tcPr>
          <w:p w14:paraId="3E45D46C" w14:textId="77777777" w:rsidR="00497092" w:rsidRPr="00644F20" w:rsidRDefault="00497092">
            <w:pPr>
              <w:spacing w:after="60" w:line="240" w:lineRule="auto"/>
              <w:rPr>
                <w:rFonts w:ascii="Times New Roman" w:hAnsi="Times New Roman" w:cs="Times New Roman"/>
                <w:lang w:val="sr-Cyrl-CS"/>
              </w:rPr>
            </w:pPr>
          </w:p>
        </w:tc>
      </w:tr>
    </w:tbl>
    <w:p w14:paraId="62776181" w14:textId="77777777" w:rsidR="00497092" w:rsidRPr="00644F20" w:rsidRDefault="00497092">
      <w:pPr>
        <w:rPr>
          <w:rFonts w:ascii="Times New Roman" w:hAnsi="Times New Roman" w:cs="Times New Roman"/>
          <w:lang w:val="sr-Cyrl-CS"/>
        </w:rPr>
      </w:pPr>
    </w:p>
    <w:tbl>
      <w:tblPr>
        <w:tblStyle w:val="TableGrid"/>
        <w:tblW w:w="13665" w:type="dxa"/>
        <w:tblLayout w:type="fixed"/>
        <w:tblLook w:val="04A0" w:firstRow="1" w:lastRow="0" w:firstColumn="1" w:lastColumn="0" w:noHBand="0" w:noVBand="1"/>
      </w:tblPr>
      <w:tblGrid>
        <w:gridCol w:w="2899"/>
        <w:gridCol w:w="1181"/>
        <w:gridCol w:w="1560"/>
        <w:gridCol w:w="1275"/>
        <w:gridCol w:w="1702"/>
        <w:gridCol w:w="1275"/>
        <w:gridCol w:w="1417"/>
        <w:gridCol w:w="1561"/>
        <w:gridCol w:w="795"/>
      </w:tblGrid>
      <w:tr w:rsidR="00497092" w:rsidRPr="00644F20" w14:paraId="303A40E1" w14:textId="77777777" w:rsidTr="00691B7A">
        <w:trPr>
          <w:trHeight w:val="140"/>
        </w:trPr>
        <w:tc>
          <w:tcPr>
            <w:tcW w:w="2899" w:type="dxa"/>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18E4760C"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1181"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F915838"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1560"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5F2161D"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1275"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3473219" w14:textId="77777777" w:rsidR="00497092" w:rsidRPr="00644F20" w:rsidRDefault="002F45E1">
            <w:pPr>
              <w:spacing w:after="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1702"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D59C193" w14:textId="77777777" w:rsidR="00497092" w:rsidRPr="00644F20" w:rsidRDefault="002F45E1">
            <w:pPr>
              <w:spacing w:after="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1275" w:type="dxa"/>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763EBBD"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6F576223" w14:textId="77777777" w:rsidR="00497092" w:rsidRPr="00644F20" w:rsidRDefault="00497092">
            <w:pPr>
              <w:spacing w:after="0" w:line="240" w:lineRule="auto"/>
              <w:jc w:val="center"/>
              <w:rPr>
                <w:rFonts w:ascii="Times New Roman" w:hAnsi="Times New Roman" w:cs="Times New Roman"/>
                <w:lang w:val="sr-Cyrl-CS"/>
              </w:rPr>
            </w:pPr>
          </w:p>
        </w:tc>
        <w:tc>
          <w:tcPr>
            <w:tcW w:w="3773" w:type="dxa"/>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65CC690" w14:textId="77777777" w:rsidR="00497092" w:rsidRPr="00644F20" w:rsidRDefault="002F45E1">
            <w:pPr>
              <w:spacing w:after="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3B1C1019" w14:textId="77777777" w:rsidTr="00691B7A">
        <w:trPr>
          <w:trHeight w:val="386"/>
        </w:trPr>
        <w:tc>
          <w:tcPr>
            <w:tcW w:w="2899" w:type="dxa"/>
            <w:vMerge/>
            <w:tcBorders>
              <w:top w:val="double" w:sz="4" w:space="0" w:color="auto"/>
              <w:left w:val="double" w:sz="4" w:space="0" w:color="auto"/>
              <w:bottom w:val="single" w:sz="4" w:space="0" w:color="auto"/>
              <w:right w:val="single" w:sz="4" w:space="0" w:color="auto"/>
            </w:tcBorders>
            <w:vAlign w:val="center"/>
          </w:tcPr>
          <w:p w14:paraId="45D7C4EA" w14:textId="77777777" w:rsidR="00497092" w:rsidRPr="00644F20" w:rsidRDefault="00497092">
            <w:pPr>
              <w:spacing w:after="0" w:line="240" w:lineRule="auto"/>
              <w:rPr>
                <w:rFonts w:ascii="Times New Roman" w:hAnsi="Times New Roman" w:cs="Times New Roman"/>
                <w:lang w:val="sr-Cyrl-CS"/>
              </w:rPr>
            </w:pPr>
          </w:p>
        </w:tc>
        <w:tc>
          <w:tcPr>
            <w:tcW w:w="1181" w:type="dxa"/>
            <w:vMerge/>
            <w:tcBorders>
              <w:top w:val="double" w:sz="4" w:space="0" w:color="auto"/>
              <w:left w:val="single" w:sz="4" w:space="0" w:color="auto"/>
              <w:bottom w:val="single" w:sz="4" w:space="0" w:color="auto"/>
              <w:right w:val="single" w:sz="4" w:space="0" w:color="auto"/>
            </w:tcBorders>
            <w:vAlign w:val="center"/>
          </w:tcPr>
          <w:p w14:paraId="01AA224C" w14:textId="77777777" w:rsidR="00497092" w:rsidRPr="00644F20" w:rsidRDefault="00497092">
            <w:pPr>
              <w:spacing w:after="0" w:line="240" w:lineRule="auto"/>
              <w:rPr>
                <w:rFonts w:ascii="Times New Roman" w:hAnsi="Times New Roman" w:cs="Times New Roman"/>
                <w:lang w:val="sr-Cyrl-CS"/>
              </w:rPr>
            </w:pPr>
          </w:p>
        </w:tc>
        <w:tc>
          <w:tcPr>
            <w:tcW w:w="1560" w:type="dxa"/>
            <w:vMerge/>
            <w:tcBorders>
              <w:top w:val="double" w:sz="4" w:space="0" w:color="auto"/>
              <w:left w:val="single" w:sz="4" w:space="0" w:color="auto"/>
              <w:bottom w:val="single" w:sz="4" w:space="0" w:color="auto"/>
              <w:right w:val="single" w:sz="4" w:space="0" w:color="auto"/>
            </w:tcBorders>
            <w:vAlign w:val="center"/>
          </w:tcPr>
          <w:p w14:paraId="76F2768D" w14:textId="77777777" w:rsidR="00497092" w:rsidRPr="00644F20" w:rsidRDefault="00497092">
            <w:pPr>
              <w:spacing w:after="0" w:line="240" w:lineRule="auto"/>
              <w:rPr>
                <w:rFonts w:ascii="Times New Roman" w:hAnsi="Times New Roman" w:cs="Times New Roman"/>
                <w:lang w:val="sr-Cyrl-CS"/>
              </w:rPr>
            </w:pPr>
          </w:p>
        </w:tc>
        <w:tc>
          <w:tcPr>
            <w:tcW w:w="1275" w:type="dxa"/>
            <w:vMerge/>
            <w:tcBorders>
              <w:top w:val="double" w:sz="4" w:space="0" w:color="auto"/>
              <w:left w:val="single" w:sz="4" w:space="0" w:color="auto"/>
              <w:bottom w:val="single" w:sz="4" w:space="0" w:color="auto"/>
              <w:right w:val="single" w:sz="4" w:space="0" w:color="auto"/>
            </w:tcBorders>
            <w:vAlign w:val="center"/>
          </w:tcPr>
          <w:p w14:paraId="4EBB0139" w14:textId="77777777" w:rsidR="00497092" w:rsidRPr="00644F20" w:rsidRDefault="00497092">
            <w:pPr>
              <w:spacing w:after="0" w:line="240" w:lineRule="auto"/>
              <w:rPr>
                <w:rFonts w:ascii="Times New Roman" w:hAnsi="Times New Roman" w:cs="Times New Roman"/>
                <w:lang w:val="sr-Cyrl-CS"/>
              </w:rPr>
            </w:pPr>
          </w:p>
        </w:tc>
        <w:tc>
          <w:tcPr>
            <w:tcW w:w="1702" w:type="dxa"/>
            <w:vMerge/>
            <w:tcBorders>
              <w:top w:val="double" w:sz="4" w:space="0" w:color="auto"/>
              <w:left w:val="single" w:sz="4" w:space="0" w:color="auto"/>
              <w:bottom w:val="single" w:sz="4" w:space="0" w:color="auto"/>
              <w:right w:val="single" w:sz="4" w:space="0" w:color="auto"/>
            </w:tcBorders>
            <w:vAlign w:val="center"/>
          </w:tcPr>
          <w:p w14:paraId="772AD2C7" w14:textId="77777777" w:rsidR="00497092" w:rsidRPr="00644F20" w:rsidRDefault="00497092">
            <w:pPr>
              <w:spacing w:after="0" w:line="240" w:lineRule="auto"/>
              <w:rPr>
                <w:rFonts w:ascii="Times New Roman" w:hAnsi="Times New Roman" w:cs="Times New Roman"/>
                <w:lang w:val="sr-Cyrl-CS"/>
              </w:rPr>
            </w:pPr>
          </w:p>
        </w:tc>
        <w:tc>
          <w:tcPr>
            <w:tcW w:w="1275" w:type="dxa"/>
            <w:vMerge/>
            <w:tcBorders>
              <w:top w:val="double" w:sz="4" w:space="0" w:color="auto"/>
              <w:left w:val="single" w:sz="4" w:space="0" w:color="auto"/>
              <w:bottom w:val="single" w:sz="4" w:space="0" w:color="auto"/>
              <w:right w:val="single" w:sz="4" w:space="0" w:color="auto"/>
            </w:tcBorders>
            <w:vAlign w:val="center"/>
          </w:tcPr>
          <w:p w14:paraId="40E50BC9" w14:textId="77777777" w:rsidR="00497092" w:rsidRPr="00644F20" w:rsidRDefault="00497092">
            <w:pPr>
              <w:spacing w:after="0" w:line="240" w:lineRule="auto"/>
              <w:rPr>
                <w:rFonts w:ascii="Times New Roman" w:hAnsi="Times New Roman" w:cs="Times New Roman"/>
                <w:lang w:val="sr-Cyrl-CS"/>
              </w:rPr>
            </w:pP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0202A6" w14:textId="77777777" w:rsidR="00497092" w:rsidRPr="00644F20" w:rsidRDefault="002F45E1">
            <w:pPr>
              <w:spacing w:after="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15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2C71F9" w14:textId="77777777" w:rsidR="00497092" w:rsidRPr="00644F20" w:rsidRDefault="002F45E1">
            <w:pPr>
              <w:spacing w:after="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79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1D24DE" w14:textId="77777777" w:rsidR="00497092" w:rsidRPr="00644F20" w:rsidRDefault="002F45E1">
            <w:pPr>
              <w:spacing w:after="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1ECBDE99" w14:textId="77777777" w:rsidTr="00691B7A">
        <w:trPr>
          <w:trHeight w:val="140"/>
        </w:trPr>
        <w:tc>
          <w:tcPr>
            <w:tcW w:w="2899" w:type="dxa"/>
            <w:tcBorders>
              <w:top w:val="single" w:sz="4" w:space="0" w:color="auto"/>
              <w:left w:val="double" w:sz="4" w:space="0" w:color="auto"/>
              <w:bottom w:val="single" w:sz="4" w:space="0" w:color="auto"/>
              <w:right w:val="single" w:sz="4" w:space="0" w:color="auto"/>
            </w:tcBorders>
          </w:tcPr>
          <w:p w14:paraId="3EA2527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3.5.1. Пилот пројекат -  анализа потенцијала за увођење ЦЕ за одабране хотеле и ресторане</w:t>
            </w:r>
          </w:p>
        </w:tc>
        <w:tc>
          <w:tcPr>
            <w:tcW w:w="1181" w:type="dxa"/>
            <w:tcBorders>
              <w:top w:val="single" w:sz="4" w:space="0" w:color="auto"/>
              <w:left w:val="single" w:sz="4" w:space="0" w:color="auto"/>
              <w:bottom w:val="single" w:sz="4" w:space="0" w:color="auto"/>
              <w:right w:val="single" w:sz="4" w:space="0" w:color="auto"/>
            </w:tcBorders>
          </w:tcPr>
          <w:p w14:paraId="74419E3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1560" w:type="dxa"/>
            <w:tcBorders>
              <w:top w:val="single" w:sz="4" w:space="0" w:color="auto"/>
              <w:left w:val="single" w:sz="4" w:space="0" w:color="auto"/>
              <w:bottom w:val="single" w:sz="4" w:space="0" w:color="auto"/>
              <w:right w:val="single" w:sz="4" w:space="0" w:color="auto"/>
            </w:tcBorders>
          </w:tcPr>
          <w:p w14:paraId="145F12F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МТО</w:t>
            </w:r>
          </w:p>
          <w:p w14:paraId="1E67AB7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МПШВ</w:t>
            </w:r>
          </w:p>
          <w:p w14:paraId="0A29688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tc>
        <w:tc>
          <w:tcPr>
            <w:tcW w:w="1275" w:type="dxa"/>
            <w:tcBorders>
              <w:top w:val="single" w:sz="4" w:space="0" w:color="auto"/>
              <w:left w:val="single" w:sz="4" w:space="0" w:color="auto"/>
              <w:bottom w:val="single" w:sz="4" w:space="0" w:color="auto"/>
              <w:right w:val="single" w:sz="4" w:space="0" w:color="auto"/>
            </w:tcBorders>
          </w:tcPr>
          <w:p w14:paraId="719C697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2023. </w:t>
            </w:r>
          </w:p>
        </w:tc>
        <w:tc>
          <w:tcPr>
            <w:tcW w:w="1702" w:type="dxa"/>
            <w:tcBorders>
              <w:top w:val="single" w:sz="4" w:space="0" w:color="auto"/>
              <w:left w:val="single" w:sz="4" w:space="0" w:color="auto"/>
              <w:bottom w:val="single" w:sz="4" w:space="0" w:color="auto"/>
              <w:right w:val="single" w:sz="4" w:space="0" w:color="auto"/>
            </w:tcBorders>
          </w:tcPr>
          <w:p w14:paraId="1886292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1275" w:type="dxa"/>
            <w:tcBorders>
              <w:top w:val="single" w:sz="4" w:space="0" w:color="auto"/>
              <w:left w:val="single" w:sz="4" w:space="0" w:color="auto"/>
              <w:bottom w:val="single" w:sz="4" w:space="0" w:color="auto"/>
              <w:right w:val="single" w:sz="4" w:space="0" w:color="auto"/>
            </w:tcBorders>
          </w:tcPr>
          <w:p w14:paraId="6DE5CF5A" w14:textId="77777777" w:rsidR="00497092" w:rsidRPr="00644F20" w:rsidRDefault="00497092">
            <w:pPr>
              <w:spacing w:after="60" w:line="240" w:lineRule="auto"/>
              <w:rPr>
                <w:rFonts w:ascii="Times New Roman" w:hAnsi="Times New Roman" w:cs="Times New Roman"/>
                <w:lang w:val="sr-Cyrl-CS"/>
              </w:rPr>
            </w:pPr>
          </w:p>
        </w:tc>
        <w:tc>
          <w:tcPr>
            <w:tcW w:w="1417" w:type="dxa"/>
            <w:tcBorders>
              <w:top w:val="single" w:sz="4" w:space="0" w:color="auto"/>
              <w:left w:val="single" w:sz="4" w:space="0" w:color="auto"/>
              <w:bottom w:val="single" w:sz="4" w:space="0" w:color="auto"/>
              <w:right w:val="single" w:sz="4" w:space="0" w:color="auto"/>
            </w:tcBorders>
          </w:tcPr>
          <w:p w14:paraId="24509826"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500</w:t>
            </w:r>
          </w:p>
        </w:tc>
        <w:tc>
          <w:tcPr>
            <w:tcW w:w="1561" w:type="dxa"/>
            <w:tcBorders>
              <w:top w:val="single" w:sz="4" w:space="0" w:color="auto"/>
              <w:left w:val="single" w:sz="4" w:space="0" w:color="auto"/>
              <w:bottom w:val="single" w:sz="4" w:space="0" w:color="auto"/>
              <w:right w:val="single" w:sz="4" w:space="0" w:color="auto"/>
            </w:tcBorders>
          </w:tcPr>
          <w:p w14:paraId="42E9A55F"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602,5</w:t>
            </w:r>
          </w:p>
        </w:tc>
        <w:tc>
          <w:tcPr>
            <w:tcW w:w="795" w:type="dxa"/>
            <w:tcBorders>
              <w:top w:val="single" w:sz="4" w:space="0" w:color="auto"/>
              <w:left w:val="single" w:sz="4" w:space="0" w:color="auto"/>
              <w:bottom w:val="single" w:sz="4" w:space="0" w:color="auto"/>
              <w:right w:val="single" w:sz="4" w:space="0" w:color="auto"/>
            </w:tcBorders>
          </w:tcPr>
          <w:p w14:paraId="187A16DD" w14:textId="77777777" w:rsidR="00497092" w:rsidRPr="00644F20" w:rsidRDefault="00497092">
            <w:pPr>
              <w:spacing w:after="0" w:line="240" w:lineRule="auto"/>
              <w:rPr>
                <w:rFonts w:ascii="Times New Roman" w:hAnsi="Times New Roman" w:cs="Times New Roman"/>
                <w:lang w:val="sr-Cyrl-CS"/>
              </w:rPr>
            </w:pPr>
          </w:p>
        </w:tc>
      </w:tr>
      <w:tr w:rsidR="00497092" w:rsidRPr="00644F20" w14:paraId="671927B7" w14:textId="77777777" w:rsidTr="00691B7A">
        <w:trPr>
          <w:trHeight w:val="140"/>
        </w:trPr>
        <w:tc>
          <w:tcPr>
            <w:tcW w:w="2899" w:type="dxa"/>
            <w:tcBorders>
              <w:top w:val="single" w:sz="4" w:space="0" w:color="auto"/>
              <w:left w:val="double" w:sz="4" w:space="0" w:color="auto"/>
              <w:bottom w:val="single" w:sz="4" w:space="0" w:color="auto"/>
              <w:right w:val="single" w:sz="4" w:space="0" w:color="auto"/>
            </w:tcBorders>
          </w:tcPr>
          <w:p w14:paraId="0E2763E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3.5.2. Израда смерница за управљање храном, вишковима хране и отпадом од хране за ХОРЕКА сектор</w:t>
            </w:r>
          </w:p>
        </w:tc>
        <w:tc>
          <w:tcPr>
            <w:tcW w:w="1181" w:type="dxa"/>
            <w:tcBorders>
              <w:top w:val="single" w:sz="4" w:space="0" w:color="auto"/>
              <w:left w:val="single" w:sz="4" w:space="0" w:color="auto"/>
              <w:bottom w:val="single" w:sz="4" w:space="0" w:color="auto"/>
              <w:right w:val="single" w:sz="4" w:space="0" w:color="auto"/>
            </w:tcBorders>
          </w:tcPr>
          <w:p w14:paraId="18308A5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1560" w:type="dxa"/>
            <w:tcBorders>
              <w:top w:val="single" w:sz="4" w:space="0" w:color="auto"/>
              <w:left w:val="single" w:sz="4" w:space="0" w:color="auto"/>
              <w:bottom w:val="single" w:sz="4" w:space="0" w:color="auto"/>
              <w:right w:val="single" w:sz="4" w:space="0" w:color="auto"/>
            </w:tcBorders>
          </w:tcPr>
          <w:p w14:paraId="1937AA8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МТО</w:t>
            </w:r>
          </w:p>
          <w:p w14:paraId="0796F4F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МПШВ</w:t>
            </w:r>
          </w:p>
          <w:p w14:paraId="4540400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4CE460D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НАЛЕД</w:t>
            </w:r>
          </w:p>
        </w:tc>
        <w:tc>
          <w:tcPr>
            <w:tcW w:w="1275" w:type="dxa"/>
            <w:tcBorders>
              <w:top w:val="single" w:sz="4" w:space="0" w:color="auto"/>
              <w:left w:val="single" w:sz="4" w:space="0" w:color="auto"/>
              <w:bottom w:val="single" w:sz="4" w:space="0" w:color="auto"/>
              <w:right w:val="single" w:sz="4" w:space="0" w:color="auto"/>
            </w:tcBorders>
          </w:tcPr>
          <w:p w14:paraId="7065242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1702" w:type="dxa"/>
            <w:tcBorders>
              <w:top w:val="single" w:sz="4" w:space="0" w:color="auto"/>
              <w:left w:val="single" w:sz="4" w:space="0" w:color="auto"/>
              <w:bottom w:val="single" w:sz="4" w:space="0" w:color="auto"/>
              <w:right w:val="single" w:sz="4" w:space="0" w:color="auto"/>
            </w:tcBorders>
          </w:tcPr>
          <w:p w14:paraId="7329B20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1275" w:type="dxa"/>
            <w:tcBorders>
              <w:top w:val="single" w:sz="4" w:space="0" w:color="auto"/>
              <w:left w:val="single" w:sz="4" w:space="0" w:color="auto"/>
              <w:bottom w:val="single" w:sz="4" w:space="0" w:color="auto"/>
              <w:right w:val="single" w:sz="4" w:space="0" w:color="auto"/>
            </w:tcBorders>
          </w:tcPr>
          <w:p w14:paraId="219FB519" w14:textId="77777777" w:rsidR="00497092" w:rsidRPr="00644F20" w:rsidRDefault="00497092">
            <w:pPr>
              <w:spacing w:after="60" w:line="240" w:lineRule="auto"/>
              <w:rPr>
                <w:rFonts w:ascii="Times New Roman" w:hAnsi="Times New Roman" w:cs="Times New Roman"/>
                <w:lang w:val="sr-Cyrl-CS"/>
              </w:rPr>
            </w:pPr>
          </w:p>
        </w:tc>
        <w:tc>
          <w:tcPr>
            <w:tcW w:w="1417" w:type="dxa"/>
            <w:tcBorders>
              <w:top w:val="single" w:sz="4" w:space="0" w:color="auto"/>
              <w:left w:val="single" w:sz="4" w:space="0" w:color="auto"/>
              <w:bottom w:val="single" w:sz="4" w:space="0" w:color="auto"/>
              <w:right w:val="single" w:sz="4" w:space="0" w:color="auto"/>
            </w:tcBorders>
          </w:tcPr>
          <w:p w14:paraId="06F351FC" w14:textId="77777777" w:rsidR="00497092" w:rsidRPr="00644F20" w:rsidRDefault="00497092">
            <w:pPr>
              <w:spacing w:after="0" w:line="240" w:lineRule="auto"/>
              <w:rPr>
                <w:rFonts w:ascii="Times New Roman" w:hAnsi="Times New Roman" w:cs="Times New Roman"/>
                <w:lang w:val="sr-Cyrl-CS"/>
              </w:rPr>
            </w:pPr>
          </w:p>
        </w:tc>
        <w:tc>
          <w:tcPr>
            <w:tcW w:w="1561" w:type="dxa"/>
            <w:tcBorders>
              <w:top w:val="single" w:sz="4" w:space="0" w:color="auto"/>
              <w:left w:val="single" w:sz="4" w:space="0" w:color="auto"/>
              <w:bottom w:val="single" w:sz="4" w:space="0" w:color="auto"/>
              <w:right w:val="single" w:sz="4" w:space="0" w:color="auto"/>
            </w:tcBorders>
          </w:tcPr>
          <w:p w14:paraId="3F9CD21D"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744</w:t>
            </w:r>
          </w:p>
        </w:tc>
        <w:tc>
          <w:tcPr>
            <w:tcW w:w="795" w:type="dxa"/>
            <w:tcBorders>
              <w:top w:val="single" w:sz="4" w:space="0" w:color="auto"/>
              <w:left w:val="single" w:sz="4" w:space="0" w:color="auto"/>
              <w:bottom w:val="single" w:sz="4" w:space="0" w:color="auto"/>
              <w:right w:val="single" w:sz="4" w:space="0" w:color="auto"/>
            </w:tcBorders>
          </w:tcPr>
          <w:p w14:paraId="7E358AC2" w14:textId="77777777" w:rsidR="00497092" w:rsidRPr="00644F20" w:rsidRDefault="00497092">
            <w:pPr>
              <w:spacing w:after="0" w:line="240" w:lineRule="auto"/>
              <w:rPr>
                <w:rFonts w:ascii="Times New Roman" w:hAnsi="Times New Roman" w:cs="Times New Roman"/>
                <w:lang w:val="sr-Cyrl-CS"/>
              </w:rPr>
            </w:pPr>
          </w:p>
        </w:tc>
      </w:tr>
      <w:tr w:rsidR="00497092" w:rsidRPr="00644F20" w14:paraId="546F67A9" w14:textId="77777777" w:rsidTr="00691B7A">
        <w:trPr>
          <w:trHeight w:val="140"/>
        </w:trPr>
        <w:tc>
          <w:tcPr>
            <w:tcW w:w="2899" w:type="dxa"/>
            <w:tcBorders>
              <w:top w:val="single" w:sz="4" w:space="0" w:color="auto"/>
              <w:left w:val="double" w:sz="4" w:space="0" w:color="auto"/>
              <w:bottom w:val="single" w:sz="4" w:space="0" w:color="auto"/>
              <w:right w:val="single" w:sz="4" w:space="0" w:color="auto"/>
            </w:tcBorders>
          </w:tcPr>
          <w:p w14:paraId="4B157F6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3.5.3. Промоција  резултата пилот пројекта и израђених смерница релевантим институцијама и представницима ХОРЕКА сектора</w:t>
            </w:r>
          </w:p>
        </w:tc>
        <w:tc>
          <w:tcPr>
            <w:tcW w:w="1181" w:type="dxa"/>
            <w:tcBorders>
              <w:top w:val="single" w:sz="4" w:space="0" w:color="auto"/>
              <w:left w:val="single" w:sz="4" w:space="0" w:color="auto"/>
              <w:bottom w:val="single" w:sz="4" w:space="0" w:color="auto"/>
              <w:right w:val="single" w:sz="4" w:space="0" w:color="auto"/>
            </w:tcBorders>
          </w:tcPr>
          <w:p w14:paraId="12C5902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1560" w:type="dxa"/>
            <w:tcBorders>
              <w:top w:val="single" w:sz="4" w:space="0" w:color="auto"/>
              <w:left w:val="single" w:sz="4" w:space="0" w:color="auto"/>
              <w:bottom w:val="single" w:sz="4" w:space="0" w:color="auto"/>
              <w:right w:val="single" w:sz="4" w:space="0" w:color="auto"/>
            </w:tcBorders>
          </w:tcPr>
          <w:p w14:paraId="4037D3B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МТО</w:t>
            </w:r>
          </w:p>
          <w:p w14:paraId="38C1685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МПШВ</w:t>
            </w:r>
          </w:p>
          <w:p w14:paraId="6ECBFA0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tc>
        <w:tc>
          <w:tcPr>
            <w:tcW w:w="1275" w:type="dxa"/>
            <w:tcBorders>
              <w:top w:val="single" w:sz="4" w:space="0" w:color="auto"/>
              <w:left w:val="single" w:sz="4" w:space="0" w:color="auto"/>
              <w:bottom w:val="single" w:sz="4" w:space="0" w:color="auto"/>
              <w:right w:val="single" w:sz="4" w:space="0" w:color="auto"/>
            </w:tcBorders>
          </w:tcPr>
          <w:p w14:paraId="2243385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1702" w:type="dxa"/>
            <w:tcBorders>
              <w:top w:val="single" w:sz="4" w:space="0" w:color="auto"/>
              <w:left w:val="single" w:sz="4" w:space="0" w:color="auto"/>
              <w:bottom w:val="single" w:sz="4" w:space="0" w:color="auto"/>
              <w:right w:val="single" w:sz="4" w:space="0" w:color="auto"/>
            </w:tcBorders>
          </w:tcPr>
          <w:p w14:paraId="07D4D67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1275" w:type="dxa"/>
            <w:tcBorders>
              <w:top w:val="single" w:sz="4" w:space="0" w:color="auto"/>
              <w:left w:val="single" w:sz="4" w:space="0" w:color="auto"/>
              <w:bottom w:val="single" w:sz="4" w:space="0" w:color="auto"/>
              <w:right w:val="single" w:sz="4" w:space="0" w:color="auto"/>
            </w:tcBorders>
          </w:tcPr>
          <w:p w14:paraId="0B33846C" w14:textId="77777777" w:rsidR="00497092" w:rsidRPr="00644F20" w:rsidRDefault="00497092">
            <w:pPr>
              <w:spacing w:after="60" w:line="240" w:lineRule="auto"/>
              <w:rPr>
                <w:rFonts w:ascii="Times New Roman" w:hAnsi="Times New Roman" w:cs="Times New Roman"/>
                <w:lang w:val="sr-Cyrl-CS"/>
              </w:rPr>
            </w:pPr>
          </w:p>
        </w:tc>
        <w:tc>
          <w:tcPr>
            <w:tcW w:w="1417" w:type="dxa"/>
            <w:tcBorders>
              <w:top w:val="single" w:sz="4" w:space="0" w:color="auto"/>
              <w:left w:val="single" w:sz="4" w:space="0" w:color="auto"/>
              <w:bottom w:val="single" w:sz="4" w:space="0" w:color="auto"/>
              <w:right w:val="single" w:sz="4" w:space="0" w:color="auto"/>
            </w:tcBorders>
          </w:tcPr>
          <w:p w14:paraId="526BCEC4" w14:textId="77777777" w:rsidR="00497092" w:rsidRPr="00644F20" w:rsidRDefault="00497092">
            <w:pPr>
              <w:spacing w:after="0" w:line="240" w:lineRule="auto"/>
              <w:rPr>
                <w:rFonts w:ascii="Times New Roman" w:hAnsi="Times New Roman" w:cs="Times New Roman"/>
                <w:lang w:val="sr-Cyrl-CS"/>
              </w:rPr>
            </w:pPr>
          </w:p>
        </w:tc>
        <w:tc>
          <w:tcPr>
            <w:tcW w:w="1561" w:type="dxa"/>
            <w:tcBorders>
              <w:top w:val="single" w:sz="4" w:space="0" w:color="auto"/>
              <w:left w:val="single" w:sz="4" w:space="0" w:color="auto"/>
              <w:bottom w:val="single" w:sz="4" w:space="0" w:color="auto"/>
              <w:right w:val="single" w:sz="4" w:space="0" w:color="auto"/>
            </w:tcBorders>
          </w:tcPr>
          <w:p w14:paraId="0CE82380"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266,4</w:t>
            </w:r>
          </w:p>
        </w:tc>
        <w:tc>
          <w:tcPr>
            <w:tcW w:w="795" w:type="dxa"/>
            <w:tcBorders>
              <w:top w:val="single" w:sz="4" w:space="0" w:color="auto"/>
              <w:left w:val="single" w:sz="4" w:space="0" w:color="auto"/>
              <w:bottom w:val="single" w:sz="4" w:space="0" w:color="auto"/>
              <w:right w:val="single" w:sz="4" w:space="0" w:color="auto"/>
            </w:tcBorders>
          </w:tcPr>
          <w:p w14:paraId="40A6A75D" w14:textId="77777777" w:rsidR="00497092" w:rsidRPr="00644F20" w:rsidRDefault="00497092">
            <w:pPr>
              <w:spacing w:after="0" w:line="240" w:lineRule="auto"/>
              <w:rPr>
                <w:rFonts w:ascii="Times New Roman" w:hAnsi="Times New Roman" w:cs="Times New Roman"/>
                <w:lang w:val="sr-Cyrl-CS"/>
              </w:rPr>
            </w:pPr>
          </w:p>
        </w:tc>
      </w:tr>
      <w:tr w:rsidR="00497092" w:rsidRPr="00644F20" w14:paraId="0DA2DAE7" w14:textId="77777777" w:rsidTr="00691B7A">
        <w:trPr>
          <w:trHeight w:val="140"/>
        </w:trPr>
        <w:tc>
          <w:tcPr>
            <w:tcW w:w="2899" w:type="dxa"/>
            <w:tcBorders>
              <w:top w:val="single" w:sz="4" w:space="0" w:color="auto"/>
              <w:left w:val="double" w:sz="4" w:space="0" w:color="auto"/>
              <w:bottom w:val="single" w:sz="4" w:space="0" w:color="auto"/>
              <w:right w:val="single" w:sz="4" w:space="0" w:color="auto"/>
            </w:tcBorders>
          </w:tcPr>
          <w:p w14:paraId="50E8A62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3.5.4. Промоција праћења хране и управљања храном међу трговачким ланцима и потрошачима кроз употребу дигиталних алата</w:t>
            </w:r>
          </w:p>
        </w:tc>
        <w:tc>
          <w:tcPr>
            <w:tcW w:w="1181" w:type="dxa"/>
            <w:tcBorders>
              <w:top w:val="single" w:sz="4" w:space="0" w:color="auto"/>
              <w:left w:val="single" w:sz="4" w:space="0" w:color="auto"/>
              <w:bottom w:val="single" w:sz="4" w:space="0" w:color="auto"/>
              <w:right w:val="single" w:sz="4" w:space="0" w:color="auto"/>
            </w:tcBorders>
          </w:tcPr>
          <w:p w14:paraId="083BAF6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1560" w:type="dxa"/>
            <w:tcBorders>
              <w:top w:val="single" w:sz="4" w:space="0" w:color="auto"/>
              <w:left w:val="single" w:sz="4" w:space="0" w:color="auto"/>
              <w:bottom w:val="single" w:sz="4" w:space="0" w:color="auto"/>
              <w:right w:val="single" w:sz="4" w:space="0" w:color="auto"/>
            </w:tcBorders>
          </w:tcPr>
          <w:p w14:paraId="74C54FA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МПШВ</w:t>
            </w:r>
          </w:p>
          <w:p w14:paraId="508D5A7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УНДП</w:t>
            </w:r>
          </w:p>
        </w:tc>
        <w:tc>
          <w:tcPr>
            <w:tcW w:w="1275" w:type="dxa"/>
            <w:tcBorders>
              <w:top w:val="single" w:sz="4" w:space="0" w:color="auto"/>
              <w:left w:val="single" w:sz="4" w:space="0" w:color="auto"/>
              <w:bottom w:val="single" w:sz="4" w:space="0" w:color="auto"/>
              <w:right w:val="single" w:sz="4" w:space="0" w:color="auto"/>
            </w:tcBorders>
          </w:tcPr>
          <w:p w14:paraId="59D5367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1702" w:type="dxa"/>
            <w:tcBorders>
              <w:top w:val="single" w:sz="4" w:space="0" w:color="auto"/>
              <w:left w:val="single" w:sz="4" w:space="0" w:color="auto"/>
              <w:bottom w:val="single" w:sz="4" w:space="0" w:color="auto"/>
              <w:right w:val="single" w:sz="4" w:space="0" w:color="auto"/>
            </w:tcBorders>
          </w:tcPr>
          <w:p w14:paraId="639750E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Директна донаторска подршка - УНДП</w:t>
            </w:r>
          </w:p>
        </w:tc>
        <w:tc>
          <w:tcPr>
            <w:tcW w:w="1275" w:type="dxa"/>
            <w:tcBorders>
              <w:top w:val="single" w:sz="4" w:space="0" w:color="auto"/>
              <w:left w:val="single" w:sz="4" w:space="0" w:color="auto"/>
              <w:bottom w:val="single" w:sz="4" w:space="0" w:color="auto"/>
              <w:right w:val="single" w:sz="4" w:space="0" w:color="auto"/>
            </w:tcBorders>
          </w:tcPr>
          <w:p w14:paraId="3F07169E" w14:textId="77777777" w:rsidR="00497092" w:rsidRPr="00644F20" w:rsidRDefault="00497092">
            <w:pPr>
              <w:spacing w:after="60" w:line="240" w:lineRule="auto"/>
              <w:rPr>
                <w:rFonts w:ascii="Times New Roman" w:hAnsi="Times New Roman" w:cs="Times New Roman"/>
                <w:lang w:val="sr-Cyrl-CS"/>
              </w:rPr>
            </w:pPr>
          </w:p>
        </w:tc>
        <w:tc>
          <w:tcPr>
            <w:tcW w:w="1417" w:type="dxa"/>
            <w:tcBorders>
              <w:top w:val="single" w:sz="4" w:space="0" w:color="auto"/>
              <w:left w:val="single" w:sz="4" w:space="0" w:color="auto"/>
              <w:bottom w:val="single" w:sz="4" w:space="0" w:color="auto"/>
              <w:right w:val="single" w:sz="4" w:space="0" w:color="auto"/>
            </w:tcBorders>
          </w:tcPr>
          <w:p w14:paraId="0DFB726F"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2.300</w:t>
            </w:r>
          </w:p>
        </w:tc>
        <w:tc>
          <w:tcPr>
            <w:tcW w:w="1561" w:type="dxa"/>
            <w:tcBorders>
              <w:top w:val="single" w:sz="4" w:space="0" w:color="auto"/>
              <w:left w:val="single" w:sz="4" w:space="0" w:color="auto"/>
              <w:bottom w:val="single" w:sz="4" w:space="0" w:color="auto"/>
              <w:right w:val="single" w:sz="4" w:space="0" w:color="auto"/>
            </w:tcBorders>
          </w:tcPr>
          <w:p w14:paraId="0261C74C" w14:textId="77777777" w:rsidR="00497092" w:rsidRPr="00644F20" w:rsidRDefault="002F45E1">
            <w:pPr>
              <w:spacing w:after="0" w:line="240" w:lineRule="auto"/>
              <w:rPr>
                <w:rFonts w:ascii="Times New Roman" w:hAnsi="Times New Roman" w:cs="Times New Roman"/>
                <w:lang w:val="sr-Cyrl-CS"/>
              </w:rPr>
            </w:pPr>
            <w:r w:rsidRPr="00644F20">
              <w:rPr>
                <w:rFonts w:ascii="Times New Roman" w:hAnsi="Times New Roman" w:cs="Times New Roman"/>
                <w:lang w:val="sr-Cyrl-CS"/>
              </w:rPr>
              <w:t>3.500</w:t>
            </w:r>
          </w:p>
        </w:tc>
        <w:tc>
          <w:tcPr>
            <w:tcW w:w="795" w:type="dxa"/>
            <w:tcBorders>
              <w:top w:val="single" w:sz="4" w:space="0" w:color="auto"/>
              <w:left w:val="single" w:sz="4" w:space="0" w:color="auto"/>
              <w:bottom w:val="single" w:sz="4" w:space="0" w:color="auto"/>
              <w:right w:val="single" w:sz="4" w:space="0" w:color="auto"/>
            </w:tcBorders>
          </w:tcPr>
          <w:p w14:paraId="7C276035" w14:textId="77777777" w:rsidR="00497092" w:rsidRPr="00644F20" w:rsidRDefault="00497092">
            <w:pPr>
              <w:spacing w:after="0" w:line="240" w:lineRule="auto"/>
              <w:rPr>
                <w:rFonts w:ascii="Times New Roman" w:hAnsi="Times New Roman" w:cs="Times New Roman"/>
                <w:lang w:val="sr-Cyrl-CS"/>
              </w:rPr>
            </w:pPr>
          </w:p>
        </w:tc>
      </w:tr>
    </w:tbl>
    <w:p w14:paraId="3BB48DE2" w14:textId="77777777" w:rsidR="00497092" w:rsidRPr="00644F20" w:rsidRDefault="00497092">
      <w:pPr>
        <w:spacing w:after="0"/>
        <w:rPr>
          <w:rFonts w:ascii="Times New Roman" w:hAnsi="Times New Roman" w:cs="Times New Roman"/>
          <w:lang w:val="sr-Cyrl-CS"/>
        </w:rPr>
      </w:pPr>
    </w:p>
    <w:p w14:paraId="18B3F943" w14:textId="77777777" w:rsidR="005320FF" w:rsidRPr="00644F20" w:rsidRDefault="005320FF">
      <w:pPr>
        <w:spacing w:after="0"/>
        <w:rPr>
          <w:rFonts w:ascii="Times New Roman" w:hAnsi="Times New Roman" w:cs="Times New Roman"/>
          <w:lang w:val="sr-Cyrl-CS"/>
        </w:rPr>
      </w:pPr>
    </w:p>
    <w:p w14:paraId="4B6E30DE" w14:textId="77777777" w:rsidR="005320FF" w:rsidRPr="00644F20" w:rsidRDefault="005320FF">
      <w:pPr>
        <w:spacing w:after="0"/>
        <w:rPr>
          <w:rFonts w:ascii="Times New Roman" w:hAnsi="Times New Roman" w:cs="Times New Roman"/>
          <w:lang w:val="sr-Cyrl-CS"/>
        </w:rPr>
      </w:pPr>
    </w:p>
    <w:p w14:paraId="5D5590F5" w14:textId="77777777" w:rsidR="005320FF" w:rsidRPr="00644F20" w:rsidRDefault="005320FF">
      <w:pPr>
        <w:spacing w:after="0"/>
        <w:rPr>
          <w:rFonts w:ascii="Times New Roman" w:hAnsi="Times New Roman" w:cs="Times New Roman"/>
          <w:lang w:val="sr-Cyrl-CS"/>
        </w:rPr>
      </w:pPr>
    </w:p>
    <w:p w14:paraId="36A6FED1" w14:textId="77777777" w:rsidR="005320FF" w:rsidRPr="00644F20" w:rsidRDefault="005320FF">
      <w:pPr>
        <w:spacing w:after="0"/>
        <w:rPr>
          <w:rFonts w:ascii="Times New Roman" w:hAnsi="Times New Roman" w:cs="Times New Roman"/>
          <w:lang w:val="sr-Cyrl-CS"/>
        </w:rPr>
      </w:pPr>
    </w:p>
    <w:p w14:paraId="3F8A5C69" w14:textId="77777777" w:rsidR="005320FF" w:rsidRPr="00644F20" w:rsidRDefault="005320FF">
      <w:pPr>
        <w:spacing w:after="0"/>
        <w:rPr>
          <w:rFonts w:ascii="Times New Roman" w:hAnsi="Times New Roman" w:cs="Times New Roman"/>
          <w:lang w:val="sr-Cyrl-CS"/>
        </w:rPr>
      </w:pPr>
    </w:p>
    <w:p w14:paraId="3A0802BC" w14:textId="77777777" w:rsidR="005320FF" w:rsidRPr="00644F20" w:rsidRDefault="005320FF">
      <w:pPr>
        <w:spacing w:after="0"/>
        <w:rPr>
          <w:rFonts w:ascii="Times New Roman" w:hAnsi="Times New Roman" w:cs="Times New Roman"/>
          <w:lang w:val="sr-Cyrl-CS"/>
        </w:rPr>
      </w:pPr>
    </w:p>
    <w:p w14:paraId="605DB0EC" w14:textId="77777777" w:rsidR="00497092" w:rsidRPr="00644F20" w:rsidRDefault="00497092">
      <w:pPr>
        <w:spacing w:after="0"/>
        <w:rPr>
          <w:rFonts w:ascii="Times New Roman" w:hAnsi="Times New Roman" w:cs="Times New Roman"/>
          <w:lang w:val="sr-Cyrl-CS"/>
        </w:rPr>
      </w:pPr>
    </w:p>
    <w:tbl>
      <w:tblPr>
        <w:tblStyle w:val="TableGrid"/>
        <w:tblW w:w="13935" w:type="dxa"/>
        <w:tblInd w:w="10" w:type="dxa"/>
        <w:tblLayout w:type="fixed"/>
        <w:tblLook w:val="04A0" w:firstRow="1" w:lastRow="0" w:firstColumn="1" w:lastColumn="0" w:noHBand="0" w:noVBand="1"/>
      </w:tblPr>
      <w:tblGrid>
        <w:gridCol w:w="3136"/>
        <w:gridCol w:w="1442"/>
        <w:gridCol w:w="1367"/>
        <w:gridCol w:w="1743"/>
        <w:gridCol w:w="1657"/>
        <w:gridCol w:w="1668"/>
        <w:gridCol w:w="1701"/>
        <w:gridCol w:w="1221"/>
      </w:tblGrid>
      <w:tr w:rsidR="00497092" w:rsidRPr="00644F20" w14:paraId="4D91478D" w14:textId="77777777" w:rsidTr="00691B7A">
        <w:trPr>
          <w:trHeight w:val="320"/>
        </w:trPr>
        <w:tc>
          <w:tcPr>
            <w:tcW w:w="13935"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tcPr>
          <w:p w14:paraId="05594AA5" w14:textId="77777777" w:rsidR="00497092" w:rsidRPr="00644F20" w:rsidRDefault="002F45E1">
            <w:pPr>
              <w:spacing w:after="60" w:line="240" w:lineRule="auto"/>
              <w:rPr>
                <w:rFonts w:ascii="Times New Roman" w:eastAsia="Calibri" w:hAnsi="Times New Roman" w:cs="Times New Roman"/>
                <w:b/>
                <w:lang w:val="sr-Cyrl-CS"/>
              </w:rPr>
            </w:pPr>
            <w:r w:rsidRPr="00644F20">
              <w:rPr>
                <w:rFonts w:ascii="Times New Roman" w:eastAsia="Calibri" w:hAnsi="Times New Roman" w:cs="Times New Roman"/>
                <w:b/>
                <w:lang w:val="sr-Cyrl-CS"/>
              </w:rPr>
              <w:lastRenderedPageBreak/>
              <w:t xml:space="preserve">Посебан циљ 4: Подршка примени зелених јавних набавки и добровољних инструмената из области заштите животне средине   </w:t>
            </w:r>
          </w:p>
        </w:tc>
      </w:tr>
      <w:tr w:rsidR="00497092" w:rsidRPr="00644F20" w14:paraId="7EF37B65" w14:textId="77777777" w:rsidTr="00691B7A">
        <w:trPr>
          <w:trHeight w:val="320"/>
        </w:trPr>
        <w:tc>
          <w:tcPr>
            <w:tcW w:w="13935"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vAlign w:val="center"/>
          </w:tcPr>
          <w:p w14:paraId="5972BB1F" w14:textId="77777777" w:rsidR="00497092" w:rsidRPr="00644F20" w:rsidRDefault="002F45E1">
            <w:pPr>
              <w:spacing w:after="60" w:line="240" w:lineRule="auto"/>
              <w:rPr>
                <w:rFonts w:ascii="Times New Roman" w:eastAsia="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координацију и извештавање: </w:t>
            </w:r>
            <w:r w:rsidR="001B6E66" w:rsidRPr="00644F20">
              <w:rPr>
                <w:rFonts w:ascii="Times New Roman" w:eastAsia="Times New Roman" w:hAnsi="Times New Roman" w:cs="Times New Roman"/>
                <w:lang w:val="sr-Cyrl-CS"/>
              </w:rPr>
              <w:t>МЗЖС</w:t>
            </w:r>
          </w:p>
          <w:p w14:paraId="2181785E"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1A6D5544" w14:textId="77777777" w:rsidTr="00691B7A">
        <w:trPr>
          <w:trHeight w:val="575"/>
        </w:trPr>
        <w:tc>
          <w:tcPr>
            <w:tcW w:w="313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DD1DC4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Показатељ(и) на нивоу посебног циља </w:t>
            </w:r>
            <w:r w:rsidRPr="00644F20">
              <w:rPr>
                <w:rFonts w:ascii="Times New Roman" w:eastAsia="Calibri" w:hAnsi="Times New Roman" w:cs="Times New Roman"/>
                <w:i/>
                <w:lang w:val="sr-Cyrl-CS"/>
              </w:rPr>
              <w:t>(показатељ исхода)</w:t>
            </w:r>
          </w:p>
        </w:tc>
        <w:tc>
          <w:tcPr>
            <w:tcW w:w="1442"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6FD9E0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Jединица мере</w:t>
            </w:r>
          </w:p>
          <w:p w14:paraId="5AA4A938" w14:textId="77777777" w:rsidR="00497092" w:rsidRPr="00644F20" w:rsidRDefault="00497092">
            <w:pPr>
              <w:spacing w:after="60" w:line="240" w:lineRule="auto"/>
              <w:rPr>
                <w:rFonts w:ascii="Times New Roman" w:eastAsia="Calibri" w:hAnsi="Times New Roman" w:cs="Times New Roman"/>
                <w:lang w:val="sr-Cyrl-CS"/>
              </w:rPr>
            </w:pPr>
          </w:p>
        </w:tc>
        <w:tc>
          <w:tcPr>
            <w:tcW w:w="136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9FC9D0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 провере</w:t>
            </w:r>
          </w:p>
        </w:tc>
        <w:tc>
          <w:tcPr>
            <w:tcW w:w="1743"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B215E5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Почетна вредност </w:t>
            </w:r>
          </w:p>
        </w:tc>
        <w:tc>
          <w:tcPr>
            <w:tcW w:w="165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A2D74B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Базна година</w:t>
            </w:r>
          </w:p>
        </w:tc>
        <w:tc>
          <w:tcPr>
            <w:tcW w:w="166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CE472F7"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Циљaна вредност у 2022.</w:t>
            </w:r>
          </w:p>
        </w:tc>
        <w:tc>
          <w:tcPr>
            <w:tcW w:w="1701"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31B54C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Циљaна вредност у 2023.</w:t>
            </w:r>
          </w:p>
        </w:tc>
        <w:tc>
          <w:tcPr>
            <w:tcW w:w="122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6A8F66F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Циљaна вредност у 2024.</w:t>
            </w:r>
          </w:p>
        </w:tc>
      </w:tr>
      <w:tr w:rsidR="00497092" w:rsidRPr="00644F20" w14:paraId="272F8999" w14:textId="77777777" w:rsidTr="00691B7A">
        <w:trPr>
          <w:trHeight w:val="254"/>
        </w:trPr>
        <w:tc>
          <w:tcPr>
            <w:tcW w:w="3136" w:type="dxa"/>
            <w:tcBorders>
              <w:top w:val="double" w:sz="4" w:space="0" w:color="auto"/>
              <w:left w:val="single" w:sz="4" w:space="0" w:color="auto"/>
              <w:bottom w:val="double" w:sz="4" w:space="0" w:color="auto"/>
              <w:right w:val="single" w:sz="4" w:space="0" w:color="auto"/>
            </w:tcBorders>
            <w:shd w:val="clear" w:color="auto" w:fill="FFFFFF" w:themeFill="background1"/>
          </w:tcPr>
          <w:p w14:paraId="6F6CD52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Број годишње реализованих додатних обука/семинара и стручних консултација из области ЗеЈН </w:t>
            </w:r>
          </w:p>
        </w:tc>
        <w:tc>
          <w:tcPr>
            <w:tcW w:w="1442" w:type="dxa"/>
            <w:tcBorders>
              <w:top w:val="double" w:sz="4" w:space="0" w:color="auto"/>
              <w:left w:val="single" w:sz="4" w:space="0" w:color="auto"/>
              <w:bottom w:val="double" w:sz="4" w:space="0" w:color="auto"/>
              <w:right w:val="single" w:sz="4" w:space="0" w:color="auto"/>
            </w:tcBorders>
            <w:shd w:val="clear" w:color="auto" w:fill="FFFFFF" w:themeFill="background1"/>
          </w:tcPr>
          <w:p w14:paraId="3D398BD6"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Број </w:t>
            </w:r>
          </w:p>
        </w:tc>
        <w:tc>
          <w:tcPr>
            <w:tcW w:w="1367" w:type="dxa"/>
            <w:tcBorders>
              <w:top w:val="double" w:sz="4" w:space="0" w:color="auto"/>
              <w:left w:val="single" w:sz="4" w:space="0" w:color="auto"/>
              <w:bottom w:val="double" w:sz="4" w:space="0" w:color="auto"/>
              <w:right w:val="single" w:sz="4" w:space="0" w:color="auto"/>
            </w:tcBorders>
            <w:shd w:val="clear" w:color="auto" w:fill="FFFFFF" w:themeFill="background1"/>
          </w:tcPr>
          <w:p w14:paraId="63B66EC6"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Извештаји МЗЖС и КЈН </w:t>
            </w:r>
          </w:p>
        </w:tc>
        <w:tc>
          <w:tcPr>
            <w:tcW w:w="1743" w:type="dxa"/>
            <w:tcBorders>
              <w:top w:val="double" w:sz="4" w:space="0" w:color="auto"/>
              <w:left w:val="single" w:sz="4" w:space="0" w:color="auto"/>
              <w:bottom w:val="double" w:sz="4" w:space="0" w:color="auto"/>
              <w:right w:val="single" w:sz="4" w:space="0" w:color="auto"/>
            </w:tcBorders>
            <w:shd w:val="clear" w:color="auto" w:fill="FFFFFF" w:themeFill="background1"/>
          </w:tcPr>
          <w:p w14:paraId="68C4A08E"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1 </w:t>
            </w:r>
          </w:p>
        </w:tc>
        <w:tc>
          <w:tcPr>
            <w:tcW w:w="1657" w:type="dxa"/>
            <w:tcBorders>
              <w:top w:val="double" w:sz="4" w:space="0" w:color="auto"/>
              <w:left w:val="single" w:sz="4" w:space="0" w:color="auto"/>
              <w:bottom w:val="double" w:sz="4" w:space="0" w:color="auto"/>
              <w:right w:val="single" w:sz="4" w:space="0" w:color="auto"/>
            </w:tcBorders>
            <w:shd w:val="clear" w:color="auto" w:fill="FFFFFF" w:themeFill="background1"/>
          </w:tcPr>
          <w:p w14:paraId="5A5066B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668" w:type="dxa"/>
            <w:tcBorders>
              <w:top w:val="double" w:sz="4" w:space="0" w:color="auto"/>
              <w:left w:val="single" w:sz="4" w:space="0" w:color="auto"/>
              <w:bottom w:val="double" w:sz="4" w:space="0" w:color="auto"/>
              <w:right w:val="single" w:sz="4" w:space="0" w:color="auto"/>
            </w:tcBorders>
            <w:shd w:val="clear" w:color="auto" w:fill="FFFFFF" w:themeFill="background1"/>
          </w:tcPr>
          <w:p w14:paraId="598243DD"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 </w:t>
            </w: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75726201"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 </w:t>
            </w:r>
          </w:p>
        </w:tc>
        <w:tc>
          <w:tcPr>
            <w:tcW w:w="1221" w:type="dxa"/>
            <w:tcBorders>
              <w:top w:val="double" w:sz="4" w:space="0" w:color="auto"/>
              <w:left w:val="single" w:sz="4" w:space="0" w:color="auto"/>
              <w:bottom w:val="double" w:sz="4" w:space="0" w:color="auto"/>
              <w:right w:val="double" w:sz="4" w:space="0" w:color="auto"/>
            </w:tcBorders>
            <w:shd w:val="clear" w:color="auto" w:fill="FFFFFF" w:themeFill="background1"/>
          </w:tcPr>
          <w:p w14:paraId="4026AFB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w:t>
            </w:r>
          </w:p>
        </w:tc>
      </w:tr>
      <w:tr w:rsidR="00497092" w:rsidRPr="00644F20" w14:paraId="3AB6503B" w14:textId="77777777" w:rsidTr="00691B7A">
        <w:trPr>
          <w:trHeight w:val="254"/>
        </w:trPr>
        <w:tc>
          <w:tcPr>
            <w:tcW w:w="3136" w:type="dxa"/>
            <w:tcBorders>
              <w:top w:val="double" w:sz="4" w:space="0" w:color="auto"/>
              <w:left w:val="single" w:sz="4" w:space="0" w:color="auto"/>
              <w:bottom w:val="double" w:sz="4" w:space="0" w:color="auto"/>
              <w:right w:val="single" w:sz="4" w:space="0" w:color="auto"/>
            </w:tcBorders>
            <w:shd w:val="clear" w:color="auto" w:fill="FFFFFF" w:themeFill="background1"/>
          </w:tcPr>
          <w:p w14:paraId="65BE7A1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Број годишње реализованих ЗеЈН из одговарајућих група добара, услуга и радова</w:t>
            </w:r>
          </w:p>
        </w:tc>
        <w:tc>
          <w:tcPr>
            <w:tcW w:w="1442" w:type="dxa"/>
            <w:tcBorders>
              <w:top w:val="double" w:sz="4" w:space="0" w:color="auto"/>
              <w:left w:val="single" w:sz="4" w:space="0" w:color="auto"/>
              <w:bottom w:val="double" w:sz="4" w:space="0" w:color="auto"/>
              <w:right w:val="single" w:sz="4" w:space="0" w:color="auto"/>
            </w:tcBorders>
            <w:shd w:val="clear" w:color="auto" w:fill="FFFFFF" w:themeFill="background1"/>
          </w:tcPr>
          <w:p w14:paraId="575D9C97"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Број </w:t>
            </w:r>
          </w:p>
        </w:tc>
        <w:tc>
          <w:tcPr>
            <w:tcW w:w="1367" w:type="dxa"/>
            <w:tcBorders>
              <w:top w:val="double" w:sz="4" w:space="0" w:color="auto"/>
              <w:left w:val="single" w:sz="4" w:space="0" w:color="auto"/>
              <w:bottom w:val="double" w:sz="4" w:space="0" w:color="auto"/>
              <w:right w:val="single" w:sz="4" w:space="0" w:color="auto"/>
            </w:tcBorders>
            <w:shd w:val="clear" w:color="auto" w:fill="FFFFFF" w:themeFill="background1"/>
          </w:tcPr>
          <w:p w14:paraId="3D4D3275"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Портал ЈН</w:t>
            </w:r>
          </w:p>
          <w:p w14:paraId="55959808"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Извештај КЈН</w:t>
            </w:r>
          </w:p>
        </w:tc>
        <w:tc>
          <w:tcPr>
            <w:tcW w:w="1743" w:type="dxa"/>
            <w:tcBorders>
              <w:top w:val="double" w:sz="4" w:space="0" w:color="auto"/>
              <w:left w:val="single" w:sz="4" w:space="0" w:color="auto"/>
              <w:bottom w:val="double" w:sz="4" w:space="0" w:color="auto"/>
              <w:right w:val="single" w:sz="4" w:space="0" w:color="auto"/>
            </w:tcBorders>
            <w:shd w:val="clear" w:color="auto" w:fill="FFFFFF" w:themeFill="background1"/>
          </w:tcPr>
          <w:p w14:paraId="66F64977"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3</w:t>
            </w:r>
          </w:p>
        </w:tc>
        <w:tc>
          <w:tcPr>
            <w:tcW w:w="1657" w:type="dxa"/>
            <w:tcBorders>
              <w:top w:val="double" w:sz="4" w:space="0" w:color="auto"/>
              <w:left w:val="single" w:sz="4" w:space="0" w:color="auto"/>
              <w:bottom w:val="double" w:sz="4" w:space="0" w:color="auto"/>
              <w:right w:val="single" w:sz="4" w:space="0" w:color="auto"/>
            </w:tcBorders>
            <w:shd w:val="clear" w:color="auto" w:fill="FFFFFF" w:themeFill="background1"/>
          </w:tcPr>
          <w:p w14:paraId="116D3CEA"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668" w:type="dxa"/>
            <w:tcBorders>
              <w:top w:val="double" w:sz="4" w:space="0" w:color="auto"/>
              <w:left w:val="single" w:sz="4" w:space="0" w:color="auto"/>
              <w:bottom w:val="double" w:sz="4" w:space="0" w:color="auto"/>
              <w:right w:val="single" w:sz="4" w:space="0" w:color="auto"/>
            </w:tcBorders>
            <w:shd w:val="clear" w:color="auto" w:fill="FFFFFF" w:themeFill="background1"/>
          </w:tcPr>
          <w:p w14:paraId="26C698F4"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  </w:t>
            </w: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2BE6881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3 </w:t>
            </w:r>
          </w:p>
          <w:p w14:paraId="460047E1"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221" w:type="dxa"/>
            <w:tcBorders>
              <w:top w:val="double" w:sz="4" w:space="0" w:color="auto"/>
              <w:left w:val="single" w:sz="4" w:space="0" w:color="auto"/>
              <w:bottom w:val="double" w:sz="4" w:space="0" w:color="auto"/>
              <w:right w:val="double" w:sz="4" w:space="0" w:color="auto"/>
            </w:tcBorders>
            <w:shd w:val="clear" w:color="auto" w:fill="FFFFFF" w:themeFill="background1"/>
          </w:tcPr>
          <w:p w14:paraId="13D254F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5</w:t>
            </w:r>
          </w:p>
          <w:p w14:paraId="071138A2"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r>
      <w:tr w:rsidR="00497092" w:rsidRPr="00644F20" w14:paraId="25ACCA89" w14:textId="77777777" w:rsidTr="00691B7A">
        <w:trPr>
          <w:trHeight w:val="254"/>
        </w:trPr>
        <w:tc>
          <w:tcPr>
            <w:tcW w:w="3136" w:type="dxa"/>
            <w:tcBorders>
              <w:top w:val="double" w:sz="4" w:space="0" w:color="auto"/>
              <w:left w:val="single" w:sz="4" w:space="0" w:color="auto"/>
              <w:bottom w:val="double" w:sz="4" w:space="0" w:color="auto"/>
              <w:right w:val="single" w:sz="4" w:space="0" w:color="auto"/>
            </w:tcBorders>
            <w:shd w:val="clear" w:color="auto" w:fill="FFFFFF" w:themeFill="background1"/>
          </w:tcPr>
          <w:p w14:paraId="7F30B5CE"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Усвајање EMAS правилника</w:t>
            </w:r>
          </w:p>
        </w:tc>
        <w:tc>
          <w:tcPr>
            <w:tcW w:w="1442" w:type="dxa"/>
            <w:tcBorders>
              <w:top w:val="double" w:sz="4" w:space="0" w:color="auto"/>
              <w:left w:val="single" w:sz="4" w:space="0" w:color="auto"/>
              <w:bottom w:val="double" w:sz="4" w:space="0" w:color="auto"/>
              <w:right w:val="single" w:sz="4" w:space="0" w:color="auto"/>
            </w:tcBorders>
            <w:shd w:val="clear" w:color="auto" w:fill="FFFFFF" w:themeFill="background1"/>
          </w:tcPr>
          <w:p w14:paraId="0ABB9FE4"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Да/Не</w:t>
            </w:r>
          </w:p>
        </w:tc>
        <w:tc>
          <w:tcPr>
            <w:tcW w:w="1367" w:type="dxa"/>
            <w:tcBorders>
              <w:top w:val="double" w:sz="4" w:space="0" w:color="auto"/>
              <w:left w:val="single" w:sz="4" w:space="0" w:color="auto"/>
              <w:bottom w:val="double" w:sz="4" w:space="0" w:color="auto"/>
              <w:right w:val="single" w:sz="4" w:space="0" w:color="auto"/>
            </w:tcBorders>
            <w:shd w:val="clear" w:color="auto" w:fill="FFFFFF" w:themeFill="background1"/>
          </w:tcPr>
          <w:p w14:paraId="5AF1B1A3"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Службени гласник РС</w:t>
            </w:r>
          </w:p>
        </w:tc>
        <w:tc>
          <w:tcPr>
            <w:tcW w:w="1743" w:type="dxa"/>
            <w:tcBorders>
              <w:top w:val="double" w:sz="4" w:space="0" w:color="auto"/>
              <w:left w:val="single" w:sz="4" w:space="0" w:color="auto"/>
              <w:bottom w:val="double" w:sz="4" w:space="0" w:color="auto"/>
              <w:right w:val="single" w:sz="4" w:space="0" w:color="auto"/>
            </w:tcBorders>
            <w:shd w:val="clear" w:color="auto" w:fill="FFFFFF" w:themeFill="background1"/>
          </w:tcPr>
          <w:p w14:paraId="0538A2D2"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Не </w:t>
            </w:r>
          </w:p>
        </w:tc>
        <w:tc>
          <w:tcPr>
            <w:tcW w:w="1657" w:type="dxa"/>
            <w:tcBorders>
              <w:top w:val="double" w:sz="4" w:space="0" w:color="auto"/>
              <w:left w:val="single" w:sz="4" w:space="0" w:color="auto"/>
              <w:bottom w:val="double" w:sz="4" w:space="0" w:color="auto"/>
              <w:right w:val="single" w:sz="4" w:space="0" w:color="auto"/>
            </w:tcBorders>
            <w:shd w:val="clear" w:color="auto" w:fill="FFFFFF" w:themeFill="background1"/>
          </w:tcPr>
          <w:p w14:paraId="68CAF547"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668" w:type="dxa"/>
            <w:tcBorders>
              <w:top w:val="double" w:sz="4" w:space="0" w:color="auto"/>
              <w:left w:val="single" w:sz="4" w:space="0" w:color="auto"/>
              <w:bottom w:val="double" w:sz="4" w:space="0" w:color="auto"/>
              <w:right w:val="single" w:sz="4" w:space="0" w:color="auto"/>
            </w:tcBorders>
            <w:shd w:val="clear" w:color="auto" w:fill="FFFFFF" w:themeFill="background1"/>
          </w:tcPr>
          <w:p w14:paraId="4D309E54"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5D36C7D1"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w:t>
            </w:r>
          </w:p>
        </w:tc>
        <w:tc>
          <w:tcPr>
            <w:tcW w:w="1221" w:type="dxa"/>
            <w:tcBorders>
              <w:top w:val="double" w:sz="4" w:space="0" w:color="auto"/>
              <w:left w:val="single" w:sz="4" w:space="0" w:color="auto"/>
              <w:bottom w:val="double" w:sz="4" w:space="0" w:color="auto"/>
              <w:right w:val="double" w:sz="4" w:space="0" w:color="auto"/>
            </w:tcBorders>
            <w:shd w:val="clear" w:color="auto" w:fill="FFFFFF" w:themeFill="background1"/>
          </w:tcPr>
          <w:p w14:paraId="199C8BD3"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75A9501F" w14:textId="77777777" w:rsidTr="00691B7A">
        <w:trPr>
          <w:trHeight w:val="254"/>
        </w:trPr>
        <w:tc>
          <w:tcPr>
            <w:tcW w:w="3136" w:type="dxa"/>
            <w:tcBorders>
              <w:top w:val="double" w:sz="4" w:space="0" w:color="auto"/>
              <w:left w:val="single" w:sz="4" w:space="0" w:color="auto"/>
              <w:bottom w:val="double" w:sz="4" w:space="0" w:color="auto"/>
              <w:right w:val="single" w:sz="4" w:space="0" w:color="auto"/>
            </w:tcBorders>
            <w:shd w:val="clear" w:color="auto" w:fill="FFFFFF" w:themeFill="background1"/>
          </w:tcPr>
          <w:p w14:paraId="70E2BC0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Укупан број организација са уведеним националним Еко знаком за неки од производа и/или услуга организације</w:t>
            </w:r>
          </w:p>
        </w:tc>
        <w:tc>
          <w:tcPr>
            <w:tcW w:w="1442" w:type="dxa"/>
            <w:tcBorders>
              <w:top w:val="double" w:sz="4" w:space="0" w:color="auto"/>
              <w:left w:val="single" w:sz="4" w:space="0" w:color="auto"/>
              <w:bottom w:val="double" w:sz="4" w:space="0" w:color="auto"/>
              <w:right w:val="single" w:sz="4" w:space="0" w:color="auto"/>
            </w:tcBorders>
            <w:shd w:val="clear" w:color="auto" w:fill="FFFFFF" w:themeFill="background1"/>
          </w:tcPr>
          <w:p w14:paraId="4554B668"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Број  </w:t>
            </w:r>
          </w:p>
        </w:tc>
        <w:tc>
          <w:tcPr>
            <w:tcW w:w="1367" w:type="dxa"/>
            <w:tcBorders>
              <w:top w:val="double" w:sz="4" w:space="0" w:color="auto"/>
              <w:left w:val="single" w:sz="4" w:space="0" w:color="auto"/>
              <w:bottom w:val="double" w:sz="4" w:space="0" w:color="auto"/>
              <w:right w:val="single" w:sz="4" w:space="0" w:color="auto"/>
            </w:tcBorders>
            <w:shd w:val="clear" w:color="auto" w:fill="FFFFFF" w:themeFill="background1"/>
          </w:tcPr>
          <w:p w14:paraId="5DE6877A"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Регистар МЗЖС</w:t>
            </w:r>
          </w:p>
        </w:tc>
        <w:tc>
          <w:tcPr>
            <w:tcW w:w="1743" w:type="dxa"/>
            <w:tcBorders>
              <w:top w:val="double" w:sz="4" w:space="0" w:color="auto"/>
              <w:left w:val="single" w:sz="4" w:space="0" w:color="auto"/>
              <w:bottom w:val="double" w:sz="4" w:space="0" w:color="auto"/>
              <w:right w:val="single" w:sz="4" w:space="0" w:color="auto"/>
            </w:tcBorders>
            <w:shd w:val="clear" w:color="auto" w:fill="FFFFFF" w:themeFill="background1"/>
          </w:tcPr>
          <w:p w14:paraId="6FE82909"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w:t>
            </w:r>
          </w:p>
        </w:tc>
        <w:tc>
          <w:tcPr>
            <w:tcW w:w="1657" w:type="dxa"/>
            <w:tcBorders>
              <w:top w:val="double" w:sz="4" w:space="0" w:color="auto"/>
              <w:left w:val="single" w:sz="4" w:space="0" w:color="auto"/>
              <w:bottom w:val="double" w:sz="4" w:space="0" w:color="auto"/>
              <w:right w:val="single" w:sz="4" w:space="0" w:color="auto"/>
            </w:tcBorders>
            <w:shd w:val="clear" w:color="auto" w:fill="FFFFFF" w:themeFill="background1"/>
          </w:tcPr>
          <w:p w14:paraId="387B36AE"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668" w:type="dxa"/>
            <w:tcBorders>
              <w:top w:val="double" w:sz="4" w:space="0" w:color="auto"/>
              <w:left w:val="single" w:sz="4" w:space="0" w:color="auto"/>
              <w:bottom w:val="double" w:sz="4" w:space="0" w:color="auto"/>
              <w:right w:val="single" w:sz="4" w:space="0" w:color="auto"/>
            </w:tcBorders>
            <w:shd w:val="clear" w:color="auto" w:fill="FFFFFF" w:themeFill="background1"/>
          </w:tcPr>
          <w:p w14:paraId="69ED8727"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5866CA1E"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 </w:t>
            </w:r>
          </w:p>
        </w:tc>
        <w:tc>
          <w:tcPr>
            <w:tcW w:w="1221" w:type="dxa"/>
            <w:tcBorders>
              <w:top w:val="double" w:sz="4" w:space="0" w:color="auto"/>
              <w:left w:val="single" w:sz="4" w:space="0" w:color="auto"/>
              <w:bottom w:val="double" w:sz="4" w:space="0" w:color="auto"/>
              <w:right w:val="double" w:sz="4" w:space="0" w:color="auto"/>
            </w:tcBorders>
            <w:shd w:val="clear" w:color="auto" w:fill="FFFFFF" w:themeFill="background1"/>
          </w:tcPr>
          <w:p w14:paraId="7A64D0C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6 </w:t>
            </w:r>
          </w:p>
          <w:p w14:paraId="08A9D050" w14:textId="77777777" w:rsidR="00497092" w:rsidRPr="00644F20" w:rsidRDefault="00497092">
            <w:pPr>
              <w:spacing w:after="60" w:line="240" w:lineRule="auto"/>
              <w:rPr>
                <w:rFonts w:ascii="Times New Roman" w:eastAsia="Calibri" w:hAnsi="Times New Roman" w:cs="Times New Roman"/>
                <w:lang w:val="sr-Cyrl-CS"/>
              </w:rPr>
            </w:pPr>
          </w:p>
        </w:tc>
      </w:tr>
    </w:tbl>
    <w:p w14:paraId="7B73A4E7" w14:textId="77777777" w:rsidR="00497092" w:rsidRPr="00644F20" w:rsidRDefault="00497092">
      <w:pPr>
        <w:spacing w:after="240"/>
        <w:rPr>
          <w:rFonts w:ascii="Times New Roman" w:hAnsi="Times New Roman" w:cs="Times New Roman"/>
          <w:lang w:val="sr-Cyrl-CS"/>
        </w:rPr>
      </w:pPr>
    </w:p>
    <w:p w14:paraId="1E8A24A3" w14:textId="77777777" w:rsidR="00220394" w:rsidRPr="00644F20" w:rsidRDefault="00220394">
      <w:pPr>
        <w:spacing w:after="240"/>
        <w:rPr>
          <w:rFonts w:ascii="Times New Roman" w:hAnsi="Times New Roman" w:cs="Times New Roman"/>
          <w:lang w:val="sr-Cyrl-CS"/>
        </w:rPr>
      </w:pPr>
    </w:p>
    <w:p w14:paraId="34AC384A" w14:textId="77777777" w:rsidR="00220394" w:rsidRPr="00644F20" w:rsidRDefault="00220394">
      <w:pPr>
        <w:spacing w:after="240"/>
        <w:rPr>
          <w:rFonts w:ascii="Times New Roman" w:hAnsi="Times New Roman" w:cs="Times New Roman"/>
          <w:lang w:val="sr-Cyrl-CS"/>
        </w:rPr>
      </w:pPr>
    </w:p>
    <w:p w14:paraId="4DF835C4" w14:textId="77777777" w:rsidR="00220394" w:rsidRPr="00644F20" w:rsidRDefault="00220394">
      <w:pPr>
        <w:spacing w:after="240"/>
        <w:rPr>
          <w:rFonts w:ascii="Times New Roman" w:hAnsi="Times New Roman" w:cs="Times New Roman"/>
          <w:lang w:val="sr-Cyrl-CS"/>
        </w:rPr>
      </w:pPr>
    </w:p>
    <w:p w14:paraId="46337399" w14:textId="77777777" w:rsidR="00220394" w:rsidRPr="00644F20" w:rsidRDefault="00220394">
      <w:pPr>
        <w:spacing w:after="240"/>
        <w:rPr>
          <w:rFonts w:ascii="Times New Roman" w:hAnsi="Times New Roman" w:cs="Times New Roman"/>
          <w:lang w:val="sr-Cyrl-CS"/>
        </w:rPr>
      </w:pPr>
    </w:p>
    <w:p w14:paraId="3EE694CA" w14:textId="77777777" w:rsidR="00220394" w:rsidRPr="00644F20" w:rsidRDefault="00220394">
      <w:pPr>
        <w:spacing w:after="240"/>
        <w:rPr>
          <w:rFonts w:ascii="Times New Roman" w:hAnsi="Times New Roman" w:cs="Times New Roman"/>
          <w:lang w:val="sr-Cyrl-CS"/>
        </w:rPr>
      </w:pPr>
    </w:p>
    <w:p w14:paraId="2EE6EBEA" w14:textId="77777777" w:rsidR="00220394" w:rsidRPr="00644F20" w:rsidRDefault="00220394">
      <w:pPr>
        <w:spacing w:after="240"/>
        <w:rPr>
          <w:rFonts w:ascii="Times New Roman" w:hAnsi="Times New Roman" w:cs="Times New Roman"/>
          <w:lang w:val="sr-Cyrl-CS"/>
        </w:rPr>
      </w:pPr>
    </w:p>
    <w:tbl>
      <w:tblPr>
        <w:tblStyle w:val="TableGrid"/>
        <w:tblW w:w="13925" w:type="dxa"/>
        <w:tblInd w:w="10" w:type="dxa"/>
        <w:tblLayout w:type="fixed"/>
        <w:tblLook w:val="04A0" w:firstRow="1" w:lastRow="0" w:firstColumn="1" w:lastColumn="0" w:noHBand="0" w:noVBand="1"/>
      </w:tblPr>
      <w:tblGrid>
        <w:gridCol w:w="3219"/>
        <w:gridCol w:w="1475"/>
        <w:gridCol w:w="1376"/>
        <w:gridCol w:w="568"/>
        <w:gridCol w:w="1201"/>
        <w:gridCol w:w="1707"/>
        <w:gridCol w:w="1537"/>
        <w:gridCol w:w="1573"/>
        <w:gridCol w:w="1269"/>
      </w:tblGrid>
      <w:tr w:rsidR="00497092" w:rsidRPr="00644F20" w14:paraId="3B4D04F2" w14:textId="77777777" w:rsidTr="00691B7A">
        <w:trPr>
          <w:trHeight w:val="168"/>
        </w:trPr>
        <w:tc>
          <w:tcPr>
            <w:tcW w:w="1392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6BF54460" w14:textId="77777777" w:rsidR="00497092" w:rsidRPr="00644F20" w:rsidRDefault="002F45E1">
            <w:pPr>
              <w:spacing w:after="60" w:line="240" w:lineRule="auto"/>
              <w:rPr>
                <w:rFonts w:ascii="Times New Roman" w:eastAsia="Calibri" w:hAnsi="Times New Roman" w:cs="Times New Roman"/>
                <w:b/>
                <w:lang w:val="sr-Cyrl-CS"/>
              </w:rPr>
            </w:pPr>
            <w:r w:rsidRPr="00644F20">
              <w:rPr>
                <w:rFonts w:ascii="Times New Roman" w:eastAsia="Calibri" w:hAnsi="Times New Roman" w:cs="Times New Roman"/>
                <w:b/>
                <w:lang w:val="sr-Cyrl-CS"/>
              </w:rPr>
              <w:lastRenderedPageBreak/>
              <w:t xml:space="preserve">Мера 4.1: Дефинисање приоритетних група добара, услуга и радова за Републику Србију за примену зелених јавних набавки </w:t>
            </w:r>
          </w:p>
        </w:tc>
      </w:tr>
      <w:tr w:rsidR="00497092" w:rsidRPr="00644F20" w14:paraId="2CC435E9" w14:textId="77777777" w:rsidTr="00691B7A">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4C38B5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r w:rsidRPr="00644F20">
              <w:rPr>
                <w:rFonts w:ascii="Times New Roman" w:eastAsia="Times New Roman" w:hAnsi="Times New Roman" w:cs="Times New Roman"/>
                <w:lang w:val="sr-Cyrl-CS"/>
              </w:rPr>
              <w:t xml:space="preserve"> </w:t>
            </w:r>
          </w:p>
        </w:tc>
      </w:tr>
      <w:tr w:rsidR="00497092" w:rsidRPr="00644F20" w14:paraId="3A3A9AAE" w14:textId="77777777" w:rsidTr="00691B7A">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E54E7C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Период спровођења: 2022 – 2024. </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A4DEAE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Тип мере: информативно-едукативна</w:t>
            </w:r>
          </w:p>
        </w:tc>
      </w:tr>
      <w:tr w:rsidR="00497092" w:rsidRPr="00644F20" w14:paraId="00CA3A56" w14:textId="77777777" w:rsidTr="00691B7A">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54CE677"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Прописи које је потребно изменити/усвојити за спровођење мере:</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2325A98"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7F7258BD" w14:textId="77777777" w:rsidTr="00691B7A">
        <w:trPr>
          <w:trHeight w:val="950"/>
        </w:trPr>
        <w:tc>
          <w:tcPr>
            <w:tcW w:w="321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92CA2CC"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Показатељ(и)  на нивоу мере </w:t>
            </w:r>
            <w:r w:rsidRPr="00644F20">
              <w:rPr>
                <w:rFonts w:ascii="Times New Roman" w:eastAsia="Calibri" w:hAnsi="Times New Roman" w:cs="Times New Roman"/>
                <w:i/>
                <w:lang w:val="sr-Cyrl-CS"/>
              </w:rPr>
              <w:t>(показатељ резултата)</w:t>
            </w:r>
          </w:p>
        </w:tc>
        <w:tc>
          <w:tcPr>
            <w:tcW w:w="1475"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06E56B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Jединица мере</w:t>
            </w:r>
          </w:p>
          <w:p w14:paraId="54023B71" w14:textId="77777777" w:rsidR="00497092" w:rsidRPr="00644F20" w:rsidRDefault="00497092">
            <w:pPr>
              <w:spacing w:after="60" w:line="240" w:lineRule="auto"/>
              <w:rPr>
                <w:rFonts w:ascii="Times New Roman" w:eastAsia="Calibri" w:hAnsi="Times New Roman" w:cs="Times New Roman"/>
                <w:lang w:val="sr-Cyrl-CS"/>
              </w:rPr>
            </w:pPr>
          </w:p>
        </w:tc>
        <w:tc>
          <w:tcPr>
            <w:tcW w:w="13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4AF537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 провере</w:t>
            </w:r>
          </w:p>
        </w:tc>
        <w:tc>
          <w:tcPr>
            <w:tcW w:w="1769"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521C7E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Почетна вредност </w:t>
            </w:r>
          </w:p>
        </w:tc>
        <w:tc>
          <w:tcPr>
            <w:tcW w:w="170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BFEFAC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Базна година</w:t>
            </w:r>
          </w:p>
        </w:tc>
        <w:tc>
          <w:tcPr>
            <w:tcW w:w="153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FE87D6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2022.</w:t>
            </w:r>
          </w:p>
        </w:tc>
        <w:tc>
          <w:tcPr>
            <w:tcW w:w="1573"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1520179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2023.</w:t>
            </w:r>
          </w:p>
        </w:tc>
        <w:tc>
          <w:tcPr>
            <w:tcW w:w="126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0B34B0E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2024.</w:t>
            </w:r>
          </w:p>
        </w:tc>
      </w:tr>
      <w:tr w:rsidR="00497092" w:rsidRPr="00644F20" w14:paraId="75F76896" w14:textId="77777777" w:rsidTr="00691B7A">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60C342E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Одабране приоритетне групе добара, услуга и радова за примену ЗеЈН </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3DEB1FBE"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Да/Не</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002D84DC"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Извештаји МЗЖС и КЈН</w:t>
            </w: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6D4E8E50"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Не</w:t>
            </w: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79B67B36"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68A1C146"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2080819C"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w:t>
            </w:r>
          </w:p>
        </w:tc>
        <w:tc>
          <w:tcPr>
            <w:tcW w:w="1269" w:type="dxa"/>
            <w:tcBorders>
              <w:top w:val="double" w:sz="4" w:space="0" w:color="auto"/>
              <w:left w:val="single" w:sz="4" w:space="0" w:color="auto"/>
              <w:bottom w:val="double" w:sz="4" w:space="0" w:color="auto"/>
              <w:right w:val="double" w:sz="4" w:space="0" w:color="auto"/>
            </w:tcBorders>
            <w:shd w:val="clear" w:color="auto" w:fill="FFFFFF" w:themeFill="background1"/>
          </w:tcPr>
          <w:p w14:paraId="7CF8F5B7"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r>
    </w:tbl>
    <w:p w14:paraId="2F742D1E" w14:textId="77777777" w:rsidR="00497092" w:rsidRPr="00644F20" w:rsidRDefault="00497092">
      <w:pPr>
        <w:rPr>
          <w:rFonts w:ascii="Times New Roman" w:hAnsi="Times New Roman" w:cs="Times New Roman"/>
          <w:lang w:val="sr-Cyrl-CS"/>
        </w:rPr>
      </w:pPr>
    </w:p>
    <w:tbl>
      <w:tblPr>
        <w:tblStyle w:val="TableGrid"/>
        <w:tblW w:w="14015" w:type="dxa"/>
        <w:tblInd w:w="10" w:type="dxa"/>
        <w:tblLayout w:type="fixed"/>
        <w:tblLook w:val="04A0" w:firstRow="1" w:lastRow="0" w:firstColumn="1" w:lastColumn="0" w:noHBand="0" w:noVBand="1"/>
      </w:tblPr>
      <w:tblGrid>
        <w:gridCol w:w="3665"/>
        <w:gridCol w:w="2778"/>
        <w:gridCol w:w="2869"/>
        <w:gridCol w:w="2543"/>
        <w:gridCol w:w="2160"/>
      </w:tblGrid>
      <w:tr w:rsidR="00497092" w:rsidRPr="00644F20" w14:paraId="4789FE1C" w14:textId="77777777" w:rsidTr="00691B7A">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16F39DA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tc>
        <w:tc>
          <w:tcPr>
            <w:tcW w:w="2778" w:type="dxa"/>
            <w:vMerge w:val="restart"/>
            <w:tcBorders>
              <w:top w:val="single" w:sz="4" w:space="0" w:color="auto"/>
              <w:left w:val="double" w:sz="4" w:space="0" w:color="auto"/>
              <w:bottom w:val="double" w:sz="4" w:space="0" w:color="auto"/>
              <w:right w:val="double" w:sz="4" w:space="0" w:color="auto"/>
            </w:tcBorders>
            <w:shd w:val="clear" w:color="auto" w:fill="A8D08D" w:themeFill="accent6" w:themeFillTint="99"/>
          </w:tcPr>
          <w:p w14:paraId="1AF413F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20AFC893" w14:textId="77777777" w:rsidR="00497092" w:rsidRPr="00644F20" w:rsidRDefault="00497092">
            <w:pPr>
              <w:spacing w:after="60" w:line="240" w:lineRule="auto"/>
              <w:rPr>
                <w:rFonts w:ascii="Times New Roman" w:hAnsi="Times New Roman" w:cs="Times New Roman"/>
                <w:lang w:val="sr-Cyrl-CS"/>
              </w:rPr>
            </w:pPr>
          </w:p>
        </w:tc>
        <w:tc>
          <w:tcPr>
            <w:tcW w:w="757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AE65F4"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31C74A95" w14:textId="77777777" w:rsidTr="00691B7A">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13E6420E"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double" w:sz="4" w:space="0" w:color="auto"/>
              <w:right w:val="double" w:sz="4" w:space="0" w:color="auto"/>
            </w:tcBorders>
            <w:vAlign w:val="center"/>
          </w:tcPr>
          <w:p w14:paraId="0380CA50"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DE0D84"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B9727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16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06946A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51867B21" w14:textId="77777777" w:rsidTr="00691B7A">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585038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1AE5443C"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687784B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4C2C49C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c>
          <w:tcPr>
            <w:tcW w:w="2160" w:type="dxa"/>
            <w:tcBorders>
              <w:top w:val="single" w:sz="4" w:space="0" w:color="auto"/>
              <w:left w:val="double" w:sz="4" w:space="0" w:color="auto"/>
              <w:bottom w:val="double" w:sz="4" w:space="0" w:color="auto"/>
              <w:right w:val="double" w:sz="4" w:space="0" w:color="auto"/>
            </w:tcBorders>
            <w:shd w:val="clear" w:color="auto" w:fill="FFFFFF" w:themeFill="background1"/>
          </w:tcPr>
          <w:p w14:paraId="5A1778E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r>
      <w:tr w:rsidR="00497092" w:rsidRPr="00644F20" w14:paraId="4DA9CF87" w14:textId="77777777" w:rsidTr="00691B7A">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F2E7DD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буџета/Редовна издвајања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259DE38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0404-0004</w:t>
            </w: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352E0CF4"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42B3C9DA" w14:textId="77777777" w:rsidR="00497092" w:rsidRPr="00644F20" w:rsidRDefault="00497092">
            <w:pPr>
              <w:spacing w:after="60" w:line="240" w:lineRule="auto"/>
              <w:rPr>
                <w:rFonts w:ascii="Times New Roman" w:hAnsi="Times New Roman" w:cs="Times New Roman"/>
                <w:lang w:val="sr-Cyrl-CS"/>
              </w:rPr>
            </w:pPr>
          </w:p>
        </w:tc>
        <w:tc>
          <w:tcPr>
            <w:tcW w:w="2160" w:type="dxa"/>
            <w:tcBorders>
              <w:top w:val="single" w:sz="4" w:space="0" w:color="auto"/>
              <w:left w:val="double" w:sz="4" w:space="0" w:color="auto"/>
              <w:bottom w:val="double" w:sz="4" w:space="0" w:color="auto"/>
              <w:right w:val="double" w:sz="4" w:space="0" w:color="auto"/>
            </w:tcBorders>
            <w:shd w:val="clear" w:color="auto" w:fill="FFFFFF" w:themeFill="background1"/>
          </w:tcPr>
          <w:p w14:paraId="0653888A" w14:textId="77777777" w:rsidR="00497092" w:rsidRPr="00644F20" w:rsidRDefault="00497092">
            <w:pPr>
              <w:spacing w:after="60" w:line="240" w:lineRule="auto"/>
              <w:rPr>
                <w:rFonts w:ascii="Times New Roman" w:hAnsi="Times New Roman" w:cs="Times New Roman"/>
                <w:lang w:val="sr-Cyrl-CS"/>
              </w:rPr>
            </w:pPr>
          </w:p>
        </w:tc>
      </w:tr>
    </w:tbl>
    <w:p w14:paraId="068B4D21"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08"/>
        <w:gridCol w:w="1160"/>
        <w:gridCol w:w="1339"/>
        <w:gridCol w:w="1278"/>
        <w:gridCol w:w="1490"/>
        <w:gridCol w:w="1453"/>
        <w:gridCol w:w="1135"/>
        <w:gridCol w:w="1257"/>
        <w:gridCol w:w="1132"/>
      </w:tblGrid>
      <w:tr w:rsidR="00497092" w:rsidRPr="00644F20" w14:paraId="773F990F"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291AB1B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Назив активности:</w:t>
            </w:r>
          </w:p>
        </w:tc>
        <w:tc>
          <w:tcPr>
            <w:tcW w:w="458"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020CBA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532213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6F30D009"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EA9D30E"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412956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Веза са програмским буџетом</w:t>
            </w:r>
          </w:p>
          <w:p w14:paraId="27FB7288" w14:textId="77777777" w:rsidR="00497092" w:rsidRPr="00644F20" w:rsidRDefault="00497092">
            <w:pPr>
              <w:spacing w:after="60" w:line="240" w:lineRule="auto"/>
              <w:jc w:val="center"/>
              <w:rPr>
                <w:rFonts w:ascii="Times New Roman" w:eastAsia="Calibri" w:hAnsi="Times New Roman" w:cs="Times New Roman"/>
                <w:lang w:val="sr-Cyrl-CS"/>
              </w:rPr>
            </w:pPr>
          </w:p>
        </w:tc>
        <w:tc>
          <w:tcPr>
            <w:tcW w:w="1530"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4658F83"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Укупна процењена финансијска средства по изворима у 000 дин.</w:t>
            </w:r>
          </w:p>
        </w:tc>
      </w:tr>
      <w:tr w:rsidR="00497092" w:rsidRPr="00644F20" w14:paraId="6BB2E94A"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5DDFDA0B"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FBCD31A"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39FB76FE"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7F10D37F"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438EBE8D"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630F42C" w14:textId="77777777" w:rsidR="00497092" w:rsidRPr="00644F20" w:rsidRDefault="00497092">
            <w:pPr>
              <w:spacing w:after="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142ABB"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54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B80D3E"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E0DE0A"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r>
      <w:tr w:rsidR="00497092" w:rsidRPr="00644F20" w14:paraId="06AA946E"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49ACBCE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4.1.1. Анализа потенцијала примене ЗеЈН у одређеним групама добара, услуга и радова </w:t>
            </w:r>
          </w:p>
        </w:tc>
        <w:tc>
          <w:tcPr>
            <w:tcW w:w="458" w:type="pct"/>
            <w:tcBorders>
              <w:top w:val="single" w:sz="4" w:space="0" w:color="auto"/>
              <w:left w:val="single" w:sz="4" w:space="0" w:color="auto"/>
              <w:bottom w:val="single" w:sz="4" w:space="0" w:color="auto"/>
              <w:right w:val="single" w:sz="4" w:space="0" w:color="auto"/>
            </w:tcBorders>
          </w:tcPr>
          <w:p w14:paraId="02D8086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34C6C4B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КЈН</w:t>
            </w:r>
          </w:p>
          <w:p w14:paraId="48745E0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p w14:paraId="3348AF2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НАЛЕД</w:t>
            </w:r>
          </w:p>
        </w:tc>
        <w:tc>
          <w:tcPr>
            <w:tcW w:w="464" w:type="pct"/>
            <w:tcBorders>
              <w:top w:val="single" w:sz="4" w:space="0" w:color="auto"/>
              <w:left w:val="single" w:sz="4" w:space="0" w:color="auto"/>
              <w:bottom w:val="single" w:sz="4" w:space="0" w:color="auto"/>
              <w:right w:val="single" w:sz="4" w:space="0" w:color="auto"/>
            </w:tcBorders>
          </w:tcPr>
          <w:p w14:paraId="0673446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2023.</w:t>
            </w:r>
          </w:p>
        </w:tc>
        <w:tc>
          <w:tcPr>
            <w:tcW w:w="629" w:type="pct"/>
            <w:tcBorders>
              <w:top w:val="single" w:sz="4" w:space="0" w:color="auto"/>
              <w:left w:val="single" w:sz="4" w:space="0" w:color="auto"/>
              <w:bottom w:val="single" w:sz="4" w:space="0" w:color="auto"/>
              <w:right w:val="single" w:sz="4" w:space="0" w:color="auto"/>
            </w:tcBorders>
          </w:tcPr>
          <w:p w14:paraId="0F130A5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688081EC"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25051E2B"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50630C85"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02E42D4D"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780364DC"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590CEEF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4.1.2. Стручне консултације са заинтересованим </w:t>
            </w:r>
            <w:r w:rsidRPr="00644F20">
              <w:rPr>
                <w:rFonts w:ascii="Times New Roman" w:eastAsia="Calibri" w:hAnsi="Times New Roman" w:cs="Times New Roman"/>
                <w:lang w:val="sr-Cyrl-CS"/>
              </w:rPr>
              <w:lastRenderedPageBreak/>
              <w:t>странама за појединачне групе добара, услуга и радова</w:t>
            </w:r>
          </w:p>
        </w:tc>
        <w:tc>
          <w:tcPr>
            <w:tcW w:w="458" w:type="pct"/>
            <w:tcBorders>
              <w:top w:val="single" w:sz="4" w:space="0" w:color="auto"/>
              <w:left w:val="single" w:sz="4" w:space="0" w:color="auto"/>
              <w:bottom w:val="single" w:sz="4" w:space="0" w:color="auto"/>
              <w:right w:val="single" w:sz="4" w:space="0" w:color="auto"/>
            </w:tcBorders>
          </w:tcPr>
          <w:p w14:paraId="6037801C"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lastRenderedPageBreak/>
              <w:t>МЗЖС</w:t>
            </w:r>
          </w:p>
        </w:tc>
        <w:tc>
          <w:tcPr>
            <w:tcW w:w="496" w:type="pct"/>
            <w:tcBorders>
              <w:top w:val="single" w:sz="4" w:space="0" w:color="auto"/>
              <w:left w:val="single" w:sz="4" w:space="0" w:color="auto"/>
              <w:bottom w:val="single" w:sz="4" w:space="0" w:color="auto"/>
              <w:right w:val="single" w:sz="4" w:space="0" w:color="auto"/>
            </w:tcBorders>
          </w:tcPr>
          <w:p w14:paraId="4C3AAAA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КЈН</w:t>
            </w:r>
          </w:p>
          <w:p w14:paraId="01B1CBD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p w14:paraId="1CE6DF8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lastRenderedPageBreak/>
              <w:t>НАЛЕД</w:t>
            </w:r>
          </w:p>
        </w:tc>
        <w:tc>
          <w:tcPr>
            <w:tcW w:w="464" w:type="pct"/>
            <w:tcBorders>
              <w:top w:val="single" w:sz="4" w:space="0" w:color="auto"/>
              <w:left w:val="single" w:sz="4" w:space="0" w:color="auto"/>
              <w:bottom w:val="single" w:sz="4" w:space="0" w:color="auto"/>
              <w:right w:val="single" w:sz="4" w:space="0" w:color="auto"/>
            </w:tcBorders>
          </w:tcPr>
          <w:p w14:paraId="60197297"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lastRenderedPageBreak/>
              <w:t>2023.</w:t>
            </w:r>
          </w:p>
        </w:tc>
        <w:tc>
          <w:tcPr>
            <w:tcW w:w="629" w:type="pct"/>
            <w:tcBorders>
              <w:top w:val="single" w:sz="4" w:space="0" w:color="auto"/>
              <w:left w:val="single" w:sz="4" w:space="0" w:color="auto"/>
              <w:bottom w:val="single" w:sz="4" w:space="0" w:color="auto"/>
              <w:right w:val="single" w:sz="4" w:space="0" w:color="auto"/>
            </w:tcBorders>
          </w:tcPr>
          <w:p w14:paraId="4B4DFF1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Извори финансирања и средстава </w:t>
            </w:r>
            <w:r w:rsidRPr="00644F20">
              <w:rPr>
                <w:rFonts w:ascii="Times New Roman" w:eastAsia="Calibri" w:hAnsi="Times New Roman" w:cs="Times New Roman"/>
                <w:lang w:val="sr-Cyrl-CS"/>
              </w:rPr>
              <w:lastRenderedPageBreak/>
              <w:t>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0A3F24D1"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33742025"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09020A74"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2E57C3E8"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063A265B" w14:textId="77777777">
        <w:trPr>
          <w:trHeight w:val="274"/>
        </w:trPr>
        <w:tc>
          <w:tcPr>
            <w:tcW w:w="960" w:type="pct"/>
            <w:tcBorders>
              <w:top w:val="single" w:sz="4" w:space="0" w:color="auto"/>
              <w:left w:val="double" w:sz="4" w:space="0" w:color="auto"/>
              <w:bottom w:val="single" w:sz="4" w:space="0" w:color="auto"/>
              <w:right w:val="single" w:sz="4" w:space="0" w:color="auto"/>
            </w:tcBorders>
          </w:tcPr>
          <w:p w14:paraId="35413400" w14:textId="77777777" w:rsidR="00497092" w:rsidRPr="00644F20" w:rsidRDefault="002F45E1" w:rsidP="00691B7A">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4.1.3. Израда и објављивање листе групе добара, услуга и радова са приоритетима за примену у Р</w:t>
            </w:r>
            <w:r w:rsidR="00691B7A" w:rsidRPr="00644F20">
              <w:rPr>
                <w:rFonts w:ascii="Times New Roman" w:eastAsia="Calibri" w:hAnsi="Times New Roman" w:cs="Times New Roman"/>
                <w:lang w:val="sr-Cyrl-CS"/>
              </w:rPr>
              <w:t xml:space="preserve">епублици Србији </w:t>
            </w:r>
          </w:p>
        </w:tc>
        <w:tc>
          <w:tcPr>
            <w:tcW w:w="458" w:type="pct"/>
            <w:tcBorders>
              <w:top w:val="single" w:sz="4" w:space="0" w:color="auto"/>
              <w:left w:val="single" w:sz="4" w:space="0" w:color="auto"/>
              <w:bottom w:val="single" w:sz="4" w:space="0" w:color="auto"/>
              <w:right w:val="single" w:sz="4" w:space="0" w:color="auto"/>
            </w:tcBorders>
          </w:tcPr>
          <w:p w14:paraId="2174A30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129EA11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КЈН</w:t>
            </w:r>
          </w:p>
          <w:p w14:paraId="6A9640D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НАЛЕД</w:t>
            </w:r>
          </w:p>
        </w:tc>
        <w:tc>
          <w:tcPr>
            <w:tcW w:w="464" w:type="pct"/>
            <w:tcBorders>
              <w:top w:val="single" w:sz="4" w:space="0" w:color="auto"/>
              <w:left w:val="single" w:sz="4" w:space="0" w:color="auto"/>
              <w:bottom w:val="single" w:sz="4" w:space="0" w:color="auto"/>
              <w:right w:val="single" w:sz="4" w:space="0" w:color="auto"/>
            </w:tcBorders>
          </w:tcPr>
          <w:p w14:paraId="2141C03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2023.</w:t>
            </w:r>
          </w:p>
        </w:tc>
        <w:tc>
          <w:tcPr>
            <w:tcW w:w="629" w:type="pct"/>
            <w:tcBorders>
              <w:top w:val="single" w:sz="4" w:space="0" w:color="auto"/>
              <w:left w:val="single" w:sz="4" w:space="0" w:color="auto"/>
              <w:bottom w:val="single" w:sz="4" w:space="0" w:color="auto"/>
              <w:right w:val="single" w:sz="4" w:space="0" w:color="auto"/>
            </w:tcBorders>
          </w:tcPr>
          <w:p w14:paraId="72779E1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71FA088A"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20268AF3"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01AD46A7"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6F7C14E2" w14:textId="77777777" w:rsidR="00497092" w:rsidRPr="00644F20" w:rsidRDefault="00497092">
            <w:pPr>
              <w:spacing w:after="60" w:line="240" w:lineRule="auto"/>
              <w:rPr>
                <w:rFonts w:ascii="Times New Roman" w:eastAsia="Calibri" w:hAnsi="Times New Roman" w:cs="Times New Roman"/>
                <w:lang w:val="sr-Cyrl-CS"/>
              </w:rPr>
            </w:pPr>
          </w:p>
        </w:tc>
      </w:tr>
    </w:tbl>
    <w:p w14:paraId="7FDE2C06" w14:textId="77777777" w:rsidR="00497092" w:rsidRPr="00644F20" w:rsidRDefault="00497092">
      <w:pPr>
        <w:spacing w:after="240"/>
        <w:rPr>
          <w:rFonts w:ascii="Times New Roman" w:hAnsi="Times New Roman" w:cs="Times New Roman"/>
          <w:lang w:val="sr-Cyrl-CS"/>
        </w:rPr>
      </w:pPr>
    </w:p>
    <w:tbl>
      <w:tblPr>
        <w:tblStyle w:val="TableGrid"/>
        <w:tblW w:w="13745" w:type="dxa"/>
        <w:tblInd w:w="10" w:type="dxa"/>
        <w:tblLayout w:type="fixed"/>
        <w:tblLook w:val="04A0" w:firstRow="1" w:lastRow="0" w:firstColumn="1" w:lastColumn="0" w:noHBand="0" w:noVBand="1"/>
      </w:tblPr>
      <w:tblGrid>
        <w:gridCol w:w="3219"/>
        <w:gridCol w:w="1475"/>
        <w:gridCol w:w="1376"/>
        <w:gridCol w:w="568"/>
        <w:gridCol w:w="1201"/>
        <w:gridCol w:w="1707"/>
        <w:gridCol w:w="1537"/>
        <w:gridCol w:w="1573"/>
        <w:gridCol w:w="1089"/>
      </w:tblGrid>
      <w:tr w:rsidR="00497092" w:rsidRPr="00644F20" w14:paraId="3EF0BEA8" w14:textId="77777777" w:rsidTr="00691B7A">
        <w:trPr>
          <w:trHeight w:val="168"/>
        </w:trPr>
        <w:tc>
          <w:tcPr>
            <w:tcW w:w="1374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094BE083" w14:textId="77777777" w:rsidR="00497092" w:rsidRPr="00644F20" w:rsidRDefault="002F45E1">
            <w:pPr>
              <w:spacing w:after="60" w:line="240" w:lineRule="auto"/>
              <w:rPr>
                <w:rFonts w:ascii="Times New Roman" w:eastAsia="Calibri" w:hAnsi="Times New Roman" w:cs="Times New Roman"/>
                <w:b/>
                <w:lang w:val="sr-Cyrl-CS"/>
              </w:rPr>
            </w:pPr>
            <w:r w:rsidRPr="00644F20">
              <w:rPr>
                <w:rFonts w:ascii="Times New Roman" w:eastAsia="Calibri" w:hAnsi="Times New Roman" w:cs="Times New Roman"/>
                <w:b/>
                <w:lang w:val="sr-Cyrl-CS"/>
              </w:rPr>
              <w:t>Мера 4.2: Додатна афирмација ЗеЈН и израда водича</w:t>
            </w:r>
          </w:p>
        </w:tc>
      </w:tr>
      <w:tr w:rsidR="00497092" w:rsidRPr="00644F20" w14:paraId="0664363B" w14:textId="77777777" w:rsidTr="00691B7A">
        <w:trPr>
          <w:trHeight w:val="298"/>
        </w:trPr>
        <w:tc>
          <w:tcPr>
            <w:tcW w:w="1374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4CF0E4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p>
        </w:tc>
      </w:tr>
      <w:tr w:rsidR="00497092" w:rsidRPr="00644F20" w14:paraId="7CDB85C4" w14:textId="77777777" w:rsidTr="00691B7A">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D8126E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Период спровођења: 2022 – 2024.</w:t>
            </w:r>
          </w:p>
        </w:tc>
        <w:tc>
          <w:tcPr>
            <w:tcW w:w="710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EBDA7CE"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Тип мере: информативно-едукативна</w:t>
            </w:r>
          </w:p>
        </w:tc>
      </w:tr>
      <w:tr w:rsidR="00497092" w:rsidRPr="00644F20" w14:paraId="291E95E4" w14:textId="77777777" w:rsidTr="00691B7A">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CA79AD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Прописи које је потребно изменити/усвојити за спровођење мере:</w:t>
            </w:r>
          </w:p>
        </w:tc>
        <w:tc>
          <w:tcPr>
            <w:tcW w:w="710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4EB7CC7"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12E1A1DF" w14:textId="77777777" w:rsidTr="00691B7A">
        <w:trPr>
          <w:trHeight w:val="950"/>
        </w:trPr>
        <w:tc>
          <w:tcPr>
            <w:tcW w:w="321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5691D2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Показатељ(и) на нивоу мере </w:t>
            </w:r>
            <w:r w:rsidRPr="00644F20">
              <w:rPr>
                <w:rFonts w:ascii="Times New Roman" w:eastAsia="Calibri" w:hAnsi="Times New Roman" w:cs="Times New Roman"/>
                <w:i/>
                <w:lang w:val="sr-Cyrl-CS"/>
              </w:rPr>
              <w:t>(показатељ резултата)</w:t>
            </w:r>
          </w:p>
        </w:tc>
        <w:tc>
          <w:tcPr>
            <w:tcW w:w="1475"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C8F318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Jединица мере</w:t>
            </w:r>
          </w:p>
          <w:p w14:paraId="1C6C379A" w14:textId="77777777" w:rsidR="00497092" w:rsidRPr="00644F20" w:rsidRDefault="00497092">
            <w:pPr>
              <w:spacing w:after="60" w:line="240" w:lineRule="auto"/>
              <w:rPr>
                <w:rFonts w:ascii="Times New Roman" w:eastAsia="Calibri" w:hAnsi="Times New Roman" w:cs="Times New Roman"/>
                <w:lang w:val="sr-Cyrl-CS"/>
              </w:rPr>
            </w:pPr>
          </w:p>
        </w:tc>
        <w:tc>
          <w:tcPr>
            <w:tcW w:w="13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E9DD8E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 провере</w:t>
            </w:r>
          </w:p>
        </w:tc>
        <w:tc>
          <w:tcPr>
            <w:tcW w:w="1769"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896D41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Почетна вредност </w:t>
            </w:r>
          </w:p>
        </w:tc>
        <w:tc>
          <w:tcPr>
            <w:tcW w:w="170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D54070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Базна година</w:t>
            </w:r>
          </w:p>
        </w:tc>
        <w:tc>
          <w:tcPr>
            <w:tcW w:w="153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B9E244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2022.</w:t>
            </w:r>
          </w:p>
        </w:tc>
        <w:tc>
          <w:tcPr>
            <w:tcW w:w="1573"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3CE2B35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2023.</w:t>
            </w:r>
          </w:p>
        </w:tc>
        <w:tc>
          <w:tcPr>
            <w:tcW w:w="108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60074B5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2024.</w:t>
            </w:r>
          </w:p>
        </w:tc>
      </w:tr>
      <w:tr w:rsidR="00497092" w:rsidRPr="00644F20" w14:paraId="7B23D68F" w14:textId="77777777" w:rsidTr="00691B7A">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750B9F02"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Укупан број израђених додатних водича из области ЗеЈН </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59DFF601"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Број </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7FED5BF3"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Интернет странице МЗЖС и КЈН</w:t>
            </w: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4FED8671"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 </w:t>
            </w: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664B7EF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79534C88"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3</w:t>
            </w: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0BABE616"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4</w:t>
            </w:r>
          </w:p>
        </w:tc>
        <w:tc>
          <w:tcPr>
            <w:tcW w:w="1089" w:type="dxa"/>
            <w:tcBorders>
              <w:top w:val="double" w:sz="4" w:space="0" w:color="auto"/>
              <w:left w:val="single" w:sz="4" w:space="0" w:color="auto"/>
              <w:bottom w:val="double" w:sz="4" w:space="0" w:color="auto"/>
              <w:right w:val="double" w:sz="4" w:space="0" w:color="auto"/>
            </w:tcBorders>
            <w:shd w:val="clear" w:color="auto" w:fill="FFFFFF" w:themeFill="background1"/>
          </w:tcPr>
          <w:p w14:paraId="5CA68407"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5</w:t>
            </w:r>
          </w:p>
        </w:tc>
      </w:tr>
      <w:tr w:rsidR="00497092" w:rsidRPr="00644F20" w14:paraId="3C461735" w14:textId="77777777" w:rsidTr="00691B7A">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28EB19D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Број реализованих семинара и/или обука из области ЗеЈН годишње</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5E4C4578"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Број </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2F11F50C"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Извештаји МЗЖС и КЈН са обука</w:t>
            </w: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5EF288C7"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1</w:t>
            </w: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197615B5"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2021. </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622B8B4E"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1</w:t>
            </w: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3B8C2546"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1</w:t>
            </w:r>
          </w:p>
        </w:tc>
        <w:tc>
          <w:tcPr>
            <w:tcW w:w="1089" w:type="dxa"/>
            <w:tcBorders>
              <w:top w:val="double" w:sz="4" w:space="0" w:color="auto"/>
              <w:left w:val="single" w:sz="4" w:space="0" w:color="auto"/>
              <w:bottom w:val="double" w:sz="4" w:space="0" w:color="auto"/>
              <w:right w:val="double" w:sz="4" w:space="0" w:color="auto"/>
            </w:tcBorders>
            <w:shd w:val="clear" w:color="auto" w:fill="FFFFFF" w:themeFill="background1"/>
          </w:tcPr>
          <w:p w14:paraId="0A7EC487"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1</w:t>
            </w:r>
          </w:p>
        </w:tc>
      </w:tr>
    </w:tbl>
    <w:p w14:paraId="67F50D84" w14:textId="77777777" w:rsidR="00497092" w:rsidRPr="00644F20" w:rsidRDefault="00497092">
      <w:pPr>
        <w:rPr>
          <w:rFonts w:ascii="Times New Roman" w:hAnsi="Times New Roman" w:cs="Times New Roman"/>
          <w:lang w:val="sr-Cyrl-CS"/>
        </w:rPr>
      </w:pPr>
    </w:p>
    <w:p w14:paraId="3F1462CF" w14:textId="77777777" w:rsidR="00220394" w:rsidRPr="00644F20" w:rsidRDefault="00220394">
      <w:pPr>
        <w:rPr>
          <w:rFonts w:ascii="Times New Roman" w:hAnsi="Times New Roman" w:cs="Times New Roman"/>
          <w:lang w:val="sr-Cyrl-CS"/>
        </w:rPr>
      </w:pPr>
    </w:p>
    <w:p w14:paraId="0C1F8195" w14:textId="77777777" w:rsidR="00220394" w:rsidRPr="00644F20" w:rsidRDefault="00220394">
      <w:pPr>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665"/>
        <w:gridCol w:w="2778"/>
        <w:gridCol w:w="2869"/>
        <w:gridCol w:w="2543"/>
        <w:gridCol w:w="1980"/>
      </w:tblGrid>
      <w:tr w:rsidR="00497092" w:rsidRPr="00644F20" w14:paraId="16AD8BD5" w14:textId="77777777" w:rsidTr="00691B7A">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2FBAF79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Извор финансирања мере</w:t>
            </w:r>
          </w:p>
          <w:p w14:paraId="32B81F43"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double" w:sz="4" w:space="0" w:color="auto"/>
              <w:right w:val="double" w:sz="4" w:space="0" w:color="auto"/>
            </w:tcBorders>
            <w:shd w:val="clear" w:color="auto" w:fill="A8D08D" w:themeFill="accent6" w:themeFillTint="99"/>
          </w:tcPr>
          <w:p w14:paraId="5C941FE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39990DEE" w14:textId="77777777" w:rsidR="00497092" w:rsidRPr="00644F20" w:rsidRDefault="00497092">
            <w:pPr>
              <w:spacing w:after="60" w:line="240" w:lineRule="auto"/>
              <w:rPr>
                <w:rFonts w:ascii="Times New Roman" w:hAnsi="Times New Roman" w:cs="Times New Roman"/>
                <w:lang w:val="sr-Cyrl-CS"/>
              </w:rPr>
            </w:pPr>
          </w:p>
        </w:tc>
        <w:tc>
          <w:tcPr>
            <w:tcW w:w="739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B8269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12ED2BE5" w14:textId="77777777" w:rsidTr="00691B7A">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1ADA3276"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double" w:sz="4" w:space="0" w:color="auto"/>
              <w:right w:val="double" w:sz="4" w:space="0" w:color="auto"/>
            </w:tcBorders>
            <w:vAlign w:val="center"/>
          </w:tcPr>
          <w:p w14:paraId="3FCEA8AB"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6296CC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E3E10A4"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19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11260B"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0428D459" w14:textId="77777777" w:rsidTr="00691B7A">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FB9B70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02AE476E"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72F704E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0984DA4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c>
          <w:tcPr>
            <w:tcW w:w="1980" w:type="dxa"/>
            <w:tcBorders>
              <w:top w:val="single" w:sz="4" w:space="0" w:color="auto"/>
              <w:left w:val="double" w:sz="4" w:space="0" w:color="auto"/>
              <w:bottom w:val="double" w:sz="4" w:space="0" w:color="auto"/>
              <w:right w:val="double" w:sz="4" w:space="0" w:color="auto"/>
            </w:tcBorders>
            <w:shd w:val="clear" w:color="auto" w:fill="FFFFFF" w:themeFill="background1"/>
          </w:tcPr>
          <w:p w14:paraId="48B5DE9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r>
      <w:tr w:rsidR="00497092" w:rsidRPr="00644F20" w14:paraId="6748FC3C" w14:textId="77777777" w:rsidTr="00691B7A">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D67021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буџета/Редовна издвајања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63C9240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0404-0004</w:t>
            </w: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3678B075"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4F165903" w14:textId="77777777" w:rsidR="00497092" w:rsidRPr="00644F20" w:rsidRDefault="00497092">
            <w:pPr>
              <w:spacing w:after="60" w:line="240" w:lineRule="auto"/>
              <w:rPr>
                <w:rFonts w:ascii="Times New Roman" w:hAnsi="Times New Roman" w:cs="Times New Roman"/>
                <w:lang w:val="sr-Cyrl-CS"/>
              </w:rPr>
            </w:pPr>
          </w:p>
        </w:tc>
        <w:tc>
          <w:tcPr>
            <w:tcW w:w="1980" w:type="dxa"/>
            <w:tcBorders>
              <w:top w:val="single" w:sz="4" w:space="0" w:color="auto"/>
              <w:left w:val="double" w:sz="4" w:space="0" w:color="auto"/>
              <w:bottom w:val="double" w:sz="4" w:space="0" w:color="auto"/>
              <w:right w:val="double" w:sz="4" w:space="0" w:color="auto"/>
            </w:tcBorders>
            <w:shd w:val="clear" w:color="auto" w:fill="FFFFFF" w:themeFill="background1"/>
          </w:tcPr>
          <w:p w14:paraId="2761A022" w14:textId="77777777" w:rsidR="00497092" w:rsidRPr="00644F20" w:rsidRDefault="00497092">
            <w:pPr>
              <w:spacing w:after="60" w:line="240" w:lineRule="auto"/>
              <w:rPr>
                <w:rFonts w:ascii="Times New Roman" w:hAnsi="Times New Roman" w:cs="Times New Roman"/>
                <w:lang w:val="sr-Cyrl-CS"/>
              </w:rPr>
            </w:pPr>
          </w:p>
        </w:tc>
      </w:tr>
    </w:tbl>
    <w:p w14:paraId="7601795D"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08"/>
        <w:gridCol w:w="1160"/>
        <w:gridCol w:w="1339"/>
        <w:gridCol w:w="1278"/>
        <w:gridCol w:w="1490"/>
        <w:gridCol w:w="1453"/>
        <w:gridCol w:w="1135"/>
        <w:gridCol w:w="1257"/>
        <w:gridCol w:w="1132"/>
      </w:tblGrid>
      <w:tr w:rsidR="00497092" w:rsidRPr="00644F20" w14:paraId="1CFFEB06"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3199D06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Назив активности:</w:t>
            </w:r>
          </w:p>
        </w:tc>
        <w:tc>
          <w:tcPr>
            <w:tcW w:w="458"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4DC132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9D7609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6A134EF"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1787184"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4A7B3B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Веза са програмским буџетом</w:t>
            </w:r>
          </w:p>
          <w:p w14:paraId="70A72AE1" w14:textId="77777777" w:rsidR="00497092" w:rsidRPr="00644F20" w:rsidRDefault="00497092">
            <w:pPr>
              <w:spacing w:after="60" w:line="240" w:lineRule="auto"/>
              <w:jc w:val="center"/>
              <w:rPr>
                <w:rFonts w:ascii="Times New Roman" w:eastAsia="Calibri" w:hAnsi="Times New Roman" w:cs="Times New Roman"/>
                <w:lang w:val="sr-Cyrl-CS"/>
              </w:rPr>
            </w:pPr>
          </w:p>
        </w:tc>
        <w:tc>
          <w:tcPr>
            <w:tcW w:w="1530"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824F60B"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Укупна процењена финансијска средства по изворима у 000 дин.</w:t>
            </w:r>
          </w:p>
        </w:tc>
      </w:tr>
      <w:tr w:rsidR="00497092" w:rsidRPr="00644F20" w14:paraId="003C203E"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20E815A8"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29384A8"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7054E477"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3CD955C"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0E792AA"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4EF225A0" w14:textId="77777777" w:rsidR="00497092" w:rsidRPr="00644F20" w:rsidRDefault="00497092">
            <w:pPr>
              <w:spacing w:after="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9A48DD"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54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EA0E24"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2D5C55"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r>
      <w:tr w:rsidR="00497092" w:rsidRPr="00644F20" w14:paraId="55B98A6F"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1DADABA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4.2.1. Допуна интернет страница МЗЖС са посебним делом за ЗеЈН </w:t>
            </w:r>
          </w:p>
        </w:tc>
        <w:tc>
          <w:tcPr>
            <w:tcW w:w="458" w:type="pct"/>
            <w:tcBorders>
              <w:top w:val="single" w:sz="4" w:space="0" w:color="auto"/>
              <w:left w:val="single" w:sz="4" w:space="0" w:color="auto"/>
              <w:bottom w:val="single" w:sz="4" w:space="0" w:color="auto"/>
              <w:right w:val="single" w:sz="4" w:space="0" w:color="auto"/>
            </w:tcBorders>
          </w:tcPr>
          <w:p w14:paraId="2A9E602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18DAF15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КЈН</w:t>
            </w:r>
          </w:p>
        </w:tc>
        <w:tc>
          <w:tcPr>
            <w:tcW w:w="464" w:type="pct"/>
            <w:tcBorders>
              <w:top w:val="single" w:sz="4" w:space="0" w:color="auto"/>
              <w:left w:val="single" w:sz="4" w:space="0" w:color="auto"/>
              <w:bottom w:val="single" w:sz="4" w:space="0" w:color="auto"/>
              <w:right w:val="single" w:sz="4" w:space="0" w:color="auto"/>
            </w:tcBorders>
          </w:tcPr>
          <w:p w14:paraId="226A3DA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2022. </w:t>
            </w:r>
          </w:p>
        </w:tc>
        <w:tc>
          <w:tcPr>
            <w:tcW w:w="629" w:type="pct"/>
            <w:tcBorders>
              <w:top w:val="single" w:sz="4" w:space="0" w:color="auto"/>
              <w:left w:val="single" w:sz="4" w:space="0" w:color="auto"/>
              <w:bottom w:val="single" w:sz="4" w:space="0" w:color="auto"/>
              <w:right w:val="single" w:sz="4" w:space="0" w:color="auto"/>
            </w:tcBorders>
          </w:tcPr>
          <w:p w14:paraId="60CCD4DC"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2D0EF2E9"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31899935"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06C74173"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25269F49"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7D90AAF2"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4A00B92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4.2.2. Израда додатних водича за примену ЗеЈН </w:t>
            </w:r>
          </w:p>
        </w:tc>
        <w:tc>
          <w:tcPr>
            <w:tcW w:w="458" w:type="pct"/>
            <w:tcBorders>
              <w:top w:val="single" w:sz="4" w:space="0" w:color="auto"/>
              <w:left w:val="single" w:sz="4" w:space="0" w:color="auto"/>
              <w:bottom w:val="single" w:sz="4" w:space="0" w:color="auto"/>
              <w:right w:val="single" w:sz="4" w:space="0" w:color="auto"/>
            </w:tcBorders>
          </w:tcPr>
          <w:p w14:paraId="18CB546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4B70A67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КЈН</w:t>
            </w:r>
          </w:p>
          <w:p w14:paraId="3BAFEB6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p w14:paraId="66E731D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НАЛЕД</w:t>
            </w:r>
          </w:p>
          <w:p w14:paraId="4E6F503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ОЦД</w:t>
            </w:r>
          </w:p>
        </w:tc>
        <w:tc>
          <w:tcPr>
            <w:tcW w:w="464" w:type="pct"/>
            <w:tcBorders>
              <w:top w:val="single" w:sz="4" w:space="0" w:color="auto"/>
              <w:left w:val="single" w:sz="4" w:space="0" w:color="auto"/>
              <w:bottom w:val="single" w:sz="4" w:space="0" w:color="auto"/>
              <w:right w:val="single" w:sz="4" w:space="0" w:color="auto"/>
            </w:tcBorders>
          </w:tcPr>
          <w:p w14:paraId="1F64D1F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79D7492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531ED40E"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60BA0A68"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5C2E1225"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6E7AF187"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01A23241"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31FAFD2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4.2.3. Реализација семинара и/или обука за одговарајуће заинтересоване стране</w:t>
            </w:r>
          </w:p>
        </w:tc>
        <w:tc>
          <w:tcPr>
            <w:tcW w:w="458" w:type="pct"/>
            <w:tcBorders>
              <w:top w:val="single" w:sz="4" w:space="0" w:color="auto"/>
              <w:left w:val="single" w:sz="4" w:space="0" w:color="auto"/>
              <w:bottom w:val="single" w:sz="4" w:space="0" w:color="auto"/>
              <w:right w:val="single" w:sz="4" w:space="0" w:color="auto"/>
            </w:tcBorders>
          </w:tcPr>
          <w:p w14:paraId="04CD8E2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5CD3BD6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 НАЛЕД</w:t>
            </w:r>
          </w:p>
          <w:p w14:paraId="42169BB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ОЦД</w:t>
            </w:r>
          </w:p>
        </w:tc>
        <w:tc>
          <w:tcPr>
            <w:tcW w:w="464" w:type="pct"/>
            <w:tcBorders>
              <w:top w:val="single" w:sz="4" w:space="0" w:color="auto"/>
              <w:left w:val="single" w:sz="4" w:space="0" w:color="auto"/>
              <w:bottom w:val="single" w:sz="4" w:space="0" w:color="auto"/>
              <w:right w:val="single" w:sz="4" w:space="0" w:color="auto"/>
            </w:tcBorders>
          </w:tcPr>
          <w:p w14:paraId="7861BB1C"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5854215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2E9131A0"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1329811F"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3A4B4C5E"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75BD7E46" w14:textId="77777777" w:rsidR="00497092" w:rsidRPr="00644F20" w:rsidRDefault="00497092">
            <w:pPr>
              <w:spacing w:after="60" w:line="240" w:lineRule="auto"/>
              <w:rPr>
                <w:rFonts w:ascii="Times New Roman" w:eastAsia="Calibri" w:hAnsi="Times New Roman" w:cs="Times New Roman"/>
                <w:lang w:val="sr-Cyrl-CS"/>
              </w:rPr>
            </w:pPr>
          </w:p>
        </w:tc>
      </w:tr>
    </w:tbl>
    <w:p w14:paraId="466E8D9A" w14:textId="77777777" w:rsidR="00497092" w:rsidRPr="00644F20" w:rsidRDefault="00497092">
      <w:pPr>
        <w:spacing w:after="240"/>
        <w:rPr>
          <w:rFonts w:ascii="Times New Roman" w:hAnsi="Times New Roman" w:cs="Times New Roman"/>
          <w:lang w:val="sr-Cyrl-CS"/>
        </w:rPr>
      </w:pPr>
    </w:p>
    <w:p w14:paraId="1A3B2A4F" w14:textId="77777777" w:rsidR="00220394" w:rsidRPr="00644F20" w:rsidRDefault="00220394">
      <w:pPr>
        <w:spacing w:after="240"/>
        <w:rPr>
          <w:rFonts w:ascii="Times New Roman" w:hAnsi="Times New Roman" w:cs="Times New Roman"/>
          <w:lang w:val="sr-Cyrl-CS"/>
        </w:rPr>
      </w:pPr>
    </w:p>
    <w:p w14:paraId="6AD2E413" w14:textId="77777777" w:rsidR="00220394" w:rsidRPr="00644F20" w:rsidRDefault="00220394">
      <w:pPr>
        <w:spacing w:after="240"/>
        <w:rPr>
          <w:rFonts w:ascii="Times New Roman" w:hAnsi="Times New Roman" w:cs="Times New Roman"/>
          <w:lang w:val="sr-Cyrl-CS"/>
        </w:rPr>
      </w:pPr>
    </w:p>
    <w:tbl>
      <w:tblPr>
        <w:tblStyle w:val="TableGrid1"/>
        <w:tblW w:w="13925" w:type="dxa"/>
        <w:tblInd w:w="10" w:type="dxa"/>
        <w:tblLayout w:type="fixed"/>
        <w:tblLook w:val="04A0" w:firstRow="1" w:lastRow="0" w:firstColumn="1" w:lastColumn="0" w:noHBand="0" w:noVBand="1"/>
      </w:tblPr>
      <w:tblGrid>
        <w:gridCol w:w="3219"/>
        <w:gridCol w:w="1475"/>
        <w:gridCol w:w="1376"/>
        <w:gridCol w:w="568"/>
        <w:gridCol w:w="1201"/>
        <w:gridCol w:w="1707"/>
        <w:gridCol w:w="1537"/>
        <w:gridCol w:w="1573"/>
        <w:gridCol w:w="1269"/>
      </w:tblGrid>
      <w:tr w:rsidR="00497092" w:rsidRPr="00644F20" w14:paraId="76650866" w14:textId="77777777" w:rsidTr="00691B7A">
        <w:trPr>
          <w:trHeight w:val="168"/>
        </w:trPr>
        <w:tc>
          <w:tcPr>
            <w:tcW w:w="1392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3784A2C4" w14:textId="77777777" w:rsidR="00497092" w:rsidRPr="00644F20" w:rsidRDefault="002F45E1">
            <w:pPr>
              <w:spacing w:after="60" w:line="240" w:lineRule="auto"/>
              <w:rPr>
                <w:rFonts w:ascii="Times New Roman" w:eastAsia="Calibri" w:hAnsi="Times New Roman" w:cs="Times New Roman"/>
                <w:b/>
                <w:lang w:val="sr-Cyrl-CS"/>
              </w:rPr>
            </w:pPr>
            <w:r w:rsidRPr="00644F20">
              <w:rPr>
                <w:rFonts w:ascii="Times New Roman" w:eastAsia="Calibri" w:hAnsi="Times New Roman" w:cs="Times New Roman"/>
                <w:b/>
                <w:lang w:val="sr-Cyrl-CS"/>
              </w:rPr>
              <w:lastRenderedPageBreak/>
              <w:t xml:space="preserve">Мера 4.3: Израда критеријума за </w:t>
            </w:r>
            <w:r w:rsidR="005D74AC" w:rsidRPr="00644F20">
              <w:rPr>
                <w:rFonts w:ascii="Times New Roman" w:eastAsia="Calibri" w:hAnsi="Times New Roman" w:cs="Times New Roman"/>
                <w:b/>
                <w:lang w:val="sr-Cyrl-CS"/>
              </w:rPr>
              <w:t>ЗеЈН</w:t>
            </w:r>
            <w:r w:rsidRPr="00644F20">
              <w:rPr>
                <w:rFonts w:ascii="Times New Roman" w:eastAsia="Calibri" w:hAnsi="Times New Roman" w:cs="Times New Roman"/>
                <w:b/>
                <w:lang w:val="sr-Cyrl-CS"/>
              </w:rPr>
              <w:t xml:space="preserve"> за одговарајуће групе добара, услуга и радова)</w:t>
            </w:r>
          </w:p>
        </w:tc>
      </w:tr>
      <w:tr w:rsidR="00497092" w:rsidRPr="00644F20" w14:paraId="2B65E30A" w14:textId="77777777" w:rsidTr="00691B7A">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D00310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p>
        </w:tc>
      </w:tr>
      <w:tr w:rsidR="00497092" w:rsidRPr="00644F20" w14:paraId="46AB8D8C" w14:textId="77777777" w:rsidTr="00691B7A">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EC3B60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Период спровођења: 2022 – 2024.</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52AD14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Тип мере: информативно-едукативна</w:t>
            </w:r>
          </w:p>
        </w:tc>
      </w:tr>
      <w:tr w:rsidR="00497092" w:rsidRPr="00644F20" w14:paraId="1F44DF41" w14:textId="77777777" w:rsidTr="00691B7A">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E621E4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Прописи које је потребно изменити/усвојити за спровођење мере:</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52FA11E"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03135B82" w14:textId="77777777" w:rsidTr="00691B7A">
        <w:trPr>
          <w:trHeight w:val="950"/>
        </w:trPr>
        <w:tc>
          <w:tcPr>
            <w:tcW w:w="321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03594E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Показатељ(и)  на нивоу мере </w:t>
            </w:r>
            <w:r w:rsidRPr="00644F20">
              <w:rPr>
                <w:rFonts w:ascii="Times New Roman" w:eastAsia="Calibri" w:hAnsi="Times New Roman" w:cs="Times New Roman"/>
                <w:i/>
                <w:lang w:val="sr-Cyrl-CS"/>
              </w:rPr>
              <w:t>(показатељ резултата)</w:t>
            </w:r>
          </w:p>
        </w:tc>
        <w:tc>
          <w:tcPr>
            <w:tcW w:w="1475"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29E6F6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Jединица мере</w:t>
            </w:r>
          </w:p>
          <w:p w14:paraId="6323DA0B" w14:textId="77777777" w:rsidR="00497092" w:rsidRPr="00644F20" w:rsidRDefault="00497092">
            <w:pPr>
              <w:spacing w:after="60" w:line="240" w:lineRule="auto"/>
              <w:rPr>
                <w:rFonts w:ascii="Times New Roman" w:eastAsia="Calibri" w:hAnsi="Times New Roman" w:cs="Times New Roman"/>
                <w:lang w:val="sr-Cyrl-CS"/>
              </w:rPr>
            </w:pPr>
          </w:p>
        </w:tc>
        <w:tc>
          <w:tcPr>
            <w:tcW w:w="13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170B0DC"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 провере</w:t>
            </w:r>
          </w:p>
        </w:tc>
        <w:tc>
          <w:tcPr>
            <w:tcW w:w="1769"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B3DD21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Почетна вредност </w:t>
            </w:r>
          </w:p>
        </w:tc>
        <w:tc>
          <w:tcPr>
            <w:tcW w:w="170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DB1CB6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Базна година</w:t>
            </w:r>
          </w:p>
        </w:tc>
        <w:tc>
          <w:tcPr>
            <w:tcW w:w="153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8D4B20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2022.</w:t>
            </w:r>
          </w:p>
        </w:tc>
        <w:tc>
          <w:tcPr>
            <w:tcW w:w="1573"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62BE128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2023.</w:t>
            </w:r>
          </w:p>
        </w:tc>
        <w:tc>
          <w:tcPr>
            <w:tcW w:w="126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30D8AA8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2024.</w:t>
            </w:r>
          </w:p>
        </w:tc>
      </w:tr>
      <w:tr w:rsidR="00497092" w:rsidRPr="00644F20" w14:paraId="456FCC29" w14:textId="77777777" w:rsidTr="00691B7A">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18AA48D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Укупан број израђених докумената за критеријуме за ЗеЈН за одговарајуће групе добара, услуга и радова</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57BA40C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Број </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1F549BE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Интернет страница МЗЖС и</w:t>
            </w:r>
          </w:p>
          <w:p w14:paraId="0BEE36A1"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КЈН</w:t>
            </w:r>
          </w:p>
          <w:p w14:paraId="4CB27110"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74A863F4"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0</w:t>
            </w:r>
          </w:p>
          <w:p w14:paraId="7B0F6C1E"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19B3AB12"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1CB681D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6</w:t>
            </w: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20A1018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10</w:t>
            </w:r>
          </w:p>
        </w:tc>
        <w:tc>
          <w:tcPr>
            <w:tcW w:w="1269" w:type="dxa"/>
            <w:tcBorders>
              <w:top w:val="double" w:sz="4" w:space="0" w:color="auto"/>
              <w:left w:val="single" w:sz="4" w:space="0" w:color="auto"/>
              <w:bottom w:val="double" w:sz="4" w:space="0" w:color="auto"/>
              <w:right w:val="double" w:sz="4" w:space="0" w:color="auto"/>
            </w:tcBorders>
            <w:shd w:val="clear" w:color="auto" w:fill="FFFFFF" w:themeFill="background1"/>
          </w:tcPr>
          <w:p w14:paraId="5BC5919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18 </w:t>
            </w:r>
          </w:p>
        </w:tc>
      </w:tr>
    </w:tbl>
    <w:p w14:paraId="6CF82D77" w14:textId="77777777" w:rsidR="00497092" w:rsidRPr="00644F20" w:rsidRDefault="00497092">
      <w:pPr>
        <w:rPr>
          <w:rFonts w:ascii="Times New Roman" w:hAnsi="Times New Roman" w:cs="Times New Roman"/>
          <w:lang w:val="sr-Cyrl-CS"/>
        </w:rPr>
      </w:pPr>
    </w:p>
    <w:tbl>
      <w:tblPr>
        <w:tblStyle w:val="TableGrid"/>
        <w:tblW w:w="13925" w:type="dxa"/>
        <w:tblInd w:w="10" w:type="dxa"/>
        <w:tblLayout w:type="fixed"/>
        <w:tblLook w:val="04A0" w:firstRow="1" w:lastRow="0" w:firstColumn="1" w:lastColumn="0" w:noHBand="0" w:noVBand="1"/>
      </w:tblPr>
      <w:tblGrid>
        <w:gridCol w:w="3665"/>
        <w:gridCol w:w="2778"/>
        <w:gridCol w:w="2869"/>
        <w:gridCol w:w="2543"/>
        <w:gridCol w:w="2070"/>
      </w:tblGrid>
      <w:tr w:rsidR="00497092" w:rsidRPr="00644F20" w14:paraId="4BB60B38" w14:textId="77777777" w:rsidTr="00691B7A">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07F50FA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5F65BF26"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5D62F3F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3836186F" w14:textId="77777777" w:rsidR="00497092" w:rsidRPr="00644F20" w:rsidRDefault="00497092">
            <w:pPr>
              <w:spacing w:after="60" w:line="240" w:lineRule="auto"/>
              <w:rPr>
                <w:rFonts w:ascii="Times New Roman" w:hAnsi="Times New Roman" w:cs="Times New Roman"/>
                <w:lang w:val="sr-Cyrl-CS"/>
              </w:rPr>
            </w:pPr>
          </w:p>
        </w:tc>
        <w:tc>
          <w:tcPr>
            <w:tcW w:w="748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541BA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70EB88FE" w14:textId="77777777" w:rsidTr="00691B7A">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21D9419B"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26B69E1E"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6DCB15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8BA17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07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6BECDD7"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1B56B5DD" w14:textId="77777777" w:rsidTr="00691B7A">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16F37AF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tcBorders>
              <w:top w:val="double" w:sz="4" w:space="0" w:color="auto"/>
              <w:left w:val="double" w:sz="4" w:space="0" w:color="auto"/>
              <w:bottom w:val="single" w:sz="4" w:space="0" w:color="auto"/>
              <w:right w:val="double" w:sz="4" w:space="0" w:color="auto"/>
            </w:tcBorders>
            <w:shd w:val="clear" w:color="auto" w:fill="FFFFFF" w:themeFill="background1"/>
          </w:tcPr>
          <w:p w14:paraId="15C08DBA"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1709DD0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70723CA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c>
          <w:tcPr>
            <w:tcW w:w="2070" w:type="dxa"/>
            <w:tcBorders>
              <w:top w:val="single" w:sz="4" w:space="0" w:color="auto"/>
              <w:left w:val="double" w:sz="4" w:space="0" w:color="auto"/>
              <w:bottom w:val="double" w:sz="4" w:space="0" w:color="auto"/>
              <w:right w:val="double" w:sz="4" w:space="0" w:color="auto"/>
            </w:tcBorders>
            <w:shd w:val="clear" w:color="auto" w:fill="FFFFFF" w:themeFill="background1"/>
          </w:tcPr>
          <w:p w14:paraId="698E837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983</w:t>
            </w:r>
          </w:p>
        </w:tc>
      </w:tr>
      <w:tr w:rsidR="00497092" w:rsidRPr="00644F20" w14:paraId="04786675" w14:textId="77777777" w:rsidTr="00691B7A">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88BB14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буџета/Редовна издвајања</w:t>
            </w:r>
          </w:p>
        </w:tc>
        <w:tc>
          <w:tcPr>
            <w:tcW w:w="2778" w:type="dxa"/>
            <w:tcBorders>
              <w:top w:val="single" w:sz="4" w:space="0" w:color="auto"/>
              <w:left w:val="double" w:sz="4" w:space="0" w:color="auto"/>
              <w:bottom w:val="double" w:sz="4" w:space="0" w:color="auto"/>
              <w:right w:val="double" w:sz="4" w:space="0" w:color="auto"/>
            </w:tcBorders>
            <w:shd w:val="clear" w:color="auto" w:fill="FFFFFF" w:themeFill="background1"/>
          </w:tcPr>
          <w:p w14:paraId="521BFFE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0404-0004</w:t>
            </w: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1734187B"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449BF3EF" w14:textId="77777777" w:rsidR="00497092" w:rsidRPr="00644F20" w:rsidRDefault="00497092">
            <w:pPr>
              <w:spacing w:after="60" w:line="240" w:lineRule="auto"/>
              <w:rPr>
                <w:rFonts w:ascii="Times New Roman" w:hAnsi="Times New Roman" w:cs="Times New Roman"/>
                <w:lang w:val="sr-Cyrl-CS"/>
              </w:rPr>
            </w:pPr>
          </w:p>
        </w:tc>
        <w:tc>
          <w:tcPr>
            <w:tcW w:w="2070" w:type="dxa"/>
            <w:tcBorders>
              <w:top w:val="single" w:sz="4" w:space="0" w:color="auto"/>
              <w:left w:val="double" w:sz="4" w:space="0" w:color="auto"/>
              <w:bottom w:val="double" w:sz="4" w:space="0" w:color="auto"/>
              <w:right w:val="double" w:sz="4" w:space="0" w:color="auto"/>
            </w:tcBorders>
            <w:shd w:val="clear" w:color="auto" w:fill="FFFFFF" w:themeFill="background1"/>
          </w:tcPr>
          <w:p w14:paraId="2DE9FC14" w14:textId="77777777" w:rsidR="00497092" w:rsidRPr="00644F20" w:rsidRDefault="00497092">
            <w:pPr>
              <w:spacing w:after="60" w:line="240" w:lineRule="auto"/>
              <w:rPr>
                <w:rFonts w:ascii="Times New Roman" w:hAnsi="Times New Roman" w:cs="Times New Roman"/>
                <w:lang w:val="sr-Cyrl-CS"/>
              </w:rPr>
            </w:pPr>
          </w:p>
        </w:tc>
      </w:tr>
    </w:tbl>
    <w:p w14:paraId="19FF4C28" w14:textId="77777777" w:rsidR="00497092" w:rsidRPr="00644F20" w:rsidRDefault="00497092">
      <w:pPr>
        <w:rPr>
          <w:rFonts w:ascii="Times New Roman" w:hAnsi="Times New Roman" w:cs="Times New Roman"/>
          <w:lang w:val="sr-Cyrl-CS"/>
        </w:rPr>
      </w:pPr>
    </w:p>
    <w:tbl>
      <w:tblPr>
        <w:tblStyle w:val="TableGrid3"/>
        <w:tblW w:w="4850" w:type="pct"/>
        <w:tblLook w:val="04A0" w:firstRow="1" w:lastRow="0" w:firstColumn="1" w:lastColumn="0" w:noHBand="0" w:noVBand="1"/>
      </w:tblPr>
      <w:tblGrid>
        <w:gridCol w:w="2308"/>
        <w:gridCol w:w="1160"/>
        <w:gridCol w:w="1339"/>
        <w:gridCol w:w="1278"/>
        <w:gridCol w:w="1490"/>
        <w:gridCol w:w="1453"/>
        <w:gridCol w:w="1135"/>
        <w:gridCol w:w="1257"/>
        <w:gridCol w:w="1132"/>
      </w:tblGrid>
      <w:tr w:rsidR="00497092" w:rsidRPr="00644F20" w14:paraId="06CB2656"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7219501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Назив активности:</w:t>
            </w:r>
          </w:p>
        </w:tc>
        <w:tc>
          <w:tcPr>
            <w:tcW w:w="458"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022F0C7"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677BDB8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5A1D710"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CC42E71"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D3696A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Веза са програмским буџетом</w:t>
            </w:r>
          </w:p>
          <w:p w14:paraId="023DF982" w14:textId="77777777" w:rsidR="00497092" w:rsidRPr="00644F20" w:rsidRDefault="00497092">
            <w:pPr>
              <w:spacing w:after="60" w:line="240" w:lineRule="auto"/>
              <w:jc w:val="center"/>
              <w:rPr>
                <w:rFonts w:ascii="Times New Roman" w:eastAsia="Calibri" w:hAnsi="Times New Roman" w:cs="Times New Roman"/>
                <w:lang w:val="sr-Cyrl-CS"/>
              </w:rPr>
            </w:pPr>
          </w:p>
        </w:tc>
        <w:tc>
          <w:tcPr>
            <w:tcW w:w="1530"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E99A13B"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Укупна процењена финансијска средства по изворима у 000 дин.</w:t>
            </w:r>
          </w:p>
        </w:tc>
      </w:tr>
      <w:tr w:rsidR="00497092" w:rsidRPr="00644F20" w14:paraId="405345F3"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3A8A69D0"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B0A2FB8"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0D599E9"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D7E410F"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F92A5E2"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7F28E62" w14:textId="77777777" w:rsidR="00497092" w:rsidRPr="00644F20" w:rsidRDefault="00497092">
            <w:pPr>
              <w:spacing w:after="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F4CF511"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54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627CDB"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5CC08A"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r>
      <w:tr w:rsidR="00497092" w:rsidRPr="00644F20" w14:paraId="55604305"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55AF509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4.3.1. Преузимање и прилагођавање ЕУ критеријума за </w:t>
            </w:r>
            <w:r w:rsidR="005D74AC" w:rsidRPr="00644F20">
              <w:rPr>
                <w:rFonts w:ascii="Times New Roman" w:eastAsia="Calibri" w:hAnsi="Times New Roman" w:cs="Times New Roman"/>
                <w:lang w:val="sr-Cyrl-CS"/>
              </w:rPr>
              <w:t>ЗеЈН</w:t>
            </w:r>
            <w:r w:rsidRPr="00644F20">
              <w:rPr>
                <w:rFonts w:ascii="Times New Roman" w:eastAsia="Calibri" w:hAnsi="Times New Roman" w:cs="Times New Roman"/>
                <w:lang w:val="sr-Cyrl-CS"/>
              </w:rPr>
              <w:t xml:space="preserve"> за одабране групе </w:t>
            </w:r>
            <w:r w:rsidRPr="00644F20">
              <w:rPr>
                <w:rFonts w:ascii="Times New Roman" w:eastAsia="Calibri" w:hAnsi="Times New Roman" w:cs="Times New Roman"/>
                <w:lang w:val="sr-Cyrl-CS"/>
              </w:rPr>
              <w:lastRenderedPageBreak/>
              <w:t xml:space="preserve">добара, услуга и радова </w:t>
            </w:r>
          </w:p>
        </w:tc>
        <w:tc>
          <w:tcPr>
            <w:tcW w:w="458" w:type="pct"/>
            <w:tcBorders>
              <w:top w:val="single" w:sz="4" w:space="0" w:color="auto"/>
              <w:left w:val="single" w:sz="4" w:space="0" w:color="auto"/>
              <w:bottom w:val="single" w:sz="4" w:space="0" w:color="auto"/>
              <w:right w:val="single" w:sz="4" w:space="0" w:color="auto"/>
            </w:tcBorders>
          </w:tcPr>
          <w:p w14:paraId="41B4B95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lastRenderedPageBreak/>
              <w:t>МЗЖС</w:t>
            </w:r>
          </w:p>
        </w:tc>
        <w:tc>
          <w:tcPr>
            <w:tcW w:w="496" w:type="pct"/>
            <w:tcBorders>
              <w:top w:val="single" w:sz="4" w:space="0" w:color="auto"/>
              <w:left w:val="single" w:sz="4" w:space="0" w:color="auto"/>
              <w:bottom w:val="single" w:sz="4" w:space="0" w:color="auto"/>
              <w:right w:val="single" w:sz="4" w:space="0" w:color="auto"/>
            </w:tcBorders>
          </w:tcPr>
          <w:p w14:paraId="4D36B5F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КЈН</w:t>
            </w:r>
          </w:p>
          <w:p w14:paraId="46F0890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НАЛЕД ОЦД</w:t>
            </w:r>
          </w:p>
          <w:p w14:paraId="14C5640E" w14:textId="77777777" w:rsidR="00497092" w:rsidRPr="00644F20" w:rsidRDefault="00497092">
            <w:pPr>
              <w:spacing w:after="60" w:line="240" w:lineRule="auto"/>
              <w:rPr>
                <w:rFonts w:ascii="Times New Roman" w:eastAsia="Calibri" w:hAnsi="Times New Roman" w:cs="Times New Roman"/>
                <w:lang w:val="sr-Cyrl-CS"/>
              </w:rPr>
            </w:pPr>
          </w:p>
        </w:tc>
        <w:tc>
          <w:tcPr>
            <w:tcW w:w="464" w:type="pct"/>
            <w:tcBorders>
              <w:top w:val="single" w:sz="4" w:space="0" w:color="auto"/>
              <w:left w:val="single" w:sz="4" w:space="0" w:color="auto"/>
              <w:bottom w:val="single" w:sz="4" w:space="0" w:color="auto"/>
              <w:right w:val="single" w:sz="4" w:space="0" w:color="auto"/>
            </w:tcBorders>
          </w:tcPr>
          <w:p w14:paraId="739C1B6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46D3AEE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41E9E38E"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44CBA04B"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52D131B1"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3E6C21FA"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260A8BA6"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68F7F06E"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4.3.2. Представљање  објављених критеријумима за ЗеЈН заинтересованим странама</w:t>
            </w:r>
          </w:p>
        </w:tc>
        <w:tc>
          <w:tcPr>
            <w:tcW w:w="458" w:type="pct"/>
            <w:tcBorders>
              <w:top w:val="single" w:sz="4" w:space="0" w:color="auto"/>
              <w:left w:val="single" w:sz="4" w:space="0" w:color="auto"/>
              <w:bottom w:val="single" w:sz="4" w:space="0" w:color="auto"/>
              <w:right w:val="single" w:sz="4" w:space="0" w:color="auto"/>
            </w:tcBorders>
          </w:tcPr>
          <w:p w14:paraId="0ACF8F1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57B14B1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КЈН</w:t>
            </w:r>
          </w:p>
          <w:p w14:paraId="479B3E4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p w14:paraId="29B0D9C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НАЛЕД ОЦД </w:t>
            </w:r>
          </w:p>
          <w:p w14:paraId="009E57D2" w14:textId="77777777" w:rsidR="00497092" w:rsidRPr="00644F20" w:rsidRDefault="00497092">
            <w:pPr>
              <w:spacing w:after="60" w:line="240" w:lineRule="auto"/>
              <w:rPr>
                <w:rFonts w:ascii="Times New Roman" w:eastAsia="Calibri" w:hAnsi="Times New Roman" w:cs="Times New Roman"/>
                <w:lang w:val="sr-Cyrl-CS"/>
              </w:rPr>
            </w:pPr>
          </w:p>
        </w:tc>
        <w:tc>
          <w:tcPr>
            <w:tcW w:w="464" w:type="pct"/>
            <w:tcBorders>
              <w:top w:val="single" w:sz="4" w:space="0" w:color="auto"/>
              <w:left w:val="single" w:sz="4" w:space="0" w:color="auto"/>
              <w:bottom w:val="single" w:sz="4" w:space="0" w:color="auto"/>
              <w:right w:val="single" w:sz="4" w:space="0" w:color="auto"/>
            </w:tcBorders>
          </w:tcPr>
          <w:p w14:paraId="559BC83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545BBC6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5E583826"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796EFD7E"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31FFB5FF"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39F5CEC7" w14:textId="77777777" w:rsidR="00497092" w:rsidRPr="00644F20" w:rsidRDefault="00497092">
            <w:pPr>
              <w:spacing w:after="60" w:line="240" w:lineRule="auto"/>
              <w:rPr>
                <w:rFonts w:ascii="Times New Roman" w:eastAsia="Calibri" w:hAnsi="Times New Roman" w:cs="Times New Roman"/>
                <w:lang w:val="sr-Cyrl-CS"/>
              </w:rPr>
            </w:pPr>
          </w:p>
        </w:tc>
      </w:tr>
    </w:tbl>
    <w:p w14:paraId="7D9C3398" w14:textId="77777777" w:rsidR="00497092" w:rsidRPr="00644F20" w:rsidRDefault="00497092">
      <w:pPr>
        <w:spacing w:after="240"/>
        <w:rPr>
          <w:rFonts w:ascii="Times New Roman" w:hAnsi="Times New Roman" w:cs="Times New Roman"/>
          <w:lang w:val="sr-Cyrl-CS"/>
        </w:rPr>
      </w:pPr>
    </w:p>
    <w:tbl>
      <w:tblPr>
        <w:tblStyle w:val="TableGrid6"/>
        <w:tblW w:w="13925" w:type="dxa"/>
        <w:tblInd w:w="10" w:type="dxa"/>
        <w:tblLayout w:type="fixed"/>
        <w:tblLook w:val="04A0" w:firstRow="1" w:lastRow="0" w:firstColumn="1" w:lastColumn="0" w:noHBand="0" w:noVBand="1"/>
      </w:tblPr>
      <w:tblGrid>
        <w:gridCol w:w="3219"/>
        <w:gridCol w:w="1475"/>
        <w:gridCol w:w="1376"/>
        <w:gridCol w:w="568"/>
        <w:gridCol w:w="1201"/>
        <w:gridCol w:w="1707"/>
        <w:gridCol w:w="1537"/>
        <w:gridCol w:w="1650"/>
        <w:gridCol w:w="1192"/>
      </w:tblGrid>
      <w:tr w:rsidR="00497092" w:rsidRPr="00644F20" w14:paraId="46EE2004" w14:textId="77777777" w:rsidTr="009F738C">
        <w:trPr>
          <w:trHeight w:val="168"/>
        </w:trPr>
        <w:tc>
          <w:tcPr>
            <w:tcW w:w="1392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6C745BAE" w14:textId="77777777" w:rsidR="00497092" w:rsidRPr="00644F20" w:rsidRDefault="002F45E1">
            <w:pPr>
              <w:spacing w:after="60" w:line="240" w:lineRule="auto"/>
              <w:rPr>
                <w:rFonts w:ascii="Times New Roman" w:eastAsia="Calibri" w:hAnsi="Times New Roman" w:cs="Times New Roman"/>
                <w:b/>
                <w:lang w:val="sr-Cyrl-CS"/>
              </w:rPr>
            </w:pPr>
            <w:r w:rsidRPr="00644F20">
              <w:rPr>
                <w:rFonts w:ascii="Times New Roman" w:eastAsia="Calibri" w:hAnsi="Times New Roman" w:cs="Times New Roman"/>
                <w:b/>
                <w:lang w:val="sr-Cyrl-CS"/>
              </w:rPr>
              <w:t xml:space="preserve">Мера 4.4: Унапређење прописа из области ЕMAS и Еко знака </w:t>
            </w:r>
          </w:p>
        </w:tc>
      </w:tr>
      <w:tr w:rsidR="00497092" w:rsidRPr="00644F20" w14:paraId="4C817778" w14:textId="77777777" w:rsidTr="009F738C">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84F126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p>
        </w:tc>
      </w:tr>
      <w:tr w:rsidR="00497092" w:rsidRPr="00644F20" w14:paraId="30FC2380" w14:textId="77777777" w:rsidTr="009F738C">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DD11B1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Период спровођења: 2022 – 2024.</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A0871A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Тип мере: регулаторна </w:t>
            </w:r>
          </w:p>
        </w:tc>
      </w:tr>
      <w:tr w:rsidR="00497092" w:rsidRPr="00644F20" w14:paraId="7631C630" w14:textId="77777777" w:rsidTr="009F738C">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3EAC2A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Прописи које је потребно изменити/усвојити за спровођење мере:</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039B89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Правилник о висини трошкова доделе права</w:t>
            </w:r>
            <w:r w:rsidR="00691B7A" w:rsidRPr="00644F20">
              <w:rPr>
                <w:rFonts w:ascii="Times New Roman" w:eastAsia="Calibri" w:hAnsi="Times New Roman" w:cs="Times New Roman"/>
                <w:lang w:val="sr-Cyrl-CS"/>
              </w:rPr>
              <w:t xml:space="preserve"> на коришћење еколошког знака (,,Службени гласник РС”, број 81/</w:t>
            </w:r>
            <w:r w:rsidRPr="00644F20">
              <w:rPr>
                <w:rFonts w:ascii="Times New Roman" w:eastAsia="Calibri" w:hAnsi="Times New Roman" w:cs="Times New Roman"/>
                <w:lang w:val="sr-Cyrl-CS"/>
              </w:rPr>
              <w:t>10)</w:t>
            </w:r>
          </w:p>
          <w:p w14:paraId="716B365E"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Правилник о ближим условима, критеријумима и поступку за добијање права на коришћење еколошког знака, елементима, изгледу и начину употребе еколошко</w:t>
            </w:r>
            <w:r w:rsidR="00691B7A" w:rsidRPr="00644F20">
              <w:rPr>
                <w:rFonts w:ascii="Times New Roman" w:eastAsia="Calibri" w:hAnsi="Times New Roman" w:cs="Times New Roman"/>
                <w:lang w:val="sr-Cyrl-CS"/>
              </w:rPr>
              <w:t xml:space="preserve">г знака за производе и услуге </w:t>
            </w:r>
          </w:p>
          <w:p w14:paraId="3911B94C" w14:textId="77777777" w:rsidR="00497092" w:rsidRPr="00644F20" w:rsidRDefault="00691B7A">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ЕMAS п</w:t>
            </w:r>
            <w:r w:rsidR="002F45E1" w:rsidRPr="00644F20">
              <w:rPr>
                <w:rFonts w:ascii="Times New Roman" w:eastAsia="Calibri" w:hAnsi="Times New Roman" w:cs="Times New Roman"/>
                <w:lang w:val="sr-Cyrl-CS"/>
              </w:rPr>
              <w:t>равилник (основа за усвајање члан 44, став 9 Закона о заштити животне средине)</w:t>
            </w:r>
          </w:p>
          <w:p w14:paraId="77FE69E7"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Закон о републичким административним таксама </w:t>
            </w:r>
          </w:p>
        </w:tc>
      </w:tr>
      <w:tr w:rsidR="00497092" w:rsidRPr="00644F20" w14:paraId="47F16B0B" w14:textId="77777777" w:rsidTr="009F738C">
        <w:trPr>
          <w:trHeight w:val="950"/>
        </w:trPr>
        <w:tc>
          <w:tcPr>
            <w:tcW w:w="321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E8D28A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Показатељ(и)  на нивоу мере </w:t>
            </w:r>
            <w:r w:rsidRPr="00644F20">
              <w:rPr>
                <w:rFonts w:ascii="Times New Roman" w:eastAsia="Calibri" w:hAnsi="Times New Roman" w:cs="Times New Roman"/>
                <w:i/>
                <w:lang w:val="sr-Cyrl-CS"/>
              </w:rPr>
              <w:t>(показатељ резултата)</w:t>
            </w:r>
          </w:p>
        </w:tc>
        <w:tc>
          <w:tcPr>
            <w:tcW w:w="1475"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85C98CE"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Jединица мере</w:t>
            </w:r>
          </w:p>
          <w:p w14:paraId="535EFB77" w14:textId="77777777" w:rsidR="00497092" w:rsidRPr="00644F20" w:rsidRDefault="00497092">
            <w:pPr>
              <w:spacing w:after="60" w:line="240" w:lineRule="auto"/>
              <w:rPr>
                <w:rFonts w:ascii="Times New Roman" w:eastAsia="Calibri" w:hAnsi="Times New Roman" w:cs="Times New Roman"/>
                <w:lang w:val="sr-Cyrl-CS"/>
              </w:rPr>
            </w:pPr>
          </w:p>
        </w:tc>
        <w:tc>
          <w:tcPr>
            <w:tcW w:w="13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DE1DBE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 провере</w:t>
            </w:r>
          </w:p>
        </w:tc>
        <w:tc>
          <w:tcPr>
            <w:tcW w:w="1769"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CBDCDF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Почетна вредност </w:t>
            </w:r>
          </w:p>
        </w:tc>
        <w:tc>
          <w:tcPr>
            <w:tcW w:w="170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893344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Базна година</w:t>
            </w:r>
          </w:p>
        </w:tc>
        <w:tc>
          <w:tcPr>
            <w:tcW w:w="153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2486BF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2022.</w:t>
            </w:r>
          </w:p>
        </w:tc>
        <w:tc>
          <w:tcPr>
            <w:tcW w:w="1650"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6F61DD9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2023.</w:t>
            </w:r>
          </w:p>
        </w:tc>
        <w:tc>
          <w:tcPr>
            <w:tcW w:w="1192"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187E7F9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2024.</w:t>
            </w:r>
          </w:p>
        </w:tc>
      </w:tr>
      <w:tr w:rsidR="00497092" w:rsidRPr="00644F20" w14:paraId="4278134A" w14:textId="77777777" w:rsidTr="009F738C">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13A45EC3"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Израђена анализа са предлозима мера за даља унапређења подстицања примене постојећих и могућности увођења додатних добровољних инструмената</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23D4298C"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Да/Не</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1D4A9702"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Извештај МЗЖС</w:t>
            </w: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518FF594"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Не</w:t>
            </w: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1ACCFE0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2021. </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453AA637"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650" w:type="dxa"/>
            <w:tcBorders>
              <w:top w:val="double" w:sz="4" w:space="0" w:color="auto"/>
              <w:left w:val="single" w:sz="4" w:space="0" w:color="auto"/>
              <w:bottom w:val="double" w:sz="4" w:space="0" w:color="auto"/>
              <w:right w:val="double" w:sz="4" w:space="0" w:color="auto"/>
            </w:tcBorders>
            <w:shd w:val="clear" w:color="auto" w:fill="FFFFFF" w:themeFill="background1"/>
          </w:tcPr>
          <w:p w14:paraId="76076AFD"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w:t>
            </w:r>
          </w:p>
        </w:tc>
        <w:tc>
          <w:tcPr>
            <w:tcW w:w="1192" w:type="dxa"/>
            <w:tcBorders>
              <w:top w:val="double" w:sz="4" w:space="0" w:color="auto"/>
              <w:left w:val="single" w:sz="4" w:space="0" w:color="auto"/>
              <w:bottom w:val="double" w:sz="4" w:space="0" w:color="auto"/>
              <w:right w:val="double" w:sz="4" w:space="0" w:color="auto"/>
            </w:tcBorders>
            <w:shd w:val="clear" w:color="auto" w:fill="FFFFFF" w:themeFill="background1"/>
          </w:tcPr>
          <w:p w14:paraId="15A0520A"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r>
      <w:tr w:rsidR="00497092" w:rsidRPr="00644F20" w14:paraId="78EA5027" w14:textId="77777777" w:rsidTr="009F738C">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1388C691"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Објављен ЕMAS Правилник</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01366380"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Да/Не</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1E93C92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Службени гласник </w:t>
            </w:r>
            <w:r w:rsidR="00220394" w:rsidRPr="00644F20">
              <w:rPr>
                <w:rFonts w:ascii="Times New Roman" w:eastAsia="Calibri" w:hAnsi="Times New Roman" w:cs="Times New Roman"/>
                <w:lang w:val="sr-Cyrl-CS"/>
              </w:rPr>
              <w:lastRenderedPageBreak/>
              <w:t>Републике Србије</w:t>
            </w: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26993BC8"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lastRenderedPageBreak/>
              <w:t>Не</w:t>
            </w: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5F973FBC"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2021. </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4874E9D9"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650" w:type="dxa"/>
            <w:tcBorders>
              <w:top w:val="double" w:sz="4" w:space="0" w:color="auto"/>
              <w:left w:val="single" w:sz="4" w:space="0" w:color="auto"/>
              <w:bottom w:val="double" w:sz="4" w:space="0" w:color="auto"/>
              <w:right w:val="double" w:sz="4" w:space="0" w:color="auto"/>
            </w:tcBorders>
            <w:shd w:val="clear" w:color="auto" w:fill="FFFFFF" w:themeFill="background1"/>
          </w:tcPr>
          <w:p w14:paraId="483C0432"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w:t>
            </w:r>
          </w:p>
        </w:tc>
        <w:tc>
          <w:tcPr>
            <w:tcW w:w="1192" w:type="dxa"/>
            <w:tcBorders>
              <w:top w:val="double" w:sz="4" w:space="0" w:color="auto"/>
              <w:left w:val="single" w:sz="4" w:space="0" w:color="auto"/>
              <w:bottom w:val="double" w:sz="4" w:space="0" w:color="auto"/>
              <w:right w:val="double" w:sz="4" w:space="0" w:color="auto"/>
            </w:tcBorders>
            <w:shd w:val="clear" w:color="auto" w:fill="FFFFFF" w:themeFill="background1"/>
          </w:tcPr>
          <w:p w14:paraId="4179CE40"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r>
      <w:tr w:rsidR="00497092" w:rsidRPr="00644F20" w14:paraId="64EB4275" w14:textId="77777777" w:rsidTr="009F738C">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5011DF61"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Објављен ревидиран Правилник о Еко знаку</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58B365C7"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Да/Не</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75545F74"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Службени Гласник </w:t>
            </w:r>
            <w:r w:rsidR="00220394" w:rsidRPr="00644F20">
              <w:rPr>
                <w:rFonts w:ascii="Times New Roman" w:eastAsia="Calibri" w:hAnsi="Times New Roman" w:cs="Times New Roman"/>
                <w:lang w:val="sr-Cyrl-CS"/>
              </w:rPr>
              <w:t>Републике Србије</w:t>
            </w: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40DECF04"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Не</w:t>
            </w: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3EB89941"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2021. </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4ADC336C"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650" w:type="dxa"/>
            <w:tcBorders>
              <w:top w:val="double" w:sz="4" w:space="0" w:color="auto"/>
              <w:left w:val="single" w:sz="4" w:space="0" w:color="auto"/>
              <w:bottom w:val="double" w:sz="4" w:space="0" w:color="auto"/>
              <w:right w:val="double" w:sz="4" w:space="0" w:color="auto"/>
            </w:tcBorders>
            <w:shd w:val="clear" w:color="auto" w:fill="FFFFFF" w:themeFill="background1"/>
          </w:tcPr>
          <w:p w14:paraId="7CAD83C8"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Да</w:t>
            </w:r>
          </w:p>
        </w:tc>
        <w:tc>
          <w:tcPr>
            <w:tcW w:w="1192" w:type="dxa"/>
            <w:tcBorders>
              <w:top w:val="double" w:sz="4" w:space="0" w:color="auto"/>
              <w:left w:val="single" w:sz="4" w:space="0" w:color="auto"/>
              <w:bottom w:val="double" w:sz="4" w:space="0" w:color="auto"/>
              <w:right w:val="double" w:sz="4" w:space="0" w:color="auto"/>
            </w:tcBorders>
            <w:shd w:val="clear" w:color="auto" w:fill="FFFFFF" w:themeFill="background1"/>
          </w:tcPr>
          <w:p w14:paraId="27A58FC9"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p w14:paraId="1589DCE0"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r>
    </w:tbl>
    <w:p w14:paraId="30616E7A" w14:textId="77777777" w:rsidR="00497092" w:rsidRPr="00644F20" w:rsidRDefault="00497092">
      <w:pPr>
        <w:rPr>
          <w:rFonts w:ascii="Times New Roman" w:hAnsi="Times New Roman" w:cs="Times New Roman"/>
          <w:lang w:val="sr-Cyrl-CS"/>
        </w:rPr>
      </w:pPr>
    </w:p>
    <w:tbl>
      <w:tblPr>
        <w:tblStyle w:val="TableGrid"/>
        <w:tblW w:w="13911" w:type="dxa"/>
        <w:tblInd w:w="10" w:type="dxa"/>
        <w:tblLayout w:type="fixed"/>
        <w:tblLook w:val="04A0" w:firstRow="1" w:lastRow="0" w:firstColumn="1" w:lastColumn="0" w:noHBand="0" w:noVBand="1"/>
      </w:tblPr>
      <w:tblGrid>
        <w:gridCol w:w="3537"/>
        <w:gridCol w:w="2681"/>
        <w:gridCol w:w="2768"/>
        <w:gridCol w:w="2454"/>
        <w:gridCol w:w="2471"/>
      </w:tblGrid>
      <w:tr w:rsidR="00497092" w:rsidRPr="00644F20" w14:paraId="73B23237" w14:textId="77777777" w:rsidTr="009F738C">
        <w:trPr>
          <w:trHeight w:val="272"/>
        </w:trPr>
        <w:tc>
          <w:tcPr>
            <w:tcW w:w="3537"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24D80E5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0FAB1F83" w14:textId="77777777" w:rsidR="00497092" w:rsidRPr="00644F20" w:rsidRDefault="00497092">
            <w:pPr>
              <w:spacing w:after="60" w:line="240" w:lineRule="auto"/>
              <w:rPr>
                <w:rFonts w:ascii="Times New Roman" w:hAnsi="Times New Roman" w:cs="Times New Roman"/>
                <w:lang w:val="sr-Cyrl-CS"/>
              </w:rPr>
            </w:pPr>
          </w:p>
        </w:tc>
        <w:tc>
          <w:tcPr>
            <w:tcW w:w="2681" w:type="dxa"/>
            <w:vMerge w:val="restart"/>
            <w:tcBorders>
              <w:top w:val="single" w:sz="4" w:space="0" w:color="auto"/>
              <w:left w:val="double" w:sz="4" w:space="0" w:color="auto"/>
              <w:bottom w:val="double" w:sz="4" w:space="0" w:color="auto"/>
              <w:right w:val="double" w:sz="4" w:space="0" w:color="auto"/>
            </w:tcBorders>
            <w:shd w:val="clear" w:color="auto" w:fill="A8D08D" w:themeFill="accent6" w:themeFillTint="99"/>
          </w:tcPr>
          <w:p w14:paraId="32E49A6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0703B1D8" w14:textId="77777777" w:rsidR="00497092" w:rsidRPr="00644F20" w:rsidRDefault="00497092">
            <w:pPr>
              <w:spacing w:after="60" w:line="240" w:lineRule="auto"/>
              <w:rPr>
                <w:rFonts w:ascii="Times New Roman" w:hAnsi="Times New Roman" w:cs="Times New Roman"/>
                <w:lang w:val="sr-Cyrl-CS"/>
              </w:rPr>
            </w:pPr>
          </w:p>
        </w:tc>
        <w:tc>
          <w:tcPr>
            <w:tcW w:w="7693"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3CA51D5"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05611E75" w14:textId="77777777" w:rsidTr="009F738C">
        <w:trPr>
          <w:trHeight w:val="272"/>
        </w:trPr>
        <w:tc>
          <w:tcPr>
            <w:tcW w:w="3537" w:type="dxa"/>
            <w:vMerge/>
            <w:tcBorders>
              <w:top w:val="single" w:sz="4" w:space="0" w:color="auto"/>
              <w:left w:val="double" w:sz="4" w:space="0" w:color="auto"/>
              <w:bottom w:val="single" w:sz="4" w:space="0" w:color="auto"/>
              <w:right w:val="double" w:sz="4" w:space="0" w:color="auto"/>
            </w:tcBorders>
            <w:vAlign w:val="center"/>
          </w:tcPr>
          <w:p w14:paraId="163D6005" w14:textId="77777777" w:rsidR="00497092" w:rsidRPr="00644F20" w:rsidRDefault="00497092">
            <w:pPr>
              <w:spacing w:after="0" w:line="240" w:lineRule="auto"/>
              <w:rPr>
                <w:rFonts w:ascii="Times New Roman" w:hAnsi="Times New Roman" w:cs="Times New Roman"/>
                <w:lang w:val="sr-Cyrl-CS"/>
              </w:rPr>
            </w:pPr>
          </w:p>
        </w:tc>
        <w:tc>
          <w:tcPr>
            <w:tcW w:w="2681" w:type="dxa"/>
            <w:vMerge/>
            <w:tcBorders>
              <w:top w:val="single" w:sz="4" w:space="0" w:color="auto"/>
              <w:left w:val="double" w:sz="4" w:space="0" w:color="auto"/>
              <w:bottom w:val="double" w:sz="4" w:space="0" w:color="auto"/>
              <w:right w:val="double" w:sz="4" w:space="0" w:color="auto"/>
            </w:tcBorders>
            <w:vAlign w:val="center"/>
          </w:tcPr>
          <w:p w14:paraId="4B9952FE" w14:textId="77777777" w:rsidR="00497092" w:rsidRPr="00644F20" w:rsidRDefault="00497092">
            <w:pPr>
              <w:spacing w:after="0" w:line="240" w:lineRule="auto"/>
              <w:rPr>
                <w:rFonts w:ascii="Times New Roman" w:hAnsi="Times New Roman" w:cs="Times New Roman"/>
                <w:lang w:val="sr-Cyrl-CS"/>
              </w:rPr>
            </w:pPr>
          </w:p>
        </w:tc>
        <w:tc>
          <w:tcPr>
            <w:tcW w:w="276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411B66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4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690AA3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47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DE334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609D91C7" w14:textId="77777777" w:rsidTr="009F738C">
        <w:trPr>
          <w:trHeight w:val="62"/>
        </w:trPr>
        <w:tc>
          <w:tcPr>
            <w:tcW w:w="3537" w:type="dxa"/>
            <w:tcBorders>
              <w:top w:val="double" w:sz="4" w:space="0" w:color="auto"/>
              <w:left w:val="double" w:sz="4" w:space="0" w:color="auto"/>
              <w:bottom w:val="double" w:sz="4" w:space="0" w:color="auto"/>
              <w:right w:val="double" w:sz="4" w:space="0" w:color="auto"/>
            </w:tcBorders>
            <w:shd w:val="clear" w:color="auto" w:fill="FFFFFF" w:themeFill="background1"/>
          </w:tcPr>
          <w:p w14:paraId="79DA19CF" w14:textId="77777777" w:rsidR="00497092" w:rsidRPr="00644F20" w:rsidRDefault="002F45E1" w:rsidP="00220394">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01 – Приходи из буџета - Смањење угљеничног отиска локалних заједница применом принципа </w:t>
            </w:r>
            <w:r w:rsidR="00220394" w:rsidRPr="00644F20">
              <w:rPr>
                <w:rFonts w:ascii="Times New Roman" w:hAnsi="Times New Roman" w:cs="Times New Roman"/>
                <w:lang w:val="sr-Cyrl-CS"/>
              </w:rPr>
              <w:t>ЦЕ у Републици Србији</w:t>
            </w:r>
          </w:p>
        </w:tc>
        <w:tc>
          <w:tcPr>
            <w:tcW w:w="2681" w:type="dxa"/>
            <w:tcBorders>
              <w:top w:val="double" w:sz="4" w:space="0" w:color="auto"/>
              <w:left w:val="double" w:sz="4" w:space="0" w:color="auto"/>
              <w:bottom w:val="double" w:sz="4" w:space="0" w:color="auto"/>
              <w:right w:val="double" w:sz="4" w:space="0" w:color="auto"/>
            </w:tcBorders>
            <w:shd w:val="clear" w:color="auto" w:fill="FFFFFF" w:themeFill="background1"/>
          </w:tcPr>
          <w:p w14:paraId="3F1D19F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0405-4011</w:t>
            </w:r>
          </w:p>
        </w:tc>
        <w:tc>
          <w:tcPr>
            <w:tcW w:w="2768" w:type="dxa"/>
            <w:tcBorders>
              <w:top w:val="single" w:sz="4" w:space="0" w:color="auto"/>
              <w:left w:val="double" w:sz="4" w:space="0" w:color="auto"/>
              <w:bottom w:val="double" w:sz="4" w:space="0" w:color="auto"/>
              <w:right w:val="double" w:sz="4" w:space="0" w:color="auto"/>
            </w:tcBorders>
            <w:shd w:val="clear" w:color="auto" w:fill="FFFFFF" w:themeFill="background1"/>
          </w:tcPr>
          <w:p w14:paraId="5A7973F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300</w:t>
            </w:r>
          </w:p>
        </w:tc>
        <w:tc>
          <w:tcPr>
            <w:tcW w:w="2454" w:type="dxa"/>
            <w:tcBorders>
              <w:top w:val="single" w:sz="4" w:space="0" w:color="auto"/>
              <w:left w:val="double" w:sz="4" w:space="0" w:color="auto"/>
              <w:bottom w:val="double" w:sz="4" w:space="0" w:color="auto"/>
              <w:right w:val="double" w:sz="4" w:space="0" w:color="auto"/>
            </w:tcBorders>
            <w:shd w:val="clear" w:color="auto" w:fill="FFFFFF" w:themeFill="background1"/>
          </w:tcPr>
          <w:p w14:paraId="0061B747" w14:textId="77777777" w:rsidR="00497092" w:rsidRPr="00644F20" w:rsidRDefault="00497092">
            <w:pPr>
              <w:spacing w:after="60" w:line="240" w:lineRule="auto"/>
              <w:rPr>
                <w:rFonts w:ascii="Times New Roman" w:hAnsi="Times New Roman" w:cs="Times New Roman"/>
                <w:lang w:val="sr-Cyrl-CS"/>
              </w:rPr>
            </w:pPr>
          </w:p>
        </w:tc>
        <w:tc>
          <w:tcPr>
            <w:tcW w:w="2470" w:type="dxa"/>
            <w:tcBorders>
              <w:top w:val="single" w:sz="4" w:space="0" w:color="auto"/>
              <w:left w:val="double" w:sz="4" w:space="0" w:color="auto"/>
              <w:bottom w:val="double" w:sz="4" w:space="0" w:color="auto"/>
              <w:right w:val="double" w:sz="4" w:space="0" w:color="auto"/>
            </w:tcBorders>
            <w:shd w:val="clear" w:color="auto" w:fill="FFFFFF" w:themeFill="background1"/>
          </w:tcPr>
          <w:p w14:paraId="3FC0C049"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3324C88F" w14:textId="77777777" w:rsidTr="009F738C">
        <w:trPr>
          <w:trHeight w:val="96"/>
        </w:trPr>
        <w:tc>
          <w:tcPr>
            <w:tcW w:w="3537" w:type="dxa"/>
            <w:tcBorders>
              <w:top w:val="double" w:sz="4" w:space="0" w:color="auto"/>
              <w:left w:val="double" w:sz="4" w:space="0" w:color="auto"/>
              <w:bottom w:val="double" w:sz="4" w:space="0" w:color="auto"/>
              <w:right w:val="double" w:sz="4" w:space="0" w:color="auto"/>
            </w:tcBorders>
            <w:shd w:val="clear" w:color="auto" w:fill="FFFFFF" w:themeFill="background1"/>
          </w:tcPr>
          <w:p w14:paraId="17EE5EA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буџета/Редовна издвајања</w:t>
            </w:r>
          </w:p>
        </w:tc>
        <w:tc>
          <w:tcPr>
            <w:tcW w:w="2681" w:type="dxa"/>
            <w:tcBorders>
              <w:top w:val="double" w:sz="4" w:space="0" w:color="auto"/>
              <w:left w:val="double" w:sz="4" w:space="0" w:color="auto"/>
              <w:bottom w:val="double" w:sz="4" w:space="0" w:color="auto"/>
              <w:right w:val="double" w:sz="4" w:space="0" w:color="auto"/>
            </w:tcBorders>
            <w:shd w:val="clear" w:color="auto" w:fill="FFFFFF" w:themeFill="background1"/>
          </w:tcPr>
          <w:p w14:paraId="2EB2F57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0404-0004</w:t>
            </w:r>
          </w:p>
        </w:tc>
        <w:tc>
          <w:tcPr>
            <w:tcW w:w="2768" w:type="dxa"/>
            <w:tcBorders>
              <w:top w:val="single" w:sz="4" w:space="0" w:color="auto"/>
              <w:left w:val="double" w:sz="4" w:space="0" w:color="auto"/>
              <w:bottom w:val="double" w:sz="4" w:space="0" w:color="auto"/>
              <w:right w:val="double" w:sz="4" w:space="0" w:color="auto"/>
            </w:tcBorders>
            <w:shd w:val="clear" w:color="auto" w:fill="FFFFFF" w:themeFill="background1"/>
          </w:tcPr>
          <w:p w14:paraId="227F3E7B" w14:textId="77777777" w:rsidR="00497092" w:rsidRPr="00644F20" w:rsidRDefault="00497092">
            <w:pPr>
              <w:spacing w:after="60" w:line="240" w:lineRule="auto"/>
              <w:rPr>
                <w:rFonts w:ascii="Times New Roman" w:hAnsi="Times New Roman" w:cs="Times New Roman"/>
                <w:lang w:val="sr-Cyrl-CS"/>
              </w:rPr>
            </w:pPr>
          </w:p>
        </w:tc>
        <w:tc>
          <w:tcPr>
            <w:tcW w:w="2454" w:type="dxa"/>
            <w:tcBorders>
              <w:top w:val="single" w:sz="4" w:space="0" w:color="auto"/>
              <w:left w:val="double" w:sz="4" w:space="0" w:color="auto"/>
              <w:bottom w:val="double" w:sz="4" w:space="0" w:color="auto"/>
              <w:right w:val="double" w:sz="4" w:space="0" w:color="auto"/>
            </w:tcBorders>
            <w:shd w:val="clear" w:color="auto" w:fill="FFFFFF" w:themeFill="background1"/>
          </w:tcPr>
          <w:p w14:paraId="068CB846" w14:textId="77777777" w:rsidR="00497092" w:rsidRPr="00644F20" w:rsidRDefault="00497092">
            <w:pPr>
              <w:spacing w:after="60" w:line="240" w:lineRule="auto"/>
              <w:rPr>
                <w:rFonts w:ascii="Times New Roman" w:hAnsi="Times New Roman" w:cs="Times New Roman"/>
                <w:lang w:val="sr-Cyrl-CS"/>
              </w:rPr>
            </w:pPr>
          </w:p>
        </w:tc>
        <w:tc>
          <w:tcPr>
            <w:tcW w:w="2470" w:type="dxa"/>
            <w:tcBorders>
              <w:top w:val="single" w:sz="4" w:space="0" w:color="auto"/>
              <w:left w:val="double" w:sz="4" w:space="0" w:color="auto"/>
              <w:bottom w:val="double" w:sz="4" w:space="0" w:color="auto"/>
              <w:right w:val="double" w:sz="4" w:space="0" w:color="auto"/>
            </w:tcBorders>
            <w:shd w:val="clear" w:color="auto" w:fill="FFFFFF" w:themeFill="background1"/>
          </w:tcPr>
          <w:p w14:paraId="5F8602C2" w14:textId="77777777" w:rsidR="00497092" w:rsidRPr="00644F20" w:rsidRDefault="00497092">
            <w:pPr>
              <w:spacing w:after="60" w:line="240" w:lineRule="auto"/>
              <w:rPr>
                <w:rFonts w:ascii="Times New Roman" w:hAnsi="Times New Roman" w:cs="Times New Roman"/>
                <w:lang w:val="sr-Cyrl-CS"/>
              </w:rPr>
            </w:pPr>
          </w:p>
        </w:tc>
      </w:tr>
    </w:tbl>
    <w:p w14:paraId="252EE7FF" w14:textId="77777777" w:rsidR="00497092" w:rsidRPr="00644F20" w:rsidRDefault="00497092">
      <w:pPr>
        <w:rPr>
          <w:rFonts w:ascii="Times New Roman" w:hAnsi="Times New Roman" w:cs="Times New Roman"/>
          <w:lang w:val="sr-Cyrl-CS"/>
        </w:rPr>
      </w:pPr>
    </w:p>
    <w:tbl>
      <w:tblPr>
        <w:tblStyle w:val="TableGrid7"/>
        <w:tblW w:w="4850" w:type="pct"/>
        <w:tblLook w:val="04A0" w:firstRow="1" w:lastRow="0" w:firstColumn="1" w:lastColumn="0" w:noHBand="0" w:noVBand="1"/>
      </w:tblPr>
      <w:tblGrid>
        <w:gridCol w:w="2393"/>
        <w:gridCol w:w="1160"/>
        <w:gridCol w:w="1339"/>
        <w:gridCol w:w="1278"/>
        <w:gridCol w:w="1670"/>
        <w:gridCol w:w="1453"/>
        <w:gridCol w:w="966"/>
        <w:gridCol w:w="1209"/>
        <w:gridCol w:w="1084"/>
      </w:tblGrid>
      <w:tr w:rsidR="00497092" w:rsidRPr="00644F20" w14:paraId="4C3F302E" w14:textId="77777777">
        <w:trPr>
          <w:trHeight w:val="140"/>
        </w:trPr>
        <w:tc>
          <w:tcPr>
            <w:tcW w:w="1013"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1386F78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Назив активности:</w:t>
            </w:r>
          </w:p>
        </w:tc>
        <w:tc>
          <w:tcPr>
            <w:tcW w:w="460"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BD1EFD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Орган који спроводи активност</w:t>
            </w:r>
          </w:p>
        </w:tc>
        <w:tc>
          <w:tcPr>
            <w:tcW w:w="51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FEB257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Oргани партнери у спровођењу активности</w:t>
            </w:r>
          </w:p>
        </w:tc>
        <w:tc>
          <w:tcPr>
            <w:tcW w:w="462"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B08DA3C"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Рок за завршетак активности</w:t>
            </w:r>
          </w:p>
        </w:tc>
        <w:tc>
          <w:tcPr>
            <w:tcW w:w="615"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DA91CD2"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Извор финансирања</w:t>
            </w:r>
          </w:p>
        </w:tc>
        <w:tc>
          <w:tcPr>
            <w:tcW w:w="461"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7BC362D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Веза са програмским буџетом</w:t>
            </w:r>
          </w:p>
          <w:p w14:paraId="11B438BD" w14:textId="77777777" w:rsidR="00497092" w:rsidRPr="00644F20" w:rsidRDefault="00497092">
            <w:pPr>
              <w:spacing w:after="60" w:line="240" w:lineRule="auto"/>
              <w:jc w:val="center"/>
              <w:rPr>
                <w:rFonts w:ascii="Times New Roman" w:eastAsia="Calibri" w:hAnsi="Times New Roman" w:cs="Times New Roman"/>
                <w:lang w:val="sr-Cyrl-CS"/>
              </w:rPr>
            </w:pPr>
          </w:p>
        </w:tc>
        <w:tc>
          <w:tcPr>
            <w:tcW w:w="1476"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9F161BB"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Укупна процењена финансијска средства по изворима у 000 дин.</w:t>
            </w:r>
          </w:p>
        </w:tc>
      </w:tr>
      <w:tr w:rsidR="00497092" w:rsidRPr="00644F20" w14:paraId="64259C73"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2F28281C"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32977405"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774A9FFB"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4E85AEC"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0F4B13A"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63FDF54" w14:textId="77777777" w:rsidR="00497092" w:rsidRPr="00644F20" w:rsidRDefault="00497092">
            <w:pPr>
              <w:spacing w:after="0" w:line="240" w:lineRule="auto"/>
              <w:rPr>
                <w:rFonts w:ascii="Times New Roman" w:eastAsia="Calibri" w:hAnsi="Times New Roman" w:cs="Times New Roman"/>
                <w:lang w:val="sr-Cyrl-CS"/>
              </w:rPr>
            </w:pPr>
          </w:p>
        </w:tc>
        <w:tc>
          <w:tcPr>
            <w:tcW w:w="444"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676A83"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54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6E0AFE"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A87F3A"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r>
      <w:tr w:rsidR="00497092" w:rsidRPr="00644F20" w14:paraId="689464C9" w14:textId="77777777">
        <w:trPr>
          <w:trHeight w:val="543"/>
        </w:trPr>
        <w:tc>
          <w:tcPr>
            <w:tcW w:w="1013" w:type="pct"/>
            <w:tcBorders>
              <w:top w:val="single" w:sz="4" w:space="0" w:color="auto"/>
              <w:left w:val="double" w:sz="4" w:space="0" w:color="auto"/>
              <w:bottom w:val="single" w:sz="4" w:space="0" w:color="auto"/>
              <w:right w:val="single" w:sz="4" w:space="0" w:color="auto"/>
            </w:tcBorders>
          </w:tcPr>
          <w:p w14:paraId="11EFD37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4.4.1 Израда анализе са предлозима мера за даља унапређења подстицања примене постојећих и могућности увођења додатних добровољних инструмената </w:t>
            </w:r>
          </w:p>
        </w:tc>
        <w:tc>
          <w:tcPr>
            <w:tcW w:w="460" w:type="pct"/>
            <w:tcBorders>
              <w:top w:val="single" w:sz="4" w:space="0" w:color="auto"/>
              <w:left w:val="single" w:sz="4" w:space="0" w:color="auto"/>
              <w:bottom w:val="single" w:sz="4" w:space="0" w:color="auto"/>
              <w:right w:val="single" w:sz="4" w:space="0" w:color="auto"/>
            </w:tcBorders>
          </w:tcPr>
          <w:p w14:paraId="388FBD4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513" w:type="pct"/>
            <w:tcBorders>
              <w:top w:val="single" w:sz="4" w:space="0" w:color="auto"/>
              <w:left w:val="single" w:sz="4" w:space="0" w:color="auto"/>
              <w:bottom w:val="single" w:sz="4" w:space="0" w:color="auto"/>
              <w:right w:val="single" w:sz="4" w:space="0" w:color="auto"/>
            </w:tcBorders>
          </w:tcPr>
          <w:p w14:paraId="7D5DA9E7"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tc>
        <w:tc>
          <w:tcPr>
            <w:tcW w:w="462" w:type="pct"/>
            <w:tcBorders>
              <w:top w:val="single" w:sz="4" w:space="0" w:color="auto"/>
              <w:left w:val="single" w:sz="4" w:space="0" w:color="auto"/>
              <w:bottom w:val="single" w:sz="4" w:space="0" w:color="auto"/>
              <w:right w:val="single" w:sz="4" w:space="0" w:color="auto"/>
            </w:tcBorders>
          </w:tcPr>
          <w:p w14:paraId="0D4C03F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615" w:type="pct"/>
            <w:tcBorders>
              <w:top w:val="single" w:sz="4" w:space="0" w:color="auto"/>
              <w:left w:val="single" w:sz="4" w:space="0" w:color="auto"/>
              <w:bottom w:val="single" w:sz="4" w:space="0" w:color="auto"/>
              <w:right w:val="single" w:sz="4" w:space="0" w:color="auto"/>
            </w:tcBorders>
          </w:tcPr>
          <w:p w14:paraId="38402CA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Буџет </w:t>
            </w:r>
            <w:r w:rsidR="00220394" w:rsidRPr="00644F20">
              <w:rPr>
                <w:rFonts w:ascii="Times New Roman" w:eastAsia="Calibri" w:hAnsi="Times New Roman" w:cs="Times New Roman"/>
                <w:lang w:val="sr-Cyrl-CS"/>
              </w:rPr>
              <w:t>Републике Србије</w:t>
            </w:r>
          </w:p>
        </w:tc>
        <w:tc>
          <w:tcPr>
            <w:tcW w:w="461" w:type="pct"/>
            <w:tcBorders>
              <w:top w:val="single" w:sz="4" w:space="0" w:color="auto"/>
              <w:left w:val="single" w:sz="4" w:space="0" w:color="auto"/>
              <w:bottom w:val="single" w:sz="4" w:space="0" w:color="auto"/>
              <w:right w:val="single" w:sz="4" w:space="0" w:color="auto"/>
            </w:tcBorders>
          </w:tcPr>
          <w:p w14:paraId="10FE2FC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0405-4011</w:t>
            </w:r>
          </w:p>
        </w:tc>
        <w:tc>
          <w:tcPr>
            <w:tcW w:w="444" w:type="pct"/>
            <w:tcBorders>
              <w:top w:val="single" w:sz="4" w:space="0" w:color="auto"/>
              <w:left w:val="single" w:sz="4" w:space="0" w:color="auto"/>
              <w:bottom w:val="single" w:sz="4" w:space="0" w:color="auto"/>
              <w:right w:val="single" w:sz="4" w:space="0" w:color="auto"/>
            </w:tcBorders>
          </w:tcPr>
          <w:p w14:paraId="027AC93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300</w:t>
            </w:r>
          </w:p>
        </w:tc>
        <w:tc>
          <w:tcPr>
            <w:tcW w:w="541" w:type="pct"/>
            <w:tcBorders>
              <w:top w:val="single" w:sz="4" w:space="0" w:color="auto"/>
              <w:left w:val="single" w:sz="4" w:space="0" w:color="auto"/>
              <w:bottom w:val="single" w:sz="4" w:space="0" w:color="auto"/>
              <w:right w:val="single" w:sz="4" w:space="0" w:color="auto"/>
            </w:tcBorders>
          </w:tcPr>
          <w:p w14:paraId="3B863579"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26BE2B6B"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3E9C5C51" w14:textId="77777777">
        <w:trPr>
          <w:trHeight w:val="543"/>
        </w:trPr>
        <w:tc>
          <w:tcPr>
            <w:tcW w:w="1013" w:type="pct"/>
            <w:tcBorders>
              <w:top w:val="single" w:sz="4" w:space="0" w:color="auto"/>
              <w:left w:val="double" w:sz="4" w:space="0" w:color="auto"/>
              <w:bottom w:val="single" w:sz="4" w:space="0" w:color="auto"/>
              <w:right w:val="single" w:sz="4" w:space="0" w:color="auto"/>
            </w:tcBorders>
          </w:tcPr>
          <w:p w14:paraId="1FEB66B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4.4.2. Припрема, усвајање и </w:t>
            </w:r>
            <w:r w:rsidRPr="00644F20">
              <w:rPr>
                <w:rFonts w:ascii="Times New Roman" w:eastAsia="Calibri" w:hAnsi="Times New Roman" w:cs="Times New Roman"/>
                <w:lang w:val="sr-Cyrl-CS"/>
              </w:rPr>
              <w:lastRenderedPageBreak/>
              <w:t>објављивање ЕMAS правилника</w:t>
            </w:r>
          </w:p>
        </w:tc>
        <w:tc>
          <w:tcPr>
            <w:tcW w:w="460" w:type="pct"/>
            <w:tcBorders>
              <w:top w:val="single" w:sz="4" w:space="0" w:color="auto"/>
              <w:left w:val="single" w:sz="4" w:space="0" w:color="auto"/>
              <w:bottom w:val="single" w:sz="4" w:space="0" w:color="auto"/>
              <w:right w:val="single" w:sz="4" w:space="0" w:color="auto"/>
            </w:tcBorders>
          </w:tcPr>
          <w:p w14:paraId="24D018F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lastRenderedPageBreak/>
              <w:t>МЗЖС</w:t>
            </w:r>
          </w:p>
        </w:tc>
        <w:tc>
          <w:tcPr>
            <w:tcW w:w="513" w:type="pct"/>
            <w:tcBorders>
              <w:top w:val="single" w:sz="4" w:space="0" w:color="auto"/>
              <w:left w:val="single" w:sz="4" w:space="0" w:color="auto"/>
              <w:bottom w:val="single" w:sz="4" w:space="0" w:color="auto"/>
              <w:right w:val="single" w:sz="4" w:space="0" w:color="auto"/>
            </w:tcBorders>
          </w:tcPr>
          <w:p w14:paraId="5E5B05E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tc>
        <w:tc>
          <w:tcPr>
            <w:tcW w:w="462" w:type="pct"/>
            <w:tcBorders>
              <w:top w:val="single" w:sz="4" w:space="0" w:color="auto"/>
              <w:left w:val="single" w:sz="4" w:space="0" w:color="auto"/>
              <w:bottom w:val="single" w:sz="4" w:space="0" w:color="auto"/>
              <w:right w:val="single" w:sz="4" w:space="0" w:color="auto"/>
            </w:tcBorders>
          </w:tcPr>
          <w:p w14:paraId="64FDB1D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615" w:type="pct"/>
            <w:tcBorders>
              <w:top w:val="single" w:sz="4" w:space="0" w:color="auto"/>
              <w:left w:val="single" w:sz="4" w:space="0" w:color="auto"/>
              <w:bottom w:val="single" w:sz="4" w:space="0" w:color="auto"/>
              <w:right w:val="single" w:sz="4" w:space="0" w:color="auto"/>
            </w:tcBorders>
          </w:tcPr>
          <w:p w14:paraId="739CD09C"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01 – Приходи из </w:t>
            </w:r>
            <w:r w:rsidRPr="00644F20">
              <w:rPr>
                <w:rFonts w:ascii="Times New Roman" w:eastAsia="Calibri" w:hAnsi="Times New Roman" w:cs="Times New Roman"/>
                <w:lang w:val="sr-Cyrl-CS"/>
              </w:rPr>
              <w:lastRenderedPageBreak/>
              <w:t>буџета/Редовна издвајања</w:t>
            </w:r>
          </w:p>
        </w:tc>
        <w:tc>
          <w:tcPr>
            <w:tcW w:w="461" w:type="pct"/>
            <w:tcBorders>
              <w:top w:val="single" w:sz="4" w:space="0" w:color="auto"/>
              <w:left w:val="single" w:sz="4" w:space="0" w:color="auto"/>
              <w:bottom w:val="single" w:sz="4" w:space="0" w:color="auto"/>
              <w:right w:val="single" w:sz="4" w:space="0" w:color="auto"/>
            </w:tcBorders>
          </w:tcPr>
          <w:p w14:paraId="61FBD76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lastRenderedPageBreak/>
              <w:t>0404-0004</w:t>
            </w:r>
          </w:p>
        </w:tc>
        <w:tc>
          <w:tcPr>
            <w:tcW w:w="444" w:type="pct"/>
            <w:tcBorders>
              <w:top w:val="single" w:sz="4" w:space="0" w:color="auto"/>
              <w:left w:val="single" w:sz="4" w:space="0" w:color="auto"/>
              <w:bottom w:val="single" w:sz="4" w:space="0" w:color="auto"/>
              <w:right w:val="single" w:sz="4" w:space="0" w:color="auto"/>
            </w:tcBorders>
          </w:tcPr>
          <w:p w14:paraId="15833F18"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671849CB"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29D3D4ED"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2E66C447" w14:textId="77777777">
        <w:trPr>
          <w:trHeight w:val="543"/>
        </w:trPr>
        <w:tc>
          <w:tcPr>
            <w:tcW w:w="1013" w:type="pct"/>
            <w:tcBorders>
              <w:top w:val="single" w:sz="4" w:space="0" w:color="auto"/>
              <w:left w:val="double" w:sz="4" w:space="0" w:color="auto"/>
              <w:bottom w:val="single" w:sz="4" w:space="0" w:color="auto"/>
              <w:right w:val="single" w:sz="4" w:space="0" w:color="auto"/>
            </w:tcBorders>
          </w:tcPr>
          <w:p w14:paraId="0F8E6F9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4.4.3. Припрема, </w:t>
            </w:r>
            <w:r w:rsidR="009F738C" w:rsidRPr="00644F20">
              <w:rPr>
                <w:rFonts w:ascii="Times New Roman" w:eastAsia="Calibri" w:hAnsi="Times New Roman" w:cs="Times New Roman"/>
                <w:lang w:val="sr-Cyrl-CS"/>
              </w:rPr>
              <w:t xml:space="preserve"> усвајање и објављивање измена п</w:t>
            </w:r>
            <w:r w:rsidRPr="00644F20">
              <w:rPr>
                <w:rFonts w:ascii="Times New Roman" w:eastAsia="Calibri" w:hAnsi="Times New Roman" w:cs="Times New Roman"/>
                <w:lang w:val="sr-Cyrl-CS"/>
              </w:rPr>
              <w:t>равилника о Еко знаку</w:t>
            </w:r>
          </w:p>
        </w:tc>
        <w:tc>
          <w:tcPr>
            <w:tcW w:w="460" w:type="pct"/>
            <w:tcBorders>
              <w:top w:val="single" w:sz="4" w:space="0" w:color="auto"/>
              <w:left w:val="single" w:sz="4" w:space="0" w:color="auto"/>
              <w:bottom w:val="single" w:sz="4" w:space="0" w:color="auto"/>
              <w:right w:val="single" w:sz="4" w:space="0" w:color="auto"/>
            </w:tcBorders>
          </w:tcPr>
          <w:p w14:paraId="665A9C8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513" w:type="pct"/>
            <w:tcBorders>
              <w:top w:val="single" w:sz="4" w:space="0" w:color="auto"/>
              <w:left w:val="single" w:sz="4" w:space="0" w:color="auto"/>
              <w:bottom w:val="single" w:sz="4" w:space="0" w:color="auto"/>
              <w:right w:val="single" w:sz="4" w:space="0" w:color="auto"/>
            </w:tcBorders>
          </w:tcPr>
          <w:p w14:paraId="3D33261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tc>
        <w:tc>
          <w:tcPr>
            <w:tcW w:w="462" w:type="pct"/>
            <w:tcBorders>
              <w:top w:val="single" w:sz="4" w:space="0" w:color="auto"/>
              <w:left w:val="single" w:sz="4" w:space="0" w:color="auto"/>
              <w:bottom w:val="single" w:sz="4" w:space="0" w:color="auto"/>
              <w:right w:val="single" w:sz="4" w:space="0" w:color="auto"/>
            </w:tcBorders>
          </w:tcPr>
          <w:p w14:paraId="6E48BAF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615" w:type="pct"/>
            <w:tcBorders>
              <w:top w:val="single" w:sz="4" w:space="0" w:color="auto"/>
              <w:left w:val="single" w:sz="4" w:space="0" w:color="auto"/>
              <w:bottom w:val="single" w:sz="4" w:space="0" w:color="auto"/>
              <w:right w:val="single" w:sz="4" w:space="0" w:color="auto"/>
            </w:tcBorders>
          </w:tcPr>
          <w:p w14:paraId="7739463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01 – Приходи из буџета/Редовна издвајања</w:t>
            </w:r>
          </w:p>
        </w:tc>
        <w:tc>
          <w:tcPr>
            <w:tcW w:w="461" w:type="pct"/>
            <w:tcBorders>
              <w:top w:val="single" w:sz="4" w:space="0" w:color="auto"/>
              <w:left w:val="single" w:sz="4" w:space="0" w:color="auto"/>
              <w:bottom w:val="single" w:sz="4" w:space="0" w:color="auto"/>
              <w:right w:val="single" w:sz="4" w:space="0" w:color="auto"/>
            </w:tcBorders>
          </w:tcPr>
          <w:p w14:paraId="6B474D2C"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0404-0004</w:t>
            </w:r>
          </w:p>
        </w:tc>
        <w:tc>
          <w:tcPr>
            <w:tcW w:w="444" w:type="pct"/>
            <w:tcBorders>
              <w:top w:val="single" w:sz="4" w:space="0" w:color="auto"/>
              <w:left w:val="single" w:sz="4" w:space="0" w:color="auto"/>
              <w:bottom w:val="single" w:sz="4" w:space="0" w:color="auto"/>
              <w:right w:val="single" w:sz="4" w:space="0" w:color="auto"/>
            </w:tcBorders>
          </w:tcPr>
          <w:p w14:paraId="29687CCF"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2888D35D"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2421592C" w14:textId="77777777" w:rsidR="00497092" w:rsidRPr="00644F20" w:rsidRDefault="00497092">
            <w:pPr>
              <w:spacing w:after="60" w:line="240" w:lineRule="auto"/>
              <w:rPr>
                <w:rFonts w:ascii="Times New Roman" w:eastAsia="Calibri" w:hAnsi="Times New Roman" w:cs="Times New Roman"/>
                <w:lang w:val="sr-Cyrl-CS"/>
              </w:rPr>
            </w:pPr>
          </w:p>
        </w:tc>
      </w:tr>
    </w:tbl>
    <w:p w14:paraId="3784A2B9" w14:textId="77777777" w:rsidR="00497092" w:rsidRPr="00644F20" w:rsidRDefault="00497092">
      <w:pPr>
        <w:spacing w:after="240"/>
        <w:rPr>
          <w:rFonts w:ascii="Times New Roman" w:hAnsi="Times New Roman" w:cs="Times New Roman"/>
          <w:lang w:val="sr-Cyrl-CS"/>
        </w:rPr>
      </w:pPr>
    </w:p>
    <w:tbl>
      <w:tblPr>
        <w:tblStyle w:val="TableGrid8"/>
        <w:tblW w:w="13925" w:type="dxa"/>
        <w:tblInd w:w="10" w:type="dxa"/>
        <w:tblLayout w:type="fixed"/>
        <w:tblLook w:val="04A0" w:firstRow="1" w:lastRow="0" w:firstColumn="1" w:lastColumn="0" w:noHBand="0" w:noVBand="1"/>
      </w:tblPr>
      <w:tblGrid>
        <w:gridCol w:w="3219"/>
        <w:gridCol w:w="1475"/>
        <w:gridCol w:w="1376"/>
        <w:gridCol w:w="568"/>
        <w:gridCol w:w="1201"/>
        <w:gridCol w:w="1707"/>
        <w:gridCol w:w="1537"/>
        <w:gridCol w:w="1573"/>
        <w:gridCol w:w="1269"/>
      </w:tblGrid>
      <w:tr w:rsidR="00497092" w:rsidRPr="00644F20" w14:paraId="5D4A4ED3" w14:textId="77777777" w:rsidTr="009F738C">
        <w:trPr>
          <w:trHeight w:val="168"/>
        </w:trPr>
        <w:tc>
          <w:tcPr>
            <w:tcW w:w="13925" w:type="dxa"/>
            <w:gridSpan w:val="9"/>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76635F42" w14:textId="77777777" w:rsidR="00497092" w:rsidRPr="00644F20" w:rsidRDefault="002F45E1">
            <w:pPr>
              <w:spacing w:after="60" w:line="240" w:lineRule="auto"/>
              <w:rPr>
                <w:rFonts w:ascii="Times New Roman" w:eastAsia="Calibri" w:hAnsi="Times New Roman" w:cs="Times New Roman"/>
                <w:b/>
                <w:lang w:val="sr-Cyrl-CS"/>
              </w:rPr>
            </w:pPr>
            <w:r w:rsidRPr="00644F20">
              <w:rPr>
                <w:rFonts w:ascii="Times New Roman" w:eastAsia="Calibri" w:hAnsi="Times New Roman" w:cs="Times New Roman"/>
                <w:b/>
                <w:lang w:val="sr-Cyrl-CS"/>
              </w:rPr>
              <w:t>Мера 4.5: Промоција ЕMAS и Еко знака</w:t>
            </w:r>
          </w:p>
        </w:tc>
      </w:tr>
      <w:tr w:rsidR="00497092" w:rsidRPr="00644F20" w14:paraId="655FD744" w14:textId="77777777" w:rsidTr="009F738C">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6BEEB9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p>
        </w:tc>
      </w:tr>
      <w:tr w:rsidR="00497092" w:rsidRPr="00644F20" w14:paraId="51B600BC" w14:textId="77777777" w:rsidTr="009F738C">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8D2316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Период спровођења: 2022 - 2024.</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2BD42B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Тип мере: информативно-едукативна</w:t>
            </w:r>
          </w:p>
        </w:tc>
      </w:tr>
      <w:tr w:rsidR="00497092" w:rsidRPr="00644F20" w14:paraId="7A1215E7" w14:textId="77777777" w:rsidTr="009F738C">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E470F5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Прописи које је потребно изменити/усвојити за спровођење мере:</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724CE7B"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0A333C18" w14:textId="77777777" w:rsidTr="009F738C">
        <w:trPr>
          <w:trHeight w:val="950"/>
        </w:trPr>
        <w:tc>
          <w:tcPr>
            <w:tcW w:w="321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2DF3B3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Показатељ(и)  на нивоу мере </w:t>
            </w:r>
            <w:r w:rsidRPr="00644F20">
              <w:rPr>
                <w:rFonts w:ascii="Times New Roman" w:eastAsia="Calibri" w:hAnsi="Times New Roman" w:cs="Times New Roman"/>
                <w:i/>
                <w:lang w:val="sr-Cyrl-CS"/>
              </w:rPr>
              <w:t>(показатељ резултата)</w:t>
            </w:r>
          </w:p>
        </w:tc>
        <w:tc>
          <w:tcPr>
            <w:tcW w:w="1475"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8EFE0BB"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Jединица мере</w:t>
            </w:r>
          </w:p>
          <w:p w14:paraId="558D5CC5" w14:textId="77777777" w:rsidR="00497092" w:rsidRPr="00644F20" w:rsidRDefault="00497092">
            <w:pPr>
              <w:spacing w:after="60" w:line="240" w:lineRule="auto"/>
              <w:rPr>
                <w:rFonts w:ascii="Times New Roman" w:eastAsia="Calibri" w:hAnsi="Times New Roman" w:cs="Times New Roman"/>
                <w:lang w:val="sr-Cyrl-CS"/>
              </w:rPr>
            </w:pPr>
          </w:p>
        </w:tc>
        <w:tc>
          <w:tcPr>
            <w:tcW w:w="137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B2CCE8E"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 провере</w:t>
            </w:r>
          </w:p>
        </w:tc>
        <w:tc>
          <w:tcPr>
            <w:tcW w:w="1769"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0FCE10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Почетна вредност </w:t>
            </w:r>
          </w:p>
        </w:tc>
        <w:tc>
          <w:tcPr>
            <w:tcW w:w="170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05168F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Базна година</w:t>
            </w:r>
          </w:p>
        </w:tc>
        <w:tc>
          <w:tcPr>
            <w:tcW w:w="153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E339D3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2022.</w:t>
            </w:r>
          </w:p>
        </w:tc>
        <w:tc>
          <w:tcPr>
            <w:tcW w:w="1573"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5D236BF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2023.</w:t>
            </w:r>
          </w:p>
        </w:tc>
        <w:tc>
          <w:tcPr>
            <w:tcW w:w="1269"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32F20840"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Циљана вредност у 2024.</w:t>
            </w:r>
          </w:p>
        </w:tc>
      </w:tr>
      <w:tr w:rsidR="00497092" w:rsidRPr="00644F20" w14:paraId="1DADCF30" w14:textId="77777777" w:rsidTr="009F738C">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6A952B13"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Укупан број објављених смерница/водича у вези са ЕMAS и Еко знаком </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77A2673E"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Број</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2C5FB295"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Интернет странице МЗЖС</w:t>
            </w: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6E52B7B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0</w:t>
            </w: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76600E5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5E14599B"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4DBE7C54"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 </w:t>
            </w:r>
          </w:p>
          <w:p w14:paraId="1FB4875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 </w:t>
            </w:r>
          </w:p>
        </w:tc>
        <w:tc>
          <w:tcPr>
            <w:tcW w:w="1269" w:type="dxa"/>
            <w:tcBorders>
              <w:top w:val="double" w:sz="4" w:space="0" w:color="auto"/>
              <w:left w:val="single" w:sz="4" w:space="0" w:color="auto"/>
              <w:bottom w:val="double" w:sz="4" w:space="0" w:color="auto"/>
              <w:right w:val="double" w:sz="4" w:space="0" w:color="auto"/>
            </w:tcBorders>
            <w:shd w:val="clear" w:color="auto" w:fill="FFFFFF" w:themeFill="background1"/>
          </w:tcPr>
          <w:p w14:paraId="6BBA0DB8"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p w14:paraId="5BAD2D40" w14:textId="77777777" w:rsidR="00497092" w:rsidRPr="00644F20" w:rsidRDefault="00497092">
            <w:pPr>
              <w:shd w:val="clear" w:color="auto" w:fill="FFFFFF"/>
              <w:spacing w:after="60" w:line="240" w:lineRule="auto"/>
              <w:rPr>
                <w:rFonts w:ascii="Times New Roman" w:eastAsia="Calibri" w:hAnsi="Times New Roman" w:cs="Times New Roman"/>
                <w:lang w:val="sr-Cyrl-CS"/>
              </w:rPr>
            </w:pPr>
          </w:p>
        </w:tc>
      </w:tr>
      <w:tr w:rsidR="00497092" w:rsidRPr="00644F20" w14:paraId="29AC4382" w14:textId="77777777" w:rsidTr="009F738C">
        <w:trPr>
          <w:trHeight w:val="302"/>
        </w:trPr>
        <w:tc>
          <w:tcPr>
            <w:tcW w:w="3219" w:type="dxa"/>
            <w:tcBorders>
              <w:top w:val="double" w:sz="4" w:space="0" w:color="auto"/>
              <w:left w:val="single" w:sz="4" w:space="0" w:color="auto"/>
              <w:bottom w:val="double" w:sz="4" w:space="0" w:color="auto"/>
              <w:right w:val="single" w:sz="4" w:space="0" w:color="auto"/>
            </w:tcBorders>
            <w:shd w:val="clear" w:color="auto" w:fill="FFFFFF" w:themeFill="background1"/>
          </w:tcPr>
          <w:p w14:paraId="2FF21D3C"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Укупан број стручних скупова на тему ЕMAS и Еко знака</w:t>
            </w:r>
          </w:p>
        </w:tc>
        <w:tc>
          <w:tcPr>
            <w:tcW w:w="1475" w:type="dxa"/>
            <w:tcBorders>
              <w:top w:val="double" w:sz="4" w:space="0" w:color="auto"/>
              <w:left w:val="single" w:sz="4" w:space="0" w:color="auto"/>
              <w:bottom w:val="double" w:sz="4" w:space="0" w:color="auto"/>
              <w:right w:val="single" w:sz="4" w:space="0" w:color="auto"/>
            </w:tcBorders>
            <w:shd w:val="clear" w:color="auto" w:fill="FFFFFF" w:themeFill="background1"/>
          </w:tcPr>
          <w:p w14:paraId="7658547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Број</w:t>
            </w:r>
          </w:p>
        </w:tc>
        <w:tc>
          <w:tcPr>
            <w:tcW w:w="1376" w:type="dxa"/>
            <w:tcBorders>
              <w:top w:val="double" w:sz="4" w:space="0" w:color="auto"/>
              <w:left w:val="single" w:sz="4" w:space="0" w:color="auto"/>
              <w:bottom w:val="double" w:sz="4" w:space="0" w:color="auto"/>
              <w:right w:val="single" w:sz="4" w:space="0" w:color="auto"/>
            </w:tcBorders>
            <w:shd w:val="clear" w:color="auto" w:fill="FFFFFF" w:themeFill="background1"/>
          </w:tcPr>
          <w:p w14:paraId="35AE73D7"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Записници са скупова</w:t>
            </w:r>
          </w:p>
        </w:tc>
        <w:tc>
          <w:tcPr>
            <w:tcW w:w="1769"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14:paraId="009EC192"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0</w:t>
            </w:r>
          </w:p>
        </w:tc>
        <w:tc>
          <w:tcPr>
            <w:tcW w:w="1707" w:type="dxa"/>
            <w:tcBorders>
              <w:top w:val="double" w:sz="4" w:space="0" w:color="auto"/>
              <w:left w:val="single" w:sz="4" w:space="0" w:color="auto"/>
              <w:bottom w:val="double" w:sz="4" w:space="0" w:color="auto"/>
              <w:right w:val="single" w:sz="4" w:space="0" w:color="auto"/>
            </w:tcBorders>
            <w:shd w:val="clear" w:color="auto" w:fill="FFFFFF" w:themeFill="background1"/>
          </w:tcPr>
          <w:p w14:paraId="6574B5E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2021.</w:t>
            </w:r>
          </w:p>
        </w:tc>
        <w:tc>
          <w:tcPr>
            <w:tcW w:w="1537" w:type="dxa"/>
            <w:tcBorders>
              <w:top w:val="double" w:sz="4" w:space="0" w:color="auto"/>
              <w:left w:val="single" w:sz="4" w:space="0" w:color="auto"/>
              <w:bottom w:val="double" w:sz="4" w:space="0" w:color="auto"/>
              <w:right w:val="single" w:sz="4" w:space="0" w:color="auto"/>
            </w:tcBorders>
            <w:shd w:val="clear" w:color="auto" w:fill="FFFFFF" w:themeFill="background1"/>
          </w:tcPr>
          <w:p w14:paraId="49747EFF"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2 </w:t>
            </w:r>
          </w:p>
        </w:tc>
        <w:tc>
          <w:tcPr>
            <w:tcW w:w="1573" w:type="dxa"/>
            <w:tcBorders>
              <w:top w:val="double" w:sz="4" w:space="0" w:color="auto"/>
              <w:left w:val="single" w:sz="4" w:space="0" w:color="auto"/>
              <w:bottom w:val="double" w:sz="4" w:space="0" w:color="auto"/>
              <w:right w:val="double" w:sz="4" w:space="0" w:color="auto"/>
            </w:tcBorders>
            <w:shd w:val="clear" w:color="auto" w:fill="FFFFFF" w:themeFill="background1"/>
          </w:tcPr>
          <w:p w14:paraId="1538D488"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 </w:t>
            </w:r>
          </w:p>
        </w:tc>
        <w:tc>
          <w:tcPr>
            <w:tcW w:w="1269" w:type="dxa"/>
            <w:tcBorders>
              <w:top w:val="double" w:sz="4" w:space="0" w:color="auto"/>
              <w:left w:val="single" w:sz="4" w:space="0" w:color="auto"/>
              <w:bottom w:val="double" w:sz="4" w:space="0" w:color="auto"/>
              <w:right w:val="double" w:sz="4" w:space="0" w:color="auto"/>
            </w:tcBorders>
            <w:shd w:val="clear" w:color="auto" w:fill="FFFFFF" w:themeFill="background1"/>
          </w:tcPr>
          <w:p w14:paraId="403E1B5B" w14:textId="77777777" w:rsidR="00497092" w:rsidRPr="00644F20" w:rsidRDefault="002F45E1">
            <w:pPr>
              <w:shd w:val="clear" w:color="auto" w:fill="FFFFFF"/>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6 </w:t>
            </w:r>
          </w:p>
        </w:tc>
      </w:tr>
    </w:tbl>
    <w:p w14:paraId="50A696B6" w14:textId="77777777" w:rsidR="00497092" w:rsidRPr="00644F20" w:rsidRDefault="00497092">
      <w:pPr>
        <w:rPr>
          <w:rFonts w:ascii="Times New Roman" w:hAnsi="Times New Roman" w:cs="Times New Roman"/>
          <w:lang w:val="sr-Cyrl-CS"/>
        </w:rPr>
      </w:pPr>
    </w:p>
    <w:tbl>
      <w:tblPr>
        <w:tblStyle w:val="TableGrid"/>
        <w:tblW w:w="14415" w:type="dxa"/>
        <w:tblInd w:w="10" w:type="dxa"/>
        <w:tblLayout w:type="fixed"/>
        <w:tblLook w:val="04A0" w:firstRow="1" w:lastRow="0" w:firstColumn="1" w:lastColumn="0" w:noHBand="0" w:noVBand="1"/>
      </w:tblPr>
      <w:tblGrid>
        <w:gridCol w:w="3665"/>
        <w:gridCol w:w="2778"/>
        <w:gridCol w:w="2869"/>
        <w:gridCol w:w="2543"/>
        <w:gridCol w:w="2560"/>
      </w:tblGrid>
      <w:tr w:rsidR="00497092" w:rsidRPr="00644F20" w14:paraId="62A2B9E2" w14:textId="77777777">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21F09EB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27055062"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11E9962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4931DB6A" w14:textId="77777777" w:rsidR="00497092" w:rsidRPr="00644F20" w:rsidRDefault="00497092">
            <w:pPr>
              <w:spacing w:after="60" w:line="240" w:lineRule="auto"/>
              <w:rPr>
                <w:rFonts w:ascii="Times New Roman" w:hAnsi="Times New Roman" w:cs="Times New Roman"/>
                <w:lang w:val="sr-Cyrl-CS"/>
              </w:rPr>
            </w:pPr>
          </w:p>
        </w:tc>
        <w:tc>
          <w:tcPr>
            <w:tcW w:w="797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8BB406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4C1D33EF" w14:textId="77777777">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17C206B8"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single" w:sz="4" w:space="0" w:color="auto"/>
              <w:right w:val="double" w:sz="4" w:space="0" w:color="auto"/>
            </w:tcBorders>
            <w:vAlign w:val="center"/>
          </w:tcPr>
          <w:p w14:paraId="09887EBD"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472CD7C"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41EA0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56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2BD1D63"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43962A53" w14:textId="7777777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175E30EB" w14:textId="77777777" w:rsidR="00497092" w:rsidRPr="00644F20" w:rsidRDefault="002F45E1" w:rsidP="004D0736">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 - Смањење угљеничног отиска локалних заједница применом принципа циркуларне економије у Р</w:t>
            </w:r>
            <w:r w:rsidR="004D0736" w:rsidRPr="00644F20">
              <w:rPr>
                <w:rFonts w:ascii="Times New Roman" w:hAnsi="Times New Roman" w:cs="Times New Roman"/>
                <w:lang w:val="sr-Cyrl-CS"/>
              </w:rPr>
              <w:t xml:space="preserve">епублици Србији </w:t>
            </w:r>
          </w:p>
        </w:tc>
        <w:tc>
          <w:tcPr>
            <w:tcW w:w="2778" w:type="dxa"/>
            <w:vMerge w:val="restart"/>
            <w:tcBorders>
              <w:top w:val="double" w:sz="4" w:space="0" w:color="auto"/>
              <w:left w:val="double" w:sz="4" w:space="0" w:color="auto"/>
              <w:bottom w:val="double" w:sz="4" w:space="0" w:color="auto"/>
              <w:right w:val="double" w:sz="4" w:space="0" w:color="auto"/>
            </w:tcBorders>
            <w:shd w:val="clear" w:color="auto" w:fill="FFFFFF" w:themeFill="background1"/>
          </w:tcPr>
          <w:p w14:paraId="138759B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0405-4011</w:t>
            </w: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4A89EA7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100</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27F3E1E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850</w:t>
            </w:r>
          </w:p>
        </w:tc>
        <w:tc>
          <w:tcPr>
            <w:tcW w:w="2560" w:type="dxa"/>
            <w:tcBorders>
              <w:top w:val="single" w:sz="4" w:space="0" w:color="auto"/>
              <w:left w:val="double" w:sz="4" w:space="0" w:color="auto"/>
              <w:bottom w:val="double" w:sz="4" w:space="0" w:color="auto"/>
              <w:right w:val="double" w:sz="4" w:space="0" w:color="auto"/>
            </w:tcBorders>
            <w:shd w:val="clear" w:color="auto" w:fill="FFFFFF" w:themeFill="background1"/>
          </w:tcPr>
          <w:p w14:paraId="522DD6CC"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13186783" w14:textId="7777777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2E2804D" w14:textId="77777777" w:rsidR="00497092" w:rsidRPr="00644F20" w:rsidRDefault="00497092">
            <w:pPr>
              <w:spacing w:after="60" w:line="240" w:lineRule="auto"/>
              <w:rPr>
                <w:rFonts w:ascii="Times New Roman" w:hAnsi="Times New Roman" w:cs="Times New Roman"/>
                <w:lang w:val="sr-Cyrl-CS"/>
              </w:rPr>
            </w:pPr>
          </w:p>
        </w:tc>
        <w:tc>
          <w:tcPr>
            <w:tcW w:w="2778" w:type="dxa"/>
            <w:vMerge/>
            <w:tcBorders>
              <w:top w:val="double" w:sz="4" w:space="0" w:color="auto"/>
              <w:left w:val="double" w:sz="4" w:space="0" w:color="auto"/>
              <w:bottom w:val="double" w:sz="4" w:space="0" w:color="auto"/>
              <w:right w:val="double" w:sz="4" w:space="0" w:color="auto"/>
            </w:tcBorders>
            <w:vAlign w:val="center"/>
          </w:tcPr>
          <w:p w14:paraId="7660F51E"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00A87684" w14:textId="77777777" w:rsidR="00497092" w:rsidRPr="00644F20" w:rsidRDefault="00497092">
            <w:pPr>
              <w:spacing w:after="60" w:line="240" w:lineRule="auto"/>
              <w:rPr>
                <w:rFonts w:ascii="Times New Roman" w:hAnsi="Times New Roman" w:cs="Times New Roman"/>
                <w:lang w:val="sr-Cyrl-CS"/>
              </w:rPr>
            </w:pP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59D747BF" w14:textId="77777777" w:rsidR="00497092" w:rsidRPr="00644F20" w:rsidRDefault="00497092">
            <w:pPr>
              <w:spacing w:after="60" w:line="240" w:lineRule="auto"/>
              <w:rPr>
                <w:rFonts w:ascii="Times New Roman" w:hAnsi="Times New Roman" w:cs="Times New Roman"/>
                <w:lang w:val="sr-Cyrl-CS"/>
              </w:rPr>
            </w:pPr>
          </w:p>
        </w:tc>
        <w:tc>
          <w:tcPr>
            <w:tcW w:w="2560" w:type="dxa"/>
            <w:tcBorders>
              <w:top w:val="single" w:sz="4" w:space="0" w:color="auto"/>
              <w:left w:val="double" w:sz="4" w:space="0" w:color="auto"/>
              <w:bottom w:val="double" w:sz="4" w:space="0" w:color="auto"/>
              <w:right w:val="double" w:sz="4" w:space="0" w:color="auto"/>
            </w:tcBorders>
            <w:shd w:val="clear" w:color="auto" w:fill="FFFFFF" w:themeFill="background1"/>
          </w:tcPr>
          <w:p w14:paraId="32E84128" w14:textId="77777777" w:rsidR="00497092" w:rsidRPr="00644F20" w:rsidRDefault="00497092">
            <w:pPr>
              <w:spacing w:after="60" w:line="240" w:lineRule="auto"/>
              <w:rPr>
                <w:rFonts w:ascii="Times New Roman" w:hAnsi="Times New Roman" w:cs="Times New Roman"/>
                <w:lang w:val="sr-Cyrl-CS"/>
              </w:rPr>
            </w:pPr>
          </w:p>
        </w:tc>
      </w:tr>
    </w:tbl>
    <w:p w14:paraId="2A47C71C" w14:textId="77777777" w:rsidR="00497092" w:rsidRPr="00644F20" w:rsidRDefault="00497092">
      <w:pPr>
        <w:rPr>
          <w:rFonts w:ascii="Times New Roman" w:hAnsi="Times New Roman" w:cs="Times New Roman"/>
          <w:lang w:val="sr-Cyrl-CS"/>
        </w:rPr>
      </w:pPr>
    </w:p>
    <w:tbl>
      <w:tblPr>
        <w:tblStyle w:val="TableGrid9"/>
        <w:tblW w:w="4850" w:type="pct"/>
        <w:tblLook w:val="04A0" w:firstRow="1" w:lastRow="0" w:firstColumn="1" w:lastColumn="0" w:noHBand="0" w:noVBand="1"/>
      </w:tblPr>
      <w:tblGrid>
        <w:gridCol w:w="2308"/>
        <w:gridCol w:w="1160"/>
        <w:gridCol w:w="1339"/>
        <w:gridCol w:w="1278"/>
        <w:gridCol w:w="1490"/>
        <w:gridCol w:w="1453"/>
        <w:gridCol w:w="1135"/>
        <w:gridCol w:w="1257"/>
        <w:gridCol w:w="1132"/>
      </w:tblGrid>
      <w:tr w:rsidR="00497092" w:rsidRPr="00644F20" w14:paraId="2E6149AB"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1EAE51B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Назив активности:</w:t>
            </w:r>
          </w:p>
        </w:tc>
        <w:tc>
          <w:tcPr>
            <w:tcW w:w="458"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2080C8F2"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7A9B6F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4DE0844"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24EFD1F3"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F56286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Веза са програмским буџетом</w:t>
            </w:r>
          </w:p>
          <w:p w14:paraId="4759AC92" w14:textId="77777777" w:rsidR="00497092" w:rsidRPr="00644F20" w:rsidRDefault="00497092">
            <w:pPr>
              <w:spacing w:after="60" w:line="240" w:lineRule="auto"/>
              <w:jc w:val="center"/>
              <w:rPr>
                <w:rFonts w:ascii="Times New Roman" w:eastAsia="Calibri" w:hAnsi="Times New Roman" w:cs="Times New Roman"/>
                <w:lang w:val="sr-Cyrl-CS"/>
              </w:rPr>
            </w:pPr>
          </w:p>
        </w:tc>
        <w:tc>
          <w:tcPr>
            <w:tcW w:w="1530"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63E481C"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Укупна процењена финансијска средства по изворима у 000 дин.</w:t>
            </w:r>
          </w:p>
        </w:tc>
      </w:tr>
      <w:tr w:rsidR="00497092" w:rsidRPr="00644F20" w14:paraId="6E9FF3D7"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6553E362"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E4724A1"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A552242"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F101BC9"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806D7BF" w14:textId="77777777" w:rsidR="00497092" w:rsidRPr="00644F20" w:rsidRDefault="00497092">
            <w:pPr>
              <w:spacing w:after="0" w:line="240" w:lineRule="auto"/>
              <w:rPr>
                <w:rFonts w:ascii="Times New Roman" w:eastAsia="Calibri"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98F792E" w14:textId="77777777" w:rsidR="00497092" w:rsidRPr="00644F20" w:rsidRDefault="00497092">
            <w:pPr>
              <w:spacing w:after="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28956D"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54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F96DE3"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F95788" w14:textId="77777777" w:rsidR="00497092" w:rsidRPr="00644F20" w:rsidRDefault="002F45E1">
            <w:pPr>
              <w:spacing w:after="60" w:line="240" w:lineRule="auto"/>
              <w:jc w:val="center"/>
              <w:rPr>
                <w:rFonts w:ascii="Times New Roman" w:eastAsia="Calibri" w:hAnsi="Times New Roman" w:cs="Times New Roman"/>
                <w:lang w:val="sr-Cyrl-CS"/>
              </w:rPr>
            </w:pPr>
            <w:r w:rsidRPr="00644F20">
              <w:rPr>
                <w:rFonts w:ascii="Times New Roman" w:eastAsia="Calibri" w:hAnsi="Times New Roman" w:cs="Times New Roman"/>
                <w:lang w:val="sr-Cyrl-CS"/>
              </w:rPr>
              <w:t>2024.</w:t>
            </w:r>
          </w:p>
        </w:tc>
      </w:tr>
      <w:tr w:rsidR="00497092" w:rsidRPr="00644F20" w14:paraId="05704C2A"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095A6DA1"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4.5.1. Формирање посебне странице за добровољне инструменте у оквиру интернет страница МЗЖС</w:t>
            </w:r>
          </w:p>
        </w:tc>
        <w:tc>
          <w:tcPr>
            <w:tcW w:w="458" w:type="pct"/>
            <w:tcBorders>
              <w:top w:val="single" w:sz="4" w:space="0" w:color="auto"/>
              <w:left w:val="single" w:sz="4" w:space="0" w:color="auto"/>
              <w:bottom w:val="single" w:sz="4" w:space="0" w:color="auto"/>
              <w:right w:val="single" w:sz="4" w:space="0" w:color="auto"/>
            </w:tcBorders>
          </w:tcPr>
          <w:p w14:paraId="6D2C69F7"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5BEA1693"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tc>
        <w:tc>
          <w:tcPr>
            <w:tcW w:w="464" w:type="pct"/>
            <w:tcBorders>
              <w:top w:val="single" w:sz="4" w:space="0" w:color="auto"/>
              <w:left w:val="single" w:sz="4" w:space="0" w:color="auto"/>
              <w:bottom w:val="single" w:sz="4" w:space="0" w:color="auto"/>
              <w:right w:val="single" w:sz="4" w:space="0" w:color="auto"/>
            </w:tcBorders>
          </w:tcPr>
          <w:p w14:paraId="3E70EA55"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2022.</w:t>
            </w:r>
          </w:p>
        </w:tc>
        <w:tc>
          <w:tcPr>
            <w:tcW w:w="629" w:type="pct"/>
            <w:tcBorders>
              <w:top w:val="single" w:sz="4" w:space="0" w:color="auto"/>
              <w:left w:val="single" w:sz="4" w:space="0" w:color="auto"/>
              <w:bottom w:val="single" w:sz="4" w:space="0" w:color="auto"/>
              <w:right w:val="single" w:sz="4" w:space="0" w:color="auto"/>
            </w:tcBorders>
          </w:tcPr>
          <w:p w14:paraId="0CDA8C0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373BD25F"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0D0265D3"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300904ED"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650ED78E"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182ADE0A"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4026981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4.5.2. Израда и објављивање водича и брошура за ЕMAS и Еко знак за привреду</w:t>
            </w:r>
          </w:p>
        </w:tc>
        <w:tc>
          <w:tcPr>
            <w:tcW w:w="458" w:type="pct"/>
            <w:tcBorders>
              <w:top w:val="single" w:sz="4" w:space="0" w:color="auto"/>
              <w:left w:val="single" w:sz="4" w:space="0" w:color="auto"/>
              <w:bottom w:val="single" w:sz="4" w:space="0" w:color="auto"/>
              <w:right w:val="single" w:sz="4" w:space="0" w:color="auto"/>
            </w:tcBorders>
          </w:tcPr>
          <w:p w14:paraId="23A6547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3F045C4F"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tc>
        <w:tc>
          <w:tcPr>
            <w:tcW w:w="464" w:type="pct"/>
            <w:tcBorders>
              <w:top w:val="single" w:sz="4" w:space="0" w:color="auto"/>
              <w:left w:val="single" w:sz="4" w:space="0" w:color="auto"/>
              <w:bottom w:val="single" w:sz="4" w:space="0" w:color="auto"/>
              <w:right w:val="single" w:sz="4" w:space="0" w:color="auto"/>
            </w:tcBorders>
          </w:tcPr>
          <w:p w14:paraId="25562A2D"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2023.</w:t>
            </w:r>
          </w:p>
        </w:tc>
        <w:tc>
          <w:tcPr>
            <w:tcW w:w="629" w:type="pct"/>
            <w:tcBorders>
              <w:top w:val="single" w:sz="4" w:space="0" w:color="auto"/>
              <w:left w:val="single" w:sz="4" w:space="0" w:color="auto"/>
              <w:bottom w:val="single" w:sz="4" w:space="0" w:color="auto"/>
              <w:right w:val="single" w:sz="4" w:space="0" w:color="auto"/>
            </w:tcBorders>
          </w:tcPr>
          <w:p w14:paraId="759CD44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1C881F54"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2D269F46"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3DB91E64"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01CFB3A1" w14:textId="77777777" w:rsidR="00497092" w:rsidRPr="00644F20" w:rsidRDefault="00497092">
            <w:pPr>
              <w:spacing w:after="60" w:line="240" w:lineRule="auto"/>
              <w:rPr>
                <w:rFonts w:ascii="Times New Roman" w:eastAsia="Calibri" w:hAnsi="Times New Roman" w:cs="Times New Roman"/>
                <w:lang w:val="sr-Cyrl-CS"/>
              </w:rPr>
            </w:pPr>
          </w:p>
        </w:tc>
      </w:tr>
      <w:tr w:rsidR="00497092" w:rsidRPr="00644F20" w14:paraId="19BDB390"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3F94E21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 xml:space="preserve">4.5.3. Организација стручних  скупова о ЕMAS и Еко знаку у циљу даље промоције </w:t>
            </w:r>
          </w:p>
        </w:tc>
        <w:tc>
          <w:tcPr>
            <w:tcW w:w="458" w:type="pct"/>
            <w:tcBorders>
              <w:top w:val="single" w:sz="4" w:space="0" w:color="auto"/>
              <w:left w:val="single" w:sz="4" w:space="0" w:color="auto"/>
              <w:bottom w:val="single" w:sz="4" w:space="0" w:color="auto"/>
              <w:right w:val="single" w:sz="4" w:space="0" w:color="auto"/>
            </w:tcBorders>
          </w:tcPr>
          <w:p w14:paraId="4DB2E054"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6254CB08"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ПКС</w:t>
            </w:r>
          </w:p>
          <w:p w14:paraId="69FDEDE9"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ОЦД</w:t>
            </w:r>
          </w:p>
        </w:tc>
        <w:tc>
          <w:tcPr>
            <w:tcW w:w="464" w:type="pct"/>
            <w:tcBorders>
              <w:top w:val="single" w:sz="4" w:space="0" w:color="auto"/>
              <w:left w:val="single" w:sz="4" w:space="0" w:color="auto"/>
              <w:bottom w:val="single" w:sz="4" w:space="0" w:color="auto"/>
              <w:right w:val="single" w:sz="4" w:space="0" w:color="auto"/>
            </w:tcBorders>
          </w:tcPr>
          <w:p w14:paraId="4D9CF516"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2024.</w:t>
            </w:r>
          </w:p>
          <w:p w14:paraId="197326FC" w14:textId="77777777" w:rsidR="00497092" w:rsidRPr="00644F20" w:rsidRDefault="00497092">
            <w:pPr>
              <w:spacing w:after="60" w:line="240" w:lineRule="auto"/>
              <w:rPr>
                <w:rFonts w:ascii="Times New Roman" w:eastAsia="Calibri" w:hAnsi="Times New Roman" w:cs="Times New Roman"/>
                <w:lang w:val="sr-Cyrl-CS"/>
              </w:rPr>
            </w:pPr>
          </w:p>
        </w:tc>
        <w:tc>
          <w:tcPr>
            <w:tcW w:w="629" w:type="pct"/>
            <w:tcBorders>
              <w:top w:val="single" w:sz="4" w:space="0" w:color="auto"/>
              <w:left w:val="single" w:sz="4" w:space="0" w:color="auto"/>
              <w:bottom w:val="single" w:sz="4" w:space="0" w:color="auto"/>
              <w:right w:val="single" w:sz="4" w:space="0" w:color="auto"/>
            </w:tcBorders>
          </w:tcPr>
          <w:p w14:paraId="71AB4ACA" w14:textId="77777777" w:rsidR="00497092" w:rsidRPr="00644F20" w:rsidRDefault="002F45E1">
            <w:pPr>
              <w:spacing w:after="60" w:line="240" w:lineRule="auto"/>
              <w:rPr>
                <w:rFonts w:ascii="Times New Roman" w:eastAsia="Calibri"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53611EE5" w14:textId="77777777" w:rsidR="00497092" w:rsidRPr="00644F20" w:rsidRDefault="00497092">
            <w:pPr>
              <w:spacing w:after="60" w:line="240" w:lineRule="auto"/>
              <w:rPr>
                <w:rFonts w:ascii="Times New Roman" w:eastAsia="Calibri" w:hAnsi="Times New Roman" w:cs="Times New Roman"/>
                <w:lang w:val="sr-Cyrl-CS"/>
              </w:rPr>
            </w:pPr>
          </w:p>
        </w:tc>
        <w:tc>
          <w:tcPr>
            <w:tcW w:w="498" w:type="pct"/>
            <w:tcBorders>
              <w:top w:val="single" w:sz="4" w:space="0" w:color="auto"/>
              <w:left w:val="single" w:sz="4" w:space="0" w:color="auto"/>
              <w:bottom w:val="single" w:sz="4" w:space="0" w:color="auto"/>
              <w:right w:val="single" w:sz="4" w:space="0" w:color="auto"/>
            </w:tcBorders>
          </w:tcPr>
          <w:p w14:paraId="4FEB063D" w14:textId="77777777" w:rsidR="00497092" w:rsidRPr="00644F20" w:rsidRDefault="00497092">
            <w:pPr>
              <w:spacing w:after="60" w:line="240" w:lineRule="auto"/>
              <w:rPr>
                <w:rFonts w:ascii="Times New Roman" w:eastAsia="Calibri"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065B4434" w14:textId="77777777" w:rsidR="00497092" w:rsidRPr="00644F20" w:rsidRDefault="00497092">
            <w:pPr>
              <w:spacing w:after="60" w:line="240" w:lineRule="auto"/>
              <w:rPr>
                <w:rFonts w:ascii="Times New Roman" w:eastAsia="Calibri"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765443E6" w14:textId="77777777" w:rsidR="00497092" w:rsidRPr="00644F20" w:rsidRDefault="00497092">
            <w:pPr>
              <w:spacing w:after="60" w:line="240" w:lineRule="auto"/>
              <w:rPr>
                <w:rFonts w:ascii="Times New Roman" w:eastAsia="Calibri" w:hAnsi="Times New Roman" w:cs="Times New Roman"/>
                <w:lang w:val="sr-Cyrl-CS"/>
              </w:rPr>
            </w:pPr>
          </w:p>
        </w:tc>
      </w:tr>
    </w:tbl>
    <w:p w14:paraId="1D9E4919" w14:textId="77777777" w:rsidR="00497092" w:rsidRPr="00644F20" w:rsidRDefault="00497092">
      <w:pPr>
        <w:spacing w:after="0" w:line="240" w:lineRule="auto"/>
        <w:rPr>
          <w:rFonts w:ascii="Times New Roman" w:hAnsi="Times New Roman" w:cs="Times New Roman"/>
          <w:lang w:val="sr-Cyrl-CS"/>
        </w:rPr>
      </w:pPr>
    </w:p>
    <w:p w14:paraId="5C66F6E2" w14:textId="77777777" w:rsidR="00497092" w:rsidRPr="00644F20" w:rsidRDefault="00497092">
      <w:pPr>
        <w:spacing w:after="0" w:line="240" w:lineRule="auto"/>
        <w:rPr>
          <w:rFonts w:ascii="Times New Roman" w:hAnsi="Times New Roman" w:cs="Times New Roman"/>
          <w:lang w:val="sr-Cyrl-CS"/>
        </w:rPr>
      </w:pPr>
    </w:p>
    <w:tbl>
      <w:tblPr>
        <w:tblStyle w:val="TableGrid"/>
        <w:tblW w:w="13755" w:type="dxa"/>
        <w:tblInd w:w="10" w:type="dxa"/>
        <w:tblLayout w:type="fixed"/>
        <w:tblLook w:val="04A0" w:firstRow="1" w:lastRow="0" w:firstColumn="1" w:lastColumn="0" w:noHBand="0" w:noVBand="1"/>
      </w:tblPr>
      <w:tblGrid>
        <w:gridCol w:w="3136"/>
        <w:gridCol w:w="1442"/>
        <w:gridCol w:w="1367"/>
        <w:gridCol w:w="1743"/>
        <w:gridCol w:w="1657"/>
        <w:gridCol w:w="1668"/>
        <w:gridCol w:w="1701"/>
        <w:gridCol w:w="1041"/>
      </w:tblGrid>
      <w:tr w:rsidR="00497092" w:rsidRPr="00644F20" w14:paraId="05A8C624" w14:textId="77777777" w:rsidTr="009F738C">
        <w:trPr>
          <w:trHeight w:val="320"/>
        </w:trPr>
        <w:tc>
          <w:tcPr>
            <w:tcW w:w="13755"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tcPr>
          <w:p w14:paraId="751A1BC8"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Посебан циљ 5: Подизање свести заинтересоване јавности и образовних институција о концепту циркуларне економије</w:t>
            </w:r>
          </w:p>
        </w:tc>
      </w:tr>
      <w:tr w:rsidR="00497092" w:rsidRPr="00644F20" w14:paraId="63B7611F" w14:textId="77777777" w:rsidTr="009F738C">
        <w:trPr>
          <w:trHeight w:val="320"/>
        </w:trPr>
        <w:tc>
          <w:tcPr>
            <w:tcW w:w="13755" w:type="dxa"/>
            <w:gridSpan w:val="8"/>
            <w:tcBorders>
              <w:top w:val="double" w:sz="4" w:space="0" w:color="auto"/>
              <w:left w:val="single" w:sz="4" w:space="0" w:color="auto"/>
              <w:bottom w:val="single" w:sz="4" w:space="0" w:color="auto"/>
              <w:right w:val="double" w:sz="4" w:space="0" w:color="auto"/>
            </w:tcBorders>
            <w:shd w:val="clear" w:color="auto" w:fill="C5E0B3" w:themeFill="accent6" w:themeFillTint="66"/>
            <w:vAlign w:val="center"/>
          </w:tcPr>
          <w:p w14:paraId="36C5F79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координацију и извештавање:</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p>
        </w:tc>
      </w:tr>
      <w:tr w:rsidR="00497092" w:rsidRPr="00644F20" w14:paraId="5870BFCA" w14:textId="77777777" w:rsidTr="009F738C">
        <w:trPr>
          <w:trHeight w:val="575"/>
        </w:trPr>
        <w:tc>
          <w:tcPr>
            <w:tcW w:w="3136"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D15CE3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посебног циља </w:t>
            </w:r>
            <w:r w:rsidRPr="00644F20">
              <w:rPr>
                <w:rFonts w:ascii="Times New Roman" w:hAnsi="Times New Roman" w:cs="Times New Roman"/>
                <w:i/>
                <w:lang w:val="sr-Cyrl-CS"/>
              </w:rPr>
              <w:t>(показатељ исхода)</w:t>
            </w:r>
          </w:p>
        </w:tc>
        <w:tc>
          <w:tcPr>
            <w:tcW w:w="1442"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1895A3D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3FBA88D4" w14:textId="77777777" w:rsidR="00497092" w:rsidRPr="00644F20" w:rsidRDefault="00497092">
            <w:pPr>
              <w:spacing w:after="60" w:line="240" w:lineRule="auto"/>
              <w:rPr>
                <w:rFonts w:ascii="Times New Roman" w:hAnsi="Times New Roman" w:cs="Times New Roman"/>
                <w:lang w:val="sr-Cyrl-CS"/>
              </w:rPr>
            </w:pPr>
          </w:p>
        </w:tc>
        <w:tc>
          <w:tcPr>
            <w:tcW w:w="136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220092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743"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20CED3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65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4F5708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668"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6EA0C0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2022.</w:t>
            </w:r>
          </w:p>
        </w:tc>
        <w:tc>
          <w:tcPr>
            <w:tcW w:w="1701"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BDC82D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2023.</w:t>
            </w:r>
          </w:p>
        </w:tc>
        <w:tc>
          <w:tcPr>
            <w:tcW w:w="104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15938C0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Циљaна вредност у 2024.</w:t>
            </w:r>
          </w:p>
        </w:tc>
      </w:tr>
      <w:tr w:rsidR="00497092" w:rsidRPr="00644F20" w14:paraId="62A47E85" w14:textId="77777777" w:rsidTr="009F738C">
        <w:trPr>
          <w:trHeight w:val="254"/>
        </w:trPr>
        <w:tc>
          <w:tcPr>
            <w:tcW w:w="3136" w:type="dxa"/>
            <w:tcBorders>
              <w:top w:val="double" w:sz="4" w:space="0" w:color="auto"/>
              <w:left w:val="single" w:sz="4" w:space="0" w:color="auto"/>
              <w:bottom w:val="double" w:sz="4" w:space="0" w:color="auto"/>
              <w:right w:val="single" w:sz="4" w:space="0" w:color="auto"/>
            </w:tcBorders>
            <w:shd w:val="clear" w:color="auto" w:fill="FFFFFF" w:themeFill="background1"/>
          </w:tcPr>
          <w:p w14:paraId="787A85E4"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реализованих кампања о ЦЕ</w:t>
            </w:r>
          </w:p>
        </w:tc>
        <w:tc>
          <w:tcPr>
            <w:tcW w:w="1442" w:type="dxa"/>
            <w:tcBorders>
              <w:top w:val="double" w:sz="4" w:space="0" w:color="auto"/>
              <w:left w:val="single" w:sz="4" w:space="0" w:color="auto"/>
              <w:bottom w:val="double" w:sz="4" w:space="0" w:color="auto"/>
              <w:right w:val="single" w:sz="4" w:space="0" w:color="auto"/>
            </w:tcBorders>
            <w:shd w:val="clear" w:color="auto" w:fill="FFFFFF" w:themeFill="background1"/>
          </w:tcPr>
          <w:p w14:paraId="0F6F700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1367" w:type="dxa"/>
            <w:tcBorders>
              <w:top w:val="double" w:sz="4" w:space="0" w:color="auto"/>
              <w:left w:val="single" w:sz="4" w:space="0" w:color="auto"/>
              <w:bottom w:val="double" w:sz="4" w:space="0" w:color="auto"/>
              <w:right w:val="single" w:sz="4" w:space="0" w:color="auto"/>
            </w:tcBorders>
            <w:shd w:val="clear" w:color="auto" w:fill="FFFFFF" w:themeFill="background1"/>
          </w:tcPr>
          <w:p w14:paraId="412A255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Извештај МЗЖС</w:t>
            </w:r>
          </w:p>
        </w:tc>
        <w:tc>
          <w:tcPr>
            <w:tcW w:w="1743" w:type="dxa"/>
            <w:tcBorders>
              <w:top w:val="double" w:sz="4" w:space="0" w:color="auto"/>
              <w:left w:val="single" w:sz="4" w:space="0" w:color="auto"/>
              <w:bottom w:val="double" w:sz="4" w:space="0" w:color="auto"/>
              <w:right w:val="single" w:sz="4" w:space="0" w:color="auto"/>
            </w:tcBorders>
            <w:shd w:val="clear" w:color="auto" w:fill="FFFFFF" w:themeFill="background1"/>
          </w:tcPr>
          <w:p w14:paraId="08E7888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657" w:type="dxa"/>
            <w:tcBorders>
              <w:top w:val="double" w:sz="4" w:space="0" w:color="auto"/>
              <w:left w:val="single" w:sz="4" w:space="0" w:color="auto"/>
              <w:bottom w:val="double" w:sz="4" w:space="0" w:color="auto"/>
              <w:right w:val="single" w:sz="4" w:space="0" w:color="auto"/>
            </w:tcBorders>
            <w:shd w:val="clear" w:color="auto" w:fill="FFFFFF" w:themeFill="background1"/>
          </w:tcPr>
          <w:p w14:paraId="356D313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68" w:type="dxa"/>
            <w:tcBorders>
              <w:top w:val="double" w:sz="4" w:space="0" w:color="auto"/>
              <w:left w:val="single" w:sz="4" w:space="0" w:color="auto"/>
              <w:bottom w:val="double" w:sz="4" w:space="0" w:color="auto"/>
              <w:right w:val="single" w:sz="4" w:space="0" w:color="auto"/>
            </w:tcBorders>
            <w:shd w:val="clear" w:color="auto" w:fill="FFFFFF" w:themeFill="background1"/>
          </w:tcPr>
          <w:p w14:paraId="39057E65"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single" w:sz="4" w:space="0" w:color="auto"/>
            </w:tcBorders>
            <w:shd w:val="clear" w:color="auto" w:fill="FFFFFF" w:themeFill="background1"/>
          </w:tcPr>
          <w:p w14:paraId="22CEAEC0"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041" w:type="dxa"/>
            <w:tcBorders>
              <w:top w:val="double" w:sz="4" w:space="0" w:color="auto"/>
              <w:left w:val="single" w:sz="4" w:space="0" w:color="auto"/>
              <w:bottom w:val="double" w:sz="4" w:space="0" w:color="auto"/>
              <w:right w:val="double" w:sz="4" w:space="0" w:color="auto"/>
            </w:tcBorders>
            <w:shd w:val="clear" w:color="auto" w:fill="FFFFFF" w:themeFill="background1"/>
          </w:tcPr>
          <w:p w14:paraId="6E12CF3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w:t>
            </w:r>
          </w:p>
        </w:tc>
      </w:tr>
    </w:tbl>
    <w:p w14:paraId="5B9692CD" w14:textId="77777777" w:rsidR="00497092" w:rsidRPr="00644F20" w:rsidRDefault="00497092">
      <w:pPr>
        <w:tabs>
          <w:tab w:val="left" w:pos="1940"/>
        </w:tabs>
        <w:spacing w:after="240" w:line="240" w:lineRule="auto"/>
        <w:rPr>
          <w:rFonts w:ascii="Times New Roman" w:hAnsi="Times New Roman" w:cs="Times New Roman"/>
          <w:lang w:val="sr-Cyrl-CS"/>
        </w:rPr>
      </w:pPr>
    </w:p>
    <w:tbl>
      <w:tblPr>
        <w:tblStyle w:val="TableGrid"/>
        <w:tblW w:w="13745" w:type="dxa"/>
        <w:tblInd w:w="10" w:type="dxa"/>
        <w:tblLayout w:type="fixed"/>
        <w:tblLook w:val="04A0" w:firstRow="1" w:lastRow="0" w:firstColumn="1" w:lastColumn="0" w:noHBand="0" w:noVBand="1"/>
      </w:tblPr>
      <w:tblGrid>
        <w:gridCol w:w="3149"/>
        <w:gridCol w:w="1344"/>
        <w:gridCol w:w="2409"/>
        <w:gridCol w:w="1134"/>
        <w:gridCol w:w="1304"/>
        <w:gridCol w:w="1673"/>
        <w:gridCol w:w="1701"/>
        <w:gridCol w:w="1031"/>
      </w:tblGrid>
      <w:tr w:rsidR="00497092" w:rsidRPr="00644F20" w14:paraId="72E35780" w14:textId="77777777" w:rsidTr="009F738C">
        <w:trPr>
          <w:trHeight w:val="169"/>
        </w:trPr>
        <w:tc>
          <w:tcPr>
            <w:tcW w:w="1374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3A8A9E2F"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lastRenderedPageBreak/>
              <w:t>Мера 5.1: Информисање и едукација заинтересоване јавности о концепту циркуларне економије и одрживом развоју</w:t>
            </w:r>
          </w:p>
        </w:tc>
      </w:tr>
      <w:tr w:rsidR="00497092" w:rsidRPr="00644F20" w14:paraId="2D649E62" w14:textId="77777777" w:rsidTr="009F738C">
        <w:trPr>
          <w:trHeight w:val="300"/>
        </w:trPr>
        <w:tc>
          <w:tcPr>
            <w:tcW w:w="1374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6A0AEF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 xml:space="preserve">Институција одговорна за реализацију: </w:t>
            </w:r>
            <w:r w:rsidR="001B6E66" w:rsidRPr="00644F20">
              <w:rPr>
                <w:rFonts w:ascii="Times New Roman" w:eastAsia="Times New Roman" w:hAnsi="Times New Roman" w:cs="Times New Roman"/>
                <w:lang w:val="sr-Cyrl-CS"/>
              </w:rPr>
              <w:t>МЗЖС</w:t>
            </w:r>
          </w:p>
        </w:tc>
      </w:tr>
      <w:tr w:rsidR="00497092" w:rsidRPr="00644F20" w14:paraId="038CB054" w14:textId="77777777" w:rsidTr="009F738C">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1CE3F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Период спровођења: 2022 – 2024. </w:t>
            </w:r>
          </w:p>
        </w:tc>
        <w:tc>
          <w:tcPr>
            <w:tcW w:w="684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762C78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4AAC9FEF" w14:textId="77777777" w:rsidTr="009F738C">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75541C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684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CC9897F"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558866CC" w14:textId="77777777" w:rsidTr="009F738C">
        <w:trPr>
          <w:trHeight w:val="955"/>
        </w:trPr>
        <w:tc>
          <w:tcPr>
            <w:tcW w:w="314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5B8062A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34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755577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50085B6C" w14:textId="77777777" w:rsidR="00497092" w:rsidRPr="00644F20" w:rsidRDefault="00497092">
            <w:pPr>
              <w:spacing w:after="60" w:line="240" w:lineRule="auto"/>
              <w:rPr>
                <w:rFonts w:ascii="Times New Roman" w:hAnsi="Times New Roman" w:cs="Times New Roman"/>
                <w:lang w:val="sr-Cyrl-CS"/>
              </w:rPr>
            </w:pPr>
          </w:p>
        </w:tc>
        <w:tc>
          <w:tcPr>
            <w:tcW w:w="2409"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6BA8221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13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C31913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30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49DE82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673"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8DF872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70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725056A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103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0F19381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26DCD3AF" w14:textId="77777777" w:rsidTr="009F738C">
        <w:trPr>
          <w:trHeight w:val="304"/>
        </w:trPr>
        <w:tc>
          <w:tcPr>
            <w:tcW w:w="3149" w:type="dxa"/>
            <w:tcBorders>
              <w:top w:val="double" w:sz="4" w:space="0" w:color="auto"/>
              <w:left w:val="single" w:sz="4" w:space="0" w:color="auto"/>
              <w:bottom w:val="double" w:sz="4" w:space="0" w:color="auto"/>
              <w:right w:val="single" w:sz="4" w:space="0" w:color="auto"/>
            </w:tcBorders>
            <w:shd w:val="clear" w:color="auto" w:fill="FFFFFF" w:themeFill="background1"/>
          </w:tcPr>
          <w:p w14:paraId="6CDC87A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Израђен План подизања свести заинтересоване јавности о ЦЕ и одрживом развоју</w:t>
            </w:r>
          </w:p>
        </w:tc>
        <w:tc>
          <w:tcPr>
            <w:tcW w:w="1344" w:type="dxa"/>
            <w:tcBorders>
              <w:top w:val="double" w:sz="4" w:space="0" w:color="auto"/>
              <w:left w:val="single" w:sz="4" w:space="0" w:color="auto"/>
              <w:bottom w:val="double" w:sz="4" w:space="0" w:color="auto"/>
              <w:right w:val="single" w:sz="4" w:space="0" w:color="auto"/>
            </w:tcBorders>
            <w:shd w:val="clear" w:color="auto" w:fill="FFFFFF" w:themeFill="background1"/>
          </w:tcPr>
          <w:p w14:paraId="634D394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Да/Не</w:t>
            </w:r>
          </w:p>
        </w:tc>
        <w:tc>
          <w:tcPr>
            <w:tcW w:w="2409" w:type="dxa"/>
            <w:tcBorders>
              <w:top w:val="double" w:sz="4" w:space="0" w:color="auto"/>
              <w:left w:val="single" w:sz="4" w:space="0" w:color="auto"/>
              <w:bottom w:val="double" w:sz="4" w:space="0" w:color="auto"/>
              <w:right w:val="single" w:sz="4" w:space="0" w:color="auto"/>
            </w:tcBorders>
            <w:shd w:val="clear" w:color="auto" w:fill="FFFFFF" w:themeFill="background1"/>
          </w:tcPr>
          <w:p w14:paraId="249B65B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789AAA5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Не</w:t>
            </w:r>
          </w:p>
        </w:tc>
        <w:tc>
          <w:tcPr>
            <w:tcW w:w="1304" w:type="dxa"/>
            <w:tcBorders>
              <w:top w:val="double" w:sz="4" w:space="0" w:color="auto"/>
              <w:left w:val="single" w:sz="4" w:space="0" w:color="auto"/>
              <w:bottom w:val="double" w:sz="4" w:space="0" w:color="auto"/>
              <w:right w:val="single" w:sz="4" w:space="0" w:color="auto"/>
            </w:tcBorders>
            <w:shd w:val="clear" w:color="auto" w:fill="FFFFFF" w:themeFill="background1"/>
          </w:tcPr>
          <w:p w14:paraId="6085018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73" w:type="dxa"/>
            <w:tcBorders>
              <w:top w:val="double" w:sz="4" w:space="0" w:color="auto"/>
              <w:left w:val="single" w:sz="4" w:space="0" w:color="auto"/>
              <w:bottom w:val="double" w:sz="4" w:space="0" w:color="auto"/>
              <w:right w:val="single" w:sz="4" w:space="0" w:color="auto"/>
            </w:tcBorders>
            <w:shd w:val="clear" w:color="auto" w:fill="FFFFFF" w:themeFill="background1"/>
          </w:tcPr>
          <w:p w14:paraId="6997732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Да</w:t>
            </w: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7228747B"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031" w:type="dxa"/>
            <w:tcBorders>
              <w:top w:val="double" w:sz="4" w:space="0" w:color="auto"/>
              <w:left w:val="single" w:sz="4" w:space="0" w:color="auto"/>
              <w:bottom w:val="double" w:sz="4" w:space="0" w:color="auto"/>
              <w:right w:val="double" w:sz="4" w:space="0" w:color="auto"/>
            </w:tcBorders>
            <w:shd w:val="clear" w:color="auto" w:fill="FFFFFF" w:themeFill="background1"/>
          </w:tcPr>
          <w:p w14:paraId="15097511"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r>
      <w:tr w:rsidR="00497092" w:rsidRPr="00644F20" w14:paraId="142D1A66" w14:textId="77777777" w:rsidTr="009F738C">
        <w:trPr>
          <w:trHeight w:val="304"/>
        </w:trPr>
        <w:tc>
          <w:tcPr>
            <w:tcW w:w="3149" w:type="dxa"/>
            <w:tcBorders>
              <w:top w:val="double" w:sz="4" w:space="0" w:color="auto"/>
              <w:left w:val="single" w:sz="4" w:space="0" w:color="auto"/>
              <w:bottom w:val="double" w:sz="4" w:space="0" w:color="auto"/>
              <w:right w:val="single" w:sz="4" w:space="0" w:color="auto"/>
            </w:tcBorders>
            <w:shd w:val="clear" w:color="auto" w:fill="FFFFFF" w:themeFill="background1"/>
          </w:tcPr>
          <w:p w14:paraId="00B1B77F"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Укупан број одржаних догађаја у оквиру реализације Плана за заинтересовану јавност  на којима се промовише ЦЕ </w:t>
            </w:r>
          </w:p>
        </w:tc>
        <w:tc>
          <w:tcPr>
            <w:tcW w:w="1344" w:type="dxa"/>
            <w:tcBorders>
              <w:top w:val="double" w:sz="4" w:space="0" w:color="auto"/>
              <w:left w:val="single" w:sz="4" w:space="0" w:color="auto"/>
              <w:bottom w:val="double" w:sz="4" w:space="0" w:color="auto"/>
              <w:right w:val="single" w:sz="4" w:space="0" w:color="auto"/>
            </w:tcBorders>
            <w:shd w:val="clear" w:color="auto" w:fill="FFFFFF" w:themeFill="background1"/>
          </w:tcPr>
          <w:p w14:paraId="3CD92B39"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09" w:type="dxa"/>
            <w:tcBorders>
              <w:top w:val="double" w:sz="4" w:space="0" w:color="auto"/>
              <w:left w:val="single" w:sz="4" w:space="0" w:color="auto"/>
              <w:bottom w:val="double" w:sz="4" w:space="0" w:color="auto"/>
              <w:right w:val="single" w:sz="4" w:space="0" w:color="auto"/>
            </w:tcBorders>
            <w:shd w:val="clear" w:color="auto" w:fill="FFFFFF" w:themeFill="background1"/>
          </w:tcPr>
          <w:p w14:paraId="725C0A5D"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Извештај МЗЖС</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5006833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304" w:type="dxa"/>
            <w:tcBorders>
              <w:top w:val="double" w:sz="4" w:space="0" w:color="auto"/>
              <w:left w:val="single" w:sz="4" w:space="0" w:color="auto"/>
              <w:bottom w:val="double" w:sz="4" w:space="0" w:color="auto"/>
              <w:right w:val="single" w:sz="4" w:space="0" w:color="auto"/>
            </w:tcBorders>
            <w:shd w:val="clear" w:color="auto" w:fill="FFFFFF" w:themeFill="background1"/>
          </w:tcPr>
          <w:p w14:paraId="24E5223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73" w:type="dxa"/>
            <w:tcBorders>
              <w:top w:val="double" w:sz="4" w:space="0" w:color="auto"/>
              <w:left w:val="single" w:sz="4" w:space="0" w:color="auto"/>
              <w:bottom w:val="double" w:sz="4" w:space="0" w:color="auto"/>
              <w:right w:val="single" w:sz="4" w:space="0" w:color="auto"/>
            </w:tcBorders>
            <w:shd w:val="clear" w:color="auto" w:fill="FFFFFF" w:themeFill="background1"/>
          </w:tcPr>
          <w:p w14:paraId="055E38C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w:t>
            </w: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0AB5D96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6</w:t>
            </w:r>
          </w:p>
        </w:tc>
        <w:tc>
          <w:tcPr>
            <w:tcW w:w="1031" w:type="dxa"/>
            <w:tcBorders>
              <w:top w:val="double" w:sz="4" w:space="0" w:color="auto"/>
              <w:left w:val="single" w:sz="4" w:space="0" w:color="auto"/>
              <w:bottom w:val="double" w:sz="4" w:space="0" w:color="auto"/>
              <w:right w:val="double" w:sz="4" w:space="0" w:color="auto"/>
            </w:tcBorders>
            <w:shd w:val="clear" w:color="auto" w:fill="FFFFFF" w:themeFill="background1"/>
          </w:tcPr>
          <w:p w14:paraId="7D612DF5"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10</w:t>
            </w:r>
          </w:p>
        </w:tc>
      </w:tr>
    </w:tbl>
    <w:p w14:paraId="215A816A" w14:textId="77777777" w:rsidR="00497092" w:rsidRPr="00644F20" w:rsidRDefault="00497092">
      <w:pPr>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665"/>
        <w:gridCol w:w="2778"/>
        <w:gridCol w:w="2869"/>
        <w:gridCol w:w="2543"/>
        <w:gridCol w:w="1980"/>
      </w:tblGrid>
      <w:tr w:rsidR="00497092" w:rsidRPr="00644F20" w14:paraId="5C8B7A73" w14:textId="77777777" w:rsidTr="009F738C">
        <w:trPr>
          <w:trHeight w:val="270"/>
        </w:trPr>
        <w:tc>
          <w:tcPr>
            <w:tcW w:w="3665"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2823887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7637FA19" w14:textId="77777777" w:rsidR="00497092" w:rsidRPr="00644F20" w:rsidRDefault="00497092">
            <w:pPr>
              <w:spacing w:after="60" w:line="240" w:lineRule="auto"/>
              <w:rPr>
                <w:rFonts w:ascii="Times New Roman" w:hAnsi="Times New Roman" w:cs="Times New Roman"/>
                <w:lang w:val="sr-Cyrl-CS"/>
              </w:rPr>
            </w:pPr>
          </w:p>
        </w:tc>
        <w:tc>
          <w:tcPr>
            <w:tcW w:w="2778" w:type="dxa"/>
            <w:vMerge w:val="restart"/>
            <w:tcBorders>
              <w:top w:val="single" w:sz="4" w:space="0" w:color="auto"/>
              <w:left w:val="double" w:sz="4" w:space="0" w:color="auto"/>
              <w:bottom w:val="double" w:sz="4" w:space="0" w:color="auto"/>
              <w:right w:val="double" w:sz="4" w:space="0" w:color="auto"/>
            </w:tcBorders>
            <w:shd w:val="clear" w:color="auto" w:fill="A8D08D" w:themeFill="accent6" w:themeFillTint="99"/>
          </w:tcPr>
          <w:p w14:paraId="5C82975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18F544B8" w14:textId="77777777" w:rsidR="00497092" w:rsidRPr="00644F20" w:rsidRDefault="00497092">
            <w:pPr>
              <w:spacing w:after="60" w:line="240" w:lineRule="auto"/>
              <w:rPr>
                <w:rFonts w:ascii="Times New Roman" w:hAnsi="Times New Roman" w:cs="Times New Roman"/>
                <w:lang w:val="sr-Cyrl-CS"/>
              </w:rPr>
            </w:pPr>
          </w:p>
        </w:tc>
        <w:tc>
          <w:tcPr>
            <w:tcW w:w="739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45A0556"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31DDA008" w14:textId="77777777" w:rsidTr="009F738C">
        <w:trPr>
          <w:trHeight w:val="270"/>
        </w:trPr>
        <w:tc>
          <w:tcPr>
            <w:tcW w:w="3665" w:type="dxa"/>
            <w:vMerge/>
            <w:tcBorders>
              <w:top w:val="single" w:sz="4" w:space="0" w:color="auto"/>
              <w:left w:val="double" w:sz="4" w:space="0" w:color="auto"/>
              <w:bottom w:val="single" w:sz="4" w:space="0" w:color="auto"/>
              <w:right w:val="double" w:sz="4" w:space="0" w:color="auto"/>
            </w:tcBorders>
            <w:vAlign w:val="center"/>
          </w:tcPr>
          <w:p w14:paraId="6DE56F2F" w14:textId="77777777" w:rsidR="00497092" w:rsidRPr="00644F20" w:rsidRDefault="00497092">
            <w:pPr>
              <w:spacing w:after="0" w:line="240" w:lineRule="auto"/>
              <w:rPr>
                <w:rFonts w:ascii="Times New Roman" w:hAnsi="Times New Roman" w:cs="Times New Roman"/>
                <w:lang w:val="sr-Cyrl-CS"/>
              </w:rPr>
            </w:pPr>
          </w:p>
        </w:tc>
        <w:tc>
          <w:tcPr>
            <w:tcW w:w="2778" w:type="dxa"/>
            <w:vMerge/>
            <w:tcBorders>
              <w:top w:val="single" w:sz="4" w:space="0" w:color="auto"/>
              <w:left w:val="double" w:sz="4" w:space="0" w:color="auto"/>
              <w:bottom w:val="double" w:sz="4" w:space="0" w:color="auto"/>
              <w:right w:val="double" w:sz="4" w:space="0" w:color="auto"/>
            </w:tcBorders>
            <w:vAlign w:val="center"/>
          </w:tcPr>
          <w:p w14:paraId="15E73D03" w14:textId="77777777" w:rsidR="00497092" w:rsidRPr="00644F20" w:rsidRDefault="00497092">
            <w:pPr>
              <w:spacing w:after="0" w:line="240" w:lineRule="auto"/>
              <w:rPr>
                <w:rFonts w:ascii="Times New Roman" w:hAnsi="Times New Roman" w:cs="Times New Roman"/>
                <w:lang w:val="sr-Cyrl-CS"/>
              </w:rPr>
            </w:pPr>
          </w:p>
        </w:tc>
        <w:tc>
          <w:tcPr>
            <w:tcW w:w="28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31C54F5"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54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0F4360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19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3C9DAD9"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58FBC8B4" w14:textId="77777777" w:rsidTr="009F738C">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1E512DA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 - Смањење угљеничног отиска локалних заједница применом принципа циркуларне економије у Р</w:t>
            </w:r>
            <w:r w:rsidR="004D0736" w:rsidRPr="00644F20">
              <w:rPr>
                <w:rFonts w:ascii="Times New Roman" w:hAnsi="Times New Roman" w:cs="Times New Roman"/>
                <w:lang w:val="sr-Cyrl-CS"/>
              </w:rPr>
              <w:t xml:space="preserve">епублици </w:t>
            </w:r>
            <w:r w:rsidRPr="00644F20">
              <w:rPr>
                <w:rFonts w:ascii="Times New Roman" w:hAnsi="Times New Roman" w:cs="Times New Roman"/>
                <w:lang w:val="sr-Cyrl-CS"/>
              </w:rPr>
              <w:t>С</w:t>
            </w:r>
            <w:r w:rsidR="004D0736" w:rsidRPr="00644F20">
              <w:rPr>
                <w:rFonts w:ascii="Times New Roman" w:hAnsi="Times New Roman" w:cs="Times New Roman"/>
                <w:lang w:val="sr-Cyrl-CS"/>
              </w:rPr>
              <w:t>рбији</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2B50EB8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0405-4011</w:t>
            </w: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5A67A88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1.200</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55B915C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1.200</w:t>
            </w:r>
          </w:p>
        </w:tc>
        <w:tc>
          <w:tcPr>
            <w:tcW w:w="1980" w:type="dxa"/>
            <w:tcBorders>
              <w:top w:val="single" w:sz="4" w:space="0" w:color="auto"/>
              <w:left w:val="double" w:sz="4" w:space="0" w:color="auto"/>
              <w:bottom w:val="double" w:sz="4" w:space="0" w:color="auto"/>
              <w:right w:val="double" w:sz="4" w:space="0" w:color="auto"/>
            </w:tcBorders>
            <w:shd w:val="clear" w:color="auto" w:fill="FFFFFF" w:themeFill="background1"/>
          </w:tcPr>
          <w:p w14:paraId="3884C80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1.200</w:t>
            </w:r>
          </w:p>
        </w:tc>
      </w:tr>
      <w:tr w:rsidR="00497092" w:rsidRPr="00644F20" w14:paraId="65ED57C3" w14:textId="77777777" w:rsidTr="009F738C">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E4F98C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5EA3E526" w14:textId="77777777" w:rsidR="00497092" w:rsidRPr="00644F20" w:rsidRDefault="00497092">
            <w:pPr>
              <w:spacing w:after="60" w:line="240" w:lineRule="auto"/>
              <w:rPr>
                <w:rFonts w:ascii="Times New Roman" w:hAnsi="Times New Roman" w:cs="Times New Roman"/>
                <w:lang w:val="sr-Cyrl-CS"/>
              </w:rPr>
            </w:pPr>
          </w:p>
        </w:tc>
        <w:tc>
          <w:tcPr>
            <w:tcW w:w="2869" w:type="dxa"/>
            <w:tcBorders>
              <w:top w:val="single" w:sz="4" w:space="0" w:color="auto"/>
              <w:left w:val="double" w:sz="4" w:space="0" w:color="auto"/>
              <w:bottom w:val="double" w:sz="4" w:space="0" w:color="auto"/>
              <w:right w:val="double" w:sz="4" w:space="0" w:color="auto"/>
            </w:tcBorders>
            <w:shd w:val="clear" w:color="auto" w:fill="FFFFFF" w:themeFill="background1"/>
          </w:tcPr>
          <w:p w14:paraId="509AD61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300</w:t>
            </w:r>
          </w:p>
        </w:tc>
        <w:tc>
          <w:tcPr>
            <w:tcW w:w="2543" w:type="dxa"/>
            <w:tcBorders>
              <w:top w:val="single" w:sz="4" w:space="0" w:color="auto"/>
              <w:left w:val="double" w:sz="4" w:space="0" w:color="auto"/>
              <w:bottom w:val="double" w:sz="4" w:space="0" w:color="auto"/>
              <w:right w:val="double" w:sz="4" w:space="0" w:color="auto"/>
            </w:tcBorders>
            <w:shd w:val="clear" w:color="auto" w:fill="FFFFFF" w:themeFill="background1"/>
          </w:tcPr>
          <w:p w14:paraId="5F152BA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300</w:t>
            </w:r>
          </w:p>
        </w:tc>
        <w:tc>
          <w:tcPr>
            <w:tcW w:w="1980" w:type="dxa"/>
            <w:tcBorders>
              <w:top w:val="single" w:sz="4" w:space="0" w:color="auto"/>
              <w:left w:val="double" w:sz="4" w:space="0" w:color="auto"/>
              <w:bottom w:val="double" w:sz="4" w:space="0" w:color="auto"/>
              <w:right w:val="double" w:sz="4" w:space="0" w:color="auto"/>
            </w:tcBorders>
            <w:shd w:val="clear" w:color="auto" w:fill="FFFFFF" w:themeFill="background1"/>
          </w:tcPr>
          <w:p w14:paraId="4A381E4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300</w:t>
            </w:r>
          </w:p>
        </w:tc>
      </w:tr>
    </w:tbl>
    <w:p w14:paraId="5D4CBDDD" w14:textId="77777777" w:rsidR="00497092" w:rsidRPr="00644F20" w:rsidRDefault="00497092">
      <w:pPr>
        <w:rPr>
          <w:rFonts w:ascii="Times New Roman" w:hAnsi="Times New Roman" w:cs="Times New Roman"/>
          <w:lang w:val="sr-Cyrl-CS"/>
        </w:rPr>
      </w:pPr>
    </w:p>
    <w:p w14:paraId="641CA1F2" w14:textId="77777777" w:rsidR="00220394" w:rsidRPr="00644F20" w:rsidRDefault="00220394">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24"/>
        <w:gridCol w:w="1160"/>
        <w:gridCol w:w="1339"/>
        <w:gridCol w:w="1278"/>
        <w:gridCol w:w="1490"/>
        <w:gridCol w:w="1453"/>
        <w:gridCol w:w="1087"/>
        <w:gridCol w:w="1150"/>
        <w:gridCol w:w="1271"/>
      </w:tblGrid>
      <w:tr w:rsidR="00497092" w:rsidRPr="00644F20" w14:paraId="7C1CF952"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397DB8E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Назив активности:</w:t>
            </w:r>
          </w:p>
        </w:tc>
        <w:tc>
          <w:tcPr>
            <w:tcW w:w="458"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272A3BC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53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A44D37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25"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D70FAE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2557F9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50D061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tc>
        <w:tc>
          <w:tcPr>
            <w:tcW w:w="1529"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4FAEB32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4BF96486"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7E95CA87"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387941A"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3499B6A"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09DBEF8D"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5581B6FC"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6C55B550" w14:textId="77777777" w:rsidR="00497092" w:rsidRPr="00644F20" w:rsidRDefault="00497092">
            <w:pPr>
              <w:spacing w:after="0" w:line="240" w:lineRule="auto"/>
              <w:rPr>
                <w:rFonts w:ascii="Times New Roman" w:hAnsi="Times New Roman" w:cs="Times New Roman"/>
                <w:lang w:val="sr-Cyrl-CS"/>
              </w:rPr>
            </w:pPr>
          </w:p>
        </w:tc>
        <w:tc>
          <w:tcPr>
            <w:tcW w:w="497"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19C11D"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492"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12438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540"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B5BBF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1F5042F7"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3992488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5.1.1. Израда Плана  кампање подизања свести о концепту ЦЕ  и одрживом развоју за  заинтересовану јавност</w:t>
            </w:r>
          </w:p>
        </w:tc>
        <w:tc>
          <w:tcPr>
            <w:tcW w:w="458" w:type="pct"/>
            <w:tcBorders>
              <w:top w:val="single" w:sz="4" w:space="0" w:color="auto"/>
              <w:left w:val="single" w:sz="4" w:space="0" w:color="auto"/>
              <w:bottom w:val="single" w:sz="4" w:space="0" w:color="auto"/>
              <w:right w:val="single" w:sz="4" w:space="0" w:color="auto"/>
            </w:tcBorders>
          </w:tcPr>
          <w:p w14:paraId="3BF4AFA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36" w:type="pct"/>
            <w:tcBorders>
              <w:top w:val="single" w:sz="4" w:space="0" w:color="auto"/>
              <w:left w:val="single" w:sz="4" w:space="0" w:color="auto"/>
              <w:bottom w:val="single" w:sz="4" w:space="0" w:color="auto"/>
              <w:right w:val="single" w:sz="4" w:space="0" w:color="auto"/>
            </w:tcBorders>
          </w:tcPr>
          <w:p w14:paraId="35030F8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МУСТ</w:t>
            </w:r>
          </w:p>
          <w:p w14:paraId="5178806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Удружења потрошача</w:t>
            </w:r>
          </w:p>
          <w:p w14:paraId="16E36DC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2DF81EA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ОЦД</w:t>
            </w:r>
          </w:p>
        </w:tc>
        <w:tc>
          <w:tcPr>
            <w:tcW w:w="425" w:type="pct"/>
            <w:tcBorders>
              <w:top w:val="single" w:sz="4" w:space="0" w:color="auto"/>
              <w:left w:val="single" w:sz="4" w:space="0" w:color="auto"/>
              <w:bottom w:val="single" w:sz="4" w:space="0" w:color="auto"/>
              <w:right w:val="single" w:sz="4" w:space="0" w:color="auto"/>
            </w:tcBorders>
          </w:tcPr>
          <w:p w14:paraId="22BCA39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2022.</w:t>
            </w:r>
          </w:p>
        </w:tc>
        <w:tc>
          <w:tcPr>
            <w:tcW w:w="629" w:type="pct"/>
            <w:tcBorders>
              <w:top w:val="single" w:sz="4" w:space="0" w:color="auto"/>
              <w:left w:val="single" w:sz="4" w:space="0" w:color="auto"/>
              <w:bottom w:val="single" w:sz="4" w:space="0" w:color="auto"/>
              <w:right w:val="single" w:sz="4" w:space="0" w:color="auto"/>
            </w:tcBorders>
          </w:tcPr>
          <w:p w14:paraId="39DCB72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636BA1E5" w14:textId="77777777" w:rsidR="00497092" w:rsidRPr="00644F20" w:rsidRDefault="00497092">
            <w:pPr>
              <w:spacing w:after="60" w:line="240" w:lineRule="auto"/>
              <w:rPr>
                <w:rFonts w:ascii="Times New Roman" w:hAnsi="Times New Roman" w:cs="Times New Roman"/>
                <w:lang w:val="sr-Cyrl-CS"/>
              </w:rPr>
            </w:pPr>
          </w:p>
        </w:tc>
        <w:tc>
          <w:tcPr>
            <w:tcW w:w="497" w:type="pct"/>
            <w:tcBorders>
              <w:top w:val="single" w:sz="4" w:space="0" w:color="auto"/>
              <w:left w:val="single" w:sz="4" w:space="0" w:color="auto"/>
              <w:bottom w:val="single" w:sz="4" w:space="0" w:color="auto"/>
              <w:right w:val="single" w:sz="4" w:space="0" w:color="auto"/>
            </w:tcBorders>
          </w:tcPr>
          <w:p w14:paraId="332EADA7" w14:textId="77777777" w:rsidR="00497092" w:rsidRPr="00644F20" w:rsidRDefault="00497092">
            <w:pPr>
              <w:spacing w:after="60" w:line="240" w:lineRule="auto"/>
              <w:rPr>
                <w:rFonts w:ascii="Times New Roman" w:hAnsi="Times New Roman" w:cs="Times New Roman"/>
                <w:lang w:val="sr-Cyrl-CS"/>
              </w:rPr>
            </w:pPr>
          </w:p>
        </w:tc>
        <w:tc>
          <w:tcPr>
            <w:tcW w:w="492" w:type="pct"/>
            <w:tcBorders>
              <w:top w:val="single" w:sz="4" w:space="0" w:color="auto"/>
              <w:left w:val="single" w:sz="4" w:space="0" w:color="auto"/>
              <w:bottom w:val="single" w:sz="4" w:space="0" w:color="auto"/>
              <w:right w:val="single" w:sz="4" w:space="0" w:color="auto"/>
            </w:tcBorders>
          </w:tcPr>
          <w:p w14:paraId="20C8A2E2" w14:textId="77777777" w:rsidR="00497092" w:rsidRPr="00644F20" w:rsidRDefault="00497092">
            <w:pPr>
              <w:spacing w:after="60" w:line="240" w:lineRule="auto"/>
              <w:rPr>
                <w:rFonts w:ascii="Times New Roman" w:hAnsi="Times New Roman" w:cs="Times New Roman"/>
                <w:lang w:val="sr-Cyrl-CS"/>
              </w:rPr>
            </w:pPr>
          </w:p>
        </w:tc>
        <w:tc>
          <w:tcPr>
            <w:tcW w:w="540" w:type="pct"/>
            <w:tcBorders>
              <w:top w:val="single" w:sz="4" w:space="0" w:color="auto"/>
              <w:left w:val="single" w:sz="4" w:space="0" w:color="auto"/>
              <w:bottom w:val="single" w:sz="4" w:space="0" w:color="auto"/>
              <w:right w:val="single" w:sz="4" w:space="0" w:color="auto"/>
            </w:tcBorders>
          </w:tcPr>
          <w:p w14:paraId="4C1D68F4"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30337169" w14:textId="77777777">
        <w:trPr>
          <w:trHeight w:val="140"/>
        </w:trPr>
        <w:tc>
          <w:tcPr>
            <w:tcW w:w="960" w:type="pct"/>
            <w:tcBorders>
              <w:top w:val="single" w:sz="4" w:space="0" w:color="auto"/>
              <w:left w:val="double" w:sz="4" w:space="0" w:color="auto"/>
              <w:bottom w:val="single" w:sz="4" w:space="0" w:color="auto"/>
              <w:right w:val="single" w:sz="4" w:space="0" w:color="auto"/>
            </w:tcBorders>
          </w:tcPr>
          <w:p w14:paraId="6525CDE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5.1.2. Израда информативно – едукативног материјала у складу са Планом кампање </w:t>
            </w:r>
          </w:p>
        </w:tc>
        <w:tc>
          <w:tcPr>
            <w:tcW w:w="458" w:type="pct"/>
            <w:tcBorders>
              <w:top w:val="single" w:sz="4" w:space="0" w:color="auto"/>
              <w:left w:val="single" w:sz="4" w:space="0" w:color="auto"/>
              <w:bottom w:val="single" w:sz="4" w:space="0" w:color="auto"/>
              <w:right w:val="single" w:sz="4" w:space="0" w:color="auto"/>
            </w:tcBorders>
          </w:tcPr>
          <w:p w14:paraId="7658FE6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36" w:type="pct"/>
            <w:tcBorders>
              <w:top w:val="single" w:sz="4" w:space="0" w:color="auto"/>
              <w:left w:val="single" w:sz="4" w:space="0" w:color="auto"/>
              <w:bottom w:val="single" w:sz="4" w:space="0" w:color="auto"/>
              <w:right w:val="single" w:sz="4" w:space="0" w:color="auto"/>
            </w:tcBorders>
          </w:tcPr>
          <w:p w14:paraId="4F243C9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МУСТ</w:t>
            </w:r>
          </w:p>
          <w:p w14:paraId="3C36174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Удружења потрошача</w:t>
            </w:r>
          </w:p>
          <w:p w14:paraId="0228844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6768083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ОЦД</w:t>
            </w:r>
          </w:p>
        </w:tc>
        <w:tc>
          <w:tcPr>
            <w:tcW w:w="425" w:type="pct"/>
            <w:tcBorders>
              <w:top w:val="single" w:sz="4" w:space="0" w:color="auto"/>
              <w:left w:val="single" w:sz="4" w:space="0" w:color="auto"/>
              <w:bottom w:val="single" w:sz="4" w:space="0" w:color="auto"/>
              <w:right w:val="single" w:sz="4" w:space="0" w:color="auto"/>
            </w:tcBorders>
          </w:tcPr>
          <w:p w14:paraId="1D10E19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2023.</w:t>
            </w:r>
          </w:p>
        </w:tc>
        <w:tc>
          <w:tcPr>
            <w:tcW w:w="629" w:type="pct"/>
            <w:tcBorders>
              <w:top w:val="single" w:sz="4" w:space="0" w:color="auto"/>
              <w:left w:val="single" w:sz="4" w:space="0" w:color="auto"/>
              <w:bottom w:val="single" w:sz="4" w:space="0" w:color="auto"/>
              <w:right w:val="single" w:sz="4" w:space="0" w:color="auto"/>
            </w:tcBorders>
          </w:tcPr>
          <w:p w14:paraId="2BAADE4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551F339F" w14:textId="77777777" w:rsidR="00497092" w:rsidRPr="00644F20" w:rsidRDefault="00497092">
            <w:pPr>
              <w:spacing w:after="60" w:line="240" w:lineRule="auto"/>
              <w:rPr>
                <w:rFonts w:ascii="Times New Roman" w:hAnsi="Times New Roman" w:cs="Times New Roman"/>
                <w:lang w:val="sr-Cyrl-CS"/>
              </w:rPr>
            </w:pPr>
          </w:p>
        </w:tc>
        <w:tc>
          <w:tcPr>
            <w:tcW w:w="497" w:type="pct"/>
            <w:tcBorders>
              <w:top w:val="single" w:sz="4" w:space="0" w:color="auto"/>
              <w:left w:val="single" w:sz="4" w:space="0" w:color="auto"/>
              <w:bottom w:val="single" w:sz="4" w:space="0" w:color="auto"/>
              <w:right w:val="single" w:sz="4" w:space="0" w:color="auto"/>
            </w:tcBorders>
          </w:tcPr>
          <w:p w14:paraId="290C3A12" w14:textId="77777777" w:rsidR="00497092" w:rsidRPr="00644F20" w:rsidRDefault="00497092">
            <w:pPr>
              <w:spacing w:after="60" w:line="240" w:lineRule="auto"/>
              <w:rPr>
                <w:rFonts w:ascii="Times New Roman" w:hAnsi="Times New Roman" w:cs="Times New Roman"/>
                <w:lang w:val="sr-Cyrl-CS"/>
              </w:rPr>
            </w:pPr>
          </w:p>
        </w:tc>
        <w:tc>
          <w:tcPr>
            <w:tcW w:w="492" w:type="pct"/>
            <w:tcBorders>
              <w:top w:val="single" w:sz="4" w:space="0" w:color="auto"/>
              <w:left w:val="single" w:sz="4" w:space="0" w:color="auto"/>
              <w:bottom w:val="single" w:sz="4" w:space="0" w:color="auto"/>
              <w:right w:val="single" w:sz="4" w:space="0" w:color="auto"/>
            </w:tcBorders>
          </w:tcPr>
          <w:p w14:paraId="551CA02D" w14:textId="77777777" w:rsidR="00497092" w:rsidRPr="00644F20" w:rsidRDefault="00497092">
            <w:pPr>
              <w:spacing w:after="60" w:line="240" w:lineRule="auto"/>
              <w:rPr>
                <w:rFonts w:ascii="Times New Roman" w:hAnsi="Times New Roman" w:cs="Times New Roman"/>
                <w:lang w:val="sr-Cyrl-CS"/>
              </w:rPr>
            </w:pPr>
          </w:p>
        </w:tc>
        <w:tc>
          <w:tcPr>
            <w:tcW w:w="540" w:type="pct"/>
            <w:tcBorders>
              <w:top w:val="single" w:sz="4" w:space="0" w:color="auto"/>
              <w:left w:val="single" w:sz="4" w:space="0" w:color="auto"/>
              <w:bottom w:val="single" w:sz="4" w:space="0" w:color="auto"/>
              <w:right w:val="single" w:sz="4" w:space="0" w:color="auto"/>
            </w:tcBorders>
          </w:tcPr>
          <w:p w14:paraId="4639BDCE"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4796C731" w14:textId="77777777">
        <w:trPr>
          <w:trHeight w:val="140"/>
        </w:trPr>
        <w:tc>
          <w:tcPr>
            <w:tcW w:w="960" w:type="pct"/>
            <w:tcBorders>
              <w:top w:val="single" w:sz="4" w:space="0" w:color="auto"/>
              <w:left w:val="double" w:sz="4" w:space="0" w:color="auto"/>
              <w:bottom w:val="single" w:sz="4" w:space="0" w:color="auto"/>
              <w:right w:val="single" w:sz="4" w:space="0" w:color="auto"/>
            </w:tcBorders>
          </w:tcPr>
          <w:p w14:paraId="4092A05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5.1.3. Спровођење кампање за подизање свести у циљу промоције ЦЕ и одрживог развоја</w:t>
            </w:r>
          </w:p>
        </w:tc>
        <w:tc>
          <w:tcPr>
            <w:tcW w:w="458" w:type="pct"/>
            <w:tcBorders>
              <w:top w:val="single" w:sz="4" w:space="0" w:color="auto"/>
              <w:left w:val="single" w:sz="4" w:space="0" w:color="auto"/>
              <w:bottom w:val="single" w:sz="4" w:space="0" w:color="auto"/>
              <w:right w:val="single" w:sz="4" w:space="0" w:color="auto"/>
            </w:tcBorders>
          </w:tcPr>
          <w:p w14:paraId="541ED3B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536" w:type="pct"/>
            <w:tcBorders>
              <w:top w:val="single" w:sz="4" w:space="0" w:color="auto"/>
              <w:left w:val="single" w:sz="4" w:space="0" w:color="auto"/>
              <w:bottom w:val="single" w:sz="4" w:space="0" w:color="auto"/>
              <w:right w:val="single" w:sz="4" w:space="0" w:color="auto"/>
            </w:tcBorders>
          </w:tcPr>
          <w:p w14:paraId="3DAE168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МУСТ</w:t>
            </w:r>
          </w:p>
          <w:p w14:paraId="5AA4536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Удружења потрошача</w:t>
            </w:r>
          </w:p>
          <w:p w14:paraId="6D21508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ПКС</w:t>
            </w:r>
          </w:p>
          <w:p w14:paraId="321AC29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ОЦД</w:t>
            </w:r>
          </w:p>
        </w:tc>
        <w:tc>
          <w:tcPr>
            <w:tcW w:w="425" w:type="pct"/>
            <w:tcBorders>
              <w:top w:val="single" w:sz="4" w:space="0" w:color="auto"/>
              <w:left w:val="single" w:sz="4" w:space="0" w:color="auto"/>
              <w:bottom w:val="single" w:sz="4" w:space="0" w:color="auto"/>
              <w:right w:val="single" w:sz="4" w:space="0" w:color="auto"/>
            </w:tcBorders>
          </w:tcPr>
          <w:p w14:paraId="47A76D8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7D218BA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0AF6E3E1" w14:textId="77777777" w:rsidR="00497092" w:rsidRPr="00644F20" w:rsidRDefault="00497092">
            <w:pPr>
              <w:spacing w:after="60" w:line="240" w:lineRule="auto"/>
              <w:rPr>
                <w:rFonts w:ascii="Times New Roman" w:hAnsi="Times New Roman" w:cs="Times New Roman"/>
                <w:lang w:val="sr-Cyrl-CS"/>
              </w:rPr>
            </w:pPr>
          </w:p>
        </w:tc>
        <w:tc>
          <w:tcPr>
            <w:tcW w:w="497" w:type="pct"/>
            <w:tcBorders>
              <w:top w:val="single" w:sz="4" w:space="0" w:color="auto"/>
              <w:left w:val="single" w:sz="4" w:space="0" w:color="auto"/>
              <w:bottom w:val="single" w:sz="4" w:space="0" w:color="auto"/>
              <w:right w:val="single" w:sz="4" w:space="0" w:color="auto"/>
            </w:tcBorders>
          </w:tcPr>
          <w:p w14:paraId="3C90E55D" w14:textId="77777777" w:rsidR="00497092" w:rsidRPr="00644F20" w:rsidRDefault="00497092">
            <w:pPr>
              <w:spacing w:after="60" w:line="240" w:lineRule="auto"/>
              <w:rPr>
                <w:rFonts w:ascii="Times New Roman" w:hAnsi="Times New Roman" w:cs="Times New Roman"/>
                <w:lang w:val="sr-Cyrl-CS"/>
              </w:rPr>
            </w:pPr>
          </w:p>
        </w:tc>
        <w:tc>
          <w:tcPr>
            <w:tcW w:w="492" w:type="pct"/>
            <w:tcBorders>
              <w:top w:val="single" w:sz="4" w:space="0" w:color="auto"/>
              <w:left w:val="single" w:sz="4" w:space="0" w:color="auto"/>
              <w:bottom w:val="single" w:sz="4" w:space="0" w:color="auto"/>
              <w:right w:val="single" w:sz="4" w:space="0" w:color="auto"/>
            </w:tcBorders>
          </w:tcPr>
          <w:p w14:paraId="1DBBE439" w14:textId="77777777" w:rsidR="00497092" w:rsidRPr="00644F20" w:rsidRDefault="00497092">
            <w:pPr>
              <w:spacing w:after="60" w:line="240" w:lineRule="auto"/>
              <w:rPr>
                <w:rFonts w:ascii="Times New Roman" w:hAnsi="Times New Roman" w:cs="Times New Roman"/>
                <w:lang w:val="sr-Cyrl-CS"/>
              </w:rPr>
            </w:pPr>
          </w:p>
        </w:tc>
        <w:tc>
          <w:tcPr>
            <w:tcW w:w="540" w:type="pct"/>
            <w:tcBorders>
              <w:top w:val="single" w:sz="4" w:space="0" w:color="auto"/>
              <w:left w:val="single" w:sz="4" w:space="0" w:color="auto"/>
              <w:bottom w:val="single" w:sz="4" w:space="0" w:color="auto"/>
              <w:right w:val="single" w:sz="4" w:space="0" w:color="auto"/>
            </w:tcBorders>
          </w:tcPr>
          <w:p w14:paraId="4C2F2477" w14:textId="77777777" w:rsidR="00497092" w:rsidRPr="00644F20" w:rsidRDefault="00497092">
            <w:pPr>
              <w:spacing w:after="60" w:line="240" w:lineRule="auto"/>
              <w:rPr>
                <w:rFonts w:ascii="Times New Roman" w:hAnsi="Times New Roman" w:cs="Times New Roman"/>
                <w:lang w:val="sr-Cyrl-CS"/>
              </w:rPr>
            </w:pPr>
          </w:p>
        </w:tc>
      </w:tr>
    </w:tbl>
    <w:p w14:paraId="7E647418" w14:textId="77777777" w:rsidR="00497092" w:rsidRPr="00644F20" w:rsidRDefault="00497092">
      <w:pPr>
        <w:spacing w:after="240"/>
        <w:rPr>
          <w:rFonts w:ascii="Times New Roman" w:hAnsi="Times New Roman" w:cs="Times New Roman"/>
          <w:lang w:val="sr-Cyrl-CS"/>
        </w:rPr>
      </w:pPr>
    </w:p>
    <w:tbl>
      <w:tblPr>
        <w:tblStyle w:val="TableGrid"/>
        <w:tblW w:w="13835" w:type="dxa"/>
        <w:tblInd w:w="10" w:type="dxa"/>
        <w:tblLayout w:type="fixed"/>
        <w:tblLook w:val="04A0" w:firstRow="1" w:lastRow="0" w:firstColumn="1" w:lastColumn="0" w:noHBand="0" w:noVBand="1"/>
      </w:tblPr>
      <w:tblGrid>
        <w:gridCol w:w="3217"/>
        <w:gridCol w:w="1134"/>
        <w:gridCol w:w="2410"/>
        <w:gridCol w:w="1275"/>
        <w:gridCol w:w="1304"/>
        <w:gridCol w:w="1673"/>
        <w:gridCol w:w="1701"/>
        <w:gridCol w:w="1121"/>
      </w:tblGrid>
      <w:tr w:rsidR="00497092" w:rsidRPr="00644F20" w14:paraId="59C0561A" w14:textId="77777777" w:rsidTr="009F738C">
        <w:trPr>
          <w:trHeight w:val="169"/>
        </w:trPr>
        <w:tc>
          <w:tcPr>
            <w:tcW w:w="13835" w:type="dxa"/>
            <w:gridSpan w:val="8"/>
            <w:tcBorders>
              <w:top w:val="double" w:sz="4" w:space="0" w:color="auto"/>
              <w:left w:val="double" w:sz="4" w:space="0" w:color="auto"/>
              <w:bottom w:val="single" w:sz="4" w:space="0" w:color="auto"/>
              <w:right w:val="double" w:sz="4" w:space="0" w:color="auto"/>
            </w:tcBorders>
            <w:shd w:val="clear" w:color="auto" w:fill="F7CAAC" w:themeFill="accent2" w:themeFillTint="66"/>
          </w:tcPr>
          <w:p w14:paraId="6EC6BFFE" w14:textId="77777777" w:rsidR="00497092" w:rsidRPr="00644F20" w:rsidRDefault="002F45E1">
            <w:pPr>
              <w:spacing w:after="60" w:line="240" w:lineRule="auto"/>
              <w:rPr>
                <w:rFonts w:ascii="Times New Roman" w:hAnsi="Times New Roman" w:cs="Times New Roman"/>
                <w:b/>
                <w:lang w:val="sr-Cyrl-CS"/>
              </w:rPr>
            </w:pPr>
            <w:r w:rsidRPr="00644F20">
              <w:rPr>
                <w:rFonts w:ascii="Times New Roman" w:hAnsi="Times New Roman" w:cs="Times New Roman"/>
                <w:b/>
                <w:lang w:val="sr-Cyrl-CS"/>
              </w:rPr>
              <w:t>Мера 5.2: Информисање и едукација образовних институција о концепту циркуларне економије</w:t>
            </w:r>
          </w:p>
        </w:tc>
      </w:tr>
      <w:tr w:rsidR="00497092" w:rsidRPr="00644F20" w14:paraId="11670466" w14:textId="77777777" w:rsidTr="009F738C">
        <w:trPr>
          <w:trHeight w:val="300"/>
        </w:trPr>
        <w:tc>
          <w:tcPr>
            <w:tcW w:w="1383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2B413C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Times New Roman" w:hAnsi="Times New Roman" w:cs="Times New Roman"/>
                <w:lang w:val="sr-Cyrl-CS"/>
              </w:rPr>
              <w:t>Институција одговорна за реализацију:</w:t>
            </w:r>
            <w:r w:rsidRPr="00644F20">
              <w:rPr>
                <w:rFonts w:ascii="Times New Roman" w:hAnsi="Times New Roman" w:cs="Times New Roman"/>
                <w:lang w:val="sr-Cyrl-CS"/>
              </w:rPr>
              <w:t xml:space="preserve"> </w:t>
            </w:r>
            <w:r w:rsidR="001B6E66" w:rsidRPr="00644F20">
              <w:rPr>
                <w:rFonts w:ascii="Times New Roman" w:eastAsia="Times New Roman" w:hAnsi="Times New Roman" w:cs="Times New Roman"/>
                <w:lang w:val="sr-Cyrl-CS"/>
              </w:rPr>
              <w:t>МЗЖС</w:t>
            </w:r>
          </w:p>
        </w:tc>
      </w:tr>
      <w:tr w:rsidR="00497092" w:rsidRPr="00644F20" w14:paraId="6A4AD8FE" w14:textId="77777777" w:rsidTr="009F738C">
        <w:trPr>
          <w:trHeight w:val="300"/>
        </w:trPr>
        <w:tc>
          <w:tcPr>
            <w:tcW w:w="6761"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820676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Период спровођења: 2022 – 2024.</w:t>
            </w:r>
          </w:p>
        </w:tc>
        <w:tc>
          <w:tcPr>
            <w:tcW w:w="7074"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E2B32DB"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Тип мере: информативно-едукативна</w:t>
            </w:r>
          </w:p>
        </w:tc>
      </w:tr>
      <w:tr w:rsidR="00497092" w:rsidRPr="00644F20" w14:paraId="29BC2054" w14:textId="77777777" w:rsidTr="009F738C">
        <w:trPr>
          <w:trHeight w:val="300"/>
        </w:trPr>
        <w:tc>
          <w:tcPr>
            <w:tcW w:w="6761"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473758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Прописи које је потребно изменити/усвојити за спровођење мере:</w:t>
            </w:r>
          </w:p>
        </w:tc>
        <w:tc>
          <w:tcPr>
            <w:tcW w:w="7074"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C7042B6"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17F20CDA" w14:textId="77777777" w:rsidTr="009F738C">
        <w:trPr>
          <w:trHeight w:val="955"/>
        </w:trPr>
        <w:tc>
          <w:tcPr>
            <w:tcW w:w="3217"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130F2A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Показатељ(и)  на нивоу мере </w:t>
            </w:r>
            <w:r w:rsidRPr="00644F20">
              <w:rPr>
                <w:rFonts w:ascii="Times New Roman" w:hAnsi="Times New Roman" w:cs="Times New Roman"/>
                <w:i/>
                <w:lang w:val="sr-Cyrl-CS"/>
              </w:rPr>
              <w:t>(показатељ резултата)</w:t>
            </w:r>
          </w:p>
        </w:tc>
        <w:tc>
          <w:tcPr>
            <w:tcW w:w="113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3DDAF7F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Jединица мере</w:t>
            </w:r>
          </w:p>
          <w:p w14:paraId="1466C6A0" w14:textId="77777777" w:rsidR="00497092" w:rsidRPr="00644F20" w:rsidRDefault="00497092">
            <w:pPr>
              <w:spacing w:after="60" w:line="240" w:lineRule="auto"/>
              <w:rPr>
                <w:rFonts w:ascii="Times New Roman" w:hAnsi="Times New Roman" w:cs="Times New Roman"/>
                <w:lang w:val="sr-Cyrl-CS"/>
              </w:rPr>
            </w:pPr>
          </w:p>
        </w:tc>
        <w:tc>
          <w:tcPr>
            <w:tcW w:w="2410"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45DE951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провере</w:t>
            </w:r>
          </w:p>
        </w:tc>
        <w:tc>
          <w:tcPr>
            <w:tcW w:w="1275"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070A1FD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Почетна вредност </w:t>
            </w:r>
          </w:p>
        </w:tc>
        <w:tc>
          <w:tcPr>
            <w:tcW w:w="1304"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2A756E4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Базна година</w:t>
            </w:r>
          </w:p>
        </w:tc>
        <w:tc>
          <w:tcPr>
            <w:tcW w:w="1673" w:type="dxa"/>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61553F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2022.</w:t>
            </w:r>
          </w:p>
        </w:tc>
        <w:tc>
          <w:tcPr>
            <w:tcW w:w="170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2B431C53"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2023.</w:t>
            </w:r>
          </w:p>
        </w:tc>
        <w:tc>
          <w:tcPr>
            <w:tcW w:w="1121" w:type="dxa"/>
            <w:tcBorders>
              <w:top w:val="double" w:sz="4" w:space="0" w:color="auto"/>
              <w:left w:val="single" w:sz="4" w:space="0" w:color="auto"/>
              <w:bottom w:val="single" w:sz="4" w:space="0" w:color="auto"/>
              <w:right w:val="double" w:sz="4" w:space="0" w:color="auto"/>
            </w:tcBorders>
            <w:shd w:val="clear" w:color="auto" w:fill="D9D9D9" w:themeFill="background1" w:themeFillShade="D9"/>
          </w:tcPr>
          <w:p w14:paraId="48A25DB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Циљана вредност у 2024.</w:t>
            </w:r>
          </w:p>
        </w:tc>
      </w:tr>
      <w:tr w:rsidR="00497092" w:rsidRPr="00644F20" w14:paraId="71A7230A" w14:textId="77777777" w:rsidTr="009F738C">
        <w:trPr>
          <w:trHeight w:val="304"/>
        </w:trPr>
        <w:tc>
          <w:tcPr>
            <w:tcW w:w="3217" w:type="dxa"/>
            <w:tcBorders>
              <w:top w:val="double" w:sz="4" w:space="0" w:color="auto"/>
              <w:left w:val="single" w:sz="4" w:space="0" w:color="auto"/>
              <w:bottom w:val="double" w:sz="4" w:space="0" w:color="auto"/>
              <w:right w:val="single" w:sz="4" w:space="0" w:color="auto"/>
            </w:tcBorders>
            <w:shd w:val="clear" w:color="auto" w:fill="FFFFFF" w:themeFill="background1"/>
          </w:tcPr>
          <w:p w14:paraId="3BE3B2B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 xml:space="preserve">Укупан број образовних институција обухваћених кампањом подизања свести  </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294C77DE"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10" w:type="dxa"/>
            <w:tcBorders>
              <w:top w:val="double" w:sz="4" w:space="0" w:color="auto"/>
              <w:left w:val="single" w:sz="4" w:space="0" w:color="auto"/>
              <w:bottom w:val="double" w:sz="4" w:space="0" w:color="auto"/>
              <w:right w:val="single" w:sz="4" w:space="0" w:color="auto"/>
            </w:tcBorders>
            <w:shd w:val="clear" w:color="auto" w:fill="FFFFFF" w:themeFill="background1"/>
          </w:tcPr>
          <w:p w14:paraId="759F418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Извештај са спроведених кампања </w:t>
            </w:r>
          </w:p>
        </w:tc>
        <w:tc>
          <w:tcPr>
            <w:tcW w:w="1275" w:type="dxa"/>
            <w:tcBorders>
              <w:top w:val="double" w:sz="4" w:space="0" w:color="auto"/>
              <w:left w:val="single" w:sz="4" w:space="0" w:color="auto"/>
              <w:bottom w:val="double" w:sz="4" w:space="0" w:color="auto"/>
              <w:right w:val="single" w:sz="4" w:space="0" w:color="auto"/>
            </w:tcBorders>
            <w:shd w:val="clear" w:color="auto" w:fill="FFFFFF" w:themeFill="background1"/>
          </w:tcPr>
          <w:p w14:paraId="79A10B7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304" w:type="dxa"/>
            <w:tcBorders>
              <w:top w:val="double" w:sz="4" w:space="0" w:color="auto"/>
              <w:left w:val="single" w:sz="4" w:space="0" w:color="auto"/>
              <w:bottom w:val="double" w:sz="4" w:space="0" w:color="auto"/>
              <w:right w:val="single" w:sz="4" w:space="0" w:color="auto"/>
            </w:tcBorders>
            <w:shd w:val="clear" w:color="auto" w:fill="FFFFFF" w:themeFill="background1"/>
          </w:tcPr>
          <w:p w14:paraId="3241BC2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73" w:type="dxa"/>
            <w:tcBorders>
              <w:top w:val="double" w:sz="4" w:space="0" w:color="auto"/>
              <w:left w:val="single" w:sz="4" w:space="0" w:color="auto"/>
              <w:bottom w:val="double" w:sz="4" w:space="0" w:color="auto"/>
              <w:right w:val="single" w:sz="4" w:space="0" w:color="auto"/>
            </w:tcBorders>
            <w:shd w:val="clear" w:color="auto" w:fill="FFFFFF" w:themeFill="background1"/>
          </w:tcPr>
          <w:p w14:paraId="1EDC21FA"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5</w:t>
            </w: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7E10265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15</w:t>
            </w:r>
          </w:p>
        </w:tc>
        <w:tc>
          <w:tcPr>
            <w:tcW w:w="1121" w:type="dxa"/>
            <w:tcBorders>
              <w:top w:val="double" w:sz="4" w:space="0" w:color="auto"/>
              <w:left w:val="single" w:sz="4" w:space="0" w:color="auto"/>
              <w:bottom w:val="double" w:sz="4" w:space="0" w:color="auto"/>
              <w:right w:val="double" w:sz="4" w:space="0" w:color="auto"/>
            </w:tcBorders>
            <w:shd w:val="clear" w:color="auto" w:fill="FFFFFF" w:themeFill="background1"/>
          </w:tcPr>
          <w:p w14:paraId="4C9B01F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30</w:t>
            </w:r>
          </w:p>
        </w:tc>
      </w:tr>
      <w:tr w:rsidR="00497092" w:rsidRPr="00644F20" w14:paraId="381A74E3" w14:textId="77777777" w:rsidTr="009F738C">
        <w:trPr>
          <w:trHeight w:val="304"/>
        </w:trPr>
        <w:tc>
          <w:tcPr>
            <w:tcW w:w="3217" w:type="dxa"/>
            <w:tcBorders>
              <w:top w:val="double" w:sz="4" w:space="0" w:color="auto"/>
              <w:left w:val="single" w:sz="4" w:space="0" w:color="auto"/>
              <w:bottom w:val="double" w:sz="4" w:space="0" w:color="auto"/>
              <w:right w:val="single" w:sz="4" w:space="0" w:color="auto"/>
            </w:tcBorders>
            <w:shd w:val="clear" w:color="auto" w:fill="FFFFFF" w:themeFill="background1"/>
          </w:tcPr>
          <w:p w14:paraId="33F82D5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Укупан број високошколских установа које су у садржаје предмета на основним и мастер академским или струковним студијама увеле концепт ЦЕ у току кампање обухваћене овим програмом</w:t>
            </w:r>
          </w:p>
        </w:tc>
        <w:tc>
          <w:tcPr>
            <w:tcW w:w="1134" w:type="dxa"/>
            <w:tcBorders>
              <w:top w:val="double" w:sz="4" w:space="0" w:color="auto"/>
              <w:left w:val="single" w:sz="4" w:space="0" w:color="auto"/>
              <w:bottom w:val="double" w:sz="4" w:space="0" w:color="auto"/>
              <w:right w:val="single" w:sz="4" w:space="0" w:color="auto"/>
            </w:tcBorders>
            <w:shd w:val="clear" w:color="auto" w:fill="FFFFFF" w:themeFill="background1"/>
          </w:tcPr>
          <w:p w14:paraId="52EF71D6"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Број</w:t>
            </w:r>
          </w:p>
        </w:tc>
        <w:tc>
          <w:tcPr>
            <w:tcW w:w="2410" w:type="dxa"/>
            <w:tcBorders>
              <w:top w:val="double" w:sz="4" w:space="0" w:color="auto"/>
              <w:left w:val="single" w:sz="4" w:space="0" w:color="auto"/>
              <w:bottom w:val="double" w:sz="4" w:space="0" w:color="auto"/>
              <w:right w:val="single" w:sz="4" w:space="0" w:color="auto"/>
            </w:tcBorders>
            <w:shd w:val="clear" w:color="auto" w:fill="FFFFFF" w:themeFill="background1"/>
          </w:tcPr>
          <w:p w14:paraId="46EF10C8"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Информација са сајта институција о садржају предмета предвиђених за школску</w:t>
            </w:r>
          </w:p>
          <w:p w14:paraId="5C63B407"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2024/2025. годину</w:t>
            </w:r>
          </w:p>
        </w:tc>
        <w:tc>
          <w:tcPr>
            <w:tcW w:w="1275" w:type="dxa"/>
            <w:tcBorders>
              <w:top w:val="double" w:sz="4" w:space="0" w:color="auto"/>
              <w:left w:val="single" w:sz="4" w:space="0" w:color="auto"/>
              <w:bottom w:val="double" w:sz="4" w:space="0" w:color="auto"/>
              <w:right w:val="single" w:sz="4" w:space="0" w:color="auto"/>
            </w:tcBorders>
            <w:shd w:val="clear" w:color="auto" w:fill="FFFFFF" w:themeFill="background1"/>
          </w:tcPr>
          <w:p w14:paraId="77FE558B"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0</w:t>
            </w:r>
          </w:p>
        </w:tc>
        <w:tc>
          <w:tcPr>
            <w:tcW w:w="1304" w:type="dxa"/>
            <w:tcBorders>
              <w:top w:val="double" w:sz="4" w:space="0" w:color="auto"/>
              <w:left w:val="single" w:sz="4" w:space="0" w:color="auto"/>
              <w:bottom w:val="double" w:sz="4" w:space="0" w:color="auto"/>
              <w:right w:val="single" w:sz="4" w:space="0" w:color="auto"/>
            </w:tcBorders>
            <w:shd w:val="clear" w:color="auto" w:fill="FFFFFF" w:themeFill="background1"/>
          </w:tcPr>
          <w:p w14:paraId="7324B000"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2021.</w:t>
            </w:r>
          </w:p>
        </w:tc>
        <w:tc>
          <w:tcPr>
            <w:tcW w:w="1673" w:type="dxa"/>
            <w:tcBorders>
              <w:top w:val="double" w:sz="4" w:space="0" w:color="auto"/>
              <w:left w:val="single" w:sz="4" w:space="0" w:color="auto"/>
              <w:bottom w:val="double" w:sz="4" w:space="0" w:color="auto"/>
              <w:right w:val="single" w:sz="4" w:space="0" w:color="auto"/>
            </w:tcBorders>
            <w:shd w:val="clear" w:color="auto" w:fill="FFFFFF" w:themeFill="background1"/>
          </w:tcPr>
          <w:p w14:paraId="6180EF9A" w14:textId="77777777" w:rsidR="00497092" w:rsidRPr="00644F20" w:rsidRDefault="00497092">
            <w:pPr>
              <w:shd w:val="clear" w:color="auto" w:fill="FFFFFF" w:themeFill="background1"/>
              <w:spacing w:after="60" w:line="240" w:lineRule="auto"/>
              <w:rPr>
                <w:rFonts w:ascii="Times New Roman" w:hAnsi="Times New Roman" w:cs="Times New Roman"/>
                <w:lang w:val="sr-Cyrl-CS"/>
              </w:rPr>
            </w:pPr>
          </w:p>
        </w:tc>
        <w:tc>
          <w:tcPr>
            <w:tcW w:w="1701" w:type="dxa"/>
            <w:tcBorders>
              <w:top w:val="double" w:sz="4" w:space="0" w:color="auto"/>
              <w:left w:val="single" w:sz="4" w:space="0" w:color="auto"/>
              <w:bottom w:val="double" w:sz="4" w:space="0" w:color="auto"/>
              <w:right w:val="double" w:sz="4" w:space="0" w:color="auto"/>
            </w:tcBorders>
            <w:shd w:val="clear" w:color="auto" w:fill="FFFFFF" w:themeFill="background1"/>
          </w:tcPr>
          <w:p w14:paraId="2A74CDAC"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2</w:t>
            </w:r>
          </w:p>
        </w:tc>
        <w:tc>
          <w:tcPr>
            <w:tcW w:w="1121" w:type="dxa"/>
            <w:tcBorders>
              <w:top w:val="double" w:sz="4" w:space="0" w:color="auto"/>
              <w:left w:val="single" w:sz="4" w:space="0" w:color="auto"/>
              <w:bottom w:val="double" w:sz="4" w:space="0" w:color="auto"/>
              <w:right w:val="double" w:sz="4" w:space="0" w:color="auto"/>
            </w:tcBorders>
            <w:shd w:val="clear" w:color="auto" w:fill="FFFFFF" w:themeFill="background1"/>
          </w:tcPr>
          <w:p w14:paraId="5E031A72" w14:textId="77777777" w:rsidR="00497092" w:rsidRPr="00644F20" w:rsidRDefault="002F45E1">
            <w:pPr>
              <w:shd w:val="clear" w:color="auto" w:fill="FFFFFF" w:themeFill="background1"/>
              <w:spacing w:after="60" w:line="240" w:lineRule="auto"/>
              <w:rPr>
                <w:rFonts w:ascii="Times New Roman" w:hAnsi="Times New Roman" w:cs="Times New Roman"/>
                <w:lang w:val="sr-Cyrl-CS"/>
              </w:rPr>
            </w:pPr>
            <w:r w:rsidRPr="00644F20">
              <w:rPr>
                <w:rFonts w:ascii="Times New Roman" w:hAnsi="Times New Roman" w:cs="Times New Roman"/>
                <w:lang w:val="sr-Cyrl-CS"/>
              </w:rPr>
              <w:t>4</w:t>
            </w:r>
          </w:p>
        </w:tc>
      </w:tr>
    </w:tbl>
    <w:p w14:paraId="6A02EA66" w14:textId="77777777" w:rsidR="00497092" w:rsidRPr="00644F20" w:rsidRDefault="00497092">
      <w:pPr>
        <w:rPr>
          <w:rFonts w:ascii="Times New Roman" w:hAnsi="Times New Roman" w:cs="Times New Roman"/>
          <w:lang w:val="sr-Cyrl-CS"/>
        </w:rPr>
      </w:pPr>
    </w:p>
    <w:tbl>
      <w:tblPr>
        <w:tblStyle w:val="TableGrid"/>
        <w:tblW w:w="13862" w:type="dxa"/>
        <w:tblInd w:w="10" w:type="dxa"/>
        <w:tblLayout w:type="fixed"/>
        <w:tblLook w:val="04A0" w:firstRow="1" w:lastRow="0" w:firstColumn="1" w:lastColumn="0" w:noHBand="0" w:noVBand="1"/>
      </w:tblPr>
      <w:tblGrid>
        <w:gridCol w:w="3524"/>
        <w:gridCol w:w="2671"/>
        <w:gridCol w:w="2759"/>
        <w:gridCol w:w="2445"/>
        <w:gridCol w:w="2463"/>
      </w:tblGrid>
      <w:tr w:rsidR="00497092" w:rsidRPr="00644F20" w14:paraId="73A83097" w14:textId="77777777" w:rsidTr="009F738C">
        <w:trPr>
          <w:trHeight w:val="279"/>
        </w:trPr>
        <w:tc>
          <w:tcPr>
            <w:tcW w:w="3524"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0CE7454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Извор финансирања мере</w:t>
            </w:r>
          </w:p>
          <w:p w14:paraId="1F58FEFF" w14:textId="77777777" w:rsidR="00497092" w:rsidRPr="00644F20" w:rsidRDefault="00497092">
            <w:pPr>
              <w:spacing w:after="60" w:line="240" w:lineRule="auto"/>
              <w:rPr>
                <w:rFonts w:ascii="Times New Roman" w:hAnsi="Times New Roman" w:cs="Times New Roman"/>
                <w:lang w:val="sr-Cyrl-CS"/>
              </w:rPr>
            </w:pPr>
          </w:p>
        </w:tc>
        <w:tc>
          <w:tcPr>
            <w:tcW w:w="2671" w:type="dxa"/>
            <w:vMerge w:val="restart"/>
            <w:tcBorders>
              <w:top w:val="single" w:sz="4" w:space="0" w:color="auto"/>
              <w:left w:val="double" w:sz="4" w:space="0" w:color="auto"/>
              <w:bottom w:val="single" w:sz="4" w:space="0" w:color="auto"/>
              <w:right w:val="double" w:sz="4" w:space="0" w:color="auto"/>
            </w:tcBorders>
            <w:shd w:val="clear" w:color="auto" w:fill="A8D08D" w:themeFill="accent6" w:themeFillTint="99"/>
          </w:tcPr>
          <w:p w14:paraId="343B467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610A33AB" w14:textId="77777777" w:rsidR="00497092" w:rsidRPr="00644F20" w:rsidRDefault="00497092">
            <w:pPr>
              <w:spacing w:after="60" w:line="240" w:lineRule="auto"/>
              <w:rPr>
                <w:rFonts w:ascii="Times New Roman" w:hAnsi="Times New Roman" w:cs="Times New Roman"/>
                <w:lang w:val="sr-Cyrl-CS"/>
              </w:rPr>
            </w:pPr>
          </w:p>
        </w:tc>
        <w:tc>
          <w:tcPr>
            <w:tcW w:w="7667"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6D000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у 000 дин.</w:t>
            </w:r>
          </w:p>
        </w:tc>
      </w:tr>
      <w:tr w:rsidR="00497092" w:rsidRPr="00644F20" w14:paraId="3411E7E1" w14:textId="77777777" w:rsidTr="009F738C">
        <w:trPr>
          <w:trHeight w:val="279"/>
        </w:trPr>
        <w:tc>
          <w:tcPr>
            <w:tcW w:w="3524" w:type="dxa"/>
            <w:vMerge/>
            <w:tcBorders>
              <w:top w:val="single" w:sz="4" w:space="0" w:color="auto"/>
              <w:left w:val="double" w:sz="4" w:space="0" w:color="auto"/>
              <w:bottom w:val="single" w:sz="4" w:space="0" w:color="auto"/>
              <w:right w:val="double" w:sz="4" w:space="0" w:color="auto"/>
            </w:tcBorders>
            <w:vAlign w:val="center"/>
          </w:tcPr>
          <w:p w14:paraId="165CF556" w14:textId="77777777" w:rsidR="00497092" w:rsidRPr="00644F20" w:rsidRDefault="00497092">
            <w:pPr>
              <w:spacing w:after="0" w:line="240" w:lineRule="auto"/>
              <w:rPr>
                <w:rFonts w:ascii="Times New Roman" w:hAnsi="Times New Roman" w:cs="Times New Roman"/>
                <w:lang w:val="sr-Cyrl-CS"/>
              </w:rPr>
            </w:pPr>
          </w:p>
        </w:tc>
        <w:tc>
          <w:tcPr>
            <w:tcW w:w="2671" w:type="dxa"/>
            <w:vMerge/>
            <w:tcBorders>
              <w:top w:val="single" w:sz="4" w:space="0" w:color="auto"/>
              <w:left w:val="double" w:sz="4" w:space="0" w:color="auto"/>
              <w:bottom w:val="single" w:sz="4" w:space="0" w:color="auto"/>
              <w:right w:val="double" w:sz="4" w:space="0" w:color="auto"/>
            </w:tcBorders>
            <w:vAlign w:val="center"/>
          </w:tcPr>
          <w:p w14:paraId="073CAE0D" w14:textId="77777777" w:rsidR="00497092" w:rsidRPr="00644F20" w:rsidRDefault="00497092">
            <w:pPr>
              <w:spacing w:after="0" w:line="240" w:lineRule="auto"/>
              <w:rPr>
                <w:rFonts w:ascii="Times New Roman" w:hAnsi="Times New Roman" w:cs="Times New Roman"/>
                <w:lang w:val="sr-Cyrl-CS"/>
              </w:rPr>
            </w:pPr>
          </w:p>
        </w:tc>
        <w:tc>
          <w:tcPr>
            <w:tcW w:w="275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DEDD8FA"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2022. години</w:t>
            </w:r>
          </w:p>
        </w:tc>
        <w:tc>
          <w:tcPr>
            <w:tcW w:w="24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8A9C7C2"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2023. години</w:t>
            </w:r>
          </w:p>
        </w:tc>
        <w:tc>
          <w:tcPr>
            <w:tcW w:w="246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4614E9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 2024. години</w:t>
            </w:r>
          </w:p>
        </w:tc>
      </w:tr>
      <w:tr w:rsidR="00497092" w:rsidRPr="00644F20" w14:paraId="1786C923" w14:textId="77777777" w:rsidTr="009F738C">
        <w:trPr>
          <w:trHeight w:val="64"/>
        </w:trPr>
        <w:tc>
          <w:tcPr>
            <w:tcW w:w="3524" w:type="dxa"/>
            <w:tcBorders>
              <w:top w:val="double" w:sz="4" w:space="0" w:color="auto"/>
              <w:left w:val="double" w:sz="4" w:space="0" w:color="auto"/>
              <w:bottom w:val="double" w:sz="4" w:space="0" w:color="auto"/>
              <w:right w:val="double" w:sz="4" w:space="0" w:color="auto"/>
            </w:tcBorders>
            <w:shd w:val="clear" w:color="auto" w:fill="FFFFFF" w:themeFill="background1"/>
          </w:tcPr>
          <w:p w14:paraId="2DF96C78" w14:textId="77777777" w:rsidR="00497092" w:rsidRPr="00644F20" w:rsidRDefault="002F45E1" w:rsidP="009F738C">
            <w:pPr>
              <w:spacing w:after="60" w:line="240" w:lineRule="auto"/>
              <w:rPr>
                <w:rFonts w:ascii="Times New Roman" w:hAnsi="Times New Roman" w:cs="Times New Roman"/>
                <w:lang w:val="sr-Cyrl-CS"/>
              </w:rPr>
            </w:pPr>
            <w:r w:rsidRPr="00644F20">
              <w:rPr>
                <w:rFonts w:ascii="Times New Roman" w:hAnsi="Times New Roman" w:cs="Times New Roman"/>
                <w:lang w:val="sr-Cyrl-CS"/>
              </w:rPr>
              <w:t>01 – Приходи из буџета - Смањење угљеничног отиска локалних заједница примен</w:t>
            </w:r>
            <w:r w:rsidR="009F738C" w:rsidRPr="00644F20">
              <w:rPr>
                <w:rFonts w:ascii="Times New Roman" w:hAnsi="Times New Roman" w:cs="Times New Roman"/>
                <w:lang w:val="sr-Cyrl-CS"/>
              </w:rPr>
              <w:t xml:space="preserve">ом принципа ЦЕ у Републици Србији </w:t>
            </w:r>
          </w:p>
        </w:tc>
        <w:tc>
          <w:tcPr>
            <w:tcW w:w="2671" w:type="dxa"/>
            <w:tcBorders>
              <w:top w:val="double" w:sz="4" w:space="0" w:color="auto"/>
              <w:left w:val="double" w:sz="4" w:space="0" w:color="auto"/>
              <w:bottom w:val="double" w:sz="4" w:space="0" w:color="auto"/>
              <w:right w:val="double" w:sz="4" w:space="0" w:color="auto"/>
            </w:tcBorders>
            <w:shd w:val="clear" w:color="auto" w:fill="FFFFFF" w:themeFill="background1"/>
          </w:tcPr>
          <w:p w14:paraId="54C3073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0405-4011</w:t>
            </w:r>
          </w:p>
        </w:tc>
        <w:tc>
          <w:tcPr>
            <w:tcW w:w="2759" w:type="dxa"/>
            <w:tcBorders>
              <w:top w:val="single" w:sz="4" w:space="0" w:color="auto"/>
              <w:left w:val="double" w:sz="4" w:space="0" w:color="auto"/>
              <w:bottom w:val="double" w:sz="4" w:space="0" w:color="auto"/>
              <w:right w:val="double" w:sz="4" w:space="0" w:color="auto"/>
            </w:tcBorders>
            <w:shd w:val="clear" w:color="auto" w:fill="FFFFFF" w:themeFill="background1"/>
          </w:tcPr>
          <w:p w14:paraId="58F9B29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200</w:t>
            </w:r>
          </w:p>
        </w:tc>
        <w:tc>
          <w:tcPr>
            <w:tcW w:w="2445" w:type="dxa"/>
            <w:tcBorders>
              <w:top w:val="single" w:sz="4" w:space="0" w:color="auto"/>
              <w:left w:val="double" w:sz="4" w:space="0" w:color="auto"/>
              <w:bottom w:val="double" w:sz="4" w:space="0" w:color="auto"/>
              <w:right w:val="double" w:sz="4" w:space="0" w:color="auto"/>
            </w:tcBorders>
            <w:shd w:val="clear" w:color="auto" w:fill="FFFFFF" w:themeFill="background1"/>
          </w:tcPr>
          <w:p w14:paraId="7E44EEE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1.000</w:t>
            </w:r>
          </w:p>
        </w:tc>
        <w:tc>
          <w:tcPr>
            <w:tcW w:w="2462" w:type="dxa"/>
            <w:tcBorders>
              <w:top w:val="single" w:sz="4" w:space="0" w:color="auto"/>
              <w:left w:val="double" w:sz="4" w:space="0" w:color="auto"/>
              <w:bottom w:val="double" w:sz="4" w:space="0" w:color="auto"/>
              <w:right w:val="double" w:sz="4" w:space="0" w:color="auto"/>
            </w:tcBorders>
            <w:shd w:val="clear" w:color="auto" w:fill="FFFFFF" w:themeFill="background1"/>
          </w:tcPr>
          <w:p w14:paraId="358DAF31"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1.000</w:t>
            </w:r>
          </w:p>
        </w:tc>
      </w:tr>
      <w:tr w:rsidR="00497092" w:rsidRPr="00644F20" w14:paraId="29D28588" w14:textId="77777777" w:rsidTr="009F738C">
        <w:trPr>
          <w:trHeight w:val="99"/>
        </w:trPr>
        <w:tc>
          <w:tcPr>
            <w:tcW w:w="3524" w:type="dxa"/>
            <w:tcBorders>
              <w:top w:val="double" w:sz="4" w:space="0" w:color="auto"/>
              <w:left w:val="double" w:sz="4" w:space="0" w:color="auto"/>
              <w:bottom w:val="double" w:sz="4" w:space="0" w:color="auto"/>
              <w:right w:val="double" w:sz="4" w:space="0" w:color="auto"/>
            </w:tcBorders>
            <w:shd w:val="clear" w:color="auto" w:fill="FFFFFF" w:themeFill="background1"/>
          </w:tcPr>
          <w:p w14:paraId="28DF117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Донаторска средства*</w:t>
            </w:r>
          </w:p>
        </w:tc>
        <w:tc>
          <w:tcPr>
            <w:tcW w:w="2671" w:type="dxa"/>
            <w:tcBorders>
              <w:top w:val="double" w:sz="4" w:space="0" w:color="auto"/>
              <w:left w:val="double" w:sz="4" w:space="0" w:color="auto"/>
              <w:bottom w:val="double" w:sz="4" w:space="0" w:color="auto"/>
              <w:right w:val="double" w:sz="4" w:space="0" w:color="auto"/>
            </w:tcBorders>
            <w:shd w:val="clear" w:color="auto" w:fill="FFFFFF" w:themeFill="background1"/>
          </w:tcPr>
          <w:p w14:paraId="10AED715" w14:textId="77777777" w:rsidR="00497092" w:rsidRPr="00644F20" w:rsidRDefault="00497092">
            <w:pPr>
              <w:spacing w:after="60" w:line="240" w:lineRule="auto"/>
              <w:rPr>
                <w:rFonts w:ascii="Times New Roman" w:hAnsi="Times New Roman" w:cs="Times New Roman"/>
                <w:lang w:val="sr-Cyrl-CS"/>
              </w:rPr>
            </w:pPr>
          </w:p>
        </w:tc>
        <w:tc>
          <w:tcPr>
            <w:tcW w:w="2759" w:type="dxa"/>
            <w:tcBorders>
              <w:top w:val="single" w:sz="4" w:space="0" w:color="auto"/>
              <w:left w:val="double" w:sz="4" w:space="0" w:color="auto"/>
              <w:bottom w:val="double" w:sz="4" w:space="0" w:color="auto"/>
              <w:right w:val="double" w:sz="4" w:space="0" w:color="auto"/>
            </w:tcBorders>
            <w:shd w:val="clear" w:color="auto" w:fill="FFFFFF" w:themeFill="background1"/>
          </w:tcPr>
          <w:p w14:paraId="1E7DFEF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490</w:t>
            </w:r>
          </w:p>
        </w:tc>
        <w:tc>
          <w:tcPr>
            <w:tcW w:w="2445" w:type="dxa"/>
            <w:tcBorders>
              <w:top w:val="single" w:sz="4" w:space="0" w:color="auto"/>
              <w:left w:val="double" w:sz="4" w:space="0" w:color="auto"/>
              <w:bottom w:val="double" w:sz="4" w:space="0" w:color="auto"/>
              <w:right w:val="double" w:sz="4" w:space="0" w:color="auto"/>
            </w:tcBorders>
            <w:shd w:val="clear" w:color="auto" w:fill="FFFFFF" w:themeFill="background1"/>
          </w:tcPr>
          <w:p w14:paraId="62AB4EB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500</w:t>
            </w:r>
          </w:p>
        </w:tc>
        <w:tc>
          <w:tcPr>
            <w:tcW w:w="2462" w:type="dxa"/>
            <w:tcBorders>
              <w:top w:val="single" w:sz="4" w:space="0" w:color="auto"/>
              <w:left w:val="double" w:sz="4" w:space="0" w:color="auto"/>
              <w:bottom w:val="double" w:sz="4" w:space="0" w:color="auto"/>
              <w:right w:val="double" w:sz="4" w:space="0" w:color="auto"/>
            </w:tcBorders>
            <w:shd w:val="clear" w:color="auto" w:fill="FFFFFF" w:themeFill="background1"/>
          </w:tcPr>
          <w:p w14:paraId="60F81F3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500</w:t>
            </w:r>
          </w:p>
        </w:tc>
      </w:tr>
    </w:tbl>
    <w:p w14:paraId="0C597240" w14:textId="77777777" w:rsidR="00497092" w:rsidRPr="00644F20" w:rsidRDefault="00497092">
      <w:pPr>
        <w:rPr>
          <w:rFonts w:ascii="Times New Roman" w:hAnsi="Times New Roman" w:cs="Times New Roman"/>
          <w:lang w:val="sr-Cyrl-CS"/>
        </w:rPr>
      </w:pPr>
    </w:p>
    <w:tbl>
      <w:tblPr>
        <w:tblStyle w:val="TableGrid"/>
        <w:tblW w:w="4850" w:type="pct"/>
        <w:tblLook w:val="04A0" w:firstRow="1" w:lastRow="0" w:firstColumn="1" w:lastColumn="0" w:noHBand="0" w:noVBand="1"/>
      </w:tblPr>
      <w:tblGrid>
        <w:gridCol w:w="2303"/>
        <w:gridCol w:w="1160"/>
        <w:gridCol w:w="1364"/>
        <w:gridCol w:w="1278"/>
        <w:gridCol w:w="1490"/>
        <w:gridCol w:w="1453"/>
        <w:gridCol w:w="1125"/>
        <w:gridCol w:w="1252"/>
        <w:gridCol w:w="1127"/>
      </w:tblGrid>
      <w:tr w:rsidR="00497092" w:rsidRPr="00644F20" w14:paraId="03240E79" w14:textId="77777777">
        <w:trPr>
          <w:trHeight w:val="140"/>
        </w:trPr>
        <w:tc>
          <w:tcPr>
            <w:tcW w:w="960" w:type="pct"/>
            <w:vMerge w:val="restart"/>
            <w:tcBorders>
              <w:top w:val="double" w:sz="4" w:space="0" w:color="auto"/>
              <w:left w:val="double" w:sz="4" w:space="0" w:color="auto"/>
              <w:bottom w:val="single" w:sz="4" w:space="0" w:color="auto"/>
              <w:right w:val="single" w:sz="4" w:space="0" w:color="auto"/>
            </w:tcBorders>
            <w:shd w:val="clear" w:color="auto" w:fill="FFF2CC" w:themeFill="accent4" w:themeFillTint="33"/>
          </w:tcPr>
          <w:p w14:paraId="5E80AB6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Назив активности:</w:t>
            </w:r>
          </w:p>
        </w:tc>
        <w:tc>
          <w:tcPr>
            <w:tcW w:w="45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093DA54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Орган који спроводи активност</w:t>
            </w:r>
          </w:p>
        </w:tc>
        <w:tc>
          <w:tcPr>
            <w:tcW w:w="496"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CFA7A79"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Oргани партнери у спровођењу активности</w:t>
            </w:r>
          </w:p>
        </w:tc>
        <w:tc>
          <w:tcPr>
            <w:tcW w:w="464"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0393A17"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Рок за завршетак активности</w:t>
            </w:r>
          </w:p>
        </w:tc>
        <w:tc>
          <w:tcPr>
            <w:tcW w:w="629"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3E765ECB"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Извор финансирања</w:t>
            </w:r>
          </w:p>
        </w:tc>
        <w:tc>
          <w:tcPr>
            <w:tcW w:w="463" w:type="pct"/>
            <w:vMerge w:val="restart"/>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5E1F74C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Веза са програмским буџетом</w:t>
            </w:r>
          </w:p>
          <w:p w14:paraId="77D0BB41" w14:textId="77777777" w:rsidR="00497092" w:rsidRPr="00644F20" w:rsidRDefault="00497092">
            <w:pPr>
              <w:spacing w:after="60" w:line="240" w:lineRule="auto"/>
              <w:jc w:val="center"/>
              <w:rPr>
                <w:rFonts w:ascii="Times New Roman" w:hAnsi="Times New Roman" w:cs="Times New Roman"/>
                <w:lang w:val="sr-Cyrl-CS"/>
              </w:rPr>
            </w:pPr>
          </w:p>
        </w:tc>
        <w:tc>
          <w:tcPr>
            <w:tcW w:w="1529" w:type="pct"/>
            <w:gridSpan w:val="3"/>
            <w:tcBorders>
              <w:top w:val="double" w:sz="4" w:space="0" w:color="auto"/>
              <w:left w:val="single" w:sz="4" w:space="0" w:color="auto"/>
              <w:bottom w:val="single" w:sz="4" w:space="0" w:color="auto"/>
              <w:right w:val="single" w:sz="4" w:space="0" w:color="auto"/>
            </w:tcBorders>
            <w:shd w:val="clear" w:color="auto" w:fill="FFF2CC" w:themeFill="accent4" w:themeFillTint="33"/>
          </w:tcPr>
          <w:p w14:paraId="1DACA434"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Укупна процењена финансијска средства по изворима у 000 дин.</w:t>
            </w:r>
          </w:p>
        </w:tc>
      </w:tr>
      <w:tr w:rsidR="00497092" w:rsidRPr="00644F20" w14:paraId="1BD8DE48" w14:textId="77777777">
        <w:trPr>
          <w:trHeight w:val="386"/>
        </w:trPr>
        <w:tc>
          <w:tcPr>
            <w:tcW w:w="0" w:type="auto"/>
            <w:vMerge/>
            <w:tcBorders>
              <w:top w:val="double" w:sz="4" w:space="0" w:color="auto"/>
              <w:left w:val="double" w:sz="4" w:space="0" w:color="auto"/>
              <w:bottom w:val="single" w:sz="4" w:space="0" w:color="auto"/>
              <w:right w:val="single" w:sz="4" w:space="0" w:color="auto"/>
            </w:tcBorders>
            <w:vAlign w:val="center"/>
          </w:tcPr>
          <w:p w14:paraId="194BF88C"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128ADC5F"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7434D3E4"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9B1D88D"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26CD637A" w14:textId="77777777" w:rsidR="00497092" w:rsidRPr="00644F20" w:rsidRDefault="00497092">
            <w:pPr>
              <w:spacing w:after="0" w:line="240" w:lineRule="auto"/>
              <w:rPr>
                <w:rFonts w:ascii="Times New Roman" w:hAnsi="Times New Roman" w:cs="Times New Roman"/>
                <w:lang w:val="sr-Cyrl-CS"/>
              </w:rPr>
            </w:pPr>
          </w:p>
        </w:tc>
        <w:tc>
          <w:tcPr>
            <w:tcW w:w="0" w:type="auto"/>
            <w:vMerge/>
            <w:tcBorders>
              <w:top w:val="double" w:sz="4" w:space="0" w:color="auto"/>
              <w:left w:val="single" w:sz="4" w:space="0" w:color="auto"/>
              <w:bottom w:val="single" w:sz="4" w:space="0" w:color="auto"/>
              <w:right w:val="single" w:sz="4" w:space="0" w:color="auto"/>
            </w:tcBorders>
            <w:vAlign w:val="center"/>
          </w:tcPr>
          <w:p w14:paraId="306E1963" w14:textId="77777777" w:rsidR="00497092" w:rsidRPr="00644F20" w:rsidRDefault="00497092">
            <w:pPr>
              <w:spacing w:after="0" w:line="240" w:lineRule="auto"/>
              <w:rPr>
                <w:rFonts w:ascii="Times New Roman" w:hAnsi="Times New Roman" w:cs="Times New Roman"/>
                <w:lang w:val="sr-Cyrl-CS"/>
              </w:rPr>
            </w:pPr>
          </w:p>
        </w:tc>
        <w:tc>
          <w:tcPr>
            <w:tcW w:w="497"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D0AB2F"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2022.</w:t>
            </w:r>
          </w:p>
        </w:tc>
        <w:tc>
          <w:tcPr>
            <w:tcW w:w="54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43D0BE"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2023.</w:t>
            </w:r>
          </w:p>
        </w:tc>
        <w:tc>
          <w:tcPr>
            <w:tcW w:w="491"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ABB201" w14:textId="77777777" w:rsidR="00497092" w:rsidRPr="00644F20" w:rsidRDefault="002F45E1">
            <w:pPr>
              <w:spacing w:after="60" w:line="240" w:lineRule="auto"/>
              <w:jc w:val="center"/>
              <w:rPr>
                <w:rFonts w:ascii="Times New Roman" w:hAnsi="Times New Roman" w:cs="Times New Roman"/>
                <w:lang w:val="sr-Cyrl-CS"/>
              </w:rPr>
            </w:pPr>
            <w:r w:rsidRPr="00644F20">
              <w:rPr>
                <w:rFonts w:ascii="Times New Roman" w:hAnsi="Times New Roman" w:cs="Times New Roman"/>
                <w:lang w:val="sr-Cyrl-CS"/>
              </w:rPr>
              <w:t>2024.</w:t>
            </w:r>
          </w:p>
        </w:tc>
      </w:tr>
      <w:tr w:rsidR="00497092" w:rsidRPr="00644F20" w14:paraId="33F0D04C" w14:textId="77777777">
        <w:trPr>
          <w:trHeight w:val="543"/>
        </w:trPr>
        <w:tc>
          <w:tcPr>
            <w:tcW w:w="960" w:type="pct"/>
            <w:tcBorders>
              <w:top w:val="single" w:sz="4" w:space="0" w:color="auto"/>
              <w:left w:val="double" w:sz="4" w:space="0" w:color="auto"/>
              <w:bottom w:val="single" w:sz="4" w:space="0" w:color="auto"/>
              <w:right w:val="single" w:sz="4" w:space="0" w:color="auto"/>
            </w:tcBorders>
          </w:tcPr>
          <w:p w14:paraId="69D43BC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5.2.1. Израда Плана кампање за подизање свести у образовним институцијама</w:t>
            </w:r>
          </w:p>
        </w:tc>
        <w:tc>
          <w:tcPr>
            <w:tcW w:w="459" w:type="pct"/>
            <w:tcBorders>
              <w:top w:val="single" w:sz="4" w:space="0" w:color="auto"/>
              <w:left w:val="single" w:sz="4" w:space="0" w:color="auto"/>
              <w:bottom w:val="single" w:sz="4" w:space="0" w:color="auto"/>
              <w:right w:val="single" w:sz="4" w:space="0" w:color="auto"/>
            </w:tcBorders>
          </w:tcPr>
          <w:p w14:paraId="0E0565E2"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МЗЖС</w:t>
            </w:r>
          </w:p>
        </w:tc>
        <w:tc>
          <w:tcPr>
            <w:tcW w:w="496" w:type="pct"/>
            <w:tcBorders>
              <w:top w:val="single" w:sz="4" w:space="0" w:color="auto"/>
              <w:left w:val="single" w:sz="4" w:space="0" w:color="auto"/>
              <w:bottom w:val="single" w:sz="4" w:space="0" w:color="auto"/>
              <w:right w:val="single" w:sz="4" w:space="0" w:color="auto"/>
            </w:tcBorders>
          </w:tcPr>
          <w:p w14:paraId="002251D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МПР</w:t>
            </w:r>
          </w:p>
          <w:p w14:paraId="3FAB5F0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Образовне институције</w:t>
            </w:r>
          </w:p>
        </w:tc>
        <w:tc>
          <w:tcPr>
            <w:tcW w:w="464" w:type="pct"/>
            <w:tcBorders>
              <w:top w:val="single" w:sz="4" w:space="0" w:color="auto"/>
              <w:left w:val="single" w:sz="4" w:space="0" w:color="auto"/>
              <w:bottom w:val="single" w:sz="4" w:space="0" w:color="auto"/>
              <w:right w:val="single" w:sz="4" w:space="0" w:color="auto"/>
            </w:tcBorders>
          </w:tcPr>
          <w:p w14:paraId="2C6A78C6"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2022.</w:t>
            </w:r>
          </w:p>
        </w:tc>
        <w:tc>
          <w:tcPr>
            <w:tcW w:w="629" w:type="pct"/>
            <w:tcBorders>
              <w:top w:val="single" w:sz="4" w:space="0" w:color="auto"/>
              <w:left w:val="single" w:sz="4" w:space="0" w:color="auto"/>
              <w:bottom w:val="single" w:sz="4" w:space="0" w:color="auto"/>
              <w:right w:val="single" w:sz="4" w:space="0" w:color="auto"/>
            </w:tcBorders>
          </w:tcPr>
          <w:p w14:paraId="0BA8203F"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4BE9BBF8" w14:textId="77777777" w:rsidR="00497092" w:rsidRPr="00644F20" w:rsidRDefault="00497092">
            <w:pPr>
              <w:spacing w:after="60" w:line="240" w:lineRule="auto"/>
              <w:rPr>
                <w:rFonts w:ascii="Times New Roman" w:hAnsi="Times New Roman" w:cs="Times New Roman"/>
                <w:lang w:val="sr-Cyrl-CS"/>
              </w:rPr>
            </w:pPr>
          </w:p>
        </w:tc>
        <w:tc>
          <w:tcPr>
            <w:tcW w:w="497" w:type="pct"/>
            <w:tcBorders>
              <w:top w:val="single" w:sz="4" w:space="0" w:color="auto"/>
              <w:left w:val="single" w:sz="4" w:space="0" w:color="auto"/>
              <w:bottom w:val="single" w:sz="4" w:space="0" w:color="auto"/>
              <w:right w:val="single" w:sz="4" w:space="0" w:color="auto"/>
            </w:tcBorders>
          </w:tcPr>
          <w:p w14:paraId="60DD03F1" w14:textId="77777777" w:rsidR="00497092" w:rsidRPr="00644F20" w:rsidRDefault="00497092">
            <w:pPr>
              <w:spacing w:after="60" w:line="240" w:lineRule="auto"/>
              <w:rPr>
                <w:rFonts w:ascii="Times New Roman"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19ED0F24"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366AA2B5"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63C4F094" w14:textId="77777777">
        <w:trPr>
          <w:trHeight w:val="140"/>
        </w:trPr>
        <w:tc>
          <w:tcPr>
            <w:tcW w:w="960" w:type="pct"/>
            <w:tcBorders>
              <w:top w:val="single" w:sz="4" w:space="0" w:color="auto"/>
              <w:left w:val="double" w:sz="4" w:space="0" w:color="auto"/>
              <w:bottom w:val="single" w:sz="4" w:space="0" w:color="auto"/>
              <w:right w:val="single" w:sz="4" w:space="0" w:color="auto"/>
            </w:tcBorders>
          </w:tcPr>
          <w:p w14:paraId="3873C595"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5.2.2. Спровођење кампање у образовним </w:t>
            </w:r>
            <w:r w:rsidRPr="00644F20">
              <w:rPr>
                <w:rFonts w:ascii="Times New Roman" w:hAnsi="Times New Roman" w:cs="Times New Roman"/>
                <w:lang w:val="sr-Cyrl-CS"/>
              </w:rPr>
              <w:lastRenderedPageBreak/>
              <w:t>институцијама у складу са Планом</w:t>
            </w:r>
          </w:p>
        </w:tc>
        <w:tc>
          <w:tcPr>
            <w:tcW w:w="459" w:type="pct"/>
            <w:tcBorders>
              <w:top w:val="single" w:sz="4" w:space="0" w:color="auto"/>
              <w:left w:val="single" w:sz="4" w:space="0" w:color="auto"/>
              <w:bottom w:val="single" w:sz="4" w:space="0" w:color="auto"/>
              <w:right w:val="single" w:sz="4" w:space="0" w:color="auto"/>
            </w:tcBorders>
          </w:tcPr>
          <w:p w14:paraId="4C6FB40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МЗЖС</w:t>
            </w:r>
          </w:p>
          <w:p w14:paraId="745A54A5" w14:textId="77777777" w:rsidR="00497092" w:rsidRPr="00644F20" w:rsidRDefault="00497092">
            <w:pPr>
              <w:spacing w:after="60" w:line="240" w:lineRule="auto"/>
              <w:rPr>
                <w:rFonts w:ascii="Times New Roman" w:hAnsi="Times New Roman" w:cs="Times New Roman"/>
                <w:lang w:val="sr-Cyrl-CS"/>
              </w:rPr>
            </w:pPr>
          </w:p>
        </w:tc>
        <w:tc>
          <w:tcPr>
            <w:tcW w:w="496" w:type="pct"/>
            <w:tcBorders>
              <w:top w:val="single" w:sz="4" w:space="0" w:color="auto"/>
              <w:left w:val="single" w:sz="4" w:space="0" w:color="auto"/>
              <w:bottom w:val="single" w:sz="4" w:space="0" w:color="auto"/>
              <w:right w:val="single" w:sz="4" w:space="0" w:color="auto"/>
            </w:tcBorders>
          </w:tcPr>
          <w:p w14:paraId="486E318E"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МПР</w:t>
            </w:r>
          </w:p>
          <w:p w14:paraId="466FF8E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Образовне институције</w:t>
            </w:r>
          </w:p>
        </w:tc>
        <w:tc>
          <w:tcPr>
            <w:tcW w:w="464" w:type="pct"/>
            <w:tcBorders>
              <w:top w:val="single" w:sz="4" w:space="0" w:color="auto"/>
              <w:left w:val="single" w:sz="4" w:space="0" w:color="auto"/>
              <w:bottom w:val="single" w:sz="4" w:space="0" w:color="auto"/>
              <w:right w:val="single" w:sz="4" w:space="0" w:color="auto"/>
            </w:tcBorders>
          </w:tcPr>
          <w:p w14:paraId="50AD0B2A"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lastRenderedPageBreak/>
              <w:t>2024.</w:t>
            </w:r>
          </w:p>
        </w:tc>
        <w:tc>
          <w:tcPr>
            <w:tcW w:w="629" w:type="pct"/>
            <w:tcBorders>
              <w:top w:val="single" w:sz="4" w:space="0" w:color="auto"/>
              <w:left w:val="single" w:sz="4" w:space="0" w:color="auto"/>
              <w:bottom w:val="single" w:sz="4" w:space="0" w:color="auto"/>
              <w:right w:val="single" w:sz="4" w:space="0" w:color="auto"/>
            </w:tcBorders>
          </w:tcPr>
          <w:p w14:paraId="1992222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 xml:space="preserve">Извори финансирања и средстава </w:t>
            </w:r>
            <w:r w:rsidRPr="00644F20">
              <w:rPr>
                <w:rFonts w:ascii="Times New Roman" w:eastAsia="Calibri" w:hAnsi="Times New Roman" w:cs="Times New Roman"/>
                <w:lang w:val="sr-Cyrl-CS"/>
              </w:rPr>
              <w:lastRenderedPageBreak/>
              <w:t>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1634E81F" w14:textId="77777777" w:rsidR="00497092" w:rsidRPr="00644F20" w:rsidRDefault="00497092">
            <w:pPr>
              <w:spacing w:after="60" w:line="240" w:lineRule="auto"/>
              <w:rPr>
                <w:rFonts w:ascii="Times New Roman" w:hAnsi="Times New Roman" w:cs="Times New Roman"/>
                <w:lang w:val="sr-Cyrl-CS"/>
              </w:rPr>
            </w:pPr>
          </w:p>
        </w:tc>
        <w:tc>
          <w:tcPr>
            <w:tcW w:w="497" w:type="pct"/>
            <w:tcBorders>
              <w:top w:val="single" w:sz="4" w:space="0" w:color="auto"/>
              <w:left w:val="single" w:sz="4" w:space="0" w:color="auto"/>
              <w:bottom w:val="single" w:sz="4" w:space="0" w:color="auto"/>
              <w:right w:val="single" w:sz="4" w:space="0" w:color="auto"/>
            </w:tcBorders>
          </w:tcPr>
          <w:p w14:paraId="06B99859" w14:textId="77777777" w:rsidR="00497092" w:rsidRPr="00644F20" w:rsidRDefault="00497092">
            <w:pPr>
              <w:spacing w:after="60" w:line="240" w:lineRule="auto"/>
              <w:rPr>
                <w:rFonts w:ascii="Times New Roman"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191652D2"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0873F685" w14:textId="77777777" w:rsidR="00497092" w:rsidRPr="00644F20" w:rsidRDefault="00497092">
            <w:pPr>
              <w:spacing w:after="60" w:line="240" w:lineRule="auto"/>
              <w:rPr>
                <w:rFonts w:ascii="Times New Roman" w:hAnsi="Times New Roman" w:cs="Times New Roman"/>
                <w:lang w:val="sr-Cyrl-CS"/>
              </w:rPr>
            </w:pPr>
          </w:p>
        </w:tc>
      </w:tr>
      <w:tr w:rsidR="00497092" w:rsidRPr="00644F20" w14:paraId="61F1A144" w14:textId="77777777">
        <w:trPr>
          <w:trHeight w:val="140"/>
        </w:trPr>
        <w:tc>
          <w:tcPr>
            <w:tcW w:w="960" w:type="pct"/>
            <w:tcBorders>
              <w:top w:val="single" w:sz="4" w:space="0" w:color="auto"/>
              <w:left w:val="double" w:sz="4" w:space="0" w:color="auto"/>
              <w:bottom w:val="single" w:sz="4" w:space="0" w:color="auto"/>
              <w:right w:val="single" w:sz="4" w:space="0" w:color="auto"/>
            </w:tcBorders>
          </w:tcPr>
          <w:p w14:paraId="154E5AAD"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5.2.3. Увођење нових предмета или измене постојећих предмета у циљу примене концепта ЦЕ у студијске програме на основним и мастер академским или струковним студијама</w:t>
            </w:r>
          </w:p>
        </w:tc>
        <w:tc>
          <w:tcPr>
            <w:tcW w:w="459" w:type="pct"/>
            <w:tcBorders>
              <w:top w:val="single" w:sz="4" w:space="0" w:color="auto"/>
              <w:left w:val="single" w:sz="4" w:space="0" w:color="auto"/>
              <w:bottom w:val="single" w:sz="4" w:space="0" w:color="auto"/>
              <w:right w:val="single" w:sz="4" w:space="0" w:color="auto"/>
            </w:tcBorders>
          </w:tcPr>
          <w:p w14:paraId="79F94A74"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 xml:space="preserve">МЗЖС </w:t>
            </w:r>
          </w:p>
        </w:tc>
        <w:tc>
          <w:tcPr>
            <w:tcW w:w="496" w:type="pct"/>
            <w:tcBorders>
              <w:top w:val="single" w:sz="4" w:space="0" w:color="auto"/>
              <w:left w:val="single" w:sz="4" w:space="0" w:color="auto"/>
              <w:bottom w:val="single" w:sz="4" w:space="0" w:color="auto"/>
              <w:right w:val="single" w:sz="4" w:space="0" w:color="auto"/>
            </w:tcBorders>
          </w:tcPr>
          <w:p w14:paraId="6BAA3967"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МПР</w:t>
            </w:r>
          </w:p>
          <w:p w14:paraId="7C690898"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Факултети и високе стручне школе</w:t>
            </w:r>
          </w:p>
        </w:tc>
        <w:tc>
          <w:tcPr>
            <w:tcW w:w="464" w:type="pct"/>
            <w:tcBorders>
              <w:top w:val="single" w:sz="4" w:space="0" w:color="auto"/>
              <w:left w:val="single" w:sz="4" w:space="0" w:color="auto"/>
              <w:bottom w:val="single" w:sz="4" w:space="0" w:color="auto"/>
              <w:right w:val="single" w:sz="4" w:space="0" w:color="auto"/>
            </w:tcBorders>
          </w:tcPr>
          <w:p w14:paraId="647BA9E0"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hAnsi="Times New Roman" w:cs="Times New Roman"/>
                <w:lang w:val="sr-Cyrl-CS"/>
              </w:rPr>
              <w:t>2024.</w:t>
            </w:r>
          </w:p>
        </w:tc>
        <w:tc>
          <w:tcPr>
            <w:tcW w:w="629" w:type="pct"/>
            <w:tcBorders>
              <w:top w:val="single" w:sz="4" w:space="0" w:color="auto"/>
              <w:left w:val="single" w:sz="4" w:space="0" w:color="auto"/>
              <w:bottom w:val="single" w:sz="4" w:space="0" w:color="auto"/>
              <w:right w:val="single" w:sz="4" w:space="0" w:color="auto"/>
            </w:tcBorders>
          </w:tcPr>
          <w:p w14:paraId="7730DD8C" w14:textId="77777777" w:rsidR="00497092" w:rsidRPr="00644F20" w:rsidRDefault="002F45E1">
            <w:pPr>
              <w:spacing w:after="60" w:line="240" w:lineRule="auto"/>
              <w:rPr>
                <w:rFonts w:ascii="Times New Roman" w:hAnsi="Times New Roman" w:cs="Times New Roman"/>
                <w:lang w:val="sr-Cyrl-CS"/>
              </w:rPr>
            </w:pPr>
            <w:r w:rsidRPr="00644F20">
              <w:rPr>
                <w:rFonts w:ascii="Times New Roman" w:eastAsia="Calibri" w:hAnsi="Times New Roman" w:cs="Times New Roman"/>
                <w:lang w:val="sr-Cyrl-CS"/>
              </w:rPr>
              <w:t>Извори финансирања и средстава утврђени на нивоу мере</w:t>
            </w:r>
          </w:p>
        </w:tc>
        <w:tc>
          <w:tcPr>
            <w:tcW w:w="463" w:type="pct"/>
            <w:tcBorders>
              <w:top w:val="single" w:sz="4" w:space="0" w:color="auto"/>
              <w:left w:val="single" w:sz="4" w:space="0" w:color="auto"/>
              <w:bottom w:val="single" w:sz="4" w:space="0" w:color="auto"/>
              <w:right w:val="single" w:sz="4" w:space="0" w:color="auto"/>
            </w:tcBorders>
          </w:tcPr>
          <w:p w14:paraId="28B048A2" w14:textId="77777777" w:rsidR="00497092" w:rsidRPr="00644F20" w:rsidRDefault="00497092">
            <w:pPr>
              <w:spacing w:after="60" w:line="240" w:lineRule="auto"/>
              <w:rPr>
                <w:rFonts w:ascii="Times New Roman" w:hAnsi="Times New Roman" w:cs="Times New Roman"/>
                <w:lang w:val="sr-Cyrl-CS"/>
              </w:rPr>
            </w:pPr>
          </w:p>
        </w:tc>
        <w:tc>
          <w:tcPr>
            <w:tcW w:w="497" w:type="pct"/>
            <w:tcBorders>
              <w:top w:val="single" w:sz="4" w:space="0" w:color="auto"/>
              <w:left w:val="single" w:sz="4" w:space="0" w:color="auto"/>
              <w:bottom w:val="single" w:sz="4" w:space="0" w:color="auto"/>
              <w:right w:val="single" w:sz="4" w:space="0" w:color="auto"/>
            </w:tcBorders>
          </w:tcPr>
          <w:p w14:paraId="0DDF4399" w14:textId="77777777" w:rsidR="00497092" w:rsidRPr="00644F20" w:rsidRDefault="00497092">
            <w:pPr>
              <w:spacing w:after="60" w:line="240" w:lineRule="auto"/>
              <w:rPr>
                <w:rFonts w:ascii="Times New Roman" w:hAnsi="Times New Roman" w:cs="Times New Roman"/>
                <w:lang w:val="sr-Cyrl-CS"/>
              </w:rPr>
            </w:pPr>
          </w:p>
        </w:tc>
        <w:tc>
          <w:tcPr>
            <w:tcW w:w="541" w:type="pct"/>
            <w:tcBorders>
              <w:top w:val="single" w:sz="4" w:space="0" w:color="auto"/>
              <w:left w:val="single" w:sz="4" w:space="0" w:color="auto"/>
              <w:bottom w:val="single" w:sz="4" w:space="0" w:color="auto"/>
              <w:right w:val="single" w:sz="4" w:space="0" w:color="auto"/>
            </w:tcBorders>
          </w:tcPr>
          <w:p w14:paraId="493108C4" w14:textId="77777777" w:rsidR="00497092" w:rsidRPr="00644F20" w:rsidRDefault="00497092">
            <w:pPr>
              <w:spacing w:after="60" w:line="240" w:lineRule="auto"/>
              <w:rPr>
                <w:rFonts w:ascii="Times New Roman" w:hAnsi="Times New Roman" w:cs="Times New Roman"/>
                <w:lang w:val="sr-Cyrl-CS"/>
              </w:rPr>
            </w:pPr>
          </w:p>
        </w:tc>
        <w:tc>
          <w:tcPr>
            <w:tcW w:w="491" w:type="pct"/>
            <w:tcBorders>
              <w:top w:val="single" w:sz="4" w:space="0" w:color="auto"/>
              <w:left w:val="single" w:sz="4" w:space="0" w:color="auto"/>
              <w:bottom w:val="single" w:sz="4" w:space="0" w:color="auto"/>
              <w:right w:val="single" w:sz="4" w:space="0" w:color="auto"/>
            </w:tcBorders>
          </w:tcPr>
          <w:p w14:paraId="792A2C47" w14:textId="77777777" w:rsidR="00497092" w:rsidRPr="00644F20" w:rsidRDefault="00497092">
            <w:pPr>
              <w:spacing w:after="60" w:line="240" w:lineRule="auto"/>
              <w:rPr>
                <w:rFonts w:ascii="Times New Roman" w:hAnsi="Times New Roman" w:cs="Times New Roman"/>
                <w:lang w:val="sr-Cyrl-CS"/>
              </w:rPr>
            </w:pPr>
          </w:p>
        </w:tc>
      </w:tr>
    </w:tbl>
    <w:p w14:paraId="0DC4A91D" w14:textId="77777777" w:rsidR="00497092" w:rsidRPr="00644F20" w:rsidRDefault="00497092">
      <w:pPr>
        <w:jc w:val="both"/>
        <w:rPr>
          <w:rFonts w:ascii="Times New Roman" w:hAnsi="Times New Roman" w:cs="Times New Roman"/>
          <w:lang w:val="sr-Cyrl-CS"/>
        </w:rPr>
      </w:pPr>
    </w:p>
    <w:p w14:paraId="4C98773B" w14:textId="77777777" w:rsidR="00497092" w:rsidRPr="00644F20" w:rsidRDefault="002F45E1">
      <w:pPr>
        <w:jc w:val="both"/>
        <w:rPr>
          <w:rFonts w:ascii="Times New Roman" w:hAnsi="Times New Roman" w:cs="Times New Roman"/>
          <w:lang w:val="sr-Cyrl-CS"/>
        </w:rPr>
      </w:pPr>
      <w:r w:rsidRPr="00644F20">
        <w:rPr>
          <w:rFonts w:ascii="Times New Roman" w:hAnsi="Times New Roman" w:cs="Times New Roman"/>
          <w:lang w:val="sr-Cyrl-CS"/>
        </w:rPr>
        <w:t xml:space="preserve">*Средства нису обезбеђена. Планирано је да се у преговорима са међународним донаторским организацијама обезбеде додатна средства која би допринела бржем и ефикаснијем остварењу дефинисаних посебних циљева, као и општег циља </w:t>
      </w:r>
      <w:r w:rsidR="009F738C" w:rsidRPr="00644F20">
        <w:rPr>
          <w:rFonts w:ascii="Times New Roman" w:hAnsi="Times New Roman" w:cs="Times New Roman"/>
          <w:lang w:val="sr-Cyrl-CS"/>
        </w:rPr>
        <w:t>овог п</w:t>
      </w:r>
      <w:r w:rsidRPr="00644F20">
        <w:rPr>
          <w:rFonts w:ascii="Times New Roman" w:hAnsi="Times New Roman" w:cs="Times New Roman"/>
          <w:lang w:val="sr-Cyrl-CS"/>
        </w:rPr>
        <w:t>рограма.</w:t>
      </w:r>
    </w:p>
    <w:p w14:paraId="1022E708" w14:textId="77777777" w:rsidR="00497092" w:rsidRPr="00644F20" w:rsidRDefault="00497092">
      <w:pPr>
        <w:spacing w:after="120" w:line="276" w:lineRule="auto"/>
        <w:rPr>
          <w:rFonts w:ascii="Times New Roman" w:eastAsia="Times New Roman" w:hAnsi="Times New Roman" w:cs="Times New Roman"/>
          <w:b/>
          <w:sz w:val="32"/>
          <w:szCs w:val="32"/>
          <w:lang w:val="sr-Cyrl-CS"/>
        </w:rPr>
      </w:pPr>
    </w:p>
    <w:p w14:paraId="2605D428" w14:textId="77777777" w:rsidR="00497092" w:rsidRPr="00644F20" w:rsidRDefault="00497092">
      <w:pPr>
        <w:spacing w:after="120" w:line="276" w:lineRule="auto"/>
        <w:rPr>
          <w:rFonts w:ascii="Times New Roman" w:eastAsia="Times New Roman" w:hAnsi="Times New Roman" w:cs="Times New Roman"/>
          <w:b/>
          <w:sz w:val="32"/>
          <w:szCs w:val="32"/>
          <w:lang w:val="sr-Cyrl-CS"/>
        </w:rPr>
      </w:pPr>
    </w:p>
    <w:p w14:paraId="48A8C97D" w14:textId="77777777" w:rsidR="00497092" w:rsidRPr="00644F20" w:rsidRDefault="00497092">
      <w:pPr>
        <w:spacing w:after="120" w:line="276" w:lineRule="auto"/>
        <w:rPr>
          <w:rFonts w:ascii="Times New Roman" w:eastAsia="Times New Roman" w:hAnsi="Times New Roman" w:cs="Times New Roman"/>
          <w:b/>
          <w:sz w:val="32"/>
          <w:szCs w:val="32"/>
          <w:lang w:val="sr-Cyrl-CS"/>
        </w:rPr>
      </w:pPr>
    </w:p>
    <w:p w14:paraId="0E469AC7" w14:textId="77777777" w:rsidR="009F738C" w:rsidRPr="00644F20" w:rsidRDefault="009F738C">
      <w:pPr>
        <w:spacing w:after="120" w:line="276" w:lineRule="auto"/>
        <w:rPr>
          <w:rFonts w:ascii="Times New Roman" w:eastAsia="Times New Roman" w:hAnsi="Times New Roman" w:cs="Times New Roman"/>
          <w:b/>
          <w:sz w:val="32"/>
          <w:szCs w:val="32"/>
          <w:lang w:val="sr-Cyrl-CS"/>
        </w:rPr>
      </w:pPr>
    </w:p>
    <w:p w14:paraId="45AC7A04" w14:textId="77777777" w:rsidR="009F738C" w:rsidRPr="00644F20" w:rsidRDefault="009F738C">
      <w:pPr>
        <w:spacing w:after="120" w:line="276" w:lineRule="auto"/>
        <w:rPr>
          <w:rFonts w:ascii="Times New Roman" w:eastAsia="Times New Roman" w:hAnsi="Times New Roman" w:cs="Times New Roman"/>
          <w:b/>
          <w:sz w:val="32"/>
          <w:szCs w:val="32"/>
          <w:lang w:val="sr-Cyrl-CS"/>
        </w:rPr>
      </w:pPr>
    </w:p>
    <w:p w14:paraId="04D1CE5D" w14:textId="77777777" w:rsidR="009F738C" w:rsidRPr="00644F20" w:rsidRDefault="009F738C">
      <w:pPr>
        <w:spacing w:after="120" w:line="276" w:lineRule="auto"/>
        <w:rPr>
          <w:rFonts w:ascii="Times New Roman" w:eastAsia="Times New Roman" w:hAnsi="Times New Roman" w:cs="Times New Roman"/>
          <w:b/>
          <w:sz w:val="32"/>
          <w:szCs w:val="32"/>
          <w:lang w:val="sr-Cyrl-CS"/>
        </w:rPr>
      </w:pPr>
    </w:p>
    <w:p w14:paraId="7FE67044" w14:textId="77777777" w:rsidR="009F738C" w:rsidRPr="00644F20" w:rsidRDefault="009F738C">
      <w:pPr>
        <w:spacing w:after="120" w:line="276" w:lineRule="auto"/>
        <w:rPr>
          <w:rFonts w:ascii="Times New Roman" w:eastAsia="Times New Roman" w:hAnsi="Times New Roman" w:cs="Times New Roman"/>
          <w:b/>
          <w:sz w:val="32"/>
          <w:szCs w:val="32"/>
          <w:lang w:val="sr-Cyrl-CS"/>
        </w:rPr>
      </w:pPr>
    </w:p>
    <w:p w14:paraId="466DE088" w14:textId="77777777" w:rsidR="009F738C" w:rsidRPr="00644F20" w:rsidRDefault="009F738C">
      <w:pPr>
        <w:spacing w:after="120" w:line="276" w:lineRule="auto"/>
        <w:rPr>
          <w:rFonts w:ascii="Times New Roman" w:eastAsia="Times New Roman" w:hAnsi="Times New Roman" w:cs="Times New Roman"/>
          <w:b/>
          <w:sz w:val="32"/>
          <w:szCs w:val="32"/>
          <w:lang w:val="sr-Cyrl-CS"/>
        </w:rPr>
      </w:pPr>
    </w:p>
    <w:p w14:paraId="004B96C1" w14:textId="77777777" w:rsidR="009F738C" w:rsidRPr="00644F20" w:rsidRDefault="009F738C">
      <w:pPr>
        <w:spacing w:after="120" w:line="276" w:lineRule="auto"/>
        <w:rPr>
          <w:rFonts w:ascii="Times New Roman" w:eastAsia="Times New Roman" w:hAnsi="Times New Roman" w:cs="Times New Roman"/>
          <w:b/>
          <w:sz w:val="32"/>
          <w:szCs w:val="32"/>
          <w:lang w:val="sr-Cyrl-CS"/>
        </w:rPr>
      </w:pPr>
    </w:p>
    <w:p w14:paraId="6EE31951" w14:textId="77777777" w:rsidR="009F738C" w:rsidRPr="00644F20" w:rsidRDefault="009F738C">
      <w:pPr>
        <w:spacing w:after="120" w:line="276" w:lineRule="auto"/>
        <w:rPr>
          <w:rFonts w:ascii="Times New Roman" w:eastAsia="Times New Roman" w:hAnsi="Times New Roman" w:cs="Times New Roman"/>
          <w:b/>
          <w:sz w:val="32"/>
          <w:szCs w:val="32"/>
          <w:lang w:val="sr-Cyrl-CS"/>
        </w:rPr>
      </w:pPr>
    </w:p>
    <w:p w14:paraId="194F22E7" w14:textId="77777777" w:rsidR="00497092" w:rsidRPr="00644F20" w:rsidRDefault="002F45E1">
      <w:pPr>
        <w:spacing w:after="120" w:line="276" w:lineRule="auto"/>
        <w:rPr>
          <w:rFonts w:ascii="Times New Roman" w:eastAsia="Times New Roman" w:hAnsi="Times New Roman" w:cs="Times New Roman"/>
          <w:b/>
          <w:sz w:val="32"/>
          <w:szCs w:val="32"/>
          <w:lang w:val="sr-Cyrl-CS"/>
        </w:rPr>
      </w:pPr>
      <w:r w:rsidRPr="00644F20">
        <w:rPr>
          <w:rFonts w:ascii="Times New Roman" w:eastAsia="Times New Roman" w:hAnsi="Times New Roman" w:cs="Times New Roman"/>
          <w:b/>
          <w:sz w:val="32"/>
          <w:szCs w:val="32"/>
          <w:lang w:val="sr-Cyrl-CS"/>
        </w:rPr>
        <w:t>Листа скраћеница</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370"/>
      </w:tblGrid>
      <w:tr w:rsidR="006D2592" w:rsidRPr="00644F20" w14:paraId="584D18D7" w14:textId="77777777">
        <w:tc>
          <w:tcPr>
            <w:tcW w:w="1368" w:type="dxa"/>
          </w:tcPr>
          <w:p w14:paraId="0BFABE21"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АЗЖС</w:t>
            </w:r>
          </w:p>
        </w:tc>
        <w:tc>
          <w:tcPr>
            <w:tcW w:w="8370" w:type="dxa"/>
          </w:tcPr>
          <w:p w14:paraId="2D5CB309" w14:textId="77777777" w:rsidR="00497092" w:rsidRPr="00644F20" w:rsidRDefault="00D3577B">
            <w:pPr>
              <w:spacing w:before="20" w:after="2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Агенција за заштиту животне средине</w:t>
            </w:r>
          </w:p>
        </w:tc>
      </w:tr>
      <w:tr w:rsidR="006D2592" w:rsidRPr="00644F20" w14:paraId="61CE241E" w14:textId="77777777">
        <w:tc>
          <w:tcPr>
            <w:tcW w:w="1368" w:type="dxa"/>
          </w:tcPr>
          <w:p w14:paraId="20BECF44"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BAT</w:t>
            </w:r>
          </w:p>
        </w:tc>
        <w:tc>
          <w:tcPr>
            <w:tcW w:w="8370" w:type="dxa"/>
          </w:tcPr>
          <w:p w14:paraId="53223167" w14:textId="77777777" w:rsidR="00497092" w:rsidRPr="00644F20" w:rsidRDefault="002F45E1">
            <w:pPr>
              <w:spacing w:before="20" w:after="20" w:line="276" w:lineRule="auto"/>
              <w:jc w:val="both"/>
              <w:rPr>
                <w:rFonts w:ascii="Times New Roman" w:eastAsia="Times New Roman" w:hAnsi="Times New Roman" w:cs="Times New Roman"/>
                <w:i/>
                <w:iCs/>
                <w:sz w:val="24"/>
                <w:szCs w:val="24"/>
                <w:lang w:val="sr-Cyrl-CS"/>
              </w:rPr>
            </w:pPr>
            <w:r w:rsidRPr="00644F20">
              <w:rPr>
                <w:rFonts w:ascii="Times New Roman" w:eastAsia="Times New Roman" w:hAnsi="Times New Roman" w:cs="Times New Roman"/>
                <w:i/>
                <w:iCs/>
                <w:sz w:val="24"/>
                <w:szCs w:val="24"/>
                <w:lang w:val="sr-Cyrl-CS"/>
              </w:rPr>
              <w:t xml:space="preserve">Best available techniques </w:t>
            </w:r>
            <w:r w:rsidRPr="00644F20">
              <w:rPr>
                <w:rFonts w:ascii="Times New Roman" w:eastAsia="Times New Roman" w:hAnsi="Times New Roman" w:cs="Times New Roman"/>
                <w:sz w:val="24"/>
                <w:szCs w:val="24"/>
                <w:lang w:val="sr-Cyrl-CS"/>
              </w:rPr>
              <w:t>(Најбоље доступне технике)</w:t>
            </w:r>
          </w:p>
        </w:tc>
      </w:tr>
      <w:tr w:rsidR="006D2592" w:rsidRPr="00644F20" w14:paraId="13233067" w14:textId="77777777">
        <w:tc>
          <w:tcPr>
            <w:tcW w:w="1368" w:type="dxa"/>
          </w:tcPr>
          <w:p w14:paraId="3C4C7BB9"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БДП</w:t>
            </w:r>
          </w:p>
        </w:tc>
        <w:tc>
          <w:tcPr>
            <w:tcW w:w="8370" w:type="dxa"/>
          </w:tcPr>
          <w:p w14:paraId="5D334677" w14:textId="77777777" w:rsidR="00497092" w:rsidRPr="00644F20" w:rsidRDefault="001B6E66">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БДП</w:t>
            </w:r>
          </w:p>
        </w:tc>
      </w:tr>
      <w:tr w:rsidR="006D2592" w:rsidRPr="00644F20" w14:paraId="4551B144" w14:textId="77777777">
        <w:tc>
          <w:tcPr>
            <w:tcW w:w="1368" w:type="dxa"/>
          </w:tcPr>
          <w:p w14:paraId="4804ABD8"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GEF</w:t>
            </w:r>
          </w:p>
        </w:tc>
        <w:tc>
          <w:tcPr>
            <w:tcW w:w="8370" w:type="dxa"/>
          </w:tcPr>
          <w:p w14:paraId="764161CB"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i/>
                <w:iCs/>
                <w:sz w:val="24"/>
                <w:szCs w:val="24"/>
                <w:lang w:val="sr-Cyrl-CS"/>
              </w:rPr>
              <w:t>Global Environment Fund</w:t>
            </w:r>
            <w:r w:rsidRPr="00644F20">
              <w:rPr>
                <w:rFonts w:ascii="Times New Roman" w:eastAsia="Times New Roman" w:hAnsi="Times New Roman" w:cs="Times New Roman"/>
                <w:sz w:val="24"/>
                <w:szCs w:val="24"/>
                <w:lang w:val="sr-Cyrl-CS"/>
              </w:rPr>
              <w:t xml:space="preserve"> (Глобални фонд за заштиту животне средине)</w:t>
            </w:r>
          </w:p>
        </w:tc>
      </w:tr>
      <w:tr w:rsidR="006D2592" w:rsidRPr="00644F20" w14:paraId="6BAFFAA2" w14:textId="77777777">
        <w:tc>
          <w:tcPr>
            <w:tcW w:w="1368" w:type="dxa"/>
          </w:tcPr>
          <w:p w14:paraId="6A0A55BE"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GHG</w:t>
            </w:r>
          </w:p>
        </w:tc>
        <w:tc>
          <w:tcPr>
            <w:tcW w:w="8370" w:type="dxa"/>
          </w:tcPr>
          <w:p w14:paraId="29884446"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i/>
                <w:iCs/>
                <w:sz w:val="24"/>
                <w:szCs w:val="24"/>
                <w:lang w:val="sr-Cyrl-CS"/>
              </w:rPr>
              <w:t>Greenhouse gases</w:t>
            </w:r>
            <w:r w:rsidRPr="00644F20">
              <w:rPr>
                <w:rFonts w:ascii="Times New Roman" w:eastAsia="Times New Roman" w:hAnsi="Times New Roman" w:cs="Times New Roman"/>
                <w:sz w:val="24"/>
                <w:szCs w:val="24"/>
                <w:lang w:val="sr-Cyrl-CS"/>
              </w:rPr>
              <w:t xml:space="preserve"> (Гасови са ефектом стаклене баште)</w:t>
            </w:r>
          </w:p>
        </w:tc>
      </w:tr>
      <w:tr w:rsidR="006D2592" w:rsidRPr="00644F20" w14:paraId="231CCEF0" w14:textId="77777777">
        <w:tc>
          <w:tcPr>
            <w:tcW w:w="1368" w:type="dxa"/>
          </w:tcPr>
          <w:p w14:paraId="592F0473"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ЕМАS</w:t>
            </w:r>
          </w:p>
        </w:tc>
        <w:tc>
          <w:tcPr>
            <w:tcW w:w="8370" w:type="dxa"/>
          </w:tcPr>
          <w:p w14:paraId="7BCA8352"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i/>
                <w:iCs/>
                <w:sz w:val="24"/>
                <w:szCs w:val="24"/>
                <w:lang w:val="sr-Cyrl-CS"/>
              </w:rPr>
              <w:t>EcoManagement and Audit Scheme</w:t>
            </w:r>
            <w:r w:rsidRPr="00644F20">
              <w:rPr>
                <w:rFonts w:ascii="Times New Roman" w:eastAsia="Times New Roman" w:hAnsi="Times New Roman" w:cs="Times New Roman"/>
                <w:sz w:val="24"/>
                <w:szCs w:val="24"/>
                <w:lang w:val="sr-Cyrl-CS"/>
              </w:rPr>
              <w:t xml:space="preserve"> (Шема екоменаџмента и провере)</w:t>
            </w:r>
          </w:p>
        </w:tc>
      </w:tr>
      <w:tr w:rsidR="006D2592" w:rsidRPr="00644F20" w14:paraId="3093637A" w14:textId="77777777">
        <w:tc>
          <w:tcPr>
            <w:tcW w:w="1368" w:type="dxa"/>
          </w:tcPr>
          <w:p w14:paraId="233B8144"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ЗеЈН</w:t>
            </w:r>
          </w:p>
        </w:tc>
        <w:tc>
          <w:tcPr>
            <w:tcW w:w="8370" w:type="dxa"/>
          </w:tcPr>
          <w:p w14:paraId="3CDACA65" w14:textId="77777777" w:rsidR="00497092" w:rsidRPr="00644F20" w:rsidRDefault="005D74AC">
            <w:pPr>
              <w:spacing w:before="20" w:after="20" w:line="276" w:lineRule="auto"/>
              <w:jc w:val="both"/>
              <w:rPr>
                <w:rFonts w:ascii="Times New Roman" w:eastAsia="Times New Roman" w:hAnsi="Times New Roman" w:cs="Times New Roman"/>
                <w:bCs/>
                <w:iCs/>
                <w:sz w:val="24"/>
                <w:szCs w:val="24"/>
                <w:lang w:val="sr-Cyrl-CS"/>
              </w:rPr>
            </w:pPr>
            <w:r w:rsidRPr="00644F20">
              <w:rPr>
                <w:rFonts w:ascii="Times New Roman" w:eastAsia="Times New Roman" w:hAnsi="Times New Roman" w:cs="Times New Roman"/>
                <w:bCs/>
                <w:iCs/>
                <w:sz w:val="24"/>
                <w:szCs w:val="24"/>
                <w:lang w:val="sr-Cyrl-CS"/>
              </w:rPr>
              <w:t>ЗеЈН</w:t>
            </w:r>
          </w:p>
        </w:tc>
      </w:tr>
      <w:tr w:rsidR="006D2592" w:rsidRPr="00644F20" w14:paraId="0EAD01A4" w14:textId="77777777">
        <w:tc>
          <w:tcPr>
            <w:tcW w:w="1368" w:type="dxa"/>
          </w:tcPr>
          <w:p w14:paraId="215C108B"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ISO</w:t>
            </w:r>
          </w:p>
        </w:tc>
        <w:tc>
          <w:tcPr>
            <w:tcW w:w="8370" w:type="dxa"/>
          </w:tcPr>
          <w:p w14:paraId="63F37A70"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i/>
                <w:iCs/>
                <w:sz w:val="24"/>
                <w:szCs w:val="24"/>
                <w:lang w:val="sr-Cyrl-CS"/>
              </w:rPr>
              <w:t>International Organization for Standardization</w:t>
            </w:r>
            <w:r w:rsidRPr="00644F20">
              <w:rPr>
                <w:rFonts w:ascii="Times New Roman" w:eastAsia="Times New Roman" w:hAnsi="Times New Roman" w:cs="Times New Roman"/>
                <w:sz w:val="24"/>
                <w:szCs w:val="24"/>
                <w:lang w:val="sr-Cyrl-CS"/>
              </w:rPr>
              <w:t xml:space="preserve"> (Међународна организација за стандардизацију)</w:t>
            </w:r>
          </w:p>
        </w:tc>
      </w:tr>
      <w:tr w:rsidR="006D2592" w:rsidRPr="00644F20" w14:paraId="5F074DB8" w14:textId="77777777">
        <w:tc>
          <w:tcPr>
            <w:tcW w:w="1368" w:type="dxa"/>
          </w:tcPr>
          <w:p w14:paraId="1E24BA16" w14:textId="77777777" w:rsidR="00497092" w:rsidRPr="00644F20" w:rsidRDefault="002F45E1">
            <w:pPr>
              <w:spacing w:before="20" w:after="20" w:line="276" w:lineRule="auto"/>
              <w:rPr>
                <w:rFonts w:ascii="Times New Roman" w:eastAsia="Times New Roman" w:hAnsi="Times New Roman" w:cs="Times New Roman"/>
                <w:bCs/>
                <w:iCs/>
                <w:sz w:val="24"/>
                <w:szCs w:val="24"/>
                <w:lang w:val="sr-Cyrl-CS"/>
              </w:rPr>
            </w:pPr>
            <w:r w:rsidRPr="00644F20">
              <w:rPr>
                <w:rFonts w:ascii="Times New Roman" w:eastAsia="Times New Roman" w:hAnsi="Times New Roman" w:cs="Times New Roman"/>
                <w:bCs/>
                <w:iCs/>
                <w:sz w:val="24"/>
                <w:szCs w:val="24"/>
                <w:lang w:val="sr-Cyrl-CS"/>
              </w:rPr>
              <w:t>ИСС</w:t>
            </w:r>
          </w:p>
        </w:tc>
        <w:tc>
          <w:tcPr>
            <w:tcW w:w="8370" w:type="dxa"/>
          </w:tcPr>
          <w:p w14:paraId="020398BD" w14:textId="77777777" w:rsidR="00497092" w:rsidRPr="00644F20" w:rsidRDefault="002F45E1">
            <w:pPr>
              <w:spacing w:before="20" w:after="20" w:line="276" w:lineRule="auto"/>
              <w:jc w:val="both"/>
              <w:rPr>
                <w:rFonts w:ascii="Times New Roman" w:eastAsia="Times New Roman" w:hAnsi="Times New Roman" w:cs="Times New Roman"/>
                <w:bCs/>
                <w:sz w:val="24"/>
                <w:szCs w:val="24"/>
                <w:lang w:val="sr-Cyrl-CS"/>
              </w:rPr>
            </w:pPr>
            <w:r w:rsidRPr="00644F20">
              <w:rPr>
                <w:rFonts w:ascii="Times New Roman" w:eastAsia="Times New Roman" w:hAnsi="Times New Roman" w:cs="Times New Roman"/>
                <w:bCs/>
                <w:sz w:val="24"/>
                <w:szCs w:val="24"/>
                <w:lang w:val="sr-Cyrl-CS"/>
              </w:rPr>
              <w:t>Институт за стандардизацију Србије</w:t>
            </w:r>
          </w:p>
        </w:tc>
      </w:tr>
      <w:tr w:rsidR="006D2592" w:rsidRPr="00644F20" w14:paraId="66296CC1" w14:textId="77777777">
        <w:tc>
          <w:tcPr>
            <w:tcW w:w="1368" w:type="dxa"/>
          </w:tcPr>
          <w:p w14:paraId="363D7B7D" w14:textId="77777777" w:rsidR="00497092" w:rsidRPr="00644F20" w:rsidRDefault="002F45E1">
            <w:pPr>
              <w:spacing w:before="20" w:after="20" w:line="276" w:lineRule="auto"/>
              <w:rPr>
                <w:rFonts w:ascii="Times New Roman" w:eastAsia="Times New Roman" w:hAnsi="Times New Roman" w:cs="Times New Roman"/>
                <w:bCs/>
                <w:iCs/>
                <w:sz w:val="24"/>
                <w:szCs w:val="24"/>
                <w:lang w:val="sr-Cyrl-CS"/>
              </w:rPr>
            </w:pPr>
            <w:r w:rsidRPr="00644F20">
              <w:rPr>
                <w:rFonts w:ascii="Times New Roman" w:eastAsia="Times New Roman" w:hAnsi="Times New Roman" w:cs="Times New Roman"/>
                <w:bCs/>
                <w:iCs/>
                <w:sz w:val="24"/>
                <w:szCs w:val="24"/>
                <w:lang w:val="sr-Cyrl-CS"/>
              </w:rPr>
              <w:t>ЈЛС</w:t>
            </w:r>
          </w:p>
        </w:tc>
        <w:tc>
          <w:tcPr>
            <w:tcW w:w="8370" w:type="dxa"/>
          </w:tcPr>
          <w:p w14:paraId="6FB74D9D" w14:textId="77777777" w:rsidR="00497092" w:rsidRPr="00644F20" w:rsidRDefault="00C40C94">
            <w:pPr>
              <w:spacing w:before="20" w:after="20" w:line="276" w:lineRule="auto"/>
              <w:jc w:val="both"/>
              <w:rPr>
                <w:rFonts w:ascii="Times New Roman" w:eastAsia="Times New Roman" w:hAnsi="Times New Roman" w:cs="Times New Roman"/>
                <w:bCs/>
                <w:sz w:val="24"/>
                <w:szCs w:val="24"/>
                <w:lang w:val="sr-Cyrl-CS"/>
              </w:rPr>
            </w:pPr>
            <w:r w:rsidRPr="00644F20">
              <w:rPr>
                <w:rFonts w:ascii="Times New Roman" w:eastAsia="Times New Roman" w:hAnsi="Times New Roman" w:cs="Times New Roman"/>
                <w:bCs/>
                <w:sz w:val="24"/>
                <w:szCs w:val="24"/>
                <w:lang w:val="sr-Cyrl-CS"/>
              </w:rPr>
              <w:t>ЈЛС</w:t>
            </w:r>
          </w:p>
        </w:tc>
      </w:tr>
      <w:tr w:rsidR="006D2592" w:rsidRPr="00644F20" w14:paraId="643859F6" w14:textId="77777777">
        <w:tc>
          <w:tcPr>
            <w:tcW w:w="1368" w:type="dxa"/>
          </w:tcPr>
          <w:p w14:paraId="5E3E1788"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ЈН</w:t>
            </w:r>
          </w:p>
        </w:tc>
        <w:tc>
          <w:tcPr>
            <w:tcW w:w="8370" w:type="dxa"/>
          </w:tcPr>
          <w:p w14:paraId="0F199A12" w14:textId="77777777" w:rsidR="00497092" w:rsidRPr="00644F20" w:rsidRDefault="002F45E1">
            <w:pPr>
              <w:spacing w:before="20" w:after="20" w:line="276" w:lineRule="auto"/>
              <w:jc w:val="both"/>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Јавне набавке</w:t>
            </w:r>
          </w:p>
        </w:tc>
      </w:tr>
      <w:tr w:rsidR="006D2592" w:rsidRPr="00644F20" w14:paraId="611638F3" w14:textId="77777777">
        <w:tc>
          <w:tcPr>
            <w:tcW w:w="1368" w:type="dxa"/>
          </w:tcPr>
          <w:p w14:paraId="60E01FC3"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КЈН</w:t>
            </w:r>
          </w:p>
        </w:tc>
        <w:tc>
          <w:tcPr>
            <w:tcW w:w="8370" w:type="dxa"/>
          </w:tcPr>
          <w:p w14:paraId="112F5D2D" w14:textId="77777777" w:rsidR="00497092" w:rsidRPr="00644F20" w:rsidRDefault="002F45E1">
            <w:pPr>
              <w:spacing w:before="20" w:after="20" w:line="276" w:lineRule="auto"/>
              <w:jc w:val="both"/>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Канцеларија за јавне набавке</w:t>
            </w:r>
          </w:p>
        </w:tc>
      </w:tr>
      <w:tr w:rsidR="006D2592" w:rsidRPr="00644F20" w14:paraId="270664A7" w14:textId="77777777">
        <w:tc>
          <w:tcPr>
            <w:tcW w:w="1368" w:type="dxa"/>
          </w:tcPr>
          <w:p w14:paraId="2C93A58F"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МГСИ</w:t>
            </w:r>
          </w:p>
        </w:tc>
        <w:tc>
          <w:tcPr>
            <w:tcW w:w="8370" w:type="dxa"/>
          </w:tcPr>
          <w:p w14:paraId="37432C47"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грађевинaрства, саобраћаја и инфраструктуре</w:t>
            </w:r>
          </w:p>
        </w:tc>
      </w:tr>
      <w:tr w:rsidR="006D2592" w:rsidRPr="00644F20" w14:paraId="656272FD" w14:textId="77777777">
        <w:tc>
          <w:tcPr>
            <w:tcW w:w="1368" w:type="dxa"/>
          </w:tcPr>
          <w:p w14:paraId="3B5031BC" w14:textId="77777777" w:rsidR="00013D47" w:rsidRPr="00644F20" w:rsidRDefault="00013D47" w:rsidP="00220394">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МИТ</w:t>
            </w:r>
          </w:p>
        </w:tc>
        <w:tc>
          <w:tcPr>
            <w:tcW w:w="8370" w:type="dxa"/>
          </w:tcPr>
          <w:p w14:paraId="0E90D5B0" w14:textId="77777777" w:rsidR="00013D47" w:rsidRPr="00644F20" w:rsidRDefault="00013D47">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и</w:t>
            </w:r>
            <w:r w:rsidR="00DE514F" w:rsidRPr="00644F20">
              <w:rPr>
                <w:rFonts w:ascii="Times New Roman" w:eastAsia="Times New Roman" w:hAnsi="Times New Roman" w:cs="Times New Roman"/>
                <w:sz w:val="24"/>
                <w:szCs w:val="24"/>
                <w:lang w:val="sr-Cyrl-CS"/>
              </w:rPr>
              <w:t>н</w:t>
            </w:r>
            <w:r w:rsidRPr="00644F20">
              <w:rPr>
                <w:rFonts w:ascii="Times New Roman" w:eastAsia="Times New Roman" w:hAnsi="Times New Roman" w:cs="Times New Roman"/>
                <w:sz w:val="24"/>
                <w:szCs w:val="24"/>
                <w:lang w:val="sr-Cyrl-CS"/>
              </w:rPr>
              <w:t>формисања и телекомуникација</w:t>
            </w:r>
          </w:p>
        </w:tc>
      </w:tr>
      <w:tr w:rsidR="006D2592" w:rsidRPr="00644F20" w14:paraId="68C05DD1" w14:textId="77777777">
        <w:tc>
          <w:tcPr>
            <w:tcW w:w="1368" w:type="dxa"/>
          </w:tcPr>
          <w:p w14:paraId="0CE23AA4"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МЗЖС</w:t>
            </w:r>
          </w:p>
        </w:tc>
        <w:tc>
          <w:tcPr>
            <w:tcW w:w="8370" w:type="dxa"/>
          </w:tcPr>
          <w:p w14:paraId="5DF05A2D" w14:textId="77777777" w:rsidR="00497092" w:rsidRPr="00644F20" w:rsidRDefault="00B16FA3">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заштите животне средине</w:t>
            </w:r>
          </w:p>
        </w:tc>
      </w:tr>
      <w:tr w:rsidR="006D2592" w:rsidRPr="00644F20" w14:paraId="618E43A9" w14:textId="77777777">
        <w:tc>
          <w:tcPr>
            <w:tcW w:w="1368" w:type="dxa"/>
          </w:tcPr>
          <w:p w14:paraId="36DC033A"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МПШВ</w:t>
            </w:r>
          </w:p>
        </w:tc>
        <w:tc>
          <w:tcPr>
            <w:tcW w:w="8370" w:type="dxa"/>
          </w:tcPr>
          <w:p w14:paraId="31749BEB"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пољопривреде, шумарства и водопривреде</w:t>
            </w:r>
          </w:p>
        </w:tc>
      </w:tr>
      <w:tr w:rsidR="006D2592" w:rsidRPr="00644F20" w14:paraId="650DEF66" w14:textId="77777777">
        <w:tc>
          <w:tcPr>
            <w:tcW w:w="1368" w:type="dxa"/>
          </w:tcPr>
          <w:p w14:paraId="29C69A90"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МП</w:t>
            </w:r>
          </w:p>
        </w:tc>
        <w:tc>
          <w:tcPr>
            <w:tcW w:w="8370" w:type="dxa"/>
          </w:tcPr>
          <w:p w14:paraId="43245CEE"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привреде</w:t>
            </w:r>
          </w:p>
        </w:tc>
      </w:tr>
      <w:tr w:rsidR="006D2592" w:rsidRPr="00644F20" w14:paraId="371252AC" w14:textId="77777777">
        <w:tc>
          <w:tcPr>
            <w:tcW w:w="1368" w:type="dxa"/>
          </w:tcPr>
          <w:p w14:paraId="62A60D32"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МПР</w:t>
            </w:r>
          </w:p>
        </w:tc>
        <w:tc>
          <w:tcPr>
            <w:tcW w:w="8370" w:type="dxa"/>
          </w:tcPr>
          <w:p w14:paraId="17551BA5"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 xml:space="preserve">Министарство просвете </w:t>
            </w:r>
          </w:p>
        </w:tc>
      </w:tr>
      <w:tr w:rsidR="006D2592" w:rsidRPr="00644F20" w14:paraId="4C760DE9" w14:textId="77777777">
        <w:tc>
          <w:tcPr>
            <w:tcW w:w="1368" w:type="dxa"/>
          </w:tcPr>
          <w:p w14:paraId="54FA6022"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МНТРИ</w:t>
            </w:r>
          </w:p>
        </w:tc>
        <w:tc>
          <w:tcPr>
            <w:tcW w:w="8370" w:type="dxa"/>
          </w:tcPr>
          <w:p w14:paraId="2446D56A"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науке, технолошког развоја и иновација</w:t>
            </w:r>
          </w:p>
        </w:tc>
      </w:tr>
      <w:tr w:rsidR="006D2592" w:rsidRPr="00644F20" w14:paraId="505BCC91" w14:textId="77777777">
        <w:tc>
          <w:tcPr>
            <w:tcW w:w="1368" w:type="dxa"/>
            <w:shd w:val="clear" w:color="auto" w:fill="auto"/>
          </w:tcPr>
          <w:p w14:paraId="68008BA5" w14:textId="77777777" w:rsidR="00A82B83" w:rsidRPr="00644F20" w:rsidRDefault="00A82B83">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МСПП</w:t>
            </w:r>
          </w:p>
        </w:tc>
        <w:tc>
          <w:tcPr>
            <w:tcW w:w="8370" w:type="dxa"/>
          </w:tcPr>
          <w:p w14:paraId="77FA1746" w14:textId="77777777" w:rsidR="00497092" w:rsidRPr="00644F20" w:rsidRDefault="002F45E1" w:rsidP="00220394">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Мала и средња предузећа</w:t>
            </w:r>
            <w:r w:rsidR="00220394" w:rsidRPr="00644F20">
              <w:rPr>
                <w:rFonts w:ascii="Times New Roman" w:eastAsia="Times New Roman" w:hAnsi="Times New Roman" w:cs="Times New Roman"/>
                <w:sz w:val="24"/>
                <w:szCs w:val="24"/>
                <w:lang w:val="sr-Cyrl-CS"/>
              </w:rPr>
              <w:t xml:space="preserve"> </w:t>
            </w:r>
            <w:r w:rsidR="00A82B83" w:rsidRPr="00644F20">
              <w:rPr>
                <w:rFonts w:ascii="Times New Roman" w:eastAsia="Times New Roman" w:hAnsi="Times New Roman" w:cs="Times New Roman"/>
                <w:sz w:val="24"/>
                <w:szCs w:val="24"/>
                <w:lang w:val="sr-Cyrl-CS"/>
              </w:rPr>
              <w:t>и предузетници</w:t>
            </w:r>
            <w:r w:rsidRPr="00644F20">
              <w:rPr>
                <w:rFonts w:ascii="Times New Roman" w:eastAsia="Times New Roman" w:hAnsi="Times New Roman" w:cs="Times New Roman"/>
                <w:sz w:val="24"/>
                <w:szCs w:val="24"/>
                <w:lang w:val="sr-Cyrl-CS"/>
              </w:rPr>
              <w:t xml:space="preserve"> </w:t>
            </w:r>
          </w:p>
        </w:tc>
      </w:tr>
      <w:tr w:rsidR="006D2592" w:rsidRPr="00644F20" w14:paraId="184B6A0E" w14:textId="77777777">
        <w:tc>
          <w:tcPr>
            <w:tcW w:w="1368" w:type="dxa"/>
          </w:tcPr>
          <w:p w14:paraId="6CC3C57E"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МТО</w:t>
            </w:r>
          </w:p>
        </w:tc>
        <w:tc>
          <w:tcPr>
            <w:tcW w:w="8370" w:type="dxa"/>
          </w:tcPr>
          <w:p w14:paraId="2D7C656A"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туризма и омладине</w:t>
            </w:r>
          </w:p>
        </w:tc>
      </w:tr>
      <w:tr w:rsidR="006D2592" w:rsidRPr="00644F20" w14:paraId="78511D6A" w14:textId="77777777">
        <w:tc>
          <w:tcPr>
            <w:tcW w:w="1368" w:type="dxa"/>
          </w:tcPr>
          <w:p w14:paraId="203046B2"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lastRenderedPageBreak/>
              <w:t>МФ</w:t>
            </w:r>
          </w:p>
        </w:tc>
        <w:tc>
          <w:tcPr>
            <w:tcW w:w="8370" w:type="dxa"/>
          </w:tcPr>
          <w:p w14:paraId="7714E98F"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финансија</w:t>
            </w:r>
          </w:p>
        </w:tc>
      </w:tr>
      <w:tr w:rsidR="006D2592" w:rsidRPr="00644F20" w14:paraId="67B7DF02" w14:textId="77777777">
        <w:tc>
          <w:tcPr>
            <w:tcW w:w="1368" w:type="dxa"/>
          </w:tcPr>
          <w:p w14:paraId="5AE25F1F"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МУСТ</w:t>
            </w:r>
          </w:p>
        </w:tc>
        <w:tc>
          <w:tcPr>
            <w:tcW w:w="8370" w:type="dxa"/>
          </w:tcPr>
          <w:p w14:paraId="39680C97"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Министарство унутрашње и спољне трговине</w:t>
            </w:r>
          </w:p>
        </w:tc>
      </w:tr>
      <w:tr w:rsidR="006D2592" w:rsidRPr="00644F20" w14:paraId="374C4396" w14:textId="77777777">
        <w:tc>
          <w:tcPr>
            <w:tcW w:w="1368" w:type="dxa"/>
          </w:tcPr>
          <w:p w14:paraId="13F34DFC"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НАЛЕД</w:t>
            </w:r>
          </w:p>
        </w:tc>
        <w:tc>
          <w:tcPr>
            <w:tcW w:w="8370" w:type="dxa"/>
          </w:tcPr>
          <w:p w14:paraId="7803727E"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Национална алијанса за локални економски развој</w:t>
            </w:r>
          </w:p>
        </w:tc>
      </w:tr>
      <w:tr w:rsidR="006D2592" w:rsidRPr="00644F20" w14:paraId="59F75AAA" w14:textId="77777777">
        <w:tc>
          <w:tcPr>
            <w:tcW w:w="1368" w:type="dxa"/>
          </w:tcPr>
          <w:p w14:paraId="03C9960E"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ОЦД</w:t>
            </w:r>
          </w:p>
        </w:tc>
        <w:tc>
          <w:tcPr>
            <w:tcW w:w="8370" w:type="dxa"/>
          </w:tcPr>
          <w:p w14:paraId="678E5247"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Организације цивилног друштва</w:t>
            </w:r>
          </w:p>
        </w:tc>
      </w:tr>
      <w:tr w:rsidR="006D2592" w:rsidRPr="00644F20" w14:paraId="3035C545" w14:textId="77777777">
        <w:tc>
          <w:tcPr>
            <w:tcW w:w="1368" w:type="dxa"/>
          </w:tcPr>
          <w:p w14:paraId="015E02AE"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ОИЕ</w:t>
            </w:r>
          </w:p>
        </w:tc>
        <w:tc>
          <w:tcPr>
            <w:tcW w:w="8370" w:type="dxa"/>
          </w:tcPr>
          <w:p w14:paraId="0E99754D"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Обновљиви извори енергије</w:t>
            </w:r>
          </w:p>
        </w:tc>
      </w:tr>
      <w:tr w:rsidR="006D2592" w:rsidRPr="00644F20" w14:paraId="6C25CC83" w14:textId="77777777">
        <w:tc>
          <w:tcPr>
            <w:tcW w:w="1368" w:type="dxa"/>
          </w:tcPr>
          <w:p w14:paraId="19DDB32F" w14:textId="77777777" w:rsidR="00497092" w:rsidRPr="00644F20" w:rsidRDefault="002F45E1">
            <w:pPr>
              <w:spacing w:before="20" w:after="20" w:line="276" w:lineRule="auto"/>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ПКС</w:t>
            </w:r>
          </w:p>
        </w:tc>
        <w:tc>
          <w:tcPr>
            <w:tcW w:w="8370" w:type="dxa"/>
          </w:tcPr>
          <w:p w14:paraId="692FDC5D"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Привредна комора Србије</w:t>
            </w:r>
          </w:p>
        </w:tc>
      </w:tr>
      <w:tr w:rsidR="006D2592" w:rsidRPr="00644F20" w14:paraId="0269725D" w14:textId="77777777">
        <w:tc>
          <w:tcPr>
            <w:tcW w:w="1368" w:type="dxa"/>
          </w:tcPr>
          <w:p w14:paraId="0123B554"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РЗС</w:t>
            </w:r>
          </w:p>
        </w:tc>
        <w:tc>
          <w:tcPr>
            <w:tcW w:w="8370" w:type="dxa"/>
          </w:tcPr>
          <w:p w14:paraId="51F0152E" w14:textId="77777777" w:rsidR="00497092" w:rsidRPr="00644F20" w:rsidRDefault="002F45E1">
            <w:pPr>
              <w:spacing w:before="20" w:after="20" w:line="276" w:lineRule="auto"/>
              <w:jc w:val="both"/>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Републички завод за статистику</w:t>
            </w:r>
          </w:p>
        </w:tc>
      </w:tr>
      <w:tr w:rsidR="006D2592" w:rsidRPr="00644F20" w14:paraId="36014486" w14:textId="77777777">
        <w:tc>
          <w:tcPr>
            <w:tcW w:w="1368" w:type="dxa"/>
          </w:tcPr>
          <w:p w14:paraId="225500E6"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СКГО</w:t>
            </w:r>
          </w:p>
        </w:tc>
        <w:tc>
          <w:tcPr>
            <w:tcW w:w="8370" w:type="dxa"/>
          </w:tcPr>
          <w:p w14:paraId="32104A5B" w14:textId="77777777" w:rsidR="00497092" w:rsidRPr="00644F20" w:rsidRDefault="002F45E1">
            <w:pPr>
              <w:spacing w:before="20" w:after="20" w:line="276" w:lineRule="auto"/>
              <w:jc w:val="both"/>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Стална конференција градова и општина</w:t>
            </w:r>
          </w:p>
        </w:tc>
      </w:tr>
      <w:tr w:rsidR="006D2592" w:rsidRPr="00644F20" w14:paraId="6CFB7EB7" w14:textId="77777777">
        <w:tc>
          <w:tcPr>
            <w:tcW w:w="1368" w:type="dxa"/>
          </w:tcPr>
          <w:p w14:paraId="69AE9CBF"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UNDP</w:t>
            </w:r>
          </w:p>
        </w:tc>
        <w:tc>
          <w:tcPr>
            <w:tcW w:w="8370" w:type="dxa"/>
          </w:tcPr>
          <w:p w14:paraId="6AC043F2" w14:textId="77777777" w:rsidR="00497092" w:rsidRPr="00644F20" w:rsidRDefault="002F45E1">
            <w:pPr>
              <w:spacing w:before="20" w:after="20" w:line="276" w:lineRule="auto"/>
              <w:jc w:val="both"/>
              <w:rPr>
                <w:rFonts w:ascii="Times New Roman" w:eastAsia="Times New Roman" w:hAnsi="Times New Roman" w:cs="Times New Roman"/>
                <w:sz w:val="24"/>
                <w:szCs w:val="24"/>
                <w:lang w:val="sr-Cyrl-CS"/>
              </w:rPr>
            </w:pPr>
            <w:r w:rsidRPr="00644F20">
              <w:rPr>
                <w:rFonts w:ascii="Times New Roman" w:eastAsia="Times New Roman" w:hAnsi="Times New Roman" w:cs="Times New Roman"/>
                <w:i/>
                <w:iCs/>
                <w:sz w:val="24"/>
                <w:szCs w:val="24"/>
                <w:lang w:val="sr-Cyrl-CS"/>
              </w:rPr>
              <w:t xml:space="preserve">United Nations Development Programme </w:t>
            </w:r>
            <w:r w:rsidRPr="00644F20">
              <w:rPr>
                <w:rFonts w:ascii="Times New Roman" w:eastAsia="Times New Roman" w:hAnsi="Times New Roman" w:cs="Times New Roman"/>
                <w:sz w:val="24"/>
                <w:szCs w:val="24"/>
                <w:lang w:val="sr-Cyrl-CS"/>
              </w:rPr>
              <w:t>(Програм Уједињених нација за развој)</w:t>
            </w:r>
          </w:p>
        </w:tc>
      </w:tr>
      <w:tr w:rsidR="006D2592" w:rsidRPr="00644F20" w14:paraId="6808D635" w14:textId="77777777">
        <w:tc>
          <w:tcPr>
            <w:tcW w:w="1368" w:type="dxa"/>
          </w:tcPr>
          <w:p w14:paraId="07393097"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ЦЕ</w:t>
            </w:r>
          </w:p>
        </w:tc>
        <w:tc>
          <w:tcPr>
            <w:tcW w:w="8370" w:type="dxa"/>
          </w:tcPr>
          <w:p w14:paraId="3809B8F1" w14:textId="77777777" w:rsidR="00497092" w:rsidRPr="00644F20" w:rsidRDefault="002F45E1">
            <w:pPr>
              <w:spacing w:before="20" w:after="20" w:line="276" w:lineRule="auto"/>
              <w:jc w:val="both"/>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Циркуларна економија</w:t>
            </w:r>
          </w:p>
        </w:tc>
      </w:tr>
      <w:tr w:rsidR="006D2592" w:rsidRPr="00644F20" w14:paraId="0BEBEB02" w14:textId="77777777">
        <w:tc>
          <w:tcPr>
            <w:tcW w:w="1368" w:type="dxa"/>
          </w:tcPr>
          <w:p w14:paraId="360E953B" w14:textId="77777777" w:rsidR="00497092" w:rsidRPr="00644F20" w:rsidRDefault="002F45E1">
            <w:pPr>
              <w:spacing w:before="20" w:after="20" w:line="276" w:lineRule="auto"/>
              <w:rPr>
                <w:rFonts w:ascii="Times New Roman" w:eastAsia="Times New Roman" w:hAnsi="Times New Roman" w:cs="Times New Roman"/>
                <w:sz w:val="24"/>
                <w:szCs w:val="24"/>
                <w:lang w:val="sr-Cyrl-CS"/>
              </w:rPr>
            </w:pPr>
            <w:r w:rsidRPr="00644F20">
              <w:rPr>
                <w:rFonts w:ascii="Times New Roman" w:eastAsia="Times New Roman" w:hAnsi="Times New Roman" w:cs="Times New Roman"/>
                <w:sz w:val="24"/>
                <w:szCs w:val="24"/>
                <w:lang w:val="sr-Cyrl-CS"/>
              </w:rPr>
              <w:t>ХОРЕКА</w:t>
            </w:r>
          </w:p>
        </w:tc>
        <w:tc>
          <w:tcPr>
            <w:tcW w:w="8370" w:type="dxa"/>
          </w:tcPr>
          <w:p w14:paraId="687FDA70" w14:textId="77777777" w:rsidR="00497092" w:rsidRPr="00644F20" w:rsidRDefault="002F45E1">
            <w:pPr>
              <w:spacing w:before="20" w:after="20" w:line="276" w:lineRule="auto"/>
              <w:jc w:val="both"/>
              <w:rPr>
                <w:rFonts w:ascii="Times New Roman" w:eastAsia="Times New Roman" w:hAnsi="Times New Roman" w:cs="Times New Roman"/>
                <w:iCs/>
                <w:sz w:val="24"/>
                <w:szCs w:val="24"/>
                <w:lang w:val="sr-Cyrl-CS"/>
              </w:rPr>
            </w:pPr>
            <w:r w:rsidRPr="00644F20">
              <w:rPr>
                <w:rFonts w:ascii="Times New Roman" w:eastAsia="Times New Roman" w:hAnsi="Times New Roman" w:cs="Times New Roman"/>
                <w:iCs/>
                <w:sz w:val="24"/>
                <w:szCs w:val="24"/>
                <w:lang w:val="sr-Cyrl-CS"/>
              </w:rPr>
              <w:t>Хотели, ресторани и кафићи</w:t>
            </w:r>
          </w:p>
        </w:tc>
      </w:tr>
    </w:tbl>
    <w:p w14:paraId="74A369EA" w14:textId="77777777" w:rsidR="00497092" w:rsidRPr="00644F20" w:rsidRDefault="00497092">
      <w:pPr>
        <w:rPr>
          <w:rFonts w:ascii="Times New Roman" w:hAnsi="Times New Roman" w:cs="Times New Roman"/>
          <w:sz w:val="24"/>
          <w:szCs w:val="24"/>
          <w:lang w:val="sr-Cyrl-CS"/>
        </w:rPr>
      </w:pPr>
    </w:p>
    <w:p w14:paraId="3C232D12" w14:textId="77777777" w:rsidR="00497092" w:rsidRPr="00644F20" w:rsidRDefault="00497092">
      <w:pPr>
        <w:rPr>
          <w:rFonts w:ascii="Times New Roman" w:hAnsi="Times New Roman" w:cs="Times New Roman"/>
          <w:sz w:val="24"/>
          <w:szCs w:val="24"/>
          <w:lang w:val="sr-Cyrl-CS"/>
        </w:rPr>
      </w:pPr>
    </w:p>
    <w:p w14:paraId="2C84D725" w14:textId="77777777" w:rsidR="00497092" w:rsidRPr="00644F20" w:rsidRDefault="00497092">
      <w:pPr>
        <w:rPr>
          <w:rFonts w:ascii="Times New Roman" w:hAnsi="Times New Roman" w:cs="Times New Roman"/>
          <w:sz w:val="24"/>
          <w:szCs w:val="24"/>
          <w:lang w:val="sr-Cyrl-CS"/>
        </w:rPr>
      </w:pPr>
    </w:p>
    <w:p w14:paraId="7F3E647A" w14:textId="77777777" w:rsidR="00497092" w:rsidRPr="00644F20" w:rsidRDefault="00497092">
      <w:pPr>
        <w:rPr>
          <w:rFonts w:ascii="Times New Roman" w:hAnsi="Times New Roman" w:cs="Times New Roman"/>
          <w:sz w:val="24"/>
          <w:szCs w:val="24"/>
          <w:lang w:val="sr-Cyrl-CS"/>
        </w:rPr>
      </w:pPr>
    </w:p>
    <w:p w14:paraId="17A1ABD0" w14:textId="77777777" w:rsidR="00220394" w:rsidRPr="00644F20" w:rsidRDefault="00220394">
      <w:pPr>
        <w:rPr>
          <w:rFonts w:ascii="Times New Roman" w:hAnsi="Times New Roman" w:cs="Times New Roman"/>
          <w:sz w:val="24"/>
          <w:szCs w:val="24"/>
          <w:lang w:val="sr-Cyrl-CS"/>
        </w:rPr>
      </w:pPr>
    </w:p>
    <w:sectPr w:rsidR="00220394" w:rsidRPr="00644F2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87F1D" w14:textId="77777777" w:rsidR="00F84E5A" w:rsidRDefault="00F84E5A">
      <w:pPr>
        <w:spacing w:line="240" w:lineRule="auto"/>
      </w:pPr>
      <w:r>
        <w:separator/>
      </w:r>
    </w:p>
  </w:endnote>
  <w:endnote w:type="continuationSeparator" w:id="0">
    <w:p w14:paraId="022437C0" w14:textId="77777777" w:rsidR="00F84E5A" w:rsidRDefault="00F84E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altName w:val="Segoe Print"/>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00"/>
    <w:family w:val="auto"/>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Yu Mincho">
    <w:altName w:val="Yu Gothic"/>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PFDinTextPro-Regular">
    <w:altName w:val="MS Gothic"/>
    <w:panose1 w:val="00000000000000000000"/>
    <w:charset w:val="80"/>
    <w:family w:val="auto"/>
    <w:notTrueType/>
    <w:pitch w:val="default"/>
    <w:sig w:usb0="00000000" w:usb1="08070000" w:usb2="00000010" w:usb3="00000000" w:csb0="0002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300099"/>
    </w:sdtPr>
    <w:sdtContent>
      <w:p w14:paraId="4E93688F" w14:textId="77777777" w:rsidR="00644F20" w:rsidRDefault="00644F20">
        <w:pPr>
          <w:pStyle w:val="Footer"/>
          <w:jc w:val="right"/>
        </w:pPr>
        <w:r>
          <w:fldChar w:fldCharType="begin"/>
        </w:r>
        <w:r>
          <w:instrText xml:space="preserve"> PAGE   \* MERGEFORMAT </w:instrText>
        </w:r>
        <w:r>
          <w:fldChar w:fldCharType="separate"/>
        </w:r>
        <w:r w:rsidR="00DF753D">
          <w:rPr>
            <w:noProof/>
          </w:rPr>
          <w:t>98</w:t>
        </w:r>
        <w:r>
          <w:fldChar w:fldCharType="end"/>
        </w:r>
      </w:p>
    </w:sdtContent>
  </w:sdt>
  <w:p w14:paraId="081F1962" w14:textId="77777777" w:rsidR="00644F20" w:rsidRDefault="00644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1E4EF" w14:textId="77777777" w:rsidR="00F84E5A" w:rsidRDefault="00F84E5A">
      <w:pPr>
        <w:spacing w:after="0"/>
      </w:pPr>
      <w:r>
        <w:separator/>
      </w:r>
    </w:p>
  </w:footnote>
  <w:footnote w:type="continuationSeparator" w:id="0">
    <w:p w14:paraId="6DD9FC91" w14:textId="77777777" w:rsidR="00F84E5A" w:rsidRDefault="00F84E5A">
      <w:pPr>
        <w:spacing w:after="0"/>
      </w:pPr>
      <w:r>
        <w:continuationSeparator/>
      </w:r>
    </w:p>
  </w:footnote>
  <w:footnote w:id="1">
    <w:p w14:paraId="64C4747F" w14:textId="77777777" w:rsidR="00644F20" w:rsidRDefault="00644F20">
      <w:pPr>
        <w:spacing w:after="0" w:line="276" w:lineRule="auto"/>
        <w:jc w:val="both"/>
        <w:rPr>
          <w:rFonts w:ascii="Times New Roman" w:hAnsi="Times New Roman" w:cs="Times New Roman"/>
          <w:color w:val="171717" w:themeColor="background2" w:themeShade="1A"/>
          <w:sz w:val="16"/>
          <w:szCs w:val="16"/>
          <w:lang w:val="ru-RU"/>
        </w:rPr>
      </w:pPr>
      <w:r>
        <w:rPr>
          <w:rStyle w:val="FootnoteReference"/>
          <w:rFonts w:ascii="Times New Roman" w:hAnsi="Times New Roman" w:cs="Times New Roman"/>
          <w:color w:val="171717" w:themeColor="background2" w:themeShade="1A"/>
          <w:sz w:val="16"/>
          <w:szCs w:val="16"/>
        </w:rPr>
        <w:footnoteRef/>
      </w:r>
      <w:r>
        <w:rPr>
          <w:rFonts w:ascii="Times New Roman" w:hAnsi="Times New Roman" w:cs="Times New Roman"/>
          <w:color w:val="171717" w:themeColor="background2" w:themeShade="1A"/>
          <w:sz w:val="16"/>
          <w:szCs w:val="16"/>
          <w:lang w:val="ru-RU"/>
        </w:rPr>
        <w:t xml:space="preserve"> </w:t>
      </w:r>
      <w:r w:rsidRPr="00C80DCF">
        <w:rPr>
          <w:rFonts w:ascii="Times New Roman" w:hAnsi="Times New Roman" w:cs="Times New Roman"/>
          <w:sz w:val="16"/>
          <w:szCs w:val="16"/>
          <w:lang w:val="ru-RU"/>
        </w:rPr>
        <w:t>Животна</w:t>
      </w:r>
      <w:r>
        <w:rPr>
          <w:rFonts w:ascii="Times New Roman" w:hAnsi="Times New Roman" w:cs="Times New Roman"/>
          <w:sz w:val="16"/>
          <w:szCs w:val="16"/>
          <w:lang w:val="ru-RU"/>
        </w:rPr>
        <w:t xml:space="preserve"> средина у Републици Србији 2004-2019, АЗЖС</w:t>
      </w:r>
      <w:r>
        <w:rPr>
          <w:rFonts w:ascii="Times New Roman" w:hAnsi="Times New Roman" w:cs="Times New Roman"/>
          <w:color w:val="171717" w:themeColor="background2" w:themeShade="1A"/>
          <w:sz w:val="16"/>
          <w:szCs w:val="16"/>
          <w:lang w:val="ru-RU"/>
        </w:rPr>
        <w:t>, Београд 2019.</w:t>
      </w:r>
    </w:p>
  </w:footnote>
  <w:footnote w:id="2">
    <w:p w14:paraId="5FB627D8" w14:textId="77777777" w:rsidR="00644F20" w:rsidRDefault="00644F20">
      <w:pPr>
        <w:pStyle w:val="FootnoteText"/>
        <w:spacing w:line="276" w:lineRule="auto"/>
        <w:rPr>
          <w:lang w:val="ru-RU"/>
        </w:rPr>
      </w:pPr>
      <w:r>
        <w:rPr>
          <w:rStyle w:val="FootnoteReference"/>
          <w:rFonts w:ascii="Times New Roman" w:hAnsi="Times New Roman" w:cs="Times New Roman"/>
          <w:color w:val="171717" w:themeColor="background2" w:themeShade="1A"/>
          <w:sz w:val="16"/>
          <w:szCs w:val="16"/>
        </w:rPr>
        <w:footnoteRef/>
      </w:r>
      <w:r>
        <w:rPr>
          <w:rFonts w:ascii="Times New Roman" w:hAnsi="Times New Roman" w:cs="Times New Roman"/>
          <w:color w:val="171717" w:themeColor="background2" w:themeShade="1A"/>
          <w:sz w:val="16"/>
          <w:szCs w:val="16"/>
          <w:lang w:val="ru-RU"/>
        </w:rPr>
        <w:t xml:space="preserve"> Стање у области управљања отпадним водама 360</w:t>
      </w:r>
      <w:r>
        <w:rPr>
          <w:rFonts w:ascii="Times New Roman" w:hAnsi="Times New Roman" w:cs="Times New Roman"/>
          <w:color w:val="171717" w:themeColor="background2" w:themeShade="1A"/>
          <w:sz w:val="16"/>
          <w:szCs w:val="16"/>
          <w:vertAlign w:val="superscript"/>
          <w:lang w:val="ru-RU"/>
        </w:rPr>
        <w:t>о</w:t>
      </w:r>
      <w:r>
        <w:rPr>
          <w:rFonts w:ascii="Times New Roman" w:hAnsi="Times New Roman" w:cs="Times New Roman"/>
          <w:color w:val="171717" w:themeColor="background2" w:themeShade="1A"/>
          <w:sz w:val="16"/>
          <w:szCs w:val="16"/>
          <w:lang w:val="ru-RU"/>
        </w:rPr>
        <w:t xml:space="preserve"> анализа, НАЛЕД, Београд 2020.</w:t>
      </w:r>
      <w:r>
        <w:rPr>
          <w:rFonts w:ascii="Times New Roman" w:hAnsi="Times New Roman" w:cs="Times New Roman"/>
          <w:color w:val="171717" w:themeColor="background2" w:themeShade="1A"/>
          <w:sz w:val="18"/>
          <w:szCs w:val="18"/>
          <w:lang w:val="ru-RU"/>
        </w:rPr>
        <w:t xml:space="preserve"> </w:t>
      </w:r>
    </w:p>
  </w:footnote>
  <w:footnote w:id="3">
    <w:p w14:paraId="6A23760A" w14:textId="77777777" w:rsidR="00644F20" w:rsidRDefault="00000000">
      <w:pPr>
        <w:pStyle w:val="FootnoteText"/>
        <w:spacing w:line="276" w:lineRule="auto"/>
        <w:jc w:val="both"/>
        <w:rPr>
          <w:rFonts w:ascii="Times New Roman" w:hAnsi="Times New Roman" w:cs="Times New Roman"/>
          <w:sz w:val="16"/>
          <w:szCs w:val="16"/>
          <w:lang w:val="ru-RU"/>
        </w:rPr>
      </w:pPr>
      <w:hyperlink r:id="rId1" w:history="1">
        <w:r w:rsidR="00644F20">
          <w:rPr>
            <w:rStyle w:val="Hyperlink"/>
            <w:rFonts w:ascii="Times New Roman" w:hAnsi="Times New Roman" w:cs="Times New Roman"/>
            <w:color w:val="171717" w:themeColor="background2" w:themeShade="1A"/>
            <w:sz w:val="16"/>
            <w:szCs w:val="16"/>
            <w:vertAlign w:val="superscript"/>
          </w:rPr>
          <w:footnoteRef/>
        </w:r>
        <w:r w:rsidR="00644F20">
          <w:rPr>
            <w:rStyle w:val="Hyperlink"/>
            <w:rFonts w:ascii="Times New Roman" w:hAnsi="Times New Roman" w:cs="Times New Roman"/>
            <w:color w:val="171717" w:themeColor="background2" w:themeShade="1A"/>
            <w:sz w:val="16"/>
            <w:szCs w:val="16"/>
            <w:lang w:val="ru-RU"/>
          </w:rPr>
          <w:t xml:space="preserve"> Други извештај Републике Србије према Оквирној конвенцији Уједињених нација о промени климе, Министарство заштите животне средине, Београд 2017.</w:t>
        </w:r>
      </w:hyperlink>
    </w:p>
  </w:footnote>
  <w:footnote w:id="4">
    <w:p w14:paraId="6D743F0A" w14:textId="77777777" w:rsidR="00644F20" w:rsidRDefault="00644F20">
      <w:pPr>
        <w:spacing w:after="0" w:line="276" w:lineRule="auto"/>
        <w:jc w:val="both"/>
        <w:rPr>
          <w:rFonts w:ascii="Times New Roman" w:hAnsi="Times New Roman" w:cs="Times New Roman"/>
          <w:color w:val="171717" w:themeColor="background2" w:themeShade="1A"/>
          <w:sz w:val="16"/>
          <w:szCs w:val="16"/>
          <w:lang w:val="sr-Cyrl-RS"/>
        </w:rPr>
      </w:pPr>
      <w:r>
        <w:rPr>
          <w:rStyle w:val="FootnoteReference"/>
          <w:rFonts w:ascii="Times New Roman" w:hAnsi="Times New Roman" w:cs="Times New Roman"/>
          <w:color w:val="171717" w:themeColor="background2" w:themeShade="1A"/>
          <w:sz w:val="16"/>
          <w:szCs w:val="16"/>
        </w:rPr>
        <w:footnoteRef/>
      </w:r>
      <w:r>
        <w:rPr>
          <w:rFonts w:ascii="Times New Roman" w:hAnsi="Times New Roman" w:cs="Times New Roman"/>
          <w:color w:val="171717" w:themeColor="background2" w:themeShade="1A"/>
          <w:sz w:val="16"/>
          <w:szCs w:val="16"/>
          <w:lang w:val="ru-RU"/>
        </w:rPr>
        <w:t xml:space="preserve"> Статистички годишњак Републике Србије 2020, Републички завод за статистику, Београд, 2020. </w:t>
      </w:r>
    </w:p>
  </w:footnote>
  <w:footnote w:id="5">
    <w:p w14:paraId="1FA34192" w14:textId="77777777" w:rsidR="00644F20" w:rsidRDefault="00644F20">
      <w:pPr>
        <w:pStyle w:val="FootnoteText"/>
        <w:spacing w:line="276" w:lineRule="auto"/>
        <w:jc w:val="both"/>
        <w:rPr>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Одлука о утврђивању енергетског биланса Републике Србије за 2021. годину</w:t>
      </w:r>
      <w:r w:rsidRPr="00D26FC9">
        <w:rPr>
          <w:rFonts w:ascii="Times New Roman" w:hAnsi="Times New Roman" w:cs="Times New Roman"/>
          <w:sz w:val="16"/>
          <w:szCs w:val="16"/>
          <w:highlight w:val="yellow"/>
          <w:lang w:val="ru-RU"/>
        </w:rPr>
        <w:t xml:space="preserve"> </w:t>
      </w:r>
      <w:r>
        <w:rPr>
          <w:rFonts w:ascii="Times New Roman" w:hAnsi="Times New Roman" w:cs="Times New Roman"/>
          <w:sz w:val="16"/>
          <w:szCs w:val="16"/>
          <w:highlight w:val="yellow"/>
          <w:lang w:val="ru-RU"/>
        </w:rPr>
        <w:t>(</w:t>
      </w:r>
      <w:r w:rsidRPr="00D26FC9">
        <w:rPr>
          <w:rFonts w:ascii="Times New Roman" w:hAnsi="Times New Roman" w:cs="Times New Roman"/>
          <w:sz w:val="16"/>
          <w:szCs w:val="16"/>
          <w:highlight w:val="yellow"/>
          <w:lang w:val="ru-RU"/>
        </w:rPr>
        <w:t xml:space="preserve">,,Службени гласник РС", број </w:t>
      </w:r>
      <w:r w:rsidRPr="00D26FC9">
        <w:rPr>
          <w:rFonts w:ascii="Times New Roman" w:hAnsi="Times New Roman" w:cs="Times New Roman"/>
          <w:iCs/>
          <w:sz w:val="16"/>
          <w:szCs w:val="16"/>
          <w:highlight w:val="yellow"/>
          <w:lang w:val="ru-RU"/>
        </w:rPr>
        <w:t>156/20</w:t>
      </w:r>
      <w:r>
        <w:rPr>
          <w:rFonts w:ascii="Times New Roman" w:hAnsi="Times New Roman" w:cs="Times New Roman"/>
          <w:iCs/>
          <w:sz w:val="16"/>
          <w:szCs w:val="16"/>
          <w:lang w:val="ru-RU"/>
        </w:rPr>
        <w:t>)</w:t>
      </w:r>
    </w:p>
  </w:footnote>
  <w:footnote w:id="6">
    <w:p w14:paraId="551736E9" w14:textId="77777777" w:rsidR="00644F20" w:rsidRDefault="00644F20">
      <w:pPr>
        <w:pStyle w:val="FootnoteText"/>
        <w:spacing w:line="276" w:lineRule="auto"/>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r>
        <w:rPr>
          <w:rFonts w:ascii="Times New Roman" w:hAnsi="Times New Roman" w:cs="Times New Roman"/>
          <w:iCs/>
          <w:sz w:val="16"/>
          <w:szCs w:val="16"/>
          <w:lang w:val="ru-RU"/>
        </w:rPr>
        <w:t>А</w:t>
      </w:r>
      <w:r>
        <w:rPr>
          <w:rFonts w:ascii="Times New Roman" w:hAnsi="Times New Roman" w:cs="Times New Roman"/>
          <w:iCs/>
          <w:sz w:val="16"/>
          <w:szCs w:val="16"/>
          <w:lang w:val="sr-Cyrl-RS"/>
        </w:rPr>
        <w:t>г</w:t>
      </w:r>
      <w:r>
        <w:rPr>
          <w:rFonts w:ascii="Times New Roman" w:hAnsi="Times New Roman" w:cs="Times New Roman"/>
          <w:iCs/>
          <w:sz w:val="16"/>
          <w:szCs w:val="16"/>
          <w:lang w:val="ru-RU"/>
        </w:rPr>
        <w:t>е</w:t>
      </w:r>
      <w:r>
        <w:rPr>
          <w:rFonts w:ascii="Times New Roman" w:hAnsi="Times New Roman" w:cs="Times New Roman"/>
          <w:iCs/>
          <w:sz w:val="16"/>
          <w:szCs w:val="16"/>
          <w:lang w:val="sr-Cyrl-RS"/>
        </w:rPr>
        <w:t>н</w:t>
      </w:r>
      <w:r>
        <w:rPr>
          <w:rFonts w:ascii="Times New Roman" w:hAnsi="Times New Roman" w:cs="Times New Roman"/>
          <w:iCs/>
          <w:sz w:val="16"/>
          <w:szCs w:val="16"/>
          <w:lang w:val="ru-RU"/>
        </w:rPr>
        <w:t>ција за енергетику Републике Србије, Извештај о раду Агенције за енергетику за 2020. годину</w:t>
      </w:r>
      <w:r>
        <w:rPr>
          <w:rFonts w:ascii="Times New Roman" w:hAnsi="Times New Roman" w:cs="Times New Roman"/>
          <w:iCs/>
          <w:sz w:val="16"/>
          <w:szCs w:val="16"/>
          <w:lang w:val="sr-Cyrl-RS"/>
        </w:rPr>
        <w:t>.</w:t>
      </w:r>
    </w:p>
  </w:footnote>
  <w:footnote w:id="7">
    <w:p w14:paraId="76A25D4F" w14:textId="77777777" w:rsidR="00644F20" w:rsidRDefault="00644F20">
      <w:pPr>
        <w:pStyle w:val="FootnoteText"/>
        <w:spacing w:line="276" w:lineRule="auto"/>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2" w:history="1">
        <w:r>
          <w:rPr>
            <w:rStyle w:val="Hyperlink"/>
            <w:rFonts w:ascii="Times New Roman" w:hAnsi="Times New Roman" w:cs="Times New Roman"/>
            <w:sz w:val="16"/>
            <w:szCs w:val="16"/>
            <w:lang w:val="sr-Cyrl-RS"/>
          </w:rPr>
          <w:t>Светска банка</w:t>
        </w:r>
      </w:hyperlink>
    </w:p>
  </w:footnote>
  <w:footnote w:id="8">
    <w:p w14:paraId="4DE2A9A4"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Извештају о спровођењу Националног акционог плана за коришћење обновљивих извора енергије Републике Србије за 2018. и 2019. године</w:t>
      </w:r>
    </w:p>
  </w:footnote>
  <w:footnote w:id="9">
    <w:p w14:paraId="0B92E1DB" w14:textId="77777777" w:rsidR="00644F20" w:rsidRDefault="00644F20">
      <w:pPr>
        <w:pStyle w:val="FootnoteText"/>
        <w:spacing w:line="276" w:lineRule="auto"/>
        <w:rPr>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Национални акциони план за коришћење обновљивих извора енергије Републике Србије, 2013. година</w:t>
      </w:r>
    </w:p>
  </w:footnote>
  <w:footnote w:id="10">
    <w:p w14:paraId="1CEF49E7" w14:textId="77777777" w:rsidR="00644F20" w:rsidRDefault="00644F20">
      <w:pPr>
        <w:pStyle w:val="FootnoteText"/>
        <w:spacing w:line="276" w:lineRule="auto"/>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Стратегије развоја енергетике Републике Србије до 2025. године са пројекцијама до 2030. године</w:t>
      </w:r>
    </w:p>
  </w:footnote>
  <w:footnote w:id="11">
    <w:p w14:paraId="22F2F75D" w14:textId="77777777" w:rsidR="00644F20" w:rsidRDefault="00644F20">
      <w:pPr>
        <w:pStyle w:val="FootnoteText"/>
        <w:spacing w:line="276" w:lineRule="auto"/>
        <w:rPr>
          <w:rFonts w:ascii="Times New Roman" w:hAnsi="Times New Roman"/>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Годишњи извештај, 2020. АЗЖС</w:t>
      </w:r>
    </w:p>
  </w:footnote>
  <w:footnote w:id="12">
    <w:p w14:paraId="5E087975" w14:textId="77777777" w:rsidR="00644F20" w:rsidRDefault="00644F20">
      <w:pPr>
        <w:pStyle w:val="FootnoteText"/>
        <w:rPr>
          <w:lang w:val="sr-Cyrl-RS"/>
        </w:rPr>
      </w:pPr>
      <w:r>
        <w:rPr>
          <w:rStyle w:val="FootnoteReference"/>
        </w:rPr>
        <w:footnoteRef/>
      </w:r>
      <w:r>
        <w:rPr>
          <w:lang w:val="ru-RU"/>
        </w:rPr>
        <w:t xml:space="preserve"> </w:t>
      </w:r>
      <w:r>
        <w:rPr>
          <w:rFonts w:ascii="Times New Roman" w:hAnsi="Times New Roman" w:cs="Times New Roman"/>
          <w:sz w:val="16"/>
          <w:szCs w:val="16"/>
          <w:lang w:val="ru-RU"/>
        </w:rPr>
        <w:t>Статистички годишњак Републике Србије 2021, Републички завод за статистику, Београд, 2021.</w:t>
      </w:r>
    </w:p>
  </w:footnote>
  <w:footnote w:id="13">
    <w:p w14:paraId="06287312"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Запослени у правним лицима, лица која самостално обављају делатност,  предузетници  и запослени код њих</w:t>
      </w:r>
    </w:p>
  </w:footnote>
  <w:footnote w:id="14">
    <w:p w14:paraId="58D32CCA"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Статистички годишњак Републике Србије 2021, Републички завод за статистику, Београд, 2021.</w:t>
      </w:r>
    </w:p>
  </w:footnote>
  <w:footnote w:id="15">
    <w:p w14:paraId="386A2484" w14:textId="77777777" w:rsidR="00644F20" w:rsidRDefault="00644F20">
      <w:pPr>
        <w:pStyle w:val="FootnoteText"/>
        <w:spacing w:line="276" w:lineRule="auto"/>
        <w:rPr>
          <w:b/>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Републички завод за статистику, Бруто домаћи производ, 2020</w:t>
      </w:r>
    </w:p>
  </w:footnote>
  <w:footnote w:id="16">
    <w:p w14:paraId="5B079B57"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Агенција за заштиту животне средине, Привредни потенцијали и активности од значаја за животну средину Републике Србије, 2018. година </w:t>
      </w:r>
    </w:p>
  </w:footnote>
  <w:footnote w:id="17">
    <w:p w14:paraId="4DDF4C12" w14:textId="77777777" w:rsidR="00644F20" w:rsidRDefault="00644F20">
      <w:pPr>
        <w:rPr>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3" w:history="1">
        <w:r>
          <w:rPr>
            <w:rStyle w:val="Hyperlink"/>
            <w:sz w:val="16"/>
            <w:szCs w:val="16"/>
          </w:rPr>
          <w:t>http</w:t>
        </w:r>
        <w:r>
          <w:rPr>
            <w:rStyle w:val="Hyperlink"/>
            <w:sz w:val="16"/>
            <w:szCs w:val="16"/>
            <w:lang w:val="ru-RU"/>
          </w:rPr>
          <w:t>://</w:t>
        </w:r>
        <w:r>
          <w:rPr>
            <w:rStyle w:val="Hyperlink"/>
            <w:sz w:val="16"/>
            <w:szCs w:val="16"/>
          </w:rPr>
          <w:t>www</w:t>
        </w:r>
        <w:r>
          <w:rPr>
            <w:rStyle w:val="Hyperlink"/>
            <w:sz w:val="16"/>
            <w:szCs w:val="16"/>
            <w:lang w:val="ru-RU"/>
          </w:rPr>
          <w:t>.</w:t>
        </w:r>
        <w:r>
          <w:rPr>
            <w:rStyle w:val="Hyperlink"/>
            <w:sz w:val="16"/>
            <w:szCs w:val="16"/>
          </w:rPr>
          <w:t>minpolj</w:t>
        </w:r>
        <w:r>
          <w:rPr>
            <w:rStyle w:val="Hyperlink"/>
            <w:sz w:val="16"/>
            <w:szCs w:val="16"/>
            <w:lang w:val="ru-RU"/>
          </w:rPr>
          <w:t>.</w:t>
        </w:r>
        <w:r>
          <w:rPr>
            <w:rStyle w:val="Hyperlink"/>
            <w:sz w:val="16"/>
            <w:szCs w:val="16"/>
          </w:rPr>
          <w:t>gov</w:t>
        </w:r>
        <w:r>
          <w:rPr>
            <w:rStyle w:val="Hyperlink"/>
            <w:sz w:val="16"/>
            <w:szCs w:val="16"/>
            <w:lang w:val="ru-RU"/>
          </w:rPr>
          <w:t>.</w:t>
        </w:r>
        <w:r>
          <w:rPr>
            <w:rStyle w:val="Hyperlink"/>
            <w:sz w:val="16"/>
            <w:szCs w:val="16"/>
          </w:rPr>
          <w:t>rs</w:t>
        </w:r>
        <w:r>
          <w:rPr>
            <w:rStyle w:val="Hyperlink"/>
            <w:sz w:val="16"/>
            <w:szCs w:val="16"/>
            <w:lang w:val="ru-RU"/>
          </w:rPr>
          <w:t>/</w:t>
        </w:r>
        <w:r>
          <w:rPr>
            <w:rStyle w:val="Hyperlink"/>
            <w:sz w:val="16"/>
            <w:szCs w:val="16"/>
          </w:rPr>
          <w:t>organska</w:t>
        </w:r>
        <w:r>
          <w:rPr>
            <w:rStyle w:val="Hyperlink"/>
            <w:sz w:val="16"/>
            <w:szCs w:val="16"/>
            <w:lang w:val="ru-RU"/>
          </w:rPr>
          <w:t>/</w:t>
        </w:r>
      </w:hyperlink>
    </w:p>
    <w:p w14:paraId="0A7624DC" w14:textId="77777777" w:rsidR="00644F20" w:rsidRDefault="00644F20">
      <w:pPr>
        <w:pStyle w:val="FootnoteText"/>
        <w:spacing w:line="276" w:lineRule="auto"/>
        <w:rPr>
          <w:rFonts w:ascii="Times New Roman" w:hAnsi="Times New Roman" w:cs="Times New Roman"/>
          <w:sz w:val="16"/>
          <w:szCs w:val="16"/>
          <w:lang w:val="ru-RU"/>
        </w:rPr>
      </w:pPr>
    </w:p>
  </w:footnote>
  <w:footnote w:id="18">
    <w:p w14:paraId="7170C8FC" w14:textId="77777777" w:rsidR="00644F20" w:rsidRDefault="00644F20">
      <w:pPr>
        <w:pStyle w:val="FootnoteText"/>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Стратегија развоја железничког, друмског, водног, ваздушног и интермодалног транспорта у Републици Србији од 2008. до 2015.године, стр. 7 </w:t>
      </w:r>
      <w:r w:rsidRPr="00E223B4">
        <w:rPr>
          <w:rFonts w:ascii="Times New Roman" w:hAnsi="Times New Roman" w:cs="Times New Roman"/>
          <w:sz w:val="16"/>
          <w:szCs w:val="16"/>
          <w:lang w:val="sr-Cyrl-RS"/>
        </w:rPr>
        <w:t>(„Службени гласник РС</w:t>
      </w:r>
      <w:r w:rsidRPr="00E223B4">
        <w:rPr>
          <w:rFonts w:ascii="Times New Roman" w:hAnsi="Times New Roman" w:cs="Times New Roman"/>
          <w:bCs/>
          <w:color w:val="000000"/>
          <w:sz w:val="16"/>
          <w:szCs w:val="16"/>
          <w:lang w:val="sr-Cyrl-CS" w:eastAsia="sr-Latn-CS"/>
        </w:rPr>
        <w:t>”</w:t>
      </w:r>
      <w:r>
        <w:rPr>
          <w:rFonts w:ascii="Times New Roman" w:hAnsi="Times New Roman" w:cs="Times New Roman"/>
          <w:sz w:val="16"/>
          <w:szCs w:val="16"/>
          <w:lang w:val="sr-Cyrl-RS"/>
        </w:rPr>
        <w:t>, број 4/08)</w:t>
      </w:r>
    </w:p>
  </w:footnote>
  <w:footnote w:id="19">
    <w:p w14:paraId="0EDB6D2D" w14:textId="77777777" w:rsidR="00644F20" w:rsidRDefault="00644F20">
      <w:pPr>
        <w:autoSpaceDE w:val="0"/>
        <w:autoSpaceDN w:val="0"/>
        <w:adjustRightInd w:val="0"/>
        <w:spacing w:after="0" w:line="276" w:lineRule="auto"/>
        <w:rPr>
          <w:rFonts w:ascii="Times New Roman" w:hAnsi="Times New Roman" w:cs="Times New Roman"/>
          <w:i/>
          <w:iCs/>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r>
        <w:rPr>
          <w:rFonts w:ascii="Times New Roman" w:hAnsi="Times New Roman" w:cs="Times New Roman"/>
          <w:bCs/>
          <w:sz w:val="16"/>
          <w:szCs w:val="16"/>
          <w:lang w:val="ru-RU"/>
        </w:rPr>
        <w:t>Стратегија и политика развоја индустрије Републике Србије од 2011. до 2020. године („Службени гласник РС</w:t>
      </w:r>
      <w:r w:rsidRPr="00E223B4">
        <w:rPr>
          <w:rFonts w:ascii="Times New Roman" w:hAnsi="Times New Roman" w:cs="Times New Roman"/>
          <w:bCs/>
          <w:sz w:val="16"/>
          <w:szCs w:val="16"/>
          <w:lang w:val="ru-RU"/>
        </w:rPr>
        <w:t>”</w:t>
      </w:r>
      <w:r>
        <w:rPr>
          <w:rFonts w:ascii="Times New Roman" w:hAnsi="Times New Roman" w:cs="Times New Roman"/>
          <w:bCs/>
          <w:sz w:val="16"/>
          <w:szCs w:val="16"/>
          <w:lang w:val="ru-RU"/>
        </w:rPr>
        <w:t>, број 55/11)</w:t>
      </w:r>
    </w:p>
  </w:footnote>
  <w:footnote w:id="20">
    <w:p w14:paraId="12F8141E" w14:textId="77777777" w:rsidR="00644F20" w:rsidRDefault="00000000">
      <w:pPr>
        <w:pStyle w:val="FootnoteText"/>
        <w:spacing w:line="276" w:lineRule="auto"/>
        <w:jc w:val="both"/>
        <w:rPr>
          <w:rFonts w:ascii="Times New Roman" w:hAnsi="Times New Roman" w:cs="Times New Roman"/>
          <w:color w:val="171717" w:themeColor="background2" w:themeShade="1A"/>
          <w:sz w:val="16"/>
          <w:szCs w:val="16"/>
          <w:lang w:val="ru-RU"/>
        </w:rPr>
      </w:pPr>
      <w:hyperlink r:id="rId4" w:history="1">
        <w:r w:rsidR="00644F20">
          <w:rPr>
            <w:rStyle w:val="Hyperlink"/>
            <w:rFonts w:ascii="Times New Roman" w:hAnsi="Times New Roman" w:cs="Times New Roman"/>
            <w:color w:val="171717" w:themeColor="background2" w:themeShade="1A"/>
            <w:sz w:val="16"/>
            <w:szCs w:val="16"/>
            <w:vertAlign w:val="superscript"/>
          </w:rPr>
          <w:footnoteRef/>
        </w:r>
        <w:r w:rsidR="00644F20">
          <w:rPr>
            <w:rStyle w:val="Hyperlink"/>
            <w:rFonts w:ascii="Times New Roman" w:hAnsi="Times New Roman" w:cs="Times New Roman"/>
            <w:color w:val="171717" w:themeColor="background2" w:themeShade="1A"/>
            <w:sz w:val="16"/>
            <w:szCs w:val="16"/>
            <w:lang w:val="ru-RU"/>
          </w:rPr>
          <w:t xml:space="preserve"> Коришћење и заштита вода од загађивања, 2019, Претходни резултати, Саопштење, бр. 158 - год. </w:t>
        </w:r>
        <w:r w:rsidR="00644F20">
          <w:rPr>
            <w:rStyle w:val="Hyperlink"/>
            <w:rFonts w:ascii="Times New Roman" w:hAnsi="Times New Roman" w:cs="Times New Roman"/>
            <w:color w:val="171717" w:themeColor="background2" w:themeShade="1A"/>
            <w:sz w:val="16"/>
            <w:szCs w:val="16"/>
          </w:rPr>
          <w:t>LXX</w:t>
        </w:r>
        <w:r w:rsidR="00644F20">
          <w:rPr>
            <w:rStyle w:val="Hyperlink"/>
            <w:rFonts w:ascii="Times New Roman" w:hAnsi="Times New Roman" w:cs="Times New Roman"/>
            <w:color w:val="171717" w:themeColor="background2" w:themeShade="1A"/>
            <w:sz w:val="16"/>
            <w:szCs w:val="16"/>
            <w:lang w:val="ru-RU"/>
          </w:rPr>
          <w:t>, Републички завод за статистику, 2020.</w:t>
        </w:r>
      </w:hyperlink>
      <w:r w:rsidR="00644F20">
        <w:rPr>
          <w:rFonts w:ascii="Times New Roman" w:hAnsi="Times New Roman" w:cs="Times New Roman"/>
          <w:color w:val="171717" w:themeColor="background2" w:themeShade="1A"/>
          <w:sz w:val="16"/>
          <w:szCs w:val="16"/>
          <w:lang w:val="ru-RU"/>
        </w:rPr>
        <w:t xml:space="preserve"> </w:t>
      </w:r>
    </w:p>
  </w:footnote>
  <w:footnote w:id="21">
    <w:p w14:paraId="52288249" w14:textId="77777777" w:rsidR="00644F20" w:rsidRPr="004D6F13" w:rsidRDefault="00644F20">
      <w:pPr>
        <w:pStyle w:val="FootnoteText"/>
        <w:spacing w:line="276" w:lineRule="auto"/>
        <w:rPr>
          <w:strike/>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Стратегија управљања водама на територији Републике Србије до 2034. године</w:t>
      </w:r>
    </w:p>
  </w:footnote>
  <w:footnote w:id="22">
    <w:p w14:paraId="771B1DFB" w14:textId="77777777" w:rsidR="00644F20" w:rsidRDefault="00644F20">
      <w:pPr>
        <w:pStyle w:val="FootnoteText"/>
        <w:spacing w:line="276" w:lineRule="auto"/>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Нацрт програма увођења чистије производње у Републици Србији</w:t>
      </w:r>
    </w:p>
  </w:footnote>
  <w:footnote w:id="23">
    <w:p w14:paraId="665A22DD"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Годишњи извештај АЗЖС, 2019</w:t>
      </w:r>
    </w:p>
  </w:footnote>
  <w:footnote w:id="24">
    <w:p w14:paraId="2AF85BB7" w14:textId="77777777" w:rsidR="00644F20" w:rsidRDefault="00644F20">
      <w:pPr>
        <w:pStyle w:val="FootnoteText"/>
        <w:spacing w:line="276" w:lineRule="auto"/>
        <w:rPr>
          <w:rFonts w:ascii="Times New Roman" w:hAnsi="Times New Roman"/>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Привредни потенцијали и активности од значаја за животну средину Републике Србије, 2018. година</w:t>
      </w:r>
    </w:p>
  </w:footnote>
  <w:footnote w:id="25">
    <w:p w14:paraId="14E356BF" w14:textId="77777777" w:rsidR="00644F20" w:rsidRDefault="00644F20">
      <w:pPr>
        <w:pStyle w:val="FootnoteText"/>
        <w:rPr>
          <w:lang w:val="sr-Cyrl-RS"/>
        </w:rPr>
      </w:pPr>
      <w:r>
        <w:rPr>
          <w:rStyle w:val="FootnoteReference"/>
        </w:rPr>
        <w:footnoteRef/>
      </w:r>
      <w:r>
        <w:rPr>
          <w:lang w:val="ru-RU"/>
        </w:rPr>
        <w:t xml:space="preserve"> </w:t>
      </w:r>
      <w:r>
        <w:rPr>
          <w:rFonts w:ascii="Times New Roman" w:hAnsi="Times New Roman" w:cs="Times New Roman"/>
          <w:sz w:val="16"/>
          <w:szCs w:val="16"/>
          <w:lang w:val="ru-RU"/>
        </w:rPr>
        <w:t>Правилник о Регистру хемикалија („Службени гласник РС”, бр. 16/16, 6/17, 117/17, 44/18 - др. закон, 7/19, 93/19, 6/21 и 126/21)</w:t>
      </w:r>
    </w:p>
  </w:footnote>
  <w:footnote w:id="26">
    <w:p w14:paraId="70839A00" w14:textId="77777777" w:rsidR="00644F20" w:rsidRDefault="00644F20">
      <w:pPr>
        <w:pStyle w:val="FootnoteText"/>
        <w:rPr>
          <w:lang w:val="sr-Cyrl-RS"/>
        </w:rPr>
      </w:pPr>
      <w:r>
        <w:rPr>
          <w:rStyle w:val="FootnoteReference"/>
        </w:rPr>
        <w:footnoteRef/>
      </w:r>
      <w:r>
        <w:rPr>
          <w:lang w:val="ru-RU"/>
        </w:rPr>
        <w:t xml:space="preserve"> </w:t>
      </w:r>
      <w:r>
        <w:rPr>
          <w:rFonts w:ascii="Times New Roman" w:hAnsi="Times New Roman" w:cs="Times New Roman"/>
          <w:sz w:val="16"/>
          <w:szCs w:val="16"/>
          <w:lang w:val="ru-RU"/>
        </w:rPr>
        <w:t>Листа супстанци које изазивају забринутост (,,Службени гласник РС”, бр. 94/13, 101/16, 22/18 и 86/21)</w:t>
      </w:r>
    </w:p>
  </w:footnote>
  <w:footnote w:id="27">
    <w:p w14:paraId="03B7F02F"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Прилог 2. </w:t>
      </w:r>
      <w:r>
        <w:rPr>
          <w:rFonts w:ascii="Times New Roman" w:hAnsi="Times New Roman" w:cs="Times New Roman"/>
          <w:iCs/>
          <w:sz w:val="16"/>
          <w:szCs w:val="16"/>
          <w:lang w:val="ru-RU"/>
        </w:rPr>
        <w:t>Правилника о ограничењима и забранама производње, стављања у промет и коришћења хемикалија („Службени гласник РС”, бр. 90/13, 25/15, 2/16, 44/17, 36/18, 9/20 и 57/22)</w:t>
      </w:r>
    </w:p>
  </w:footnote>
  <w:footnote w:id="28">
    <w:p w14:paraId="4285EA0E" w14:textId="77777777" w:rsidR="00644F20" w:rsidRDefault="00644F20">
      <w:pPr>
        <w:pStyle w:val="FootnoteText"/>
        <w:rPr>
          <w:lang w:val="sr-Cyrl-RS"/>
        </w:rPr>
      </w:pPr>
      <w:r>
        <w:rPr>
          <w:rStyle w:val="FootnoteReference"/>
        </w:rPr>
        <w:footnoteRef/>
      </w:r>
      <w:r>
        <w:rPr>
          <w:lang w:val="ru-RU"/>
        </w:rPr>
        <w:t xml:space="preserve"> </w:t>
      </w:r>
      <w:r w:rsidRPr="007559C2">
        <w:rPr>
          <w:rFonts w:ascii="Times New Roman" w:hAnsi="Times New Roman" w:cs="Times New Roman"/>
          <w:iCs/>
          <w:sz w:val="16"/>
          <w:szCs w:val="16"/>
          <w:lang w:val="ru-RU"/>
        </w:rPr>
        <w:t xml:space="preserve">Истраживање о опасним хемикалијама, </w:t>
      </w:r>
      <w:r w:rsidRPr="007559C2">
        <w:rPr>
          <w:rFonts w:ascii="Times New Roman" w:hAnsi="Times New Roman" w:cs="Times New Roman"/>
          <w:iCs/>
          <w:sz w:val="16"/>
          <w:szCs w:val="16"/>
          <w:highlight w:val="yellow"/>
          <w:lang w:val="ru-RU"/>
        </w:rPr>
        <w:t>РЗС</w:t>
      </w:r>
      <w:r w:rsidRPr="007559C2">
        <w:rPr>
          <w:rFonts w:ascii="Times New Roman" w:hAnsi="Times New Roman" w:cs="Times New Roman"/>
          <w:iCs/>
          <w:sz w:val="16"/>
          <w:szCs w:val="16"/>
          <w:lang w:val="ru-RU"/>
        </w:rPr>
        <w:t xml:space="preserve"> </w:t>
      </w:r>
    </w:p>
  </w:footnote>
  <w:footnote w:id="29">
    <w:p w14:paraId="2670F0A8" w14:textId="77777777" w:rsidR="00644F20" w:rsidRDefault="00644F20">
      <w:pPr>
        <w:pStyle w:val="FootnoteText"/>
        <w:rPr>
          <w:lang w:val="sr-Cyrl-RS"/>
        </w:rPr>
      </w:pPr>
      <w:r>
        <w:rPr>
          <w:rStyle w:val="FootnoteReference"/>
        </w:rPr>
        <w:footnoteRef/>
      </w:r>
      <w:r>
        <w:rPr>
          <w:lang w:val="ru-RU"/>
        </w:rPr>
        <w:t xml:space="preserve"> </w:t>
      </w:r>
      <w:r>
        <w:rPr>
          <w:rFonts w:ascii="Times New Roman" w:hAnsi="Times New Roman" w:cs="Times New Roman"/>
          <w:iCs/>
          <w:sz w:val="16"/>
          <w:szCs w:val="16"/>
          <w:lang w:val="ru-RU"/>
        </w:rPr>
        <w:t>Екобилтен 2019, Републички завод за статистику, ISSN 0354-3641</w:t>
      </w:r>
    </w:p>
  </w:footnote>
  <w:footnote w:id="30">
    <w:p w14:paraId="55CD2124"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Потрошња опасних хемикалија 2019, Републички завод за статистику, Саопштење</w:t>
      </w:r>
      <w:r>
        <w:rPr>
          <w:rFonts w:ascii="Times New Roman" w:hAnsi="Times New Roman" w:cs="Times New Roman"/>
          <w:b/>
          <w:bCs/>
          <w:sz w:val="16"/>
          <w:szCs w:val="16"/>
          <w:lang w:val="sr-Cyrl-CS"/>
        </w:rPr>
        <w:t xml:space="preserve"> </w:t>
      </w:r>
      <w:r>
        <w:rPr>
          <w:rFonts w:ascii="Times New Roman" w:hAnsi="Times New Roman" w:cs="Times New Roman"/>
          <w:sz w:val="16"/>
          <w:szCs w:val="16"/>
          <w:lang w:val="sr-Cyrl-CS"/>
        </w:rPr>
        <w:t>ЗС</w:t>
      </w:r>
      <w:r>
        <w:rPr>
          <w:rFonts w:ascii="Times New Roman" w:hAnsi="Times New Roman" w:cs="Times New Roman"/>
          <w:sz w:val="16"/>
          <w:szCs w:val="16"/>
          <w:lang w:val="de-DE"/>
        </w:rPr>
        <w:t>71</w:t>
      </w:r>
      <w:r>
        <w:rPr>
          <w:rFonts w:ascii="Times New Roman" w:hAnsi="Times New Roman" w:cs="Times New Roman"/>
          <w:sz w:val="16"/>
          <w:szCs w:val="16"/>
          <w:lang w:val="ru-RU"/>
        </w:rPr>
        <w:t xml:space="preserve">, </w:t>
      </w:r>
      <w:r>
        <w:rPr>
          <w:rFonts w:ascii="Times New Roman" w:hAnsi="Times New Roman" w:cs="Times New Roman"/>
          <w:sz w:val="16"/>
          <w:szCs w:val="16"/>
        </w:rPr>
        <w:t>ISSN</w:t>
      </w:r>
      <w:r>
        <w:rPr>
          <w:rFonts w:ascii="Times New Roman" w:hAnsi="Times New Roman" w:cs="Times New Roman"/>
          <w:sz w:val="16"/>
          <w:szCs w:val="16"/>
          <w:lang w:val="ru-RU"/>
        </w:rPr>
        <w:t xml:space="preserve"> 0353-9555</w:t>
      </w:r>
    </w:p>
  </w:footnote>
  <w:footnote w:id="31">
    <w:p w14:paraId="397D4030"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r>
        <w:rPr>
          <w:rFonts w:ascii="Times New Roman" w:hAnsi="Times New Roman" w:cs="Times New Roman"/>
          <w:sz w:val="16"/>
          <w:szCs w:val="16"/>
        </w:rPr>
        <w:t>Global</w:t>
      </w:r>
      <w:r>
        <w:rPr>
          <w:rFonts w:ascii="Times New Roman" w:hAnsi="Times New Roman" w:cs="Times New Roman"/>
          <w:sz w:val="16"/>
          <w:szCs w:val="16"/>
          <w:lang w:val="ru-RU"/>
        </w:rPr>
        <w:t xml:space="preserve"> </w:t>
      </w:r>
      <w:r>
        <w:rPr>
          <w:rFonts w:ascii="Times New Roman" w:hAnsi="Times New Roman" w:cs="Times New Roman"/>
          <w:sz w:val="16"/>
          <w:szCs w:val="16"/>
        </w:rPr>
        <w:t>Competitiveness</w:t>
      </w:r>
      <w:r>
        <w:rPr>
          <w:rFonts w:ascii="Times New Roman" w:hAnsi="Times New Roman" w:cs="Times New Roman"/>
          <w:sz w:val="16"/>
          <w:szCs w:val="16"/>
          <w:lang w:val="ru-RU"/>
        </w:rPr>
        <w:t xml:space="preserve"> </w:t>
      </w:r>
      <w:r>
        <w:rPr>
          <w:rFonts w:ascii="Times New Roman" w:hAnsi="Times New Roman" w:cs="Times New Roman"/>
          <w:sz w:val="16"/>
          <w:szCs w:val="16"/>
        </w:rPr>
        <w:t>Report</w:t>
      </w:r>
      <w:r>
        <w:rPr>
          <w:rFonts w:ascii="Times New Roman" w:hAnsi="Times New Roman" w:cs="Times New Roman"/>
          <w:sz w:val="16"/>
          <w:szCs w:val="16"/>
          <w:lang w:val="ru-RU"/>
        </w:rPr>
        <w:t xml:space="preserve"> 2018-2019  </w:t>
      </w:r>
    </w:p>
  </w:footnote>
  <w:footnote w:id="32">
    <w:p w14:paraId="151450AD"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r>
        <w:rPr>
          <w:rFonts w:ascii="Times New Roman" w:hAnsi="Times New Roman" w:cs="Times New Roman"/>
          <w:iCs/>
          <w:sz w:val="16"/>
          <w:szCs w:val="16"/>
          <w:lang w:val="ru-RU"/>
        </w:rPr>
        <w:t>Извештај о малим и средњим предузећима и предузетништву 2018.</w:t>
      </w:r>
      <w:r>
        <w:rPr>
          <w:rFonts w:ascii="Times New Roman" w:hAnsi="Times New Roman" w:cs="Times New Roman"/>
          <w:sz w:val="16"/>
          <w:szCs w:val="16"/>
          <w:lang w:val="ru-RU"/>
        </w:rPr>
        <w:t xml:space="preserve"> </w:t>
      </w:r>
      <w:r>
        <w:rPr>
          <w:rFonts w:ascii="Times New Roman" w:hAnsi="Times New Roman" w:cs="Times New Roman"/>
          <w:iCs/>
          <w:sz w:val="16"/>
          <w:szCs w:val="16"/>
          <w:lang w:val="ru-RU"/>
        </w:rPr>
        <w:t>Министарсво привреде, Аутори: Марко ДАНОН, Немања ШОРМАЗ</w:t>
      </w:r>
    </w:p>
  </w:footnote>
  <w:footnote w:id="33">
    <w:p w14:paraId="4767AB27" w14:textId="77777777" w:rsidR="00644F20" w:rsidRDefault="00644F20">
      <w:pPr>
        <w:spacing w:after="0" w:line="276" w:lineRule="auto"/>
        <w:jc w:val="both"/>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iCs/>
          <w:sz w:val="16"/>
          <w:szCs w:val="16"/>
          <w:lang w:val="sr-Cyrl-RS"/>
        </w:rPr>
        <w:t xml:space="preserve">Акциони план подршке дрвној индустрији Србије у извозу производа са високом додатом вредношћу, проф. др Бранко Главоњић, </w:t>
      </w:r>
      <w:r>
        <w:rPr>
          <w:rFonts w:ascii="Times New Roman" w:hAnsi="Times New Roman" w:cs="Times New Roman"/>
          <w:sz w:val="16"/>
          <w:szCs w:val="16"/>
        </w:rPr>
        <w:t>Jeff</w:t>
      </w:r>
      <w:r>
        <w:rPr>
          <w:rFonts w:ascii="Times New Roman" w:hAnsi="Times New Roman" w:cs="Times New Roman"/>
          <w:sz w:val="16"/>
          <w:szCs w:val="16"/>
          <w:lang w:val="sr-Cyrl-RS"/>
        </w:rPr>
        <w:t xml:space="preserve"> </w:t>
      </w:r>
      <w:r>
        <w:rPr>
          <w:rFonts w:ascii="Times New Roman" w:hAnsi="Times New Roman" w:cs="Times New Roman"/>
          <w:sz w:val="16"/>
          <w:szCs w:val="16"/>
        </w:rPr>
        <w:t>Baron</w:t>
      </w:r>
      <w:r>
        <w:rPr>
          <w:rFonts w:ascii="Times New Roman" w:hAnsi="Times New Roman" w:cs="Times New Roman"/>
          <w:sz w:val="16"/>
          <w:szCs w:val="16"/>
          <w:lang w:val="sr-Cyrl-RS"/>
        </w:rPr>
        <w:t xml:space="preserve">, Тамара Дунђеровић, Татјана Павловић-Крижанић, 2016, </w:t>
      </w:r>
      <w:r>
        <w:rPr>
          <w:rFonts w:ascii="Times New Roman" w:hAnsi="Times New Roman" w:cs="Times New Roman"/>
          <w:sz w:val="16"/>
          <w:szCs w:val="16"/>
        </w:rPr>
        <w:t>K</w:t>
      </w:r>
      <w:r>
        <w:rPr>
          <w:rFonts w:ascii="Times New Roman" w:hAnsi="Times New Roman" w:cs="Times New Roman"/>
          <w:sz w:val="16"/>
          <w:szCs w:val="16"/>
          <w:lang w:val="sr-Cyrl-RS"/>
        </w:rPr>
        <w:t>анцеларија Уједињиних нација за пројектне услуге (</w:t>
      </w:r>
      <w:r>
        <w:rPr>
          <w:rFonts w:ascii="Times New Roman" w:hAnsi="Times New Roman" w:cs="Times New Roman"/>
          <w:sz w:val="16"/>
          <w:szCs w:val="16"/>
        </w:rPr>
        <w:t>UNOPS</w:t>
      </w:r>
      <w:r>
        <w:rPr>
          <w:rFonts w:ascii="Times New Roman" w:hAnsi="Times New Roman" w:cs="Times New Roman"/>
          <w:sz w:val="16"/>
          <w:szCs w:val="16"/>
          <w:lang w:val="sr-Cyrl-RS"/>
        </w:rPr>
        <w:t>)</w:t>
      </w:r>
    </w:p>
  </w:footnote>
  <w:footnote w:id="34">
    <w:p w14:paraId="6F1DDABF" w14:textId="77777777" w:rsidR="00644F20" w:rsidRDefault="00644F20">
      <w:pPr>
        <w:pStyle w:val="FootnoteText"/>
        <w:spacing w:line="276" w:lineRule="auto"/>
        <w:rPr>
          <w:rFonts w:ascii="Times New Roman" w:hAnsi="Times New Roman" w:cs="Times New Roman"/>
          <w:sz w:val="18"/>
          <w:szCs w:val="18"/>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Анализа перформанси и ланца вредности одабраних сектора, ЦЕВЕС, ПКС, 2017</w:t>
      </w:r>
    </w:p>
  </w:footnote>
  <w:footnote w:id="35">
    <w:p w14:paraId="675DBA95"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Статистички годишњак Републике Србије, 2020</w:t>
      </w:r>
    </w:p>
  </w:footnote>
  <w:footnote w:id="36">
    <w:tbl>
      <w:tblPr>
        <w:tblW w:w="24709" w:type="dxa"/>
        <w:tblLayout w:type="fixed"/>
        <w:tblLook w:val="04A0" w:firstRow="1" w:lastRow="0" w:firstColumn="1" w:lastColumn="0" w:noHBand="0" w:noVBand="1"/>
      </w:tblPr>
      <w:tblGrid>
        <w:gridCol w:w="24709"/>
      </w:tblGrid>
      <w:tr w:rsidR="00644F20" w14:paraId="56729AFF" w14:textId="77777777">
        <w:trPr>
          <w:trHeight w:val="136"/>
        </w:trPr>
        <w:tc>
          <w:tcPr>
            <w:tcW w:w="24709" w:type="dxa"/>
          </w:tcPr>
          <w:p w14:paraId="11CBE73C" w14:textId="77777777" w:rsidR="00644F20" w:rsidRDefault="00644F20">
            <w:pPr>
              <w:pStyle w:val="Default"/>
              <w:spacing w:line="276" w:lineRule="auto"/>
              <w:rPr>
                <w:rFonts w:ascii="Times New Roman" w:hAnsi="Times New Roman" w:cs="Times New Roman"/>
                <w:color w:val="171717" w:themeColor="background2" w:themeShade="1A"/>
                <w:sz w:val="16"/>
                <w:szCs w:val="16"/>
                <w:lang w:val="ru-RU"/>
              </w:rPr>
            </w:pPr>
            <w:r>
              <w:rPr>
                <w:rStyle w:val="FootnoteReference"/>
                <w:rFonts w:ascii="Times New Roman" w:hAnsi="Times New Roman" w:cs="Times New Roman"/>
                <w:color w:val="171717" w:themeColor="background2" w:themeShade="1A"/>
                <w:sz w:val="16"/>
                <w:szCs w:val="16"/>
              </w:rPr>
              <w:footnoteRef/>
            </w:r>
            <w:r>
              <w:rPr>
                <w:rFonts w:ascii="Times New Roman" w:hAnsi="Times New Roman" w:cs="Times New Roman"/>
                <w:color w:val="171717" w:themeColor="background2" w:themeShade="1A"/>
                <w:sz w:val="16"/>
                <w:szCs w:val="16"/>
                <w:lang w:val="ru-RU"/>
              </w:rPr>
              <w:t xml:space="preserve"> </w:t>
            </w:r>
            <w:hyperlink r:id="rId5" w:history="1">
              <w:r>
                <w:rPr>
                  <w:rStyle w:val="Hyperlink"/>
                  <w:rFonts w:ascii="Times New Roman" w:hAnsi="Times New Roman" w:cs="Times New Roman"/>
                  <w:color w:val="171717" w:themeColor="background2" w:themeShade="1A"/>
                  <w:sz w:val="16"/>
                  <w:szCs w:val="16"/>
                  <w:lang w:val="ru-RU"/>
                </w:rPr>
                <w:t xml:space="preserve">Наводњавање 2020, Саопштење бр. 006 - год. </w:t>
              </w:r>
              <w:r>
                <w:rPr>
                  <w:rStyle w:val="Hyperlink"/>
                  <w:rFonts w:ascii="Times New Roman" w:hAnsi="Times New Roman" w:cs="Times New Roman"/>
                  <w:color w:val="171717" w:themeColor="background2" w:themeShade="1A"/>
                  <w:sz w:val="16"/>
                  <w:szCs w:val="16"/>
                </w:rPr>
                <w:t>LXXI</w:t>
              </w:r>
              <w:r>
                <w:rPr>
                  <w:rStyle w:val="Hyperlink"/>
                  <w:rFonts w:ascii="Times New Roman" w:hAnsi="Times New Roman" w:cs="Times New Roman"/>
                  <w:color w:val="171717" w:themeColor="background2" w:themeShade="1A"/>
                  <w:sz w:val="16"/>
                  <w:szCs w:val="16"/>
                  <w:lang w:val="ru-RU"/>
                </w:rPr>
                <w:t>, Републички завод за статистику, 2021.</w:t>
              </w:r>
            </w:hyperlink>
            <w:r>
              <w:rPr>
                <w:rFonts w:ascii="Times New Roman" w:hAnsi="Times New Roman" w:cs="Times New Roman"/>
                <w:color w:val="171717" w:themeColor="background2" w:themeShade="1A"/>
                <w:sz w:val="16"/>
                <w:szCs w:val="16"/>
                <w:lang w:val="ru-RU"/>
              </w:rPr>
              <w:t xml:space="preserve"> </w:t>
            </w:r>
          </w:p>
        </w:tc>
      </w:tr>
    </w:tbl>
    <w:p w14:paraId="05B11D4E" w14:textId="77777777" w:rsidR="00644F20" w:rsidRDefault="00644F20">
      <w:pPr>
        <w:pStyle w:val="FootnoteText"/>
        <w:rPr>
          <w:lang w:val="ru-RU"/>
        </w:rPr>
      </w:pPr>
    </w:p>
  </w:footnote>
  <w:footnote w:id="37">
    <w:p w14:paraId="76BDE5B1"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eastAsia="PFDinTextPro-Regular" w:hAnsi="Times New Roman" w:cs="Times New Roman"/>
          <w:sz w:val="16"/>
          <w:szCs w:val="16"/>
          <w:lang w:val="it-IT"/>
        </w:rPr>
        <w:t>Ex</w:t>
      </w:r>
      <w:r>
        <w:rPr>
          <w:rFonts w:ascii="Times New Roman" w:eastAsia="PFDinTextPro-Regular" w:hAnsi="Times New Roman" w:cs="Times New Roman"/>
          <w:sz w:val="16"/>
          <w:szCs w:val="16"/>
          <w:lang w:val="ru-RU"/>
        </w:rPr>
        <w:t>-</w:t>
      </w:r>
      <w:r>
        <w:rPr>
          <w:rFonts w:ascii="Times New Roman" w:eastAsia="PFDinTextPro-Regular" w:hAnsi="Times New Roman" w:cs="Times New Roman"/>
          <w:sz w:val="16"/>
          <w:szCs w:val="16"/>
          <w:lang w:val="it-IT"/>
        </w:rPr>
        <w:t>ante</w:t>
      </w:r>
      <w:r>
        <w:rPr>
          <w:rFonts w:ascii="Times New Roman" w:eastAsia="PFDinTextPro-Regular" w:hAnsi="Times New Roman" w:cs="Times New Roman"/>
          <w:sz w:val="16"/>
          <w:szCs w:val="16"/>
          <w:lang w:val="ru-RU"/>
        </w:rPr>
        <w:t xml:space="preserve"> </w:t>
      </w:r>
      <w:r>
        <w:rPr>
          <w:rFonts w:ascii="Times New Roman" w:eastAsia="PFDinTextPro-Regular" w:hAnsi="Times New Roman" w:cs="Times New Roman"/>
          <w:sz w:val="16"/>
          <w:szCs w:val="16"/>
          <w:lang w:val="sr-Cyrl-RS"/>
        </w:rPr>
        <w:t>анализа ефеката за област циркуларне економије</w:t>
      </w:r>
      <w:r>
        <w:rPr>
          <w:rFonts w:ascii="Times New Roman" w:hAnsi="Times New Roman" w:cs="Times New Roman"/>
          <w:sz w:val="16"/>
          <w:szCs w:val="16"/>
          <w:lang w:val="ru-RU"/>
        </w:rPr>
        <w:t xml:space="preserve"> </w:t>
      </w:r>
    </w:p>
  </w:footnote>
  <w:footnote w:id="38">
    <w:p w14:paraId="6E21A585" w14:textId="77777777" w:rsidR="00644F20" w:rsidRDefault="00644F20">
      <w:pPr>
        <w:pStyle w:val="FootnoteText"/>
        <w:spacing w:line="276" w:lineRule="auto"/>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r>
        <w:rPr>
          <w:rFonts w:ascii="Times New Roman" w:hAnsi="Times New Roman" w:cs="Times New Roman"/>
          <w:sz w:val="16"/>
          <w:szCs w:val="16"/>
          <w:lang w:val="sr-Cyrl-RS"/>
        </w:rPr>
        <w:t xml:space="preserve">Анализа капацитета јединица локалне самоуправе у погледу стварања услова за прелазак на циркуларну економију, СКГО, 2019. </w:t>
      </w:r>
    </w:p>
  </w:footnote>
  <w:footnote w:id="39">
    <w:p w14:paraId="1BD7C0A7" w14:textId="77777777" w:rsidR="00644F20" w:rsidRDefault="00644F20">
      <w:pPr>
        <w:pStyle w:val="FootnoteText"/>
        <w:spacing w:line="276" w:lineRule="auto"/>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t>
      </w:r>
      <w:hyperlink r:id="rId6" w:history="1">
        <w:r>
          <w:rPr>
            <w:rStyle w:val="Hyperlink"/>
            <w:rFonts w:ascii="Times New Roman" w:hAnsi="Times New Roman" w:cs="Times New Roman"/>
            <w:sz w:val="16"/>
            <w:szCs w:val="16"/>
          </w:rPr>
          <w:t>European Federation of National Associations of Water Services</w:t>
        </w:r>
      </w:hyperlink>
      <w:r>
        <w:rPr>
          <w:rFonts w:ascii="Times New Roman" w:hAnsi="Times New Roman" w:cs="Times New Roman"/>
          <w:sz w:val="16"/>
          <w:szCs w:val="16"/>
        </w:rPr>
        <w:t xml:space="preserve"> </w:t>
      </w:r>
    </w:p>
  </w:footnote>
  <w:footnote w:id="40">
    <w:p w14:paraId="3F067859" w14:textId="77777777" w:rsidR="00644F20" w:rsidRDefault="00644F20">
      <w:pPr>
        <w:pStyle w:val="FootnoteText"/>
        <w:spacing w:line="276" w:lineRule="auto"/>
        <w:jc w:val="both"/>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7" w:history="1">
        <w:r>
          <w:rPr>
            <w:rStyle w:val="Hyperlink"/>
            <w:rFonts w:ascii="Times New Roman" w:hAnsi="Times New Roman" w:cs="Times New Roman"/>
            <w:sz w:val="16"/>
            <w:szCs w:val="16"/>
            <w:lang w:val="ru-RU"/>
          </w:rPr>
          <w:t xml:space="preserve">База података </w:t>
        </w:r>
        <w:r>
          <w:rPr>
            <w:rStyle w:val="Hyperlink"/>
            <w:rFonts w:ascii="Times New Roman" w:hAnsi="Times New Roman" w:cs="Times New Roman"/>
            <w:sz w:val="16"/>
            <w:szCs w:val="16"/>
          </w:rPr>
          <w:t>Eurostat</w:t>
        </w:r>
      </w:hyperlink>
    </w:p>
  </w:footnote>
  <w:footnote w:id="41">
    <w:p w14:paraId="7643B237" w14:textId="77777777" w:rsidR="00644F20" w:rsidRDefault="00644F20">
      <w:pPr>
        <w:pStyle w:val="FootnoteText"/>
        <w:spacing w:line="276" w:lineRule="auto"/>
        <w:jc w:val="both"/>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8" w:history="1">
        <w:r>
          <w:rPr>
            <w:rStyle w:val="Hyperlink"/>
            <w:rFonts w:ascii="Times New Roman" w:hAnsi="Times New Roman" w:cs="Times New Roman"/>
            <w:sz w:val="16"/>
            <w:szCs w:val="16"/>
            <w:lang w:val="ru-RU"/>
          </w:rPr>
          <w:t>Мапирање постројења за пречишћавање отпадних вода у Србији, Изводи из студије, Удружење за технологију воде и санитарно инжењерство, Београд 2020</w:t>
        </w:r>
      </w:hyperlink>
    </w:p>
  </w:footnote>
  <w:footnote w:id="42">
    <w:p w14:paraId="1E18D78D" w14:textId="77777777" w:rsidR="00644F20" w:rsidRDefault="00644F20">
      <w:pPr>
        <w:pStyle w:val="FootnoteText"/>
        <w:spacing w:line="276" w:lineRule="auto"/>
        <w:jc w:val="both"/>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9" w:history="1">
        <w:r>
          <w:rPr>
            <w:rStyle w:val="Hyperlink"/>
            <w:rFonts w:ascii="Times New Roman" w:hAnsi="Times New Roman" w:cs="Times New Roman"/>
            <w:sz w:val="16"/>
            <w:szCs w:val="16"/>
            <w:lang w:val="ru-RU"/>
          </w:rPr>
          <w:t xml:space="preserve">База података </w:t>
        </w:r>
        <w:r>
          <w:rPr>
            <w:rStyle w:val="Hyperlink"/>
            <w:rFonts w:ascii="Times New Roman" w:hAnsi="Times New Roman" w:cs="Times New Roman"/>
            <w:sz w:val="16"/>
            <w:szCs w:val="16"/>
          </w:rPr>
          <w:t>Eurostat</w:t>
        </w:r>
      </w:hyperlink>
    </w:p>
  </w:footnote>
  <w:footnote w:id="43">
    <w:p w14:paraId="3A120188" w14:textId="77777777" w:rsidR="00644F20" w:rsidRDefault="00644F20">
      <w:pPr>
        <w:pStyle w:val="FootnoteText"/>
        <w:spacing w:line="276" w:lineRule="auto"/>
        <w:jc w:val="both"/>
        <w:rPr>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10" w:history="1">
        <w:r>
          <w:rPr>
            <w:rStyle w:val="Hyperlink"/>
            <w:rFonts w:ascii="Times New Roman" w:hAnsi="Times New Roman" w:cs="Times New Roman"/>
            <w:sz w:val="16"/>
            <w:szCs w:val="16"/>
            <w:lang w:val="ru-RU"/>
          </w:rPr>
          <w:t xml:space="preserve">Предлог Плана управљања водама на територији Републике Србије за период 2021. до 2027. године, </w:t>
        </w:r>
        <w:r w:rsidRPr="007559C2">
          <w:rPr>
            <w:rStyle w:val="Hyperlink"/>
            <w:rFonts w:ascii="Times New Roman" w:hAnsi="Times New Roman" w:cs="Times New Roman"/>
            <w:sz w:val="16"/>
            <w:szCs w:val="16"/>
            <w:highlight w:val="yellow"/>
            <w:lang w:val="ru-RU"/>
          </w:rPr>
          <w:t>МПШВ</w:t>
        </w:r>
        <w:r>
          <w:rPr>
            <w:rStyle w:val="Hyperlink"/>
            <w:rFonts w:ascii="Times New Roman" w:hAnsi="Times New Roman" w:cs="Times New Roman"/>
            <w:sz w:val="16"/>
            <w:szCs w:val="16"/>
            <w:lang w:val="ru-RU"/>
          </w:rPr>
          <w:t>, Републичка дирекција за воде</w:t>
        </w:r>
      </w:hyperlink>
    </w:p>
  </w:footnote>
  <w:footnote w:id="44">
    <w:p w14:paraId="5FD198EB" w14:textId="77777777" w:rsidR="00644F20" w:rsidRDefault="00644F20">
      <w:pPr>
        <w:pStyle w:val="FootnoteText"/>
        <w:spacing w:line="276" w:lineRule="auto"/>
        <w:rPr>
          <w:rFonts w:ascii="Times New Roman" w:hAnsi="Times New Roman" w:cs="Times New Roman"/>
          <w:sz w:val="16"/>
          <w:szCs w:val="16"/>
          <w:lang w:val="sr-Latn-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11" w:history="1">
        <w:r>
          <w:rPr>
            <w:rStyle w:val="Hyperlink"/>
            <w:rFonts w:ascii="Times New Roman" w:eastAsia="Times New Roman" w:hAnsi="Times New Roman" w:cs="Times New Roman"/>
            <w:sz w:val="16"/>
            <w:szCs w:val="16"/>
            <w:lang w:val="ru-RU" w:eastAsia="en-GB"/>
          </w:rPr>
          <w:t>Стратегиј</w:t>
        </w:r>
        <w:r>
          <w:rPr>
            <w:rStyle w:val="Hyperlink"/>
            <w:rFonts w:ascii="Times New Roman" w:eastAsia="Times New Roman" w:hAnsi="Times New Roman" w:cs="Times New Roman"/>
            <w:sz w:val="16"/>
            <w:szCs w:val="16"/>
            <w:lang w:val="sr-Cyrl-RS" w:eastAsia="en-GB"/>
          </w:rPr>
          <w:t>а</w:t>
        </w:r>
        <w:r>
          <w:rPr>
            <w:rStyle w:val="Hyperlink"/>
            <w:rFonts w:ascii="Times New Roman" w:eastAsia="Times New Roman" w:hAnsi="Times New Roman" w:cs="Times New Roman"/>
            <w:sz w:val="16"/>
            <w:szCs w:val="16"/>
            <w:lang w:val="ru-RU" w:eastAsia="en-GB"/>
          </w:rPr>
          <w:t xml:space="preserve"> одрживог урбаног развоја до 2030. године </w:t>
        </w:r>
      </w:hyperlink>
    </w:p>
  </w:footnote>
  <w:footnote w:id="45">
    <w:p w14:paraId="06E45966" w14:textId="77777777" w:rsidR="00644F20" w:rsidRDefault="00644F20">
      <w:pPr>
        <w:spacing w:after="0"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12" w:history="1">
        <w:r>
          <w:rPr>
            <w:rStyle w:val="Hyperlink"/>
            <w:rFonts w:ascii="Times New Roman" w:hAnsi="Times New Roman" w:cs="Times New Roman"/>
            <w:sz w:val="16"/>
            <w:szCs w:val="16"/>
            <w:lang w:val="sr-Cyrl-RS"/>
          </w:rPr>
          <w:t xml:space="preserve">Одржива урбана мобилност. Шанса за развој одрживих градова у Србији, 2020. Издавач: </w:t>
        </w:r>
        <w:r>
          <w:rPr>
            <w:rStyle w:val="Hyperlink"/>
            <w:rFonts w:ascii="Times New Roman" w:hAnsi="Times New Roman" w:cs="Times New Roman"/>
            <w:sz w:val="16"/>
            <w:szCs w:val="16"/>
            <w:lang w:val="sr-Latn-RS"/>
          </w:rPr>
          <w:t>BPFI (</w:t>
        </w:r>
        <w:r>
          <w:rPr>
            <w:rStyle w:val="Hyperlink"/>
            <w:rFonts w:ascii="Times New Roman" w:hAnsi="Times New Roman" w:cs="Times New Roman"/>
            <w:sz w:val="16"/>
            <w:szCs w:val="16"/>
            <w:lang w:val="sr-Cyrl-RS"/>
          </w:rPr>
          <w:t>Београдски фонд за политичку изузетност)</w:t>
        </w:r>
      </w:hyperlink>
    </w:p>
    <w:p w14:paraId="0146525C" w14:textId="77777777" w:rsidR="00644F20" w:rsidRDefault="00644F20">
      <w:pPr>
        <w:pStyle w:val="FootnoteText"/>
        <w:rPr>
          <w:lang w:val="sr-Latn-RS"/>
        </w:rPr>
      </w:pPr>
    </w:p>
  </w:footnote>
  <w:footnote w:id="46">
    <w:p w14:paraId="01D23EA9" w14:textId="77777777" w:rsidR="00644F20" w:rsidRDefault="00644F20">
      <w:pPr>
        <w:pStyle w:val="FootnoteText"/>
        <w:spacing w:after="60"/>
        <w:rPr>
          <w:rFonts w:ascii="Times New Roman" w:hAnsi="Times New Roman" w:cs="Times New Roman"/>
          <w:color w:val="171717" w:themeColor="background2" w:themeShade="1A"/>
          <w:sz w:val="18"/>
          <w:szCs w:val="18"/>
          <w:lang w:val="ru-RU"/>
        </w:rPr>
      </w:pPr>
    </w:p>
  </w:footnote>
  <w:footnote w:id="47">
    <w:p w14:paraId="79BA8573" w14:textId="77777777" w:rsidR="00644F20" w:rsidRDefault="00644F20">
      <w:pPr>
        <w:pStyle w:val="FootnoteText"/>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13" w:history="1">
        <w:r>
          <w:rPr>
            <w:rStyle w:val="Hyperlink"/>
            <w:rFonts w:ascii="Times New Roman" w:hAnsi="Times New Roman" w:cs="Times New Roman"/>
            <w:color w:val="171717" w:themeColor="background2" w:themeShade="1A"/>
            <w:sz w:val="16"/>
            <w:szCs w:val="16"/>
            <w:lang w:val="sr-Cyrl-RS"/>
          </w:rPr>
          <w:t>Водич за правилно управљање отпадом од хране, НАЛЕД</w:t>
        </w:r>
      </w:hyperlink>
      <w:r>
        <w:rPr>
          <w:rStyle w:val="Hyperlink"/>
          <w:rFonts w:ascii="Times New Roman" w:hAnsi="Times New Roman" w:cs="Times New Roman"/>
          <w:color w:val="171717" w:themeColor="background2" w:themeShade="1A"/>
          <w:sz w:val="16"/>
          <w:szCs w:val="16"/>
          <w:lang w:val="sr-Cyrl-RS"/>
        </w:rPr>
        <w:t>, 2020.</w:t>
      </w:r>
    </w:p>
  </w:footnote>
  <w:footnote w:id="48">
    <w:p w14:paraId="039E90FD" w14:textId="77777777" w:rsidR="00644F20" w:rsidRDefault="00644F20">
      <w:pPr>
        <w:pStyle w:val="FootnoteText"/>
        <w:rPr>
          <w:rFonts w:ascii="Palatino Linotype" w:hAnsi="Palatino Linotype"/>
          <w:sz w:val="18"/>
          <w:szCs w:val="18"/>
          <w:lang w:val="sr-Cyrl-RS"/>
        </w:rPr>
      </w:pPr>
      <w:r>
        <w:rPr>
          <w:rStyle w:val="FootnoteReference"/>
          <w:rFonts w:ascii="Times New Roman" w:hAnsi="Times New Roman" w:cs="Times New Roman"/>
          <w:sz w:val="18"/>
          <w:szCs w:val="18"/>
        </w:rPr>
        <w:footnoteRef/>
      </w:r>
      <w:r>
        <w:rPr>
          <w:rFonts w:ascii="Times New Roman" w:hAnsi="Times New Roman" w:cs="Times New Roman"/>
          <w:sz w:val="18"/>
          <w:szCs w:val="18"/>
          <w:lang w:val="sr-Cyrl-RS"/>
        </w:rPr>
        <w:t xml:space="preserve"> </w:t>
      </w:r>
      <w:r>
        <w:rPr>
          <w:rFonts w:ascii="Times New Roman" w:hAnsi="Times New Roman" w:cs="Times New Roman"/>
          <w:sz w:val="18"/>
          <w:szCs w:val="18"/>
        </w:rPr>
        <w:t>https</w:t>
      </w:r>
      <w:r>
        <w:rPr>
          <w:rFonts w:ascii="Times New Roman" w:hAnsi="Times New Roman" w:cs="Times New Roman"/>
          <w:sz w:val="18"/>
          <w:szCs w:val="18"/>
          <w:lang w:val="sr-Cyrl-RS"/>
        </w:rPr>
        <w:t>://</w:t>
      </w:r>
      <w:r>
        <w:rPr>
          <w:rFonts w:ascii="Times New Roman" w:hAnsi="Times New Roman" w:cs="Times New Roman"/>
          <w:sz w:val="18"/>
          <w:szCs w:val="18"/>
        </w:rPr>
        <w:t>sustainabledevelopment</w:t>
      </w:r>
      <w:r>
        <w:rPr>
          <w:rFonts w:ascii="Times New Roman" w:hAnsi="Times New Roman" w:cs="Times New Roman"/>
          <w:sz w:val="18"/>
          <w:szCs w:val="18"/>
          <w:lang w:val="sr-Cyrl-RS"/>
        </w:rPr>
        <w:t>.</w:t>
      </w:r>
      <w:r>
        <w:rPr>
          <w:rFonts w:ascii="Times New Roman" w:hAnsi="Times New Roman" w:cs="Times New Roman"/>
          <w:sz w:val="18"/>
          <w:szCs w:val="18"/>
        </w:rPr>
        <w:t>un</w:t>
      </w:r>
      <w:r>
        <w:rPr>
          <w:rFonts w:ascii="Times New Roman" w:hAnsi="Times New Roman" w:cs="Times New Roman"/>
          <w:sz w:val="18"/>
          <w:szCs w:val="18"/>
          <w:lang w:val="sr-Cyrl-RS"/>
        </w:rPr>
        <w:t>.</w:t>
      </w:r>
      <w:r>
        <w:rPr>
          <w:rFonts w:ascii="Times New Roman" w:hAnsi="Times New Roman" w:cs="Times New Roman"/>
          <w:sz w:val="18"/>
          <w:szCs w:val="18"/>
        </w:rPr>
        <w:t>org</w:t>
      </w:r>
      <w:r>
        <w:rPr>
          <w:rFonts w:ascii="Times New Roman" w:hAnsi="Times New Roman" w:cs="Times New Roman"/>
          <w:sz w:val="18"/>
          <w:szCs w:val="18"/>
          <w:lang w:val="sr-Cyrl-RS"/>
        </w:rPr>
        <w:t>/?</w:t>
      </w:r>
      <w:r>
        <w:rPr>
          <w:rFonts w:ascii="Times New Roman" w:hAnsi="Times New Roman" w:cs="Times New Roman"/>
          <w:sz w:val="18"/>
          <w:szCs w:val="18"/>
        </w:rPr>
        <w:t>menu</w:t>
      </w:r>
      <w:r>
        <w:rPr>
          <w:rFonts w:ascii="Times New Roman" w:hAnsi="Times New Roman" w:cs="Times New Roman"/>
          <w:sz w:val="18"/>
          <w:szCs w:val="18"/>
          <w:lang w:val="sr-Cyrl-RS"/>
        </w:rPr>
        <w:t xml:space="preserve">=1300 </w:t>
      </w:r>
    </w:p>
  </w:footnote>
  <w:footnote w:id="49">
    <w:p w14:paraId="752CFCF8" w14:textId="77777777" w:rsidR="00644F20" w:rsidRDefault="00644F20">
      <w:pPr>
        <w:pStyle w:val="FootnoteText"/>
        <w:rPr>
          <w:rFonts w:ascii="Times New Roman" w:hAnsi="Times New Roman" w:cs="Times New Roman"/>
          <w:sz w:val="18"/>
          <w:szCs w:val="18"/>
          <w:lang w:val="sr-Cyrl-RS"/>
        </w:rPr>
      </w:pPr>
      <w:r>
        <w:rPr>
          <w:rStyle w:val="FootnoteReference"/>
          <w:rFonts w:ascii="Times New Roman" w:hAnsi="Times New Roman" w:cs="Times New Roman"/>
          <w:sz w:val="18"/>
          <w:szCs w:val="18"/>
        </w:rPr>
        <w:footnoteRef/>
      </w:r>
      <w:r>
        <w:rPr>
          <w:rFonts w:ascii="Times New Roman" w:hAnsi="Times New Roman" w:cs="Times New Roman"/>
          <w:sz w:val="18"/>
          <w:szCs w:val="18"/>
          <w:lang w:val="sr-Cyrl-RS"/>
        </w:rPr>
        <w:t xml:space="preserve"> </w:t>
      </w:r>
      <w:hyperlink r:id="rId14" w:history="1">
        <w:r>
          <w:rPr>
            <w:rStyle w:val="Hyperlink"/>
            <w:rFonts w:ascii="Times New Roman" w:hAnsi="Times New Roman" w:cs="Times New Roman"/>
            <w:sz w:val="18"/>
            <w:szCs w:val="18"/>
          </w:rPr>
          <w:t>https</w:t>
        </w:r>
        <w:r>
          <w:rPr>
            <w:rStyle w:val="Hyperlink"/>
            <w:rFonts w:ascii="Times New Roman" w:hAnsi="Times New Roman" w:cs="Times New Roman"/>
            <w:sz w:val="18"/>
            <w:szCs w:val="18"/>
            <w:lang w:val="sr-Cyrl-RS"/>
          </w:rPr>
          <w:t>://</w:t>
        </w:r>
        <w:r>
          <w:rPr>
            <w:rStyle w:val="Hyperlink"/>
            <w:rFonts w:ascii="Times New Roman" w:hAnsi="Times New Roman" w:cs="Times New Roman"/>
            <w:sz w:val="18"/>
            <w:szCs w:val="18"/>
          </w:rPr>
          <w:t>jnportal</w:t>
        </w:r>
        <w:r>
          <w:rPr>
            <w:rStyle w:val="Hyperlink"/>
            <w:rFonts w:ascii="Times New Roman" w:hAnsi="Times New Roman" w:cs="Times New Roman"/>
            <w:sz w:val="18"/>
            <w:szCs w:val="18"/>
            <w:lang w:val="sr-Cyrl-RS"/>
          </w:rPr>
          <w:t>.</w:t>
        </w:r>
        <w:r>
          <w:rPr>
            <w:rStyle w:val="Hyperlink"/>
            <w:rFonts w:ascii="Times New Roman" w:hAnsi="Times New Roman" w:cs="Times New Roman"/>
            <w:sz w:val="18"/>
            <w:szCs w:val="18"/>
          </w:rPr>
          <w:t>ujn</w:t>
        </w:r>
        <w:r>
          <w:rPr>
            <w:rStyle w:val="Hyperlink"/>
            <w:rFonts w:ascii="Times New Roman" w:hAnsi="Times New Roman" w:cs="Times New Roman"/>
            <w:sz w:val="18"/>
            <w:szCs w:val="18"/>
            <w:lang w:val="sr-Cyrl-RS"/>
          </w:rPr>
          <w:t>.</w:t>
        </w:r>
        <w:r>
          <w:rPr>
            <w:rStyle w:val="Hyperlink"/>
            <w:rFonts w:ascii="Times New Roman" w:hAnsi="Times New Roman" w:cs="Times New Roman"/>
            <w:sz w:val="18"/>
            <w:szCs w:val="18"/>
          </w:rPr>
          <w:t>gov</w:t>
        </w:r>
        <w:r>
          <w:rPr>
            <w:rStyle w:val="Hyperlink"/>
            <w:rFonts w:ascii="Times New Roman" w:hAnsi="Times New Roman" w:cs="Times New Roman"/>
            <w:sz w:val="18"/>
            <w:szCs w:val="18"/>
            <w:lang w:val="sr-Cyrl-RS"/>
          </w:rPr>
          <w:t>.</w:t>
        </w:r>
        <w:r>
          <w:rPr>
            <w:rStyle w:val="Hyperlink"/>
            <w:rFonts w:ascii="Times New Roman" w:hAnsi="Times New Roman" w:cs="Times New Roman"/>
            <w:sz w:val="18"/>
            <w:szCs w:val="18"/>
          </w:rPr>
          <w:t>rs</w:t>
        </w:r>
        <w:r>
          <w:rPr>
            <w:rStyle w:val="Hyperlink"/>
            <w:rFonts w:ascii="Times New Roman" w:hAnsi="Times New Roman" w:cs="Times New Roman"/>
            <w:sz w:val="18"/>
            <w:szCs w:val="18"/>
            <w:lang w:val="sr-Cyrl-RS"/>
          </w:rPr>
          <w:t>/</w:t>
        </w:r>
        <w:r>
          <w:rPr>
            <w:rStyle w:val="Hyperlink"/>
            <w:rFonts w:ascii="Times New Roman" w:hAnsi="Times New Roman" w:cs="Times New Roman"/>
            <w:sz w:val="18"/>
            <w:szCs w:val="18"/>
          </w:rPr>
          <w:t>annual</w:t>
        </w:r>
        <w:r>
          <w:rPr>
            <w:rStyle w:val="Hyperlink"/>
            <w:rFonts w:ascii="Times New Roman" w:hAnsi="Times New Roman" w:cs="Times New Roman"/>
            <w:sz w:val="18"/>
            <w:szCs w:val="18"/>
            <w:lang w:val="sr-Cyrl-RS"/>
          </w:rPr>
          <w:t>-</w:t>
        </w:r>
        <w:r>
          <w:rPr>
            <w:rStyle w:val="Hyperlink"/>
            <w:rFonts w:ascii="Times New Roman" w:hAnsi="Times New Roman" w:cs="Times New Roman"/>
            <w:sz w:val="18"/>
            <w:szCs w:val="18"/>
          </w:rPr>
          <w:t>reports</w:t>
        </w:r>
        <w:r>
          <w:rPr>
            <w:rStyle w:val="Hyperlink"/>
            <w:rFonts w:ascii="Times New Roman" w:hAnsi="Times New Roman" w:cs="Times New Roman"/>
            <w:sz w:val="18"/>
            <w:szCs w:val="18"/>
            <w:lang w:val="sr-Cyrl-RS"/>
          </w:rPr>
          <w:t>-</w:t>
        </w:r>
        <w:r>
          <w:rPr>
            <w:rStyle w:val="Hyperlink"/>
            <w:rFonts w:ascii="Times New Roman" w:hAnsi="Times New Roman" w:cs="Times New Roman"/>
            <w:sz w:val="18"/>
            <w:szCs w:val="18"/>
          </w:rPr>
          <w:t>ppo</w:t>
        </w:r>
        <w:r>
          <w:rPr>
            <w:rStyle w:val="Hyperlink"/>
            <w:rFonts w:ascii="Times New Roman" w:hAnsi="Times New Roman" w:cs="Times New Roman"/>
            <w:sz w:val="18"/>
            <w:szCs w:val="18"/>
            <w:lang w:val="sr-Cyrl-RS"/>
          </w:rPr>
          <w:t>-</w:t>
        </w:r>
        <w:r>
          <w:rPr>
            <w:rStyle w:val="Hyperlink"/>
            <w:rFonts w:ascii="Times New Roman" w:hAnsi="Times New Roman" w:cs="Times New Roman"/>
            <w:sz w:val="18"/>
            <w:szCs w:val="18"/>
          </w:rPr>
          <w:t>public</w:t>
        </w:r>
      </w:hyperlink>
      <w:r>
        <w:rPr>
          <w:rFonts w:ascii="Times New Roman" w:hAnsi="Times New Roman" w:cs="Times New Roman"/>
          <w:sz w:val="18"/>
          <w:szCs w:val="18"/>
          <w:lang w:val="sr-Cyrl-RS"/>
        </w:rPr>
        <w:t xml:space="preserve"> </w:t>
      </w:r>
    </w:p>
  </w:footnote>
  <w:footnote w:id="50">
    <w:p w14:paraId="59F1A5BC" w14:textId="77777777" w:rsidR="00644F20" w:rsidRDefault="00644F20">
      <w:pPr>
        <w:pStyle w:val="FootnoteText"/>
        <w:rPr>
          <w:rFonts w:ascii="Times New Roman" w:hAnsi="Times New Roman" w:cs="Times New Roman"/>
          <w:sz w:val="18"/>
          <w:szCs w:val="18"/>
          <w:lang w:val="sr-Cyrl-RS"/>
        </w:rPr>
      </w:pPr>
      <w:r>
        <w:rPr>
          <w:rStyle w:val="FootnoteReference"/>
          <w:rFonts w:ascii="Times New Roman" w:hAnsi="Times New Roman" w:cs="Times New Roman"/>
          <w:sz w:val="18"/>
          <w:szCs w:val="18"/>
        </w:rPr>
        <w:footnoteRef/>
      </w:r>
      <w:r>
        <w:rPr>
          <w:rFonts w:ascii="Times New Roman" w:hAnsi="Times New Roman" w:cs="Times New Roman"/>
          <w:sz w:val="18"/>
          <w:szCs w:val="18"/>
          <w:lang w:val="sr-Cyrl-RS"/>
        </w:rPr>
        <w:t xml:space="preserve"> </w:t>
      </w:r>
      <w:r>
        <w:rPr>
          <w:rFonts w:ascii="Times New Roman" w:hAnsi="Times New Roman" w:cs="Times New Roman"/>
          <w:sz w:val="18"/>
          <w:szCs w:val="18"/>
        </w:rPr>
        <w:t>http</w:t>
      </w:r>
      <w:r>
        <w:rPr>
          <w:rFonts w:ascii="Times New Roman" w:hAnsi="Times New Roman" w:cs="Times New Roman"/>
          <w:sz w:val="18"/>
          <w:szCs w:val="18"/>
          <w:lang w:val="sr-Cyrl-RS"/>
        </w:rPr>
        <w:t>://</w:t>
      </w:r>
      <w:r>
        <w:rPr>
          <w:rFonts w:ascii="Times New Roman" w:hAnsi="Times New Roman" w:cs="Times New Roman"/>
          <w:sz w:val="18"/>
          <w:szCs w:val="18"/>
        </w:rPr>
        <w:t>eupodrska</w:t>
      </w:r>
      <w:r>
        <w:rPr>
          <w:rFonts w:ascii="Times New Roman" w:hAnsi="Times New Roman" w:cs="Times New Roman"/>
          <w:sz w:val="18"/>
          <w:szCs w:val="18"/>
          <w:lang w:val="sr-Cyrl-RS"/>
        </w:rPr>
        <w:t>.</w:t>
      </w:r>
      <w:r>
        <w:rPr>
          <w:rFonts w:ascii="Times New Roman" w:hAnsi="Times New Roman" w:cs="Times New Roman"/>
          <w:sz w:val="18"/>
          <w:szCs w:val="18"/>
        </w:rPr>
        <w:t>ujn</w:t>
      </w:r>
      <w:r>
        <w:rPr>
          <w:rFonts w:ascii="Times New Roman" w:hAnsi="Times New Roman" w:cs="Times New Roman"/>
          <w:sz w:val="18"/>
          <w:szCs w:val="18"/>
          <w:lang w:val="sr-Cyrl-RS"/>
        </w:rPr>
        <w:t>.</w:t>
      </w:r>
      <w:r>
        <w:rPr>
          <w:rFonts w:ascii="Times New Roman" w:hAnsi="Times New Roman" w:cs="Times New Roman"/>
          <w:sz w:val="18"/>
          <w:szCs w:val="18"/>
        </w:rPr>
        <w:t>gov</w:t>
      </w:r>
      <w:r>
        <w:rPr>
          <w:rFonts w:ascii="Times New Roman" w:hAnsi="Times New Roman" w:cs="Times New Roman"/>
          <w:sz w:val="18"/>
          <w:szCs w:val="18"/>
          <w:lang w:val="sr-Cyrl-RS"/>
        </w:rPr>
        <w:t>.</w:t>
      </w:r>
      <w:r>
        <w:rPr>
          <w:rFonts w:ascii="Times New Roman" w:hAnsi="Times New Roman" w:cs="Times New Roman"/>
          <w:sz w:val="18"/>
          <w:szCs w:val="18"/>
        </w:rPr>
        <w:t>rs</w:t>
      </w:r>
      <w:r>
        <w:rPr>
          <w:rFonts w:ascii="Times New Roman" w:hAnsi="Times New Roman" w:cs="Times New Roman"/>
          <w:sz w:val="18"/>
          <w:szCs w:val="18"/>
          <w:lang w:val="sr-Cyrl-RS"/>
        </w:rPr>
        <w:t>/</w:t>
      </w:r>
      <w:r>
        <w:rPr>
          <w:rFonts w:ascii="Times New Roman" w:hAnsi="Times New Roman" w:cs="Times New Roman"/>
          <w:sz w:val="18"/>
          <w:szCs w:val="18"/>
        </w:rPr>
        <w:t>dokumenta</w:t>
      </w:r>
      <w:r>
        <w:rPr>
          <w:rFonts w:ascii="Times New Roman" w:hAnsi="Times New Roman" w:cs="Times New Roman"/>
          <w:sz w:val="18"/>
          <w:szCs w:val="18"/>
          <w:lang w:val="sr-Cyrl-RS"/>
        </w:rPr>
        <w:t>/</w:t>
      </w:r>
    </w:p>
  </w:footnote>
  <w:footnote w:id="51">
    <w:p w14:paraId="26701004" w14:textId="77777777" w:rsidR="00644F20" w:rsidRDefault="00644F20">
      <w:pPr>
        <w:pStyle w:val="FootnoteText"/>
        <w:rPr>
          <w:rFonts w:ascii="Times New Roman" w:hAnsi="Times New Roman" w:cs="Times New Roman"/>
          <w:sz w:val="18"/>
          <w:szCs w:val="18"/>
          <w:lang w:val="ru-RU"/>
        </w:rPr>
      </w:pPr>
      <w:r>
        <w:rPr>
          <w:rStyle w:val="FootnoteReference"/>
          <w:rFonts w:ascii="Times New Roman" w:hAnsi="Times New Roman" w:cs="Times New Roman"/>
          <w:sz w:val="18"/>
          <w:szCs w:val="18"/>
        </w:rPr>
        <w:footnoteRef/>
      </w:r>
      <w:r>
        <w:rPr>
          <w:rFonts w:ascii="Times New Roman" w:hAnsi="Times New Roman" w:cs="Times New Roman"/>
          <w:sz w:val="18"/>
          <w:szCs w:val="18"/>
          <w:lang w:val="ru-RU"/>
        </w:rPr>
        <w:t xml:space="preserve"> </w:t>
      </w:r>
      <w:hyperlink r:id="rId15" w:history="1">
        <w:r>
          <w:rPr>
            <w:rStyle w:val="Hyperlink"/>
            <w:rFonts w:ascii="Times New Roman" w:hAnsi="Times New Roman" w:cs="Times New Roman"/>
            <w:sz w:val="18"/>
            <w:szCs w:val="18"/>
          </w:rPr>
          <w:t>https</w:t>
        </w:r>
        <w:r>
          <w:rPr>
            <w:rStyle w:val="Hyperlink"/>
            <w:rFonts w:ascii="Times New Roman" w:hAnsi="Times New Roman" w:cs="Times New Roman"/>
            <w:sz w:val="18"/>
            <w:szCs w:val="18"/>
            <w:lang w:val="ru-RU"/>
          </w:rPr>
          <w:t>://</w:t>
        </w:r>
        <w:r>
          <w:rPr>
            <w:rStyle w:val="Hyperlink"/>
            <w:rFonts w:ascii="Times New Roman" w:hAnsi="Times New Roman" w:cs="Times New Roman"/>
            <w:sz w:val="18"/>
            <w:szCs w:val="18"/>
          </w:rPr>
          <w:t>zelenenabavke</w:t>
        </w:r>
        <w:r>
          <w:rPr>
            <w:rStyle w:val="Hyperlink"/>
            <w:rFonts w:ascii="Times New Roman" w:hAnsi="Times New Roman" w:cs="Times New Roman"/>
            <w:sz w:val="18"/>
            <w:szCs w:val="18"/>
            <w:lang w:val="ru-RU"/>
          </w:rPr>
          <w:t>.</w:t>
        </w:r>
        <w:r>
          <w:rPr>
            <w:rStyle w:val="Hyperlink"/>
            <w:rFonts w:ascii="Times New Roman" w:hAnsi="Times New Roman" w:cs="Times New Roman"/>
            <w:sz w:val="18"/>
            <w:szCs w:val="18"/>
          </w:rPr>
          <w:t>alhem</w:t>
        </w:r>
        <w:r>
          <w:rPr>
            <w:rStyle w:val="Hyperlink"/>
            <w:rFonts w:ascii="Times New Roman" w:hAnsi="Times New Roman" w:cs="Times New Roman"/>
            <w:sz w:val="18"/>
            <w:szCs w:val="18"/>
            <w:lang w:val="ru-RU"/>
          </w:rPr>
          <w:t>.</w:t>
        </w:r>
        <w:r>
          <w:rPr>
            <w:rStyle w:val="Hyperlink"/>
            <w:rFonts w:ascii="Times New Roman" w:hAnsi="Times New Roman" w:cs="Times New Roman"/>
            <w:sz w:val="18"/>
            <w:szCs w:val="18"/>
          </w:rPr>
          <w:t>rs</w:t>
        </w:r>
      </w:hyperlink>
    </w:p>
  </w:footnote>
  <w:footnote w:id="52">
    <w:p w14:paraId="34232074" w14:textId="77777777" w:rsidR="00644F20" w:rsidRDefault="00644F20">
      <w:pPr>
        <w:pStyle w:val="FootnoteText"/>
        <w:rPr>
          <w:lang w:val="sr-Cyrl-RS"/>
        </w:rPr>
      </w:pPr>
      <w:r>
        <w:rPr>
          <w:rStyle w:val="FootnoteReference"/>
          <w:rFonts w:ascii="Times New Roman" w:hAnsi="Times New Roman" w:cs="Times New Roman"/>
          <w:sz w:val="18"/>
          <w:szCs w:val="18"/>
        </w:rPr>
        <w:footnoteRef/>
      </w:r>
      <w:r>
        <w:rPr>
          <w:rFonts w:ascii="Times New Roman" w:hAnsi="Times New Roman" w:cs="Times New Roman"/>
          <w:sz w:val="18"/>
          <w:szCs w:val="18"/>
          <w:lang w:val="ru-RU"/>
        </w:rPr>
        <w:t xml:space="preserve"> </w:t>
      </w:r>
      <w:hyperlink r:id="rId16" w:history="1">
        <w:r>
          <w:rPr>
            <w:rStyle w:val="Hyperlink"/>
            <w:rFonts w:ascii="Times New Roman" w:hAnsi="Times New Roman" w:cs="Times New Roman"/>
            <w:sz w:val="18"/>
            <w:szCs w:val="18"/>
            <w:lang w:val="sr-Cyrl-RS"/>
          </w:rPr>
          <w:t>Годишњи извештај КЈН за 2020. годину</w:t>
        </w:r>
      </w:hyperlink>
    </w:p>
  </w:footnote>
  <w:footnote w:id="53">
    <w:p w14:paraId="42A0C20E" w14:textId="77777777" w:rsidR="00644F20" w:rsidRDefault="00644F20">
      <w:pPr>
        <w:pStyle w:val="FootnoteText"/>
        <w:rPr>
          <w:rFonts w:ascii="Times New Roman" w:hAnsi="Times New Roman" w:cs="Times New Roman"/>
          <w:sz w:val="18"/>
          <w:szCs w:val="18"/>
          <w:lang w:val="ru-RU"/>
        </w:rPr>
      </w:pPr>
      <w:r>
        <w:rPr>
          <w:rStyle w:val="FootnoteReference"/>
          <w:rFonts w:ascii="Times New Roman" w:hAnsi="Times New Roman" w:cs="Times New Roman"/>
          <w:sz w:val="18"/>
          <w:szCs w:val="18"/>
        </w:rPr>
        <w:footnoteRef/>
      </w:r>
      <w:r>
        <w:rPr>
          <w:rFonts w:ascii="Times New Roman" w:hAnsi="Times New Roman" w:cs="Times New Roman"/>
          <w:sz w:val="18"/>
          <w:szCs w:val="18"/>
          <w:lang w:val="ru-RU"/>
        </w:rPr>
        <w:t xml:space="preserve"> </w:t>
      </w:r>
      <w:hyperlink r:id="rId17" w:history="1">
        <w:r>
          <w:rPr>
            <w:rStyle w:val="Hyperlink"/>
            <w:rFonts w:ascii="Times New Roman" w:hAnsi="Times New Roman" w:cs="Times New Roman"/>
            <w:sz w:val="18"/>
            <w:szCs w:val="18"/>
            <w:lang w:val="ru-RU"/>
          </w:rPr>
          <w:t>Подаци о истраживању броја сертификата у свету, тзв „</w:t>
        </w:r>
        <w:r>
          <w:rPr>
            <w:rStyle w:val="Hyperlink"/>
            <w:rFonts w:ascii="Times New Roman" w:hAnsi="Times New Roman" w:cs="Times New Roman"/>
            <w:sz w:val="18"/>
            <w:szCs w:val="18"/>
          </w:rPr>
          <w:t>ISO</w:t>
        </w:r>
        <w:r>
          <w:rPr>
            <w:rStyle w:val="Hyperlink"/>
            <w:rFonts w:ascii="Times New Roman" w:hAnsi="Times New Roman" w:cs="Times New Roman"/>
            <w:sz w:val="18"/>
            <w:szCs w:val="18"/>
            <w:lang w:val="ru-RU"/>
          </w:rPr>
          <w:t xml:space="preserve"> </w:t>
        </w:r>
        <w:r>
          <w:rPr>
            <w:rStyle w:val="Hyperlink"/>
            <w:rFonts w:ascii="Times New Roman" w:hAnsi="Times New Roman" w:cs="Times New Roman"/>
            <w:sz w:val="18"/>
            <w:szCs w:val="18"/>
          </w:rPr>
          <w:t>survey</w:t>
        </w:r>
        <w:r>
          <w:rPr>
            <w:rStyle w:val="Hyperlink"/>
            <w:rFonts w:ascii="Times New Roman" w:hAnsi="Times New Roman" w:cs="Times New Roman"/>
            <w:sz w:val="18"/>
            <w:szCs w:val="18"/>
            <w:lang w:val="ru-RU"/>
          </w:rPr>
          <w:t>“.</w:t>
        </w:r>
      </w:hyperlink>
      <w:r>
        <w:rPr>
          <w:rFonts w:ascii="Times New Roman" w:hAnsi="Times New Roman" w:cs="Times New Roman"/>
          <w:sz w:val="18"/>
          <w:szCs w:val="18"/>
          <w:lang w:val="ru-RU"/>
        </w:rPr>
        <w:t xml:space="preserve"> Ови подаци нису прецизни јер јединствени, званичан регистар сертификованих организација тренутно не постоји. </w:t>
      </w:r>
    </w:p>
  </w:footnote>
  <w:footnote w:id="54">
    <w:p w14:paraId="2C416A9B" w14:textId="77777777" w:rsidR="00644F20" w:rsidRDefault="00644F20">
      <w:pPr>
        <w:pStyle w:val="FootnoteText"/>
        <w:spacing w:line="276" w:lineRule="auto"/>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hyperlink r:id="rId18" w:history="1">
        <w:r>
          <w:rPr>
            <w:rStyle w:val="Hyperlink"/>
            <w:rFonts w:ascii="Times New Roman" w:hAnsi="Times New Roman" w:cs="Times New Roman"/>
            <w:sz w:val="16"/>
            <w:szCs w:val="16"/>
            <w:lang w:val="sr-Cyrl-RS"/>
          </w:rPr>
          <w:t>ЕМА</w:t>
        </w:r>
        <w:r>
          <w:rPr>
            <w:rStyle w:val="Hyperlink"/>
            <w:rFonts w:ascii="Times New Roman" w:hAnsi="Times New Roman" w:cs="Times New Roman"/>
            <w:sz w:val="16"/>
            <w:szCs w:val="16"/>
            <w:lang w:val="sr-Latn-RS"/>
          </w:rPr>
          <w:t>S</w:t>
        </w:r>
      </w:hyperlink>
    </w:p>
  </w:footnote>
  <w:footnote w:id="55">
    <w:p w14:paraId="64A375C7" w14:textId="77777777" w:rsidR="00644F20" w:rsidRDefault="00644F20">
      <w:pPr>
        <w:pStyle w:val="FootnoteText"/>
        <w:spacing w:line="276" w:lineRule="auto"/>
        <w:rPr>
          <w:rFonts w:ascii="Times New Roman" w:hAnsi="Times New Roman" w:cs="Times New Roman"/>
          <w:sz w:val="16"/>
          <w:szCs w:val="16"/>
          <w:lang w:val="sr-Latn-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19" w:history="1">
        <w:r>
          <w:rPr>
            <w:rStyle w:val="Hyperlink"/>
            <w:rFonts w:ascii="Times New Roman" w:hAnsi="Times New Roman" w:cs="Times New Roman"/>
            <w:sz w:val="16"/>
            <w:szCs w:val="16"/>
            <w:lang w:val="sr-Cyrl-RS"/>
          </w:rPr>
          <w:t>Е</w:t>
        </w:r>
        <w:r>
          <w:rPr>
            <w:rStyle w:val="Hyperlink"/>
            <w:rFonts w:ascii="Times New Roman" w:hAnsi="Times New Roman" w:cs="Times New Roman"/>
            <w:sz w:val="16"/>
            <w:szCs w:val="16"/>
            <w:lang w:val="sr-Latn-RS"/>
          </w:rPr>
          <w:t>colabel</w:t>
        </w:r>
      </w:hyperlink>
    </w:p>
  </w:footnote>
  <w:footnote w:id="56">
    <w:p w14:paraId="6DEA3958" w14:textId="77777777" w:rsidR="00644F20" w:rsidRDefault="00644F20">
      <w:pPr>
        <w:shd w:val="clear" w:color="auto" w:fill="FFFFFF"/>
        <w:spacing w:after="0" w:line="276" w:lineRule="auto"/>
        <w:rPr>
          <w:rFonts w:ascii="Times New Roman" w:hAnsi="Times New Roman" w:cs="Times New Roman"/>
          <w:sz w:val="16"/>
          <w:szCs w:val="16"/>
          <w:lang w:val="ru-RU" w:eastAsia="en-GB"/>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r>
        <w:rPr>
          <w:rFonts w:ascii="Times New Roman" w:hAnsi="Times New Roman" w:cs="Times New Roman"/>
          <w:sz w:val="16"/>
          <w:szCs w:val="16"/>
        </w:rPr>
        <w:t>ISO</w:t>
      </w:r>
      <w:r>
        <w:rPr>
          <w:rFonts w:ascii="Times New Roman" w:hAnsi="Times New Roman" w:cs="Times New Roman"/>
          <w:sz w:val="16"/>
          <w:szCs w:val="16"/>
          <w:lang w:val="ru-RU"/>
        </w:rPr>
        <w:t xml:space="preserve"> 14024 Ознаке и декларације у вези са животном средином – Означавање типа </w:t>
      </w:r>
      <w:r>
        <w:rPr>
          <w:rFonts w:ascii="Times New Roman" w:hAnsi="Times New Roman" w:cs="Times New Roman"/>
          <w:sz w:val="16"/>
          <w:szCs w:val="16"/>
        </w:rPr>
        <w:t>I</w:t>
      </w:r>
      <w:r>
        <w:rPr>
          <w:rFonts w:ascii="Times New Roman" w:hAnsi="Times New Roman" w:cs="Times New Roman"/>
          <w:sz w:val="16"/>
          <w:szCs w:val="16"/>
          <w:lang w:val="ru-RU"/>
        </w:rPr>
        <w:t xml:space="preserve"> у вези са животном средином – Принципи и процедуре.</w:t>
      </w:r>
    </w:p>
  </w:footnote>
  <w:footnote w:id="57">
    <w:p w14:paraId="4DA6CDF1" w14:textId="77777777" w:rsidR="00644F20" w:rsidRDefault="00644F20">
      <w:pPr>
        <w:pStyle w:val="FootnoteText"/>
        <w:spacing w:line="276" w:lineRule="auto"/>
        <w:rPr>
          <w:rFonts w:ascii="Times New Roman" w:hAnsi="Times New Roman" w:cs="Times New Roman"/>
          <w:sz w:val="18"/>
          <w:szCs w:val="18"/>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r>
        <w:rPr>
          <w:rFonts w:ascii="Times New Roman" w:hAnsi="Times New Roman" w:cs="Times New Roman"/>
          <w:sz w:val="16"/>
          <w:szCs w:val="16"/>
          <w:lang w:eastAsia="en-GB"/>
        </w:rPr>
        <w:t>ISO</w:t>
      </w:r>
      <w:r>
        <w:rPr>
          <w:rFonts w:ascii="Times New Roman" w:hAnsi="Times New Roman" w:cs="Times New Roman"/>
          <w:sz w:val="16"/>
          <w:szCs w:val="16"/>
          <w:lang w:val="ru-RU" w:eastAsia="en-GB"/>
        </w:rPr>
        <w:t xml:space="preserve"> 14050 Менаџмент животном средином </w:t>
      </w:r>
      <w:r w:rsidRPr="00217165">
        <w:rPr>
          <w:rFonts w:ascii="Times New Roman" w:hAnsi="Times New Roman" w:cs="Times New Roman"/>
          <w:sz w:val="16"/>
          <w:szCs w:val="16"/>
          <w:lang w:val="ru-RU" w:eastAsia="en-GB"/>
        </w:rPr>
        <w:t>–</w:t>
      </w:r>
      <w:r>
        <w:rPr>
          <w:rFonts w:ascii="Times New Roman" w:hAnsi="Times New Roman" w:cs="Times New Roman"/>
          <w:sz w:val="16"/>
          <w:szCs w:val="16"/>
          <w:lang w:val="ru-RU" w:eastAsia="en-GB"/>
        </w:rPr>
        <w:t xml:space="preserve"> Речник </w:t>
      </w:r>
      <w:r>
        <w:rPr>
          <w:rFonts w:ascii="Times New Roman" w:hAnsi="Times New Roman" w:cs="Times New Roman"/>
          <w:sz w:val="16"/>
          <w:szCs w:val="16"/>
          <w:lang w:val="sr-Cyrl-RS" w:eastAsia="en-GB"/>
        </w:rPr>
        <w:t>(у овом стандарду су дати одговарајући термини из области из области животне средине, укључујући и термин: „Програм означавања у вези са животном средином типа I”)</w:t>
      </w:r>
    </w:p>
  </w:footnote>
  <w:footnote w:id="58">
    <w:p w14:paraId="133782D3" w14:textId="77777777" w:rsidR="00644F20" w:rsidRDefault="00644F20">
      <w:pPr>
        <w:pStyle w:val="FootnoteText"/>
        <w:spacing w:line="276" w:lineRule="auto"/>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Уредба ЕЗ бр. 66/2010 Евроспког парламента и Савета од 30.01.2010.  </w:t>
      </w:r>
      <w:r>
        <w:rPr>
          <w:rStyle w:val="Hyperlink"/>
          <w:rFonts w:ascii="Times New Roman" w:hAnsi="Times New Roman" w:cs="Times New Roman"/>
          <w:sz w:val="16"/>
          <w:szCs w:val="16"/>
          <w:lang w:val="ru-RU"/>
        </w:rPr>
        <w:t xml:space="preserve"> </w:t>
      </w:r>
    </w:p>
  </w:footnote>
  <w:footnote w:id="59">
    <w:p w14:paraId="53A29E2F" w14:textId="77777777" w:rsidR="00644F20" w:rsidRDefault="00644F20">
      <w:pPr>
        <w:pStyle w:val="FootnoteText"/>
        <w:spacing w:line="276" w:lineRule="auto"/>
        <w:rPr>
          <w:rFonts w:ascii="Times New Roman" w:hAnsi="Times New Roman" w:cs="Times New Roman"/>
          <w:sz w:val="16"/>
          <w:szCs w:val="16"/>
          <w:lang w:val="sr-Cyrl-RS"/>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hyperlink r:id="rId20" w:history="1">
        <w:r>
          <w:rPr>
            <w:rStyle w:val="Hyperlink"/>
            <w:rFonts w:ascii="Times New Roman" w:hAnsi="Times New Roman" w:cs="Times New Roman"/>
            <w:sz w:val="16"/>
            <w:szCs w:val="16"/>
            <w:lang w:val="ru-RU"/>
          </w:rPr>
          <w:t>Групе производа и критеријуми за ЕУ еко знак</w:t>
        </w:r>
      </w:hyperlink>
    </w:p>
  </w:footnote>
  <w:footnote w:id="60">
    <w:p w14:paraId="209B607F" w14:textId="77777777" w:rsidR="00644F20" w:rsidRDefault="00644F20">
      <w:pPr>
        <w:pStyle w:val="FootnoteText"/>
        <w:spacing w:line="276" w:lineRule="auto"/>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Report from the Commission to the European Parlament, the Council, The European Economic and Social Committee and the Committee of the Regions, on the implementation of the Circular Economy Action Plan, COM 2019, 90, European Commission, Brussels, 2019.</w:t>
      </w:r>
    </w:p>
  </w:footnote>
  <w:footnote w:id="61">
    <w:p w14:paraId="03D19F70" w14:textId="77777777" w:rsidR="00644F20" w:rsidRDefault="00644F20">
      <w:pPr>
        <w:pStyle w:val="FootnoteText"/>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European Commission, </w:t>
      </w:r>
      <w:hyperlink r:id="rId21" w:history="1">
        <w:r>
          <w:rPr>
            <w:rStyle w:val="Hyperlink"/>
            <w:rFonts w:ascii="Times New Roman" w:hAnsi="Times New Roman" w:cs="Times New Roman"/>
            <w:sz w:val="16"/>
            <w:szCs w:val="16"/>
          </w:rPr>
          <w:t>Proposal for a Regulation of the European Parliament and of the Council concerning batteries and waste batteries</w:t>
        </w:r>
      </w:hyperlink>
      <w:r>
        <w:rPr>
          <w:rFonts w:ascii="Times New Roman" w:hAnsi="Times New Roman" w:cs="Times New Roman"/>
          <w:sz w:val="16"/>
          <w:szCs w:val="16"/>
        </w:rPr>
        <w:t>, repealing Directive 2006/66/EC and amending Regulation (EU) No 2019/1020.</w:t>
      </w:r>
    </w:p>
  </w:footnote>
  <w:footnote w:id="62">
    <w:p w14:paraId="1BDE411D" w14:textId="77777777" w:rsidR="00644F20" w:rsidRDefault="00644F20">
      <w:pPr>
        <w:pStyle w:val="FootnoteText"/>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European Commission, </w:t>
      </w:r>
      <w:hyperlink r:id="rId22" w:history="1">
        <w:r>
          <w:rPr>
            <w:rStyle w:val="Hyperlink"/>
            <w:rFonts w:ascii="Times New Roman" w:hAnsi="Times New Roman" w:cs="Times New Roman"/>
            <w:sz w:val="16"/>
            <w:szCs w:val="16"/>
          </w:rPr>
          <w:t>Proposal for a Regulation of the European Parliament and of the Council on European data governance</w:t>
        </w:r>
      </w:hyperlink>
      <w:r>
        <w:rPr>
          <w:rFonts w:ascii="Times New Roman" w:hAnsi="Times New Roman" w:cs="Times New Roman"/>
          <w:sz w:val="16"/>
          <w:szCs w:val="16"/>
        </w:rPr>
        <w:t xml:space="preserve"> (Data Governance Act).</w:t>
      </w:r>
    </w:p>
  </w:footnote>
  <w:footnote w:id="63">
    <w:p w14:paraId="3874BC91" w14:textId="77777777" w:rsidR="00644F20" w:rsidRDefault="00644F20">
      <w:pPr>
        <w:pStyle w:val="FootnoteText"/>
        <w:jc w:val="both"/>
        <w:rPr>
          <w:rFonts w:ascii="Times New Roman" w:hAnsi="Times New Roman" w:cs="Times New Roman"/>
          <w:sz w:val="16"/>
          <w:szCs w:val="16"/>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w:t>
      </w:r>
      <w:r>
        <w:rPr>
          <w:rFonts w:ascii="Times New Roman" w:hAnsi="Times New Roman" w:cs="Times New Roman"/>
          <w:sz w:val="16"/>
          <w:szCs w:val="16"/>
          <w:lang w:val="nl-BE"/>
        </w:rPr>
        <w:t>Европска</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комисија</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тек</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треба</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да</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преложи</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нацрт</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Уредбе</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о</w:t>
      </w:r>
      <w:r>
        <w:rPr>
          <w:rFonts w:ascii="Times New Roman" w:hAnsi="Times New Roman" w:cs="Times New Roman"/>
          <w:sz w:val="16"/>
          <w:szCs w:val="16"/>
          <w:lang w:val="ru-RU"/>
        </w:rPr>
        <w:t xml:space="preserve"> </w:t>
      </w:r>
      <w:r>
        <w:rPr>
          <w:rFonts w:ascii="Times New Roman" w:hAnsi="Times New Roman" w:cs="Times New Roman"/>
          <w:sz w:val="16"/>
          <w:szCs w:val="16"/>
          <w:lang w:val="nl-BE"/>
        </w:rPr>
        <w:t>подацима</w:t>
      </w:r>
      <w:r>
        <w:rPr>
          <w:rFonts w:ascii="Times New Roman" w:hAnsi="Times New Roman" w:cs="Times New Roman"/>
          <w:sz w:val="16"/>
          <w:szCs w:val="16"/>
          <w:lang w:val="ru-RU"/>
        </w:rPr>
        <w:t xml:space="preserve">. Тренутно је доступан само документ о процени утицаја могућег акта: </w:t>
      </w:r>
      <w:hyperlink r:id="rId23" w:history="1">
        <w:r>
          <w:rPr>
            <w:rStyle w:val="Hyperlink"/>
            <w:rFonts w:ascii="Times New Roman" w:hAnsi="Times New Roman" w:cs="Times New Roman"/>
            <w:sz w:val="16"/>
            <w:szCs w:val="16"/>
          </w:rPr>
          <w:t>https</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ec</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europa</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eu</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info</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law</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better</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regulation</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have</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your</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say</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initiatives</w:t>
        </w:r>
        <w:r>
          <w:rPr>
            <w:rStyle w:val="Hyperlink"/>
            <w:rFonts w:ascii="Times New Roman" w:hAnsi="Times New Roman" w:cs="Times New Roman"/>
            <w:sz w:val="16"/>
            <w:szCs w:val="16"/>
            <w:lang w:val="ru-RU"/>
          </w:rPr>
          <w:t>/13045-</w:t>
        </w:r>
        <w:r>
          <w:rPr>
            <w:rStyle w:val="Hyperlink"/>
            <w:rFonts w:ascii="Times New Roman" w:hAnsi="Times New Roman" w:cs="Times New Roman"/>
            <w:sz w:val="16"/>
            <w:szCs w:val="16"/>
          </w:rPr>
          <w:t>Data</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Act</w:t>
        </w:r>
        <w:r>
          <w:rPr>
            <w:rStyle w:val="Hyperlink"/>
            <w:rFonts w:ascii="Times New Roman" w:hAnsi="Times New Roman" w:cs="Times New Roman"/>
            <w:sz w:val="16"/>
            <w:szCs w:val="16"/>
            <w:lang w:val="ru-RU"/>
          </w:rPr>
          <w:t>-&amp;-</w:t>
        </w:r>
        <w:r>
          <w:rPr>
            <w:rStyle w:val="Hyperlink"/>
            <w:rFonts w:ascii="Times New Roman" w:hAnsi="Times New Roman" w:cs="Times New Roman"/>
            <w:sz w:val="16"/>
            <w:szCs w:val="16"/>
          </w:rPr>
          <w:t>amended</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rules</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on</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the</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legal</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protection</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of</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rPr>
          <w:t>databases</w:t>
        </w:r>
        <w:r>
          <w:rPr>
            <w:rStyle w:val="Hyperlink"/>
            <w:rFonts w:ascii="Times New Roman" w:hAnsi="Times New Roman" w:cs="Times New Roman"/>
            <w:sz w:val="16"/>
            <w:szCs w:val="16"/>
            <w:lang w:val="ru-RU"/>
          </w:rPr>
          <w:t>_</w:t>
        </w:r>
        <w:r>
          <w:rPr>
            <w:rStyle w:val="Hyperlink"/>
            <w:rFonts w:ascii="Times New Roman" w:hAnsi="Times New Roman" w:cs="Times New Roman"/>
            <w:sz w:val="16"/>
            <w:szCs w:val="16"/>
          </w:rPr>
          <w:t>en</w:t>
        </w:r>
      </w:hyperlink>
      <w:r>
        <w:rPr>
          <w:rFonts w:ascii="Times New Roman" w:hAnsi="Times New Roman" w:cs="Times New Roman"/>
          <w:sz w:val="16"/>
          <w:szCs w:val="16"/>
          <w:lang w:val="ru-RU"/>
        </w:rPr>
        <w:t xml:space="preserve">.      </w:t>
      </w:r>
    </w:p>
  </w:footnote>
  <w:footnote w:id="64">
    <w:p w14:paraId="7172E801" w14:textId="77777777" w:rsidR="00644F20" w:rsidRDefault="00644F20">
      <w:pPr>
        <w:pStyle w:val="FootnoteText"/>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То су пре свега:  </w:t>
      </w:r>
      <w:hyperlink r:id="rId24" w:history="1">
        <w:r>
          <w:rPr>
            <w:rStyle w:val="Hyperlink"/>
            <w:rFonts w:ascii="Times New Roman" w:hAnsi="Times New Roman" w:cs="Times New Roman"/>
            <w:sz w:val="16"/>
            <w:szCs w:val="16"/>
          </w:rPr>
          <w:t>Regulation (EU) 2018/1807</w:t>
        </w:r>
      </w:hyperlink>
      <w:r>
        <w:rPr>
          <w:rFonts w:ascii="Times New Roman" w:hAnsi="Times New Roman" w:cs="Times New Roman"/>
          <w:sz w:val="16"/>
          <w:szCs w:val="16"/>
        </w:rPr>
        <w:t xml:space="preserve"> of the European Parliiament and of the Council of 14 November 2018 on a framework for the free flow of non-personal data in the European Union; </w:t>
      </w:r>
      <w:hyperlink r:id="rId25" w:history="1">
        <w:r>
          <w:rPr>
            <w:rStyle w:val="Hyperlink"/>
            <w:rFonts w:ascii="Times New Roman" w:hAnsi="Times New Roman" w:cs="Times New Roman"/>
            <w:sz w:val="16"/>
            <w:szCs w:val="16"/>
          </w:rPr>
          <w:t>Directive (EU) 2019/1024</w:t>
        </w:r>
      </w:hyperlink>
      <w:r>
        <w:rPr>
          <w:rFonts w:ascii="Times New Roman" w:hAnsi="Times New Roman" w:cs="Times New Roman"/>
          <w:sz w:val="16"/>
          <w:szCs w:val="16"/>
        </w:rPr>
        <w:t xml:space="preserve"> of the European Parliament and of the Council of 20 June 2019 on open data and the re-use of public sector information.</w:t>
      </w:r>
    </w:p>
  </w:footnote>
  <w:footnote w:id="65">
    <w:p w14:paraId="603B6CB1" w14:textId="77777777" w:rsidR="00644F20" w:rsidRDefault="00644F20">
      <w:pPr>
        <w:pStyle w:val="FootnoteText"/>
        <w:rPr>
          <w:lang w:val="ru-RU"/>
        </w:rPr>
      </w:pPr>
      <w:r>
        <w:rPr>
          <w:rStyle w:val="FootnoteReference"/>
          <w:rFonts w:ascii="Times New Roman" w:hAnsi="Times New Roman" w:cs="Times New Roman"/>
          <w:sz w:val="16"/>
          <w:szCs w:val="16"/>
        </w:rPr>
        <w:footnoteRef/>
      </w:r>
      <w:r>
        <w:rPr>
          <w:rFonts w:ascii="Times New Roman" w:hAnsi="Times New Roman" w:cs="Times New Roman"/>
          <w:sz w:val="16"/>
          <w:szCs w:val="16"/>
          <w:lang w:val="ru-RU"/>
        </w:rPr>
        <w:t xml:space="preserve"> Сајт Европске комисије: </w:t>
      </w:r>
      <w:hyperlink r:id="rId26" w:history="1">
        <w:r>
          <w:rPr>
            <w:rStyle w:val="Hyperlink"/>
            <w:rFonts w:ascii="Times New Roman" w:hAnsi="Times New Roman" w:cs="Times New Roman"/>
            <w:sz w:val="16"/>
            <w:szCs w:val="16"/>
            <w:lang w:val="nl-BE"/>
          </w:rPr>
          <w:t>https</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ec</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europa</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eu</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info</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strategy</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eu</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budget</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long</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term</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eu</w:t>
        </w:r>
        <w:r>
          <w:rPr>
            <w:rStyle w:val="Hyperlink"/>
            <w:rFonts w:ascii="Times New Roman" w:hAnsi="Times New Roman" w:cs="Times New Roman"/>
            <w:sz w:val="16"/>
            <w:szCs w:val="16"/>
            <w:lang w:val="ru-RU"/>
          </w:rPr>
          <w:t>-</w:t>
        </w:r>
        <w:r>
          <w:rPr>
            <w:rStyle w:val="Hyperlink"/>
            <w:rFonts w:ascii="Times New Roman" w:hAnsi="Times New Roman" w:cs="Times New Roman"/>
            <w:sz w:val="16"/>
            <w:szCs w:val="16"/>
            <w:lang w:val="nl-BE"/>
          </w:rPr>
          <w:t>budget</w:t>
        </w:r>
        <w:r>
          <w:rPr>
            <w:rStyle w:val="Hyperlink"/>
            <w:rFonts w:ascii="Times New Roman" w:hAnsi="Times New Roman" w:cs="Times New Roman"/>
            <w:sz w:val="16"/>
            <w:szCs w:val="16"/>
            <w:lang w:val="ru-RU"/>
          </w:rPr>
          <w:t>/2021-2027_</w:t>
        </w:r>
        <w:r>
          <w:rPr>
            <w:rStyle w:val="Hyperlink"/>
            <w:rFonts w:ascii="Times New Roman" w:hAnsi="Times New Roman" w:cs="Times New Roman"/>
            <w:sz w:val="16"/>
            <w:szCs w:val="16"/>
            <w:lang w:val="nl-BE"/>
          </w:rPr>
          <w:t>en</w:t>
        </w:r>
      </w:hyperlink>
      <w:r>
        <w:rPr>
          <w:rFonts w:ascii="Times New Roman" w:hAnsi="Times New Roman" w:cs="Times New Roman"/>
          <w:sz w:val="16"/>
          <w:szCs w:val="16"/>
          <w:lang w:val="ru-RU"/>
        </w:rPr>
        <w:t>.</w:t>
      </w:r>
      <w:r>
        <w:rPr>
          <w:lang w:val="ru-RU"/>
        </w:rPr>
        <w:t xml:space="preserve"> </w:t>
      </w:r>
    </w:p>
  </w:footnote>
  <w:footnote w:id="66">
    <w:p w14:paraId="62C5A5BB" w14:textId="77777777" w:rsidR="00644F20" w:rsidRDefault="00644F20">
      <w:pPr>
        <w:pStyle w:val="FootnoteText"/>
        <w:jc w:val="both"/>
        <w:rPr>
          <w:sz w:val="18"/>
          <w:szCs w:val="18"/>
          <w:lang w:val="ru-RU"/>
        </w:rPr>
      </w:pPr>
      <w:r>
        <w:rPr>
          <w:rStyle w:val="FootnoteReference"/>
          <w:sz w:val="18"/>
          <w:szCs w:val="18"/>
        </w:rPr>
        <w:footnoteRef/>
      </w:r>
      <w:r>
        <w:rPr>
          <w:sz w:val="18"/>
          <w:szCs w:val="18"/>
          <w:lang w:val="ru-RU"/>
        </w:rPr>
        <w:t xml:space="preserve"> </w:t>
      </w:r>
      <w:r>
        <w:rPr>
          <w:rFonts w:ascii="Times New Roman" w:hAnsi="Times New Roman" w:cs="Times New Roman"/>
          <w:sz w:val="18"/>
          <w:szCs w:val="18"/>
          <w:lang w:val="ru-RU"/>
        </w:rPr>
        <w:t xml:space="preserve">Препоруке из документа </w:t>
      </w:r>
      <w:r w:rsidRPr="006B5B6B">
        <w:rPr>
          <w:rFonts w:ascii="Times New Roman" w:hAnsi="Times New Roman" w:cs="Times New Roman"/>
          <w:sz w:val="18"/>
          <w:szCs w:val="18"/>
          <w:lang w:val="ru-RU"/>
        </w:rPr>
        <w:t>„</w:t>
      </w:r>
      <w:r>
        <w:rPr>
          <w:rFonts w:ascii="Times New Roman" w:hAnsi="Times New Roman" w:cs="Times New Roman"/>
          <w:sz w:val="18"/>
          <w:szCs w:val="18"/>
          <w:lang w:val="ru-RU"/>
        </w:rPr>
        <w:t>Мап</w:t>
      </w:r>
      <w:r w:rsidRPr="006B5B6B">
        <w:rPr>
          <w:rFonts w:ascii="Times New Roman" w:hAnsi="Times New Roman" w:cs="Times New Roman"/>
          <w:sz w:val="18"/>
          <w:szCs w:val="18"/>
          <w:lang w:val="ru-RU"/>
        </w:rPr>
        <w:t>a</w:t>
      </w:r>
      <w:r>
        <w:rPr>
          <w:rFonts w:ascii="Times New Roman" w:hAnsi="Times New Roman" w:cs="Times New Roman"/>
          <w:sz w:val="18"/>
          <w:szCs w:val="18"/>
          <w:lang w:val="ru-RU"/>
        </w:rPr>
        <w:t xml:space="preserve"> пута за циркуларну економију</w:t>
      </w:r>
      <w:r w:rsidRPr="006B5B6B">
        <w:rPr>
          <w:rFonts w:ascii="Times New Roman" w:hAnsi="Times New Roman" w:cs="Times New Roman"/>
          <w:sz w:val="18"/>
          <w:szCs w:val="18"/>
          <w:lang w:val="ru-RU"/>
        </w:rPr>
        <w:t>”</w:t>
      </w:r>
      <w:r>
        <w:rPr>
          <w:rFonts w:ascii="Times New Roman" w:hAnsi="Times New Roman" w:cs="Times New Roman"/>
          <w:sz w:val="18"/>
          <w:szCs w:val="18"/>
          <w:lang w:val="ru-RU"/>
        </w:rPr>
        <w:t xml:space="preserve"> и приоритетне групе које су препознате у </w:t>
      </w:r>
      <w:r w:rsidRPr="006B5B6B">
        <w:rPr>
          <w:rFonts w:ascii="Times New Roman" w:hAnsi="Times New Roman" w:cs="Times New Roman"/>
          <w:sz w:val="18"/>
          <w:szCs w:val="18"/>
          <w:lang w:val="ru-RU"/>
        </w:rPr>
        <w:t>„</w:t>
      </w:r>
      <w:r>
        <w:rPr>
          <w:rFonts w:ascii="Times New Roman" w:hAnsi="Times New Roman" w:cs="Times New Roman"/>
          <w:sz w:val="18"/>
          <w:szCs w:val="18"/>
          <w:lang w:val="ru-RU"/>
        </w:rPr>
        <w:t>Зеленој агенди за Западни Балкан</w:t>
      </w:r>
      <w:r w:rsidRPr="006B5B6B">
        <w:rPr>
          <w:rFonts w:ascii="Times New Roman" w:hAnsi="Times New Roman" w:cs="Times New Roman"/>
          <w:sz w:val="18"/>
          <w:szCs w:val="18"/>
          <w:lang w:val="ru-RU"/>
        </w:rPr>
        <w:t>”</w:t>
      </w:r>
      <w:r>
        <w:rPr>
          <w:rFonts w:ascii="Times New Roman" w:hAnsi="Times New Roman" w:cs="Times New Roman"/>
          <w:sz w:val="18"/>
          <w:szCs w:val="18"/>
          <w:lang w:val="ru-RU"/>
        </w:rPr>
        <w:t xml:space="preserve"> и Акционом плану биће основ за идентификацију циљних група чије капацитете треба ојачати.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DC4"/>
    <w:multiLevelType w:val="multilevel"/>
    <w:tmpl w:val="D4F681EC"/>
    <w:lvl w:ilvl="0">
      <w:start w:val="1"/>
      <w:numFmt w:val="decimal"/>
      <w:lvlText w:val="%1)"/>
      <w:lvlJc w:val="left"/>
      <w:pPr>
        <w:ind w:left="720"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3F61175"/>
    <w:multiLevelType w:val="multilevel"/>
    <w:tmpl w:val="77B8703A"/>
    <w:lvl w:ilvl="0">
      <w:start w:val="1"/>
      <w:numFmt w:val="decimal"/>
      <w:lvlText w:val="%1)"/>
      <w:lvlJc w:val="left"/>
      <w:pPr>
        <w:ind w:left="720" w:hanging="360"/>
      </w:pPr>
      <w:rPr>
        <w:rFonts w:ascii="Times New Roman" w:eastAsiaTheme="minorHAnsi" w:hAnsi="Times New Roman" w:cstheme="minorBidi"/>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0F6906"/>
    <w:multiLevelType w:val="multilevel"/>
    <w:tmpl w:val="2E04A028"/>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955E8A"/>
    <w:multiLevelType w:val="multilevel"/>
    <w:tmpl w:val="3D2AD286"/>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A37B86"/>
    <w:multiLevelType w:val="multilevel"/>
    <w:tmpl w:val="3A067850"/>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5E8161A"/>
    <w:multiLevelType w:val="multilevel"/>
    <w:tmpl w:val="72CEA49A"/>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D17457"/>
    <w:multiLevelType w:val="multilevel"/>
    <w:tmpl w:val="1ED174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2A2840"/>
    <w:multiLevelType w:val="hybridMultilevel"/>
    <w:tmpl w:val="E3E098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30662"/>
    <w:multiLevelType w:val="multilevel"/>
    <w:tmpl w:val="23E306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57D56E1"/>
    <w:multiLevelType w:val="hybridMultilevel"/>
    <w:tmpl w:val="FAC617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872365"/>
    <w:multiLevelType w:val="multilevel"/>
    <w:tmpl w:val="A292280A"/>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C775A39"/>
    <w:multiLevelType w:val="multilevel"/>
    <w:tmpl w:val="3C775A39"/>
    <w:lvl w:ilvl="0">
      <w:start w:val="6"/>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CF26C7"/>
    <w:multiLevelType w:val="multilevel"/>
    <w:tmpl w:val="46CF26C7"/>
    <w:lvl w:ilvl="0">
      <w:start w:val="1"/>
      <w:numFmt w:val="bullet"/>
      <w:pStyle w:val="Bullet"/>
      <w:lvlText w:val=""/>
      <w:lvlJc w:val="left"/>
      <w:pPr>
        <w:ind w:left="720" w:hanging="360"/>
      </w:pPr>
      <w:rPr>
        <w:rFonts w:ascii="Symbol" w:hAnsi="Symbol" w:hint="default"/>
        <w:color w:val="538135" w:themeColor="accent6" w:themeShade="BF"/>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76D692C"/>
    <w:multiLevelType w:val="multilevel"/>
    <w:tmpl w:val="777087F0"/>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95515F9"/>
    <w:multiLevelType w:val="multilevel"/>
    <w:tmpl w:val="9F3E8968"/>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AC41137"/>
    <w:multiLevelType w:val="hybridMultilevel"/>
    <w:tmpl w:val="8E9447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B77126"/>
    <w:multiLevelType w:val="multilevel"/>
    <w:tmpl w:val="FDB00E8A"/>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64D1544"/>
    <w:multiLevelType w:val="multilevel"/>
    <w:tmpl w:val="1FE26B4E"/>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C8658B0"/>
    <w:multiLevelType w:val="multilevel"/>
    <w:tmpl w:val="211810C2"/>
    <w:lvl w:ilvl="0">
      <w:start w:val="1"/>
      <w:numFmt w:val="decimal"/>
      <w:lvlText w:val="%1)"/>
      <w:lvlJc w:val="left"/>
      <w:pPr>
        <w:ind w:left="720"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02F4000"/>
    <w:multiLevelType w:val="multilevel"/>
    <w:tmpl w:val="93F463BA"/>
    <w:lvl w:ilvl="0">
      <w:start w:val="1"/>
      <w:numFmt w:val="decimal"/>
      <w:lvlText w:val="%1)"/>
      <w:lvlJc w:val="left"/>
      <w:pPr>
        <w:ind w:left="1080" w:hanging="360"/>
      </w:pPr>
      <w:rPr>
        <w:rFonts w:ascii="Times New Roman" w:eastAsiaTheme="minorHAnsi" w:hAnsi="Times New Roman" w:cstheme="minorBidi"/>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0" w15:restartNumberingAfterBreak="0">
    <w:nsid w:val="6D6A5416"/>
    <w:multiLevelType w:val="multilevel"/>
    <w:tmpl w:val="B71C2A28"/>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4A76A3C"/>
    <w:multiLevelType w:val="multilevel"/>
    <w:tmpl w:val="4FFAA4C2"/>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9FB7805"/>
    <w:multiLevelType w:val="multilevel"/>
    <w:tmpl w:val="66A8C674"/>
    <w:lvl w:ilvl="0">
      <w:start w:val="1"/>
      <w:numFmt w:val="decimal"/>
      <w:lvlText w:val="%1)"/>
      <w:lvlJc w:val="left"/>
      <w:pPr>
        <w:ind w:left="720" w:hanging="360"/>
      </w:pPr>
      <w:rPr>
        <w:rFonts w:ascii="Times New Roman" w:eastAsiaTheme="minorHAnsi" w:hAnsi="Times New Roman" w:cstheme="minorBidi"/>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E723109"/>
    <w:multiLevelType w:val="multilevel"/>
    <w:tmpl w:val="98E4F46A"/>
    <w:lvl w:ilvl="0">
      <w:start w:val="1"/>
      <w:numFmt w:val="decimal"/>
      <w:lvlText w:val="%1)"/>
      <w:lvlJc w:val="left"/>
      <w:pPr>
        <w:ind w:left="720" w:hanging="360"/>
      </w:pPr>
      <w:rPr>
        <w:rFonts w:ascii="Times New Roman" w:eastAsiaTheme="minorHAns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90551452">
    <w:abstractNumId w:val="12"/>
  </w:num>
  <w:num w:numId="2" w16cid:durableId="424883332">
    <w:abstractNumId w:val="0"/>
  </w:num>
  <w:num w:numId="3" w16cid:durableId="838271751">
    <w:abstractNumId w:val="11"/>
  </w:num>
  <w:num w:numId="4" w16cid:durableId="1129132373">
    <w:abstractNumId w:val="18"/>
  </w:num>
  <w:num w:numId="5" w16cid:durableId="463692639">
    <w:abstractNumId w:val="5"/>
  </w:num>
  <w:num w:numId="6" w16cid:durableId="1592547113">
    <w:abstractNumId w:val="14"/>
  </w:num>
  <w:num w:numId="7" w16cid:durableId="2078358770">
    <w:abstractNumId w:val="2"/>
  </w:num>
  <w:num w:numId="8" w16cid:durableId="28336262">
    <w:abstractNumId w:val="23"/>
  </w:num>
  <w:num w:numId="9" w16cid:durableId="1063026394">
    <w:abstractNumId w:val="8"/>
  </w:num>
  <w:num w:numId="10" w16cid:durableId="1411469323">
    <w:abstractNumId w:val="3"/>
  </w:num>
  <w:num w:numId="11" w16cid:durableId="1676881168">
    <w:abstractNumId w:val="10"/>
  </w:num>
  <w:num w:numId="12" w16cid:durableId="375784726">
    <w:abstractNumId w:val="21"/>
  </w:num>
  <w:num w:numId="13" w16cid:durableId="481695994">
    <w:abstractNumId w:val="4"/>
  </w:num>
  <w:num w:numId="14" w16cid:durableId="358237921">
    <w:abstractNumId w:val="16"/>
  </w:num>
  <w:num w:numId="15" w16cid:durableId="272984836">
    <w:abstractNumId w:val="20"/>
  </w:num>
  <w:num w:numId="16" w16cid:durableId="820462321">
    <w:abstractNumId w:val="17"/>
  </w:num>
  <w:num w:numId="17" w16cid:durableId="1682121286">
    <w:abstractNumId w:val="6"/>
  </w:num>
  <w:num w:numId="18" w16cid:durableId="1613513735">
    <w:abstractNumId w:val="1"/>
  </w:num>
  <w:num w:numId="19" w16cid:durableId="466701907">
    <w:abstractNumId w:val="19"/>
  </w:num>
  <w:num w:numId="20" w16cid:durableId="1559199132">
    <w:abstractNumId w:val="22"/>
  </w:num>
  <w:num w:numId="21" w16cid:durableId="1979065062">
    <w:abstractNumId w:val="13"/>
  </w:num>
  <w:num w:numId="22" w16cid:durableId="319310974">
    <w:abstractNumId w:val="7"/>
  </w:num>
  <w:num w:numId="23" w16cid:durableId="783577613">
    <w:abstractNumId w:val="15"/>
  </w:num>
  <w:num w:numId="24" w16cid:durableId="6237365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C93"/>
    <w:rsid w:val="0000022A"/>
    <w:rsid w:val="00006B1A"/>
    <w:rsid w:val="00013D47"/>
    <w:rsid w:val="000202E0"/>
    <w:rsid w:val="00024FD1"/>
    <w:rsid w:val="000351B9"/>
    <w:rsid w:val="00045736"/>
    <w:rsid w:val="000459D5"/>
    <w:rsid w:val="00055EE2"/>
    <w:rsid w:val="00080A8C"/>
    <w:rsid w:val="000855C6"/>
    <w:rsid w:val="00087E58"/>
    <w:rsid w:val="00094B3C"/>
    <w:rsid w:val="000B6D34"/>
    <w:rsid w:val="000C2F0E"/>
    <w:rsid w:val="000D5F78"/>
    <w:rsid w:val="00122E9D"/>
    <w:rsid w:val="00130D46"/>
    <w:rsid w:val="00152224"/>
    <w:rsid w:val="001A5B51"/>
    <w:rsid w:val="001B023B"/>
    <w:rsid w:val="001B2134"/>
    <w:rsid w:val="001B6E66"/>
    <w:rsid w:val="001D1729"/>
    <w:rsid w:val="001E55AE"/>
    <w:rsid w:val="00206C28"/>
    <w:rsid w:val="00217165"/>
    <w:rsid w:val="00220394"/>
    <w:rsid w:val="00256587"/>
    <w:rsid w:val="00285918"/>
    <w:rsid w:val="002A5B26"/>
    <w:rsid w:val="002B261C"/>
    <w:rsid w:val="002B45E7"/>
    <w:rsid w:val="002B5E08"/>
    <w:rsid w:val="002D3C5B"/>
    <w:rsid w:val="002D3E67"/>
    <w:rsid w:val="002E4BF4"/>
    <w:rsid w:val="002F45E1"/>
    <w:rsid w:val="002F4AEF"/>
    <w:rsid w:val="00340D26"/>
    <w:rsid w:val="00353FC4"/>
    <w:rsid w:val="003575DF"/>
    <w:rsid w:val="003618BC"/>
    <w:rsid w:val="00376703"/>
    <w:rsid w:val="003835F0"/>
    <w:rsid w:val="003B22C4"/>
    <w:rsid w:val="0041506A"/>
    <w:rsid w:val="00415292"/>
    <w:rsid w:val="004165B4"/>
    <w:rsid w:val="00425A28"/>
    <w:rsid w:val="00432189"/>
    <w:rsid w:val="00432893"/>
    <w:rsid w:val="00440BA2"/>
    <w:rsid w:val="00454A0E"/>
    <w:rsid w:val="00455268"/>
    <w:rsid w:val="00455D75"/>
    <w:rsid w:val="00456F29"/>
    <w:rsid w:val="00495168"/>
    <w:rsid w:val="00497092"/>
    <w:rsid w:val="004B21E5"/>
    <w:rsid w:val="004B5894"/>
    <w:rsid w:val="004D0736"/>
    <w:rsid w:val="004D210E"/>
    <w:rsid w:val="004D6F13"/>
    <w:rsid w:val="004F4776"/>
    <w:rsid w:val="0051392E"/>
    <w:rsid w:val="005172F8"/>
    <w:rsid w:val="005320FF"/>
    <w:rsid w:val="00532461"/>
    <w:rsid w:val="00546BCE"/>
    <w:rsid w:val="005612A3"/>
    <w:rsid w:val="005643D9"/>
    <w:rsid w:val="00574278"/>
    <w:rsid w:val="005D74AC"/>
    <w:rsid w:val="005E21F7"/>
    <w:rsid w:val="005E7CF4"/>
    <w:rsid w:val="005F6761"/>
    <w:rsid w:val="00617886"/>
    <w:rsid w:val="00644F20"/>
    <w:rsid w:val="00672412"/>
    <w:rsid w:val="00675482"/>
    <w:rsid w:val="00691B7A"/>
    <w:rsid w:val="00692ECE"/>
    <w:rsid w:val="006B5B6B"/>
    <w:rsid w:val="006C4B8A"/>
    <w:rsid w:val="006D02F4"/>
    <w:rsid w:val="006D2592"/>
    <w:rsid w:val="006E5562"/>
    <w:rsid w:val="006E7971"/>
    <w:rsid w:val="007327BB"/>
    <w:rsid w:val="0073628B"/>
    <w:rsid w:val="00745073"/>
    <w:rsid w:val="007559C2"/>
    <w:rsid w:val="00763B2A"/>
    <w:rsid w:val="00763B7F"/>
    <w:rsid w:val="007A410B"/>
    <w:rsid w:val="007D2852"/>
    <w:rsid w:val="007D5146"/>
    <w:rsid w:val="007E168A"/>
    <w:rsid w:val="007E233A"/>
    <w:rsid w:val="007F484C"/>
    <w:rsid w:val="007F668E"/>
    <w:rsid w:val="00810C1D"/>
    <w:rsid w:val="0081154F"/>
    <w:rsid w:val="00813839"/>
    <w:rsid w:val="008177CB"/>
    <w:rsid w:val="00820DAA"/>
    <w:rsid w:val="00831F3F"/>
    <w:rsid w:val="00856FED"/>
    <w:rsid w:val="00866132"/>
    <w:rsid w:val="00887403"/>
    <w:rsid w:val="008E35BB"/>
    <w:rsid w:val="008E6811"/>
    <w:rsid w:val="00901A42"/>
    <w:rsid w:val="00935364"/>
    <w:rsid w:val="00961040"/>
    <w:rsid w:val="00971606"/>
    <w:rsid w:val="00990B5B"/>
    <w:rsid w:val="009B635E"/>
    <w:rsid w:val="009D66AF"/>
    <w:rsid w:val="009F738C"/>
    <w:rsid w:val="00A23B82"/>
    <w:rsid w:val="00A714AA"/>
    <w:rsid w:val="00A755F3"/>
    <w:rsid w:val="00A82B83"/>
    <w:rsid w:val="00A95345"/>
    <w:rsid w:val="00A96A68"/>
    <w:rsid w:val="00AA7509"/>
    <w:rsid w:val="00AE78C3"/>
    <w:rsid w:val="00B16FA3"/>
    <w:rsid w:val="00B533A9"/>
    <w:rsid w:val="00B644DB"/>
    <w:rsid w:val="00B66B94"/>
    <w:rsid w:val="00B76CFF"/>
    <w:rsid w:val="00BB1096"/>
    <w:rsid w:val="00BC6AAD"/>
    <w:rsid w:val="00BD6F13"/>
    <w:rsid w:val="00BE4F0A"/>
    <w:rsid w:val="00C02454"/>
    <w:rsid w:val="00C130AF"/>
    <w:rsid w:val="00C24874"/>
    <w:rsid w:val="00C40C94"/>
    <w:rsid w:val="00C54000"/>
    <w:rsid w:val="00C5632C"/>
    <w:rsid w:val="00C61428"/>
    <w:rsid w:val="00C62E3D"/>
    <w:rsid w:val="00C71D60"/>
    <w:rsid w:val="00C76E7C"/>
    <w:rsid w:val="00C80DCF"/>
    <w:rsid w:val="00C95A18"/>
    <w:rsid w:val="00CA1697"/>
    <w:rsid w:val="00CC6667"/>
    <w:rsid w:val="00CD5110"/>
    <w:rsid w:val="00CE01DB"/>
    <w:rsid w:val="00CE025C"/>
    <w:rsid w:val="00CE45C6"/>
    <w:rsid w:val="00D03CA0"/>
    <w:rsid w:val="00D20C47"/>
    <w:rsid w:val="00D26FC9"/>
    <w:rsid w:val="00D3577B"/>
    <w:rsid w:val="00D57CC8"/>
    <w:rsid w:val="00D64593"/>
    <w:rsid w:val="00D8092C"/>
    <w:rsid w:val="00D90963"/>
    <w:rsid w:val="00DA1596"/>
    <w:rsid w:val="00DB6261"/>
    <w:rsid w:val="00DC7199"/>
    <w:rsid w:val="00DE514F"/>
    <w:rsid w:val="00DF753D"/>
    <w:rsid w:val="00E223B4"/>
    <w:rsid w:val="00E27F94"/>
    <w:rsid w:val="00E52387"/>
    <w:rsid w:val="00E75A0F"/>
    <w:rsid w:val="00E930C6"/>
    <w:rsid w:val="00EA2103"/>
    <w:rsid w:val="00EA2B3A"/>
    <w:rsid w:val="00EA4B4E"/>
    <w:rsid w:val="00EC6F5A"/>
    <w:rsid w:val="00EE58FE"/>
    <w:rsid w:val="00EF1B2A"/>
    <w:rsid w:val="00F06A5B"/>
    <w:rsid w:val="00F24EBC"/>
    <w:rsid w:val="00F35B32"/>
    <w:rsid w:val="00F82C93"/>
    <w:rsid w:val="00F84E5A"/>
    <w:rsid w:val="00F925BA"/>
    <w:rsid w:val="00F95726"/>
    <w:rsid w:val="00FF33CB"/>
    <w:rsid w:val="00FF55AE"/>
    <w:rsid w:val="06533540"/>
    <w:rsid w:val="22F64D79"/>
    <w:rsid w:val="40F1333E"/>
    <w:rsid w:val="715B3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2C107"/>
  <w15:docId w15:val="{31DAB24A-E991-44F8-9CBF-17AD3D6ED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eastAsia="en-US"/>
    </w:rPr>
  </w:style>
  <w:style w:type="paragraph" w:styleId="Heading1">
    <w:name w:val="heading 1"/>
    <w:basedOn w:val="Normal"/>
    <w:next w:val="Normal"/>
    <w:link w:val="Heading1Char"/>
    <w:uiPriority w:val="9"/>
    <w:qFormat/>
    <w:pPr>
      <w:keepNext/>
      <w:keepLines/>
      <w:spacing w:before="480" w:after="360" w:line="276" w:lineRule="auto"/>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pPr>
      <w:keepNext/>
      <w:keepLines/>
      <w:spacing w:before="360" w:after="240"/>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pPr>
      <w:keepNext/>
      <w:keepLines/>
      <w:spacing w:before="240" w:after="120"/>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pPr>
      <w:keepNext/>
      <w:keepLines/>
      <w:spacing w:before="120" w:after="120" w:line="276" w:lineRule="auto"/>
      <w:outlineLvl w:val="3"/>
    </w:pPr>
    <w:rPr>
      <w:rFonts w:ascii="Times New Roman" w:eastAsiaTheme="majorEastAsia" w:hAnsi="Times New Roman"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BodyText">
    <w:name w:val="Body Text"/>
    <w:basedOn w:val="Normal"/>
    <w:link w:val="BodyTextChar"/>
    <w:uiPriority w:val="1"/>
    <w:qFormat/>
    <w:pPr>
      <w:widowControl w:val="0"/>
      <w:spacing w:after="0" w:line="240" w:lineRule="auto"/>
      <w:ind w:left="132" w:firstLine="566"/>
    </w:pPr>
    <w:rPr>
      <w:rFonts w:ascii="Times New Roman" w:eastAsia="Times New Roman" w:hAnsi="Times New Roman"/>
      <w:sz w:val="24"/>
      <w:szCs w:val="24"/>
    </w:rPr>
  </w:style>
  <w:style w:type="paragraph" w:styleId="BodyTextIndent">
    <w:name w:val="Body Text Indent"/>
    <w:basedOn w:val="Normal"/>
    <w:link w:val="BodyTextIndentChar"/>
    <w:uiPriority w:val="99"/>
    <w:semiHidden/>
    <w:unhideWhenUsed/>
    <w:qFormat/>
    <w:pPr>
      <w:spacing w:after="120"/>
      <w:ind w:left="283"/>
    </w:pPr>
  </w:style>
  <w:style w:type="paragraph" w:styleId="Caption">
    <w:name w:val="caption"/>
    <w:basedOn w:val="Normal"/>
    <w:next w:val="Normal"/>
    <w:uiPriority w:val="99"/>
    <w:qFormat/>
    <w:pPr>
      <w:keepNext/>
      <w:framePr w:wrap="around" w:vAnchor="text" w:hAnchor="text" w:y="1"/>
      <w:pBdr>
        <w:top w:val="single" w:sz="4" w:space="7" w:color="538135" w:themeColor="accent6" w:themeShade="BF"/>
      </w:pBdr>
      <w:spacing w:before="240" w:after="120" w:line="240" w:lineRule="auto"/>
      <w:jc w:val="both"/>
    </w:pPr>
    <w:rPr>
      <w:rFonts w:ascii="Calibri Light" w:eastAsia="SimSun" w:hAnsi="Calibri Light" w:cs="Cambria"/>
      <w:b/>
      <w:color w:val="538135" w:themeColor="accent6" w:themeShade="BF"/>
      <w:sz w:val="20"/>
      <w:szCs w:val="20"/>
      <w:lang w:eastAsia="ja-JP"/>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EndnoteText">
    <w:name w:val="endnote text"/>
    <w:basedOn w:val="Normal"/>
    <w:link w:val="EndnoteTextChar"/>
    <w:uiPriority w:val="99"/>
    <w:semiHidden/>
    <w:unhideWhenUsed/>
    <w:qFormat/>
    <w:pPr>
      <w:spacing w:after="0" w:line="240" w:lineRule="auto"/>
    </w:pPr>
    <w:rPr>
      <w:rFonts w:eastAsiaTheme="minorEastAsia"/>
      <w:sz w:val="20"/>
      <w:szCs w:val="20"/>
    </w:rPr>
  </w:style>
  <w:style w:type="paragraph" w:styleId="Footer">
    <w:name w:val="footer"/>
    <w:basedOn w:val="Normal"/>
    <w:link w:val="FooterChar"/>
    <w:uiPriority w:val="99"/>
    <w:unhideWhenUsed/>
    <w:qFormat/>
    <w:pPr>
      <w:tabs>
        <w:tab w:val="center" w:pos="4536"/>
        <w:tab w:val="right" w:pos="9072"/>
      </w:tabs>
      <w:spacing w:after="0" w:line="240" w:lineRule="auto"/>
    </w:pPr>
    <w:rPr>
      <w:lang w:val="en-GB"/>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eader">
    <w:name w:val="header"/>
    <w:basedOn w:val="Normal"/>
    <w:link w:val="HeaderChar"/>
    <w:uiPriority w:val="99"/>
    <w:unhideWhenUsed/>
    <w:qFormat/>
    <w:pPr>
      <w:tabs>
        <w:tab w:val="center" w:pos="4536"/>
        <w:tab w:val="right" w:pos="9072"/>
      </w:tabs>
      <w:spacing w:after="0" w:line="240" w:lineRule="auto"/>
    </w:pPr>
    <w:rPr>
      <w:lang w:val="en-GB"/>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240" w:line="240" w:lineRule="auto"/>
      <w:jc w:val="center"/>
    </w:pPr>
    <w:rPr>
      <w:rFonts w:asciiTheme="majorHAnsi" w:eastAsiaTheme="majorEastAsia" w:hAnsiTheme="majorHAnsi" w:cstheme="majorBidi"/>
      <w:color w:val="70AD47" w:themeColor="accent6"/>
      <w:spacing w:val="-10"/>
      <w:kern w:val="28"/>
      <w:sz w:val="40"/>
      <w:szCs w:val="56"/>
    </w:rPr>
  </w:style>
  <w:style w:type="paragraph" w:styleId="TOC1">
    <w:name w:val="toc 1"/>
    <w:basedOn w:val="Normal"/>
    <w:next w:val="Normal"/>
    <w:uiPriority w:val="39"/>
    <w:unhideWhenUsed/>
    <w:qFormat/>
    <w:pPr>
      <w:tabs>
        <w:tab w:val="right" w:leader="dot" w:pos="9629"/>
      </w:tabs>
      <w:spacing w:after="100"/>
    </w:pPr>
  </w:style>
  <w:style w:type="paragraph" w:styleId="TOC2">
    <w:name w:val="toc 2"/>
    <w:basedOn w:val="Normal"/>
    <w:next w:val="Normal"/>
    <w:uiPriority w:val="39"/>
    <w:unhideWhenUsed/>
    <w:qFormat/>
    <w:pPr>
      <w:spacing w:after="100"/>
      <w:ind w:left="220"/>
    </w:pPr>
  </w:style>
  <w:style w:type="paragraph" w:styleId="TOC3">
    <w:name w:val="toc 3"/>
    <w:basedOn w:val="Normal"/>
    <w:next w:val="Normal"/>
    <w:uiPriority w:val="39"/>
    <w:unhideWhenUsed/>
    <w:qFormat/>
    <w:pPr>
      <w:spacing w:after="100"/>
      <w:ind w:left="440"/>
    </w:pPr>
  </w:style>
  <w:style w:type="character" w:customStyle="1" w:styleId="Heading1Char">
    <w:name w:val="Heading 1 Char"/>
    <w:basedOn w:val="DefaultParagraphFont"/>
    <w:link w:val="Heading1"/>
    <w:uiPriority w:val="9"/>
    <w:qFormat/>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qFormat/>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qFormat/>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qFormat/>
    <w:rPr>
      <w:rFonts w:ascii="Times New Roman" w:eastAsiaTheme="majorEastAsia" w:hAnsi="Times New Roman" w:cstheme="majorBidi"/>
      <w:b/>
      <w:bCs/>
      <w:iCs/>
    </w:rPr>
  </w:style>
  <w:style w:type="paragraph" w:styleId="ListParagraph">
    <w:name w:val="List Paragraph"/>
    <w:basedOn w:val="Normal"/>
    <w:link w:val="ListParagraphChar"/>
    <w:uiPriority w:val="34"/>
    <w:qFormat/>
    <w:pPr>
      <w:spacing w:after="200" w:line="276" w:lineRule="auto"/>
      <w:ind w:left="720"/>
      <w:contextualSpacing/>
    </w:pPr>
  </w:style>
  <w:style w:type="character" w:customStyle="1" w:styleId="ListParagraphChar">
    <w:name w:val="List Paragraph Char"/>
    <w:link w:val="ListParagraph"/>
    <w:uiPriority w:val="34"/>
    <w:qFormat/>
    <w:locked/>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BalloonTextChar1">
    <w:name w:val="Balloon Text Char1"/>
    <w:basedOn w:val="DefaultParagraphFont"/>
    <w:uiPriority w:val="99"/>
    <w:semiHidden/>
    <w:qFormat/>
    <w:rPr>
      <w:rFonts w:ascii="Segoe UI" w:hAnsi="Segoe UI" w:cs="Segoe UI"/>
      <w:sz w:val="18"/>
      <w:szCs w:val="18"/>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jlqj4b">
    <w:name w:val="jlqj4b"/>
    <w:basedOn w:val="DefaultParagraphFont"/>
    <w:qFormat/>
  </w:style>
  <w:style w:type="character" w:customStyle="1" w:styleId="FootnoteTextChar">
    <w:name w:val="Footnote Text Char"/>
    <w:basedOn w:val="DefaultParagraphFont"/>
    <w:link w:val="FootnoteText"/>
    <w:uiPriority w:val="99"/>
    <w:qFormat/>
    <w:rPr>
      <w:sz w:val="20"/>
      <w:szCs w:val="20"/>
    </w:rPr>
  </w:style>
  <w:style w:type="character" w:customStyle="1" w:styleId="viiyi">
    <w:name w:val="viiyi"/>
    <w:basedOn w:val="DefaultParagraphFont"/>
    <w:qFormat/>
  </w:style>
  <w:style w:type="character" w:customStyle="1" w:styleId="Hyperlink1">
    <w:name w:val="Hyperlink1"/>
    <w:basedOn w:val="DefaultParagraphFont"/>
    <w:uiPriority w:val="99"/>
    <w:unhideWhenUsed/>
    <w:qFormat/>
    <w:rPr>
      <w:color w:val="0563C1"/>
      <w:u w:val="single"/>
    </w:rPr>
  </w:style>
  <w:style w:type="character" w:customStyle="1" w:styleId="HeaderChar">
    <w:name w:val="Header Char"/>
    <w:basedOn w:val="DefaultParagraphFont"/>
    <w:link w:val="Header"/>
    <w:uiPriority w:val="99"/>
    <w:qFormat/>
    <w:rPr>
      <w:lang w:val="en-GB"/>
    </w:rPr>
  </w:style>
  <w:style w:type="character" w:customStyle="1" w:styleId="FooterChar">
    <w:name w:val="Footer Char"/>
    <w:basedOn w:val="DefaultParagraphFont"/>
    <w:link w:val="Footer"/>
    <w:uiPriority w:val="99"/>
    <w:qFormat/>
    <w:rPr>
      <w:lang w:val="en-GB"/>
    </w:rPr>
  </w:style>
  <w:style w:type="paragraph" w:customStyle="1" w:styleId="TOCHeading1">
    <w:name w:val="TOC Heading1"/>
    <w:basedOn w:val="Heading1"/>
    <w:next w:val="Normal"/>
    <w:uiPriority w:val="39"/>
    <w:unhideWhenUsed/>
    <w:qFormat/>
    <w:pPr>
      <w:spacing w:after="0"/>
      <w:outlineLvl w:val="9"/>
    </w:pPr>
    <w:rPr>
      <w:rFonts w:asciiTheme="majorHAnsi" w:hAnsiTheme="majorHAnsi"/>
      <w:color w:val="2F5496" w:themeColor="accent1" w:themeShade="BF"/>
    </w:rPr>
  </w:style>
  <w:style w:type="paragraph" w:customStyle="1" w:styleId="Default">
    <w:name w:val="Default"/>
    <w:uiPriority w:val="99"/>
    <w:qFormat/>
    <w:pPr>
      <w:autoSpaceDE w:val="0"/>
      <w:autoSpaceDN w:val="0"/>
      <w:adjustRightInd w:val="0"/>
    </w:pPr>
    <w:rPr>
      <w:rFonts w:ascii="Arial" w:eastAsiaTheme="minorEastAsia" w:hAnsi="Arial" w:cs="Arial"/>
      <w:color w:val="000000"/>
      <w:sz w:val="24"/>
      <w:szCs w:val="24"/>
      <w:lang w:val="en-US" w:eastAsia="en-US"/>
    </w:rPr>
  </w:style>
  <w:style w:type="paragraph" w:customStyle="1" w:styleId="Bullet">
    <w:name w:val="Bullet"/>
    <w:basedOn w:val="ListParagraph"/>
    <w:link w:val="BulletChar"/>
    <w:qFormat/>
    <w:pPr>
      <w:numPr>
        <w:numId w:val="1"/>
      </w:numPr>
      <w:spacing w:after="60" w:line="240" w:lineRule="auto"/>
      <w:contextualSpacing w:val="0"/>
      <w:jc w:val="both"/>
    </w:pPr>
    <w:rPr>
      <w:rFonts w:ascii="Calibri Light" w:eastAsia="MS Gothic" w:hAnsi="Calibri Light" w:cs="Cambria"/>
      <w:color w:val="000000" w:themeColor="text1"/>
      <w:szCs w:val="24"/>
      <w:lang w:eastAsia="en-GB"/>
    </w:rPr>
  </w:style>
  <w:style w:type="character" w:customStyle="1" w:styleId="BulletChar">
    <w:name w:val="Bullet Char"/>
    <w:basedOn w:val="DefaultParagraphFont"/>
    <w:link w:val="Bullet"/>
    <w:qFormat/>
    <w:rPr>
      <w:rFonts w:ascii="Calibri Light" w:eastAsia="MS Gothic" w:hAnsi="Calibri Light" w:cs="Cambria"/>
      <w:color w:val="000000" w:themeColor="text1"/>
      <w:szCs w:val="24"/>
      <w:lang w:eastAsia="en-GB"/>
    </w:rPr>
  </w:style>
  <w:style w:type="character" w:customStyle="1" w:styleId="BodyTextChar">
    <w:name w:val="Body Text Char"/>
    <w:basedOn w:val="DefaultParagraphFont"/>
    <w:link w:val="BodyText"/>
    <w:uiPriority w:val="1"/>
    <w:qFormat/>
    <w:rPr>
      <w:rFonts w:ascii="Times New Roman" w:eastAsia="Times New Roman" w:hAnsi="Times New Roman"/>
      <w:sz w:val="24"/>
      <w:szCs w:val="24"/>
    </w:rPr>
  </w:style>
  <w:style w:type="paragraph" w:customStyle="1" w:styleId="TableParagraph">
    <w:name w:val="Table Paragraph"/>
    <w:basedOn w:val="Normal"/>
    <w:uiPriority w:val="1"/>
    <w:qFormat/>
    <w:pPr>
      <w:widowControl w:val="0"/>
      <w:spacing w:after="0" w:line="240" w:lineRule="auto"/>
    </w:pPr>
    <w:rPr>
      <w:rFonts w:eastAsiaTheme="minorEastAsia"/>
    </w:rPr>
  </w:style>
  <w:style w:type="character" w:customStyle="1" w:styleId="EndnoteTextChar">
    <w:name w:val="Endnote Text Char"/>
    <w:basedOn w:val="DefaultParagraphFont"/>
    <w:link w:val="EndnoteText"/>
    <w:uiPriority w:val="99"/>
    <w:semiHidden/>
    <w:qFormat/>
    <w:rPr>
      <w:rFonts w:eastAsiaTheme="minorEastAsia"/>
      <w:sz w:val="20"/>
      <w:szCs w:val="20"/>
    </w:rPr>
  </w:style>
  <w:style w:type="character" w:customStyle="1" w:styleId="EndnoteTextChar1">
    <w:name w:val="Endnote Text Char1"/>
    <w:basedOn w:val="DefaultParagraphFont"/>
    <w:uiPriority w:val="99"/>
    <w:semiHidden/>
    <w:qFormat/>
    <w:rPr>
      <w:sz w:val="20"/>
      <w:szCs w:val="20"/>
    </w:rPr>
  </w:style>
  <w:style w:type="paragraph" w:customStyle="1" w:styleId="story-lead">
    <w:name w:val="story-lead"/>
    <w:basedOn w:val="Normal"/>
    <w:uiPriority w:val="99"/>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Pr>
      <w:rFonts w:asciiTheme="majorHAnsi" w:eastAsiaTheme="majorEastAsia" w:hAnsiTheme="majorHAnsi" w:cstheme="majorBidi"/>
      <w:color w:val="70AD47" w:themeColor="accent6"/>
      <w:spacing w:val="-10"/>
      <w:kern w:val="28"/>
      <w:sz w:val="40"/>
      <w:szCs w:val="56"/>
    </w:rPr>
  </w:style>
  <w:style w:type="character" w:customStyle="1" w:styleId="reference-text">
    <w:name w:val="reference-text"/>
    <w:basedOn w:val="DefaultParagraphFont"/>
  </w:style>
  <w:style w:type="paragraph" w:customStyle="1" w:styleId="li">
    <w:name w:val="li"/>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slovpropisa1">
    <w:name w:val="naslovpropisa1"/>
    <w:basedOn w:val="DefaultParagraphFont"/>
  </w:style>
  <w:style w:type="character" w:customStyle="1" w:styleId="naslovpropisa1a">
    <w:name w:val="naslovpropisa1a"/>
    <w:basedOn w:val="DefaultParagraphFont"/>
  </w:style>
  <w:style w:type="character" w:customStyle="1" w:styleId="HTMLPreformattedChar">
    <w:name w:val="HTML Preformatted Char"/>
    <w:basedOn w:val="DefaultParagraphFont"/>
    <w:link w:val="HTMLPreformatted"/>
    <w:uiPriority w:val="99"/>
    <w:rPr>
      <w:rFonts w:ascii="Courier New" w:eastAsia="Times New Roman" w:hAnsi="Courier New" w:cs="Courier New"/>
      <w:sz w:val="20"/>
      <w:szCs w:val="20"/>
      <w:lang w:val="en-GB" w:eastAsia="en-GB"/>
    </w:rPr>
  </w:style>
  <w:style w:type="character" w:customStyle="1" w:styleId="s3uucc">
    <w:name w:val="s3uucc"/>
    <w:basedOn w:val="DefaultParagraphFont"/>
  </w:style>
  <w:style w:type="paragraph" w:styleId="NoSpacing">
    <w:name w:val="No Spacing"/>
    <w:basedOn w:val="Normal"/>
    <w:uiPriority w:val="99"/>
    <w:qFormat/>
    <w:pPr>
      <w:spacing w:after="0" w:line="240" w:lineRule="auto"/>
    </w:pPr>
    <w:rPr>
      <w:rFonts w:cs="Times New Roman"/>
      <w:color w:val="000000" w:themeColor="text1"/>
      <w:sz w:val="20"/>
      <w:szCs w:val="20"/>
      <w:lang w:eastAsia="ja-JP"/>
    </w:rPr>
  </w:style>
  <w:style w:type="character" w:customStyle="1" w:styleId="54eTabellentextZchn">
    <w:name w:val="54: eTabellentext Zchn"/>
    <w:link w:val="54eTabellentext"/>
    <w:locked/>
    <w:rPr>
      <w:rFonts w:ascii="Arial Narrow" w:eastAsia="Times New Roman" w:hAnsi="Arial Narrow" w:cs="Times New Roman"/>
      <w:spacing w:val="4"/>
      <w:sz w:val="18"/>
      <w:szCs w:val="24"/>
      <w:lang w:val="de-CH" w:eastAsia="de-DE"/>
    </w:rPr>
  </w:style>
  <w:style w:type="paragraph" w:customStyle="1" w:styleId="54eTabellentext">
    <w:name w:val="54: eTabellentext"/>
    <w:basedOn w:val="Normal"/>
    <w:link w:val="54eTabellentextZchn"/>
    <w:pPr>
      <w:keepNext/>
      <w:keepLines/>
      <w:spacing w:after="0" w:line="220" w:lineRule="exact"/>
    </w:pPr>
    <w:rPr>
      <w:rFonts w:ascii="Arial Narrow" w:eastAsia="Times New Roman" w:hAnsi="Arial Narrow" w:cs="Times New Roman"/>
      <w:spacing w:val="4"/>
      <w:sz w:val="18"/>
      <w:szCs w:val="24"/>
      <w:lang w:val="de-CH" w:eastAsia="de-DE"/>
    </w:rPr>
  </w:style>
  <w:style w:type="table" w:customStyle="1" w:styleId="TableGrid1">
    <w:name w:val="Table Grid1"/>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uiPriority w:val="99"/>
    <w:semiHidden/>
    <w:qFormat/>
  </w:style>
  <w:style w:type="character" w:customStyle="1" w:styleId="BodyTextIndentChar1">
    <w:name w:val="Body Text Indent Char1"/>
    <w:basedOn w:val="DefaultParagraphFont"/>
    <w:uiPriority w:val="99"/>
    <w:semiHidden/>
    <w:qFormat/>
  </w:style>
  <w:style w:type="paragraph" w:customStyle="1" w:styleId="odluka-zakon">
    <w:name w:val="odluka-zakon"/>
    <w:basedOn w:val="Normal"/>
    <w:uiPriority w:val="9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entar">
    <w:name w:val="centar"/>
    <w:basedOn w:val="Normal"/>
    <w:uiPriority w:val="9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aslov">
    <w:name w:val="naslov"/>
    <w:basedOn w:val="Normal"/>
    <w:uiPriority w:val="99"/>
    <w:qFormat/>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auto-style1">
    <w:name w:val="auto-style1"/>
    <w:basedOn w:val="Normal"/>
    <w:uiPriority w:val="9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lan">
    <w:name w:val="clan"/>
    <w:basedOn w:val="Normal"/>
    <w:uiPriority w:val="99"/>
    <w:qFormat/>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sonormal0">
    <w:name w:val="msonormal"/>
    <w:basedOn w:val="Normal"/>
    <w:uiPriority w:val="99"/>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2">
    <w:name w:val="Footnote Text Char2"/>
    <w:basedOn w:val="DefaultParagraphFont"/>
    <w:uiPriority w:val="99"/>
    <w:semiHidden/>
  </w:style>
  <w:style w:type="table" w:customStyle="1" w:styleId="DefaultTable">
    <w:name w:val="Default Table"/>
    <w:basedOn w:val="TableNormal"/>
    <w:uiPriority w:val="99"/>
    <w:qFormat/>
    <w:pPr>
      <w:jc w:val="center"/>
    </w:pPr>
    <w:rPr>
      <w:rFonts w:ascii="Calibri Light" w:eastAsia="SimSun" w:hAnsi="Calibri Light" w:cs="Arial"/>
      <w:lang w:val="lt-LT" w:eastAsia="lt-LT"/>
    </w:rPr>
    <w:tblPr/>
    <w:tcPr>
      <w:vAlign w:val="center"/>
    </w:tcPr>
    <w:tblStylePr w:type="firstRow">
      <w:pPr>
        <w:jc w:val="center"/>
      </w:pPr>
      <w:rPr>
        <w:b/>
        <w:color w:val="FFFFFF" w:themeColor="background1"/>
      </w:rPr>
      <w:tblPr/>
      <w:tcPr>
        <w:tcBorders>
          <w:top w:val="nil"/>
          <w:left w:val="nil"/>
          <w:bottom w:val="nil"/>
          <w:right w:val="nil"/>
          <w:insideH w:val="nil"/>
          <w:insideV w:val="nil"/>
          <w:tl2br w:val="nil"/>
          <w:tr2bl w:val="nil"/>
        </w:tcBorders>
        <w:shd w:val="clear" w:color="auto" w:fill="538135" w:themeFill="accent6" w:themeFillShade="BF"/>
        <w:vAlign w:val="center"/>
      </w:tcPr>
    </w:tblStylePr>
    <w:tblStylePr w:type="firstCol">
      <w:pPr>
        <w:jc w:val="left"/>
      </w:pPr>
    </w:tblStylePr>
    <w:tblStylePr w:type="band1Horz">
      <w:pPr>
        <w:jc w:val="center"/>
      </w:pPr>
      <w:tblPr/>
      <w:tcPr>
        <w:vAlign w:val="center"/>
      </w:tcPr>
    </w:tblStylePr>
    <w:tblStylePr w:type="band2Horz">
      <w:pPr>
        <w:jc w:val="center"/>
      </w:pPr>
      <w:tblPr/>
      <w:tcPr>
        <w:shd w:val="clear" w:color="auto" w:fill="D9D9D9" w:themeFill="background1" w:themeFillShade="D9"/>
        <w:vAlign w:val="center"/>
      </w:tcPr>
    </w:tblStylePr>
  </w:style>
  <w:style w:type="table" w:customStyle="1" w:styleId="52eTabelle">
    <w:name w:val="52: eTabelle"/>
    <w:basedOn w:val="TableNormal"/>
    <w:pPr>
      <w:keepLines/>
      <w:spacing w:line="220" w:lineRule="exact"/>
    </w:pPr>
    <w:rPr>
      <w:rFonts w:ascii="Arial Narrow" w:eastAsia="Times New Roman" w:hAnsi="Arial Narrow" w:cs="Times New Roman"/>
      <w:spacing w:val="4"/>
      <w:sz w:val="18"/>
      <w:lang w:val="de-CH" w:eastAsia="de-CH"/>
    </w:rPr>
    <w:tblPr>
      <w:tblCellMar>
        <w:left w:w="0" w:type="dxa"/>
        <w:right w:w="113" w:type="dxa"/>
      </w:tblCellMar>
    </w:tblPr>
    <w:tblStylePr w:type="firstRow">
      <w:rPr>
        <w:b/>
      </w:rPr>
      <w:tblPr/>
      <w:tcPr>
        <w:tcBorders>
          <w:top w:val="nil"/>
          <w:left w:val="nil"/>
          <w:bottom w:val="nil"/>
          <w:right w:val="nil"/>
          <w:insideH w:val="nil"/>
          <w:insideV w:val="nil"/>
          <w:tl2br w:val="nil"/>
          <w:tr2bl w:val="nil"/>
        </w:tcBorders>
        <w:shd w:val="clear" w:color="auto" w:fill="ACCED5"/>
      </w:tc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single" w:sz="2" w:space="0" w:color="auto"/>
          <w:right w:val="nil"/>
          <w:insideH w:val="nil"/>
          <w:insideV w:val="nil"/>
          <w:tl2br w:val="nil"/>
          <w:tr2bl w:val="nil"/>
        </w:tcBorders>
      </w:tcPr>
    </w:tblStylePr>
    <w:tblStylePr w:type="band2Horz">
      <w:tblPr/>
      <w:tcPr>
        <w:tcBorders>
          <w:top w:val="nil"/>
          <w:left w:val="nil"/>
          <w:bottom w:val="single" w:sz="2" w:space="0" w:color="auto"/>
          <w:right w:val="nil"/>
          <w:insideH w:val="nil"/>
          <w:insideV w:val="nil"/>
          <w:tl2br w:val="nil"/>
          <w:tr2bl w:val="nil"/>
        </w:tcBorders>
      </w:tcPr>
    </w:tblStylePr>
  </w:style>
  <w:style w:type="table" w:customStyle="1" w:styleId="TableGrid2">
    <w:name w:val="Table Grid2"/>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hidden/>
    <w:uiPriority w:val="99"/>
    <w:semiHidden/>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irculareconomy.europa.eu/platform/en/good-practices/clothes-rental-helping-reduce-textile-waste-greenhouse-gas-emissions-and-water-footprint"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yperlink" Target="mailto:cirkularna@ekologija.gov.rs" TargetMode="Externa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s://www.nuuly.com/"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utvsi.com/wp-content/uploads/2020/10/PPOV-Krusevac-mapa-min.pdf" TargetMode="External"/><Relationship Id="rId13" Type="http://schemas.openxmlformats.org/officeDocument/2006/relationships/hyperlink" Target="https://naled.rs/htdocs/Files/06221/Vodic_za_pravilno_upravljanje_otpadom_od_hrane.pdf" TargetMode="External"/><Relationship Id="rId18" Type="http://schemas.openxmlformats.org/officeDocument/2006/relationships/hyperlink" Target="https://ec.europa.eu/environment/emas/join_emas/emas_global_en.htm" TargetMode="External"/><Relationship Id="rId26" Type="http://schemas.openxmlformats.org/officeDocument/2006/relationships/hyperlink" Target="https://ec.europa.eu/info/strategy/eu-budget/long-term-eu-budget/2021-2027_en" TargetMode="External"/><Relationship Id="rId3" Type="http://schemas.openxmlformats.org/officeDocument/2006/relationships/hyperlink" Target="http://www.minpolj.gov.rs/organska/" TargetMode="External"/><Relationship Id="rId21" Type="http://schemas.openxmlformats.org/officeDocument/2006/relationships/hyperlink" Target="https://ec.europa.eu/environment/pdf/waste/batteries/Proposal_for_a_Regulation_on_batteries_and_waste_batteries.pdf" TargetMode="External"/><Relationship Id="rId7" Type="http://schemas.openxmlformats.org/officeDocument/2006/relationships/hyperlink" Target="https://ec.europa.eu/eurostat/databrowser/view/ten00020/default/table?lang=en" TargetMode="External"/><Relationship Id="rId12" Type="http://schemas.openxmlformats.org/officeDocument/2006/relationships/hyperlink" Target="https://bfpe.org/wp-content/uploads/2020/06/ODRZ%CC%8CIVA-URBANA-MOBILNOST.pdf" TargetMode="External"/><Relationship Id="rId17" Type="http://schemas.openxmlformats.org/officeDocument/2006/relationships/hyperlink" Target="https://www.iso.org/the-iso-survey.html" TargetMode="External"/><Relationship Id="rId25" Type="http://schemas.openxmlformats.org/officeDocument/2006/relationships/hyperlink" Target="https://eur-lex.europa.eu/legal-content/EN/TXT/PDF/?uri=CELEX:32019L1024&amp;from=EN" TargetMode="External"/><Relationship Id="rId2" Type="http://schemas.openxmlformats.org/officeDocument/2006/relationships/hyperlink" Target="https://data.worldbank.org/indicator/EN.ATM.CO2E.PP.GD?locations=RS" TargetMode="External"/><Relationship Id="rId16" Type="http://schemas.openxmlformats.org/officeDocument/2006/relationships/hyperlink" Target="https://jnportal.ujn.gov.rs/annual-reports-ppo-public" TargetMode="External"/><Relationship Id="rId20" Type="http://schemas.openxmlformats.org/officeDocument/2006/relationships/hyperlink" Target="https://ec.europa.eu/environment/ecolabel/products-groups-and-criteria.html" TargetMode="External"/><Relationship Id="rId1" Type="http://schemas.openxmlformats.org/officeDocument/2006/relationships/hyperlink" Target="https://www.klimatskepromene.rs/wp-content/uploads/2017/12/Drugi-izvestaj-o-promeni-klime-SNC_Srbija.pdf" TargetMode="External"/><Relationship Id="rId6" Type="http://schemas.openxmlformats.org/officeDocument/2006/relationships/hyperlink" Target="http://www.eureau.org/resources/publications/1460-eureau-data-report-2017-1/file" TargetMode="External"/><Relationship Id="rId11" Type="http://schemas.openxmlformats.org/officeDocument/2006/relationships/hyperlink" Target="https://www.pravno-informacioni-sistem.rs/SlGlasnikPortal/eli/rep/sgrs/vlada/strategija/2019/47/1/reg" TargetMode="External"/><Relationship Id="rId24" Type="http://schemas.openxmlformats.org/officeDocument/2006/relationships/hyperlink" Target="https://eur-lex.europa.eu/legal-content/EN/TXT/PDF/?uri=CELEX:32018R1807&amp;from=EN" TargetMode="External"/><Relationship Id="rId5" Type="http://schemas.openxmlformats.org/officeDocument/2006/relationships/hyperlink" Target="https://publikacije.stat.gov.rs/G2021/Pdf/G20211006.pdf" TargetMode="External"/><Relationship Id="rId15" Type="http://schemas.openxmlformats.org/officeDocument/2006/relationships/hyperlink" Target="https://zelenenabavke.alhem.rs" TargetMode="External"/><Relationship Id="rId23" Type="http://schemas.openxmlformats.org/officeDocument/2006/relationships/hyperlink" Target="https://ec.europa.eu/info/law/better-regulation/have-your-say/initiatives/13045-Data-Act-&amp;-amended-rules-on-the-legal-protection-of-databases_en" TargetMode="External"/><Relationship Id="rId10" Type="http://schemas.openxmlformats.org/officeDocument/2006/relationships/hyperlink" Target="http://www.rdvode.gov.rs/doc/Predlog_Plana_upravljanja_%202021-2027-01112021.pdf" TargetMode="External"/><Relationship Id="rId19" Type="http://schemas.openxmlformats.org/officeDocument/2006/relationships/hyperlink" Target="https://ec.europa.eu/environment/ecolabel/products-groups-and-criteria.html" TargetMode="External"/><Relationship Id="rId4" Type="http://schemas.openxmlformats.org/officeDocument/2006/relationships/hyperlink" Target="https://publikacije.stat.gov.rs/G2020/Pdf/G20201158.pdf" TargetMode="External"/><Relationship Id="rId9" Type="http://schemas.openxmlformats.org/officeDocument/2006/relationships/hyperlink" Target="https://ec.europa.eu/eurostat/databrowser/view/ten00030/default/table?lang=en" TargetMode="External"/><Relationship Id="rId14" Type="http://schemas.openxmlformats.org/officeDocument/2006/relationships/hyperlink" Target="https://jnportal.ujn.gov.rs/annual-reports-ppo-public" TargetMode="External"/><Relationship Id="rId22" Type="http://schemas.openxmlformats.org/officeDocument/2006/relationships/hyperlink" Target="https://eur-lex.europa.eu/legal-content/EN/TXT/PDF/?uri=CELEX:52020PC0767&amp;from=EN"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Users\koji_sale\Desktop\Grafik%203_1.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oleObject" Target="file:///D:\OneDrive\OneDrive%20-%20tmf.bg.ac.rs\0-radno\CE\0-moje\Slika%20Ciljevi%20i%20ustede.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C82D-4907-A661-4B1E140612F6}"/>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C82D-4907-A661-4B1E140612F6}"/>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C82D-4907-A661-4B1E140612F6}"/>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C82D-4907-A661-4B1E140612F6}"/>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c:ext xmlns:c16="http://schemas.microsoft.com/office/drawing/2014/chart" uri="{C3380CC4-5D6E-409C-BE32-E72D297353CC}">
                <c16:uniqueId val="{00000009-C82D-4907-A661-4B1E140612F6}"/>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c:spPr>
            <c:extLst>
              <c:ext xmlns:c16="http://schemas.microsoft.com/office/drawing/2014/chart" uri="{C3380CC4-5D6E-409C-BE32-E72D297353CC}">
                <c16:uniqueId val="{0000000B-C82D-4907-A661-4B1E140612F6}"/>
              </c:ext>
            </c:extLst>
          </c:dPt>
          <c:dLbls>
            <c:spPr>
              <a:noFill/>
              <a:ln>
                <a:noFill/>
              </a:ln>
              <a:effectLst/>
            </c:spPr>
            <c:txPr>
              <a:bodyPr rot="0" spcFirstLastPara="1" vertOverflow="ellipsis" vert="horz" wrap="square" lIns="38100" tIns="19050" rIns="38100" bIns="19050" anchor="ctr" anchorCtr="1">
                <a:spAutoFit/>
              </a:bodyPr>
              <a:lstStyle/>
              <a:p>
                <a:pPr>
                  <a:defRPr lang="en-US" sz="10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6350" cap="flat" cmpd="sng" algn="ctr">
                  <a:solidFill>
                    <a:schemeClr val="tx1"/>
                  </a:solidFill>
                  <a:prstDash val="solid"/>
                  <a:round/>
                </a:ln>
                <a:effectLst/>
              </c:spPr>
            </c:leaderLines>
            <c:extLst>
              <c:ext xmlns:c15="http://schemas.microsoft.com/office/drawing/2012/chart" uri="{CE6537A1-D6FC-4f65-9D91-7224C49458BB}"/>
            </c:extLst>
          </c:dLbls>
          <c:cat>
            <c:strRef>
              <c:f>Sheet1!$A$1:$A$6</c:f>
              <c:strCache>
                <c:ptCount val="6"/>
                <c:pt idx="0">
                  <c:v>Угаљ</c:v>
                </c:pt>
                <c:pt idx="1">
                  <c:v>Нафта</c:v>
                </c:pt>
                <c:pt idx="2">
                  <c:v>Природни гас</c:v>
                </c:pt>
                <c:pt idx="3">
                  <c:v>Хидропотенцијал</c:v>
                </c:pt>
                <c:pt idx="4">
                  <c:v>Биомаса</c:v>
                </c:pt>
                <c:pt idx="5">
                  <c:v>Остали ОИЕ</c:v>
                </c:pt>
              </c:strCache>
            </c:strRef>
          </c:cat>
          <c:val>
            <c:numRef>
              <c:f>Sheet1!$B$1:$B$6</c:f>
              <c:numCache>
                <c:formatCode>0.00</c:formatCode>
                <c:ptCount val="6"/>
                <c:pt idx="0">
                  <c:v>65.37</c:v>
                </c:pt>
                <c:pt idx="1">
                  <c:v>9.52</c:v>
                </c:pt>
                <c:pt idx="2">
                  <c:v>3.93</c:v>
                </c:pt>
                <c:pt idx="3">
                  <c:v>9.69</c:v>
                </c:pt>
                <c:pt idx="4">
                  <c:v>11.08</c:v>
                </c:pt>
                <c:pt idx="5">
                  <c:v>0.40999999999999698</c:v>
                </c:pt>
              </c:numCache>
            </c:numRef>
          </c:val>
          <c:extLst>
            <c:ext xmlns:c16="http://schemas.microsoft.com/office/drawing/2014/chart" uri="{C3380CC4-5D6E-409C-BE32-E72D297353CC}">
              <c16:uniqueId val="{0000000C-C82D-4907-A661-4B1E140612F6}"/>
            </c:ext>
          </c:extLst>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3.8321303587051603E-2"/>
          <c:y val="0.81173228346456705"/>
          <c:w val="0.93169050743657"/>
          <c:h val="0.16048993875765499"/>
        </c:manualLayout>
      </c:layout>
      <c:overlay val="0"/>
      <c:spPr>
        <a:noFill/>
        <a:ln>
          <a:noFill/>
        </a:ln>
        <a:effectLst/>
      </c:spPr>
      <c:txPr>
        <a:bodyPr rot="0" spcFirstLastPara="1" vertOverflow="ellipsis" vert="horz" wrap="square" anchor="ctr" anchorCtr="1"/>
        <a:lstStyle/>
        <a:p>
          <a:pPr>
            <a:defRPr lang="en-US" sz="10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6350" cap="flat" cmpd="sng" algn="ctr">
      <a:noFill/>
      <a:prstDash val="solid"/>
      <a:round/>
    </a:ln>
    <a:effectLst/>
  </c:spPr>
  <c:txPr>
    <a:bodyPr/>
    <a:lstStyle/>
    <a:p>
      <a:pPr>
        <a:defRPr lang="en-US" baseline="0">
          <a:solidFill>
            <a:sysClr val="windowText" lastClr="000000"/>
          </a:solidFill>
        </a:defRPr>
      </a:pPr>
      <a:endParaRPr lang="en-US"/>
    </a:p>
  </c:tx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n-US" sz="1050" b="1" i="0" u="none" strike="noStrike" kern="1200" cap="all" baseline="0">
                <a:solidFill>
                  <a:schemeClr val="tx1">
                    <a:lumMod val="65000"/>
                    <a:lumOff val="35000"/>
                  </a:schemeClr>
                </a:solidFill>
                <a:latin typeface="+mn-lt"/>
                <a:ea typeface="+mn-ea"/>
                <a:cs typeface="+mn-cs"/>
              </a:defRPr>
            </a:pPr>
            <a:r>
              <a:rPr lang="sr-Cyrl-RS" sz="1050"/>
              <a:t>ВРСТА </a:t>
            </a:r>
            <a:r>
              <a:rPr lang="sr-Latn-RS" sz="1050"/>
              <a:t>SVHC</a:t>
            </a:r>
            <a:r>
              <a:rPr lang="sr-Cyrl-RS" sz="1050"/>
              <a:t> ХЕМИКАЛИЈА</a:t>
            </a:r>
            <a:endParaRPr lang="en-GB" sz="1050"/>
          </a:p>
        </c:rich>
      </c:tx>
      <c:overlay val="0"/>
      <c:spPr>
        <a:noFill/>
        <a:ln>
          <a:noFill/>
        </a:ln>
        <a:effectLst/>
      </c:spPr>
    </c:title>
    <c:autoTitleDeleted val="0"/>
    <c:view3D>
      <c:rotX val="30"/>
      <c:rotY val="0"/>
      <c:depthPercent val="100"/>
      <c:rAngAx val="0"/>
    </c:view3D>
    <c:floor>
      <c:thickness val="0"/>
      <c:spPr>
        <a:noFill/>
        <a:ln w="6350" cap="flat" cmpd="sng" algn="ctr">
          <a:noFill/>
          <a:prstDash val="solid"/>
          <a:round/>
        </a:ln>
        <a:effectLst/>
      </c:spPr>
    </c:floor>
    <c:sideWall>
      <c:thickness val="0"/>
      <c:spPr>
        <a:noFill/>
        <a:ln>
          <a:noFill/>
        </a:ln>
        <a:effectLst/>
      </c:spPr>
    </c:sideWall>
    <c:backWall>
      <c:thickness val="0"/>
      <c:spPr>
        <a:noFill/>
        <a:ln>
          <a:noFill/>
        </a:ln>
        <a:effectLst/>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87B-46F0-8F71-E0FCA42A1D2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87B-46F0-8F71-E0FCA42A1D2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87B-46F0-8F71-E0FCA42A1D25}"/>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87B-46F0-8F71-E0FCA42A1D25}"/>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687B-46F0-8F71-E0FCA42A1D25}"/>
              </c:ext>
            </c:extLst>
          </c:dPt>
          <c:dLbls>
            <c:dLbl>
              <c:idx val="0"/>
              <c:layout>
                <c:manualLayout>
                  <c:x val="-0.24475598545105701"/>
                  <c:y val="2.9341957255343099E-2"/>
                </c:manualLayout>
              </c:layout>
              <c:spPr>
                <a:noFill/>
                <a:ln>
                  <a:noFill/>
                </a:ln>
                <a:effectLst/>
              </c:spPr>
              <c:txPr>
                <a:bodyPr rot="0" spcFirstLastPara="1" vertOverflow="ellipsis" vert="horz" wrap="square" lIns="38100" tIns="19050" rIns="38100" bIns="19050" anchor="ctr" anchorCtr="1">
                  <a:noAutofit/>
                </a:bodyPr>
                <a:lstStyle/>
                <a:p>
                  <a:pPr>
                    <a:defRPr lang="en-US" sz="6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415272392981334"/>
                      <c:h val="0.152936445444319"/>
                    </c:manualLayout>
                  </c15:layout>
                </c:ext>
                <c:ext xmlns:c16="http://schemas.microsoft.com/office/drawing/2014/chart" uri="{C3380CC4-5D6E-409C-BE32-E72D297353CC}">
                  <c16:uniqueId val="{00000001-687B-46F0-8F71-E0FCA42A1D25}"/>
                </c:ext>
              </c:extLst>
            </c:dLbl>
            <c:dLbl>
              <c:idx val="1"/>
              <c:layout>
                <c:manualLayout>
                  <c:x val="3.16379038827043E-2"/>
                  <c:y val="4.8838010949033499E-2"/>
                </c:manualLayout>
              </c:layout>
              <c:spPr>
                <a:noFill/>
                <a:ln>
                  <a:noFill/>
                </a:ln>
                <a:effectLst/>
              </c:spPr>
              <c:txPr>
                <a:bodyPr rot="0" spcFirstLastPara="1" vertOverflow="ellipsis" vert="horz" wrap="square" lIns="38100" tIns="19050" rIns="38100" bIns="19050" anchor="ctr" anchorCtr="1">
                  <a:noAutofit/>
                </a:bodyPr>
                <a:lstStyle/>
                <a:p>
                  <a:pPr>
                    <a:defRPr lang="en-US" sz="6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4263826158786"/>
                      <c:h val="0.218603487064117"/>
                    </c:manualLayout>
                  </c15:layout>
                </c:ext>
                <c:ext xmlns:c16="http://schemas.microsoft.com/office/drawing/2014/chart" uri="{C3380CC4-5D6E-409C-BE32-E72D297353CC}">
                  <c16:uniqueId val="{00000003-687B-46F0-8F71-E0FCA42A1D25}"/>
                </c:ext>
              </c:extLst>
            </c:dLbl>
            <c:dLbl>
              <c:idx val="2"/>
              <c:layout>
                <c:manualLayout>
                  <c:x val="6.5920567035719496E-2"/>
                  <c:y val="6.3533183352080996E-2"/>
                </c:manualLayout>
              </c:layout>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bg1">
                          <a:lumMod val="50000"/>
                        </a:schemeClr>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687B-46F0-8F71-E0FCA42A1D25}"/>
                </c:ext>
              </c:extLst>
            </c:dLbl>
            <c:dLbl>
              <c:idx val="3"/>
              <c:layout>
                <c:manualLayout>
                  <c:x val="1.69204737732657E-2"/>
                  <c:y val="-2.8571428571428598E-2"/>
                </c:manualLayout>
              </c:layout>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4">
                          <a:lumMod val="75000"/>
                        </a:schemeClr>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687B-46F0-8F71-E0FCA42A1D25}"/>
                </c:ext>
              </c:extLst>
            </c:dLbl>
            <c:dLbl>
              <c:idx val="4"/>
              <c:layout>
                <c:manualLayout>
                  <c:x val="-1.2515654143352E-2"/>
                  <c:y val="-0.10294365721997301"/>
                </c:manualLayout>
              </c:layout>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5"/>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687B-46F0-8F71-E0FCA42A1D25}"/>
                </c:ext>
              </c:extLst>
            </c:dLbl>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Sheet1!$B$97:$B$101</c:f>
              <c:strCache>
                <c:ptCount val="5"/>
                <c:pt idx="0">
                  <c:v>Бромовни успоривачи горења</c:v>
                </c:pt>
                <c:pt idx="1">
                  <c:v>Остале SVHC</c:v>
                </c:pt>
                <c:pt idx="2">
                  <c:v>Једињења хрома</c:v>
                </c:pt>
                <c:pt idx="3">
                  <c:v>Фталати</c:v>
                </c:pt>
                <c:pt idx="4">
                  <c:v>Трихлоретилен</c:v>
                </c:pt>
              </c:strCache>
            </c:strRef>
          </c:cat>
          <c:val>
            <c:numRef>
              <c:f>Sheet1!$C$97:$C$101</c:f>
              <c:numCache>
                <c:formatCode>0%</c:formatCode>
                <c:ptCount val="5"/>
                <c:pt idx="0">
                  <c:v>0.02</c:v>
                </c:pt>
                <c:pt idx="1">
                  <c:v>0.1</c:v>
                </c:pt>
                <c:pt idx="2">
                  <c:v>0.08</c:v>
                </c:pt>
                <c:pt idx="3">
                  <c:v>0.28999999999999998</c:v>
                </c:pt>
                <c:pt idx="4">
                  <c:v>0.51</c:v>
                </c:pt>
              </c:numCache>
            </c:numRef>
          </c:val>
          <c:extLst>
            <c:ext xmlns:c16="http://schemas.microsoft.com/office/drawing/2014/chart" uri="{C3380CC4-5D6E-409C-BE32-E72D297353CC}">
              <c16:uniqueId val="{0000000A-687B-46F0-8F71-E0FCA42A1D25}"/>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86946493892988"/>
          <c:y val="0.18555097279506699"/>
          <c:w val="0.48803294273255199"/>
          <c:h val="0.65587496007443502"/>
        </c:manualLayout>
      </c:layout>
      <c:pieChart>
        <c:varyColors val="1"/>
        <c:ser>
          <c:idx val="0"/>
          <c:order val="0"/>
          <c:dPt>
            <c:idx val="0"/>
            <c:bubble3D val="0"/>
            <c:spPr>
              <a:solidFill>
                <a:schemeClr val="accent1"/>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FC68-4C8E-9D74-C4C0C4C4A2F1}"/>
              </c:ext>
            </c:extLst>
          </c:dPt>
          <c:dPt>
            <c:idx val="1"/>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FC68-4C8E-9D74-C4C0C4C4A2F1}"/>
              </c:ext>
            </c:extLst>
          </c:dPt>
          <c:dPt>
            <c:idx val="2"/>
            <c:bubble3D val="0"/>
            <c:spPr>
              <a:solidFill>
                <a:schemeClr val="accent3"/>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FC68-4C8E-9D74-C4C0C4C4A2F1}"/>
              </c:ext>
            </c:extLst>
          </c:dPt>
          <c:dPt>
            <c:idx val="3"/>
            <c:bubble3D val="0"/>
            <c:spPr>
              <a:solidFill>
                <a:schemeClr val="accent4"/>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FC68-4C8E-9D74-C4C0C4C4A2F1}"/>
              </c:ext>
            </c:extLst>
          </c:dPt>
          <c:dPt>
            <c:idx val="4"/>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FC68-4C8E-9D74-C4C0C4C4A2F1}"/>
              </c:ext>
            </c:extLst>
          </c:dPt>
          <c:dPt>
            <c:idx val="5"/>
            <c:bubble3D val="0"/>
            <c:spPr>
              <a:solidFill>
                <a:schemeClr val="accent6"/>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FC68-4C8E-9D74-C4C0C4C4A2F1}"/>
              </c:ext>
            </c:extLst>
          </c:dPt>
          <c:dPt>
            <c:idx val="6"/>
            <c:bubble3D val="0"/>
            <c:spPr>
              <a:solidFill>
                <a:schemeClr val="accent1">
                  <a:lumMod val="60000"/>
                </a:schemeClr>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FC68-4C8E-9D74-C4C0C4C4A2F1}"/>
              </c:ext>
            </c:extLst>
          </c:dPt>
          <c:dPt>
            <c:idx val="7"/>
            <c:bubble3D val="0"/>
            <c:spPr>
              <a:solidFill>
                <a:schemeClr val="accent2">
                  <a:lumMod val="60000"/>
                </a:schemeClr>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F-FC68-4C8E-9D74-C4C0C4C4A2F1}"/>
              </c:ext>
            </c:extLst>
          </c:dPt>
          <c:dPt>
            <c:idx val="8"/>
            <c:bubble3D val="0"/>
            <c:spPr>
              <a:solidFill>
                <a:schemeClr val="accent3">
                  <a:lumMod val="60000"/>
                </a:schemeClr>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1-FC68-4C8E-9D74-C4C0C4C4A2F1}"/>
              </c:ext>
            </c:extLst>
          </c:dPt>
          <c:dPt>
            <c:idx val="9"/>
            <c:bubble3D val="0"/>
            <c:spPr>
              <a:solidFill>
                <a:schemeClr val="accent4">
                  <a:lumMod val="60000"/>
                </a:schemeClr>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3-FC68-4C8E-9D74-C4C0C4C4A2F1}"/>
              </c:ext>
            </c:extLst>
          </c:dPt>
          <c:dPt>
            <c:idx val="10"/>
            <c:bubble3D val="0"/>
            <c:spPr>
              <a:solidFill>
                <a:schemeClr val="accent5">
                  <a:lumMod val="60000"/>
                </a:schemeClr>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5-FC68-4C8E-9D74-C4C0C4C4A2F1}"/>
              </c:ext>
            </c:extLst>
          </c:dPt>
          <c:dPt>
            <c:idx val="11"/>
            <c:bubble3D val="0"/>
            <c:spPr>
              <a:solidFill>
                <a:schemeClr val="accent6">
                  <a:lumMod val="60000"/>
                </a:schemeClr>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7-FC68-4C8E-9D74-C4C0C4C4A2F1}"/>
              </c:ext>
            </c:extLst>
          </c:dPt>
          <c:dLbls>
            <c:dLbl>
              <c:idx val="0"/>
              <c:layout>
                <c:manualLayout>
                  <c:x val="-6.7786476547166E-3"/>
                  <c:y val="2.00583271837645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C68-4C8E-9D74-C4C0C4C4A2F1}"/>
                </c:ext>
              </c:extLst>
            </c:dLbl>
            <c:dLbl>
              <c:idx val="1"/>
              <c:layout>
                <c:manualLayout>
                  <c:x val="-8.8804533387481302E-3"/>
                  <c:y val="2.402260370946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C68-4C8E-9D74-C4C0C4C4A2F1}"/>
                </c:ext>
              </c:extLst>
            </c:dLbl>
            <c:dLbl>
              <c:idx val="2"/>
              <c:layout>
                <c:manualLayout>
                  <c:x val="-1.4293745158645999E-3"/>
                  <c:y val="-2.88314381363647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C68-4C8E-9D74-C4C0C4C4A2F1}"/>
                </c:ext>
              </c:extLst>
            </c:dLbl>
            <c:dLbl>
              <c:idx val="3"/>
              <c:layout>
                <c:manualLayout>
                  <c:x val="1.3254781189600599E-2"/>
                  <c:y val="-3.0260500356649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C68-4C8E-9D74-C4C0C4C4A2F1}"/>
                </c:ext>
              </c:extLst>
            </c:dLbl>
            <c:dLbl>
              <c:idx val="4"/>
              <c:layout>
                <c:manualLayout>
                  <c:x val="1.07865367115644E-2"/>
                  <c:y val="-1.6903790958824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C68-4C8E-9D74-C4C0C4C4A2F1}"/>
                </c:ext>
              </c:extLst>
            </c:dLbl>
            <c:dLbl>
              <c:idx val="5"/>
              <c:layout>
                <c:manualLayout>
                  <c:x val="7.1633237822349601E-3"/>
                  <c:y val="-6.8892630839458499E-3"/>
                </c:manualLayout>
              </c:layout>
              <c:spPr>
                <a:noFill/>
                <a:ln>
                  <a:noFill/>
                </a:ln>
                <a:effectLst/>
              </c:spPr>
              <c:txPr>
                <a:bodyPr rot="0" spcFirstLastPara="1" vertOverflow="ellipsis" vert="horz" wrap="square" lIns="38100" tIns="19050" rIns="38100" bIns="19050" anchor="ctr" anchorCtr="1">
                  <a:noAutofit/>
                </a:bodyPr>
                <a:lstStyle/>
                <a:p>
                  <a:pPr>
                    <a:defRPr lang="en-US" sz="900" b="0" i="0" u="none" strike="noStrike" kern="1200" baseline="0">
                      <a:solidFill>
                        <a:schemeClr val="tx1">
                          <a:lumMod val="50000"/>
                          <a:lumOff val="50000"/>
                        </a:schemeClr>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4.8352435530086002E-2"/>
                      <c:h val="5.9675210330659402E-2"/>
                    </c:manualLayout>
                  </c15:layout>
                </c:ext>
                <c:ext xmlns:c16="http://schemas.microsoft.com/office/drawing/2014/chart" uri="{C3380CC4-5D6E-409C-BE32-E72D297353CC}">
                  <c16:uniqueId val="{0000000B-FC68-4C8E-9D74-C4C0C4C4A2F1}"/>
                </c:ext>
              </c:extLst>
            </c:dLbl>
            <c:dLbl>
              <c:idx val="7"/>
              <c:layout>
                <c:manualLayout>
                  <c:x val="5.1995201889162099E-3"/>
                  <c:y val="-7.4032078410468704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FC68-4C8E-9D74-C4C0C4C4A2F1}"/>
                </c:ext>
              </c:extLst>
            </c:dLbl>
            <c:dLbl>
              <c:idx val="8"/>
              <c:layout>
                <c:manualLayout>
                  <c:x val="8.0997262519835397E-3"/>
                  <c:y val="1.4722606944724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FC68-4C8E-9D74-C4C0C4C4A2F1}"/>
                </c:ext>
              </c:extLst>
            </c:dLbl>
            <c:dLbl>
              <c:idx val="10"/>
              <c:layout>
                <c:manualLayout>
                  <c:x val="3.62311892245561E-3"/>
                  <c:y val="2.391291286202220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5-FC68-4C8E-9D74-C4C0C4C4A2F1}"/>
                </c:ext>
              </c:extLst>
            </c:dLbl>
            <c:dLbl>
              <c:idx val="11"/>
              <c:layout>
                <c:manualLayout>
                  <c:x val="2.1610300145146599E-2"/>
                  <c:y val="1.23414528182998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7-FC68-4C8E-9D74-C4C0C4C4A2F1}"/>
                </c:ext>
              </c:extLst>
            </c:dLbl>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50000"/>
                        <a:lumOff val="50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Sheet1!$B$115:$B$126</c:f>
              <c:strCache>
                <c:ptCount val="12"/>
                <c:pt idx="0">
                  <c:v>Папир и картон</c:v>
                </c:pt>
                <c:pt idx="1">
                  <c:v>Стакло</c:v>
                </c:pt>
                <c:pt idx="2">
                  <c:v>Биоразградиви отпад</c:v>
                </c:pt>
                <c:pt idx="3">
                  <c:v>ПЕТ амбалажа</c:v>
                </c:pt>
                <c:pt idx="4">
                  <c:v>Пластичне кесе</c:v>
                </c:pt>
                <c:pt idx="5">
                  <c:v>Пластика - остало</c:v>
                </c:pt>
                <c:pt idx="6">
                  <c:v>Метал - алуминијумске конѕерве</c:v>
                </c:pt>
                <c:pt idx="7">
                  <c:v>Метал - остало</c:v>
                </c:pt>
                <c:pt idx="8">
                  <c:v>Композитни материјали</c:v>
                </c:pt>
                <c:pt idx="9">
                  <c:v>Текстил</c:v>
                </c:pt>
                <c:pt idx="10">
                  <c:v>Фини елементи (пепео, ѕемља, итд)</c:v>
                </c:pt>
                <c:pt idx="11">
                  <c:v>Остало (кожа, пелене, гума)</c:v>
                </c:pt>
              </c:strCache>
            </c:strRef>
          </c:cat>
          <c:val>
            <c:numRef>
              <c:f>Sheet1!$C$115:$C$126</c:f>
              <c:numCache>
                <c:formatCode>0%</c:formatCode>
                <c:ptCount val="12"/>
                <c:pt idx="0">
                  <c:v>0.06</c:v>
                </c:pt>
                <c:pt idx="1">
                  <c:v>0.04</c:v>
                </c:pt>
                <c:pt idx="2">
                  <c:v>0.48</c:v>
                </c:pt>
                <c:pt idx="3">
                  <c:v>0.04</c:v>
                </c:pt>
                <c:pt idx="4">
                  <c:v>0.04</c:v>
                </c:pt>
                <c:pt idx="5">
                  <c:v>0.05</c:v>
                </c:pt>
                <c:pt idx="6">
                  <c:v>0.01</c:v>
                </c:pt>
                <c:pt idx="7">
                  <c:v>0.04</c:v>
                </c:pt>
                <c:pt idx="8">
                  <c:v>0.03</c:v>
                </c:pt>
                <c:pt idx="9">
                  <c:v>0.03</c:v>
                </c:pt>
                <c:pt idx="10">
                  <c:v>0.08</c:v>
                </c:pt>
                <c:pt idx="11">
                  <c:v>0.1</c:v>
                </c:pt>
              </c:numCache>
            </c:numRef>
          </c:val>
          <c:extLst>
            <c:ext xmlns:c16="http://schemas.microsoft.com/office/drawing/2014/chart" uri="{C3380CC4-5D6E-409C-BE32-E72D297353CC}">
              <c16:uniqueId val="{00000018-FC68-4C8E-9D74-C4C0C4C4A2F1}"/>
            </c:ext>
          </c:extLst>
        </c:ser>
        <c:dLbls>
          <c:showLegendKey val="0"/>
          <c:showVal val="0"/>
          <c:showCatName val="0"/>
          <c:showSerName val="0"/>
          <c:showPercent val="1"/>
          <c:showBubbleSize val="0"/>
          <c:showLeaderLines val="1"/>
        </c:dLbls>
        <c:firstSliceAng val="0"/>
      </c:pieChart>
      <c:spPr>
        <a:noFill/>
        <a:ln>
          <a:noFill/>
        </a:ln>
        <a:effectLst/>
      </c:spPr>
    </c:plotArea>
    <c:legend>
      <c:legendPos val="t"/>
      <c:layout>
        <c:manualLayout>
          <c:xMode val="edge"/>
          <c:yMode val="edge"/>
          <c:x val="3.3003286006572E-2"/>
          <c:y val="6.8150370092627297E-2"/>
          <c:w val="0.39704693409386799"/>
          <c:h val="0.93165993139746395"/>
        </c:manualLayout>
      </c:layout>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1"/>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EE33-4914-B3CB-CC872AD2A4C2}"/>
              </c:ext>
            </c:extLst>
          </c:dPt>
          <c:dPt>
            <c:idx val="1"/>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EE33-4914-B3CB-CC872AD2A4C2}"/>
              </c:ext>
            </c:extLst>
          </c:dPt>
          <c:dPt>
            <c:idx val="2"/>
            <c:bubble3D val="0"/>
            <c:spPr>
              <a:solidFill>
                <a:schemeClr val="accent3"/>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EE33-4914-B3CB-CC872AD2A4C2}"/>
              </c:ext>
            </c:extLst>
          </c:dPt>
          <c:dPt>
            <c:idx val="3"/>
            <c:bubble3D val="0"/>
            <c:spPr>
              <a:solidFill>
                <a:schemeClr val="accent4"/>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EE33-4914-B3CB-CC872AD2A4C2}"/>
              </c:ext>
            </c:extLst>
          </c:dPt>
          <c:dPt>
            <c:idx val="4"/>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EE33-4914-B3CB-CC872AD2A4C2}"/>
              </c:ext>
            </c:extLst>
          </c:dPt>
          <c:dPt>
            <c:idx val="5"/>
            <c:bubble3D val="0"/>
            <c:spPr>
              <a:solidFill>
                <a:schemeClr val="accent6"/>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EE33-4914-B3CB-CC872AD2A4C2}"/>
              </c:ext>
            </c:extLst>
          </c:dPt>
          <c:dLbls>
            <c:dLbl>
              <c:idx val="0"/>
              <c:layout>
                <c:manualLayout>
                  <c:x val="-4.2173870278049601E-3"/>
                  <c:y val="-3.46139824257147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E33-4914-B3CB-CC872AD2A4C2}"/>
                </c:ext>
              </c:extLst>
            </c:dLbl>
            <c:dLbl>
              <c:idx val="1"/>
              <c:layout>
                <c:manualLayout>
                  <c:x val="9.3954971604880803E-3"/>
                  <c:y val="3.9962929774409999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E33-4914-B3CB-CC872AD2A4C2}"/>
                </c:ext>
              </c:extLst>
            </c:dLbl>
            <c:dLbl>
              <c:idx val="4"/>
              <c:layout>
                <c:manualLayout>
                  <c:x val="6.0866504113021398E-3"/>
                  <c:y val="1.70516223334480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E33-4914-B3CB-CC872AD2A4C2}"/>
                </c:ext>
              </c:extLst>
            </c:dLbl>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Sheet3!$A$4:$A$9</c:f>
              <c:strCache>
                <c:ptCount val="6"/>
                <c:pt idx="0">
                  <c:v>Биомаса</c:v>
                </c:pt>
                <c:pt idx="1">
                  <c:v>Хидропотенцијал</c:v>
                </c:pt>
                <c:pt idx="2">
                  <c:v>Геотермална енергија</c:v>
                </c:pt>
                <c:pt idx="3">
                  <c:v>Енергија ветра</c:v>
                </c:pt>
                <c:pt idx="4">
                  <c:v>Соларна енергија</c:v>
                </c:pt>
                <c:pt idx="5">
                  <c:v>Биоразградиви део отпада</c:v>
                </c:pt>
              </c:strCache>
            </c:strRef>
          </c:cat>
          <c:val>
            <c:numRef>
              <c:f>Sheet3!$C$4:$C$9</c:f>
              <c:numCache>
                <c:formatCode>0</c:formatCode>
                <c:ptCount val="6"/>
                <c:pt idx="0">
                  <c:v>60.283687943262201</c:v>
                </c:pt>
                <c:pt idx="1">
                  <c:v>30.1418439716312</c:v>
                </c:pt>
                <c:pt idx="2">
                  <c:v>3.5460992907801399</c:v>
                </c:pt>
                <c:pt idx="3">
                  <c:v>1.7730496453900699</c:v>
                </c:pt>
                <c:pt idx="4">
                  <c:v>3.5460992907801399</c:v>
                </c:pt>
                <c:pt idx="5">
                  <c:v>0.70921985815602895</c:v>
                </c:pt>
              </c:numCache>
            </c:numRef>
          </c:val>
          <c:extLst>
            <c:ext xmlns:c16="http://schemas.microsoft.com/office/drawing/2014/chart" uri="{C3380CC4-5D6E-409C-BE32-E72D297353CC}">
              <c16:uniqueId val="{0000000C-EE33-4914-B3CB-CC872AD2A4C2}"/>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98372410152604"/>
          <c:y val="0.147077223727373"/>
          <c:w val="0.38673646241147203"/>
          <c:h val="0.697278674170563"/>
        </c:manualLayout>
      </c:layout>
      <c:pieChart>
        <c:varyColors val="1"/>
        <c:ser>
          <c:idx val="0"/>
          <c:order val="0"/>
          <c:tx>
            <c:strRef>
              <c:f>Sheet1!$B$1</c:f>
              <c:strCache>
                <c:ptCount val="1"/>
                <c:pt idx="0">
                  <c:v>Запослени у правним лицима, лица која 
самостално обављају делатност, 
предузетници  и запослени код  њих</c:v>
                </c:pt>
              </c:strCache>
            </c:strRef>
          </c:tx>
          <c:dPt>
            <c:idx val="0"/>
            <c:bubble3D val="0"/>
            <c:spPr>
              <a:solidFill>
                <a:schemeClr val="accent1"/>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6212-46D8-82BA-6642AA2452D2}"/>
              </c:ext>
            </c:extLst>
          </c:dPt>
          <c:dPt>
            <c:idx val="1"/>
            <c:bubble3D val="0"/>
            <c:spPr>
              <a:solidFill>
                <a:srgbClr val="FF6600"/>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6212-46D8-82BA-6642AA2452D2}"/>
              </c:ext>
            </c:extLst>
          </c:dPt>
          <c:dPt>
            <c:idx val="2"/>
            <c:bubble3D val="0"/>
            <c:spPr>
              <a:solidFill>
                <a:srgbClr val="FFFFCC"/>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6212-46D8-82BA-6642AA2452D2}"/>
              </c:ext>
            </c:extLst>
          </c:dPt>
          <c:dPt>
            <c:idx val="3"/>
            <c:bubble3D val="0"/>
            <c:spPr>
              <a:solidFill>
                <a:schemeClr val="accent4"/>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6212-46D8-82BA-6642AA2452D2}"/>
              </c:ext>
            </c:extLst>
          </c:dPt>
          <c:dPt>
            <c:idx val="4"/>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6212-46D8-82BA-6642AA2452D2}"/>
              </c:ext>
            </c:extLst>
          </c:dPt>
          <c:dPt>
            <c:idx val="5"/>
            <c:bubble3D val="0"/>
            <c:spPr>
              <a:solidFill>
                <a:schemeClr val="accent6"/>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6212-46D8-82BA-6642AA2452D2}"/>
              </c:ext>
            </c:extLst>
          </c:dPt>
          <c:dPt>
            <c:idx val="6"/>
            <c:bubble3D val="0"/>
            <c:spPr>
              <a:solidFill>
                <a:srgbClr val="CCECFF"/>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6212-46D8-82BA-6642AA2452D2}"/>
              </c:ext>
            </c:extLst>
          </c:dPt>
          <c:dPt>
            <c:idx val="7"/>
            <c:bubble3D val="0"/>
            <c:spPr>
              <a:solidFill>
                <a:schemeClr val="accent4">
                  <a:lumMod val="40000"/>
                  <a:lumOff val="60000"/>
                </a:schemeClr>
              </a:solidFill>
              <a:ln>
                <a:noFill/>
              </a:ln>
              <a:effectLst/>
            </c:spPr>
            <c:extLst>
              <c:ext xmlns:c16="http://schemas.microsoft.com/office/drawing/2014/chart" uri="{C3380CC4-5D6E-409C-BE32-E72D297353CC}">
                <c16:uniqueId val="{0000000F-6212-46D8-82BA-6642AA2452D2}"/>
              </c:ext>
            </c:extLst>
          </c:dPt>
          <c:dPt>
            <c:idx val="8"/>
            <c:bubble3D val="0"/>
            <c:spPr>
              <a:solidFill>
                <a:schemeClr val="accent6">
                  <a:lumMod val="20000"/>
                  <a:lumOff val="80000"/>
                </a:schemeClr>
              </a:solidFill>
              <a:ln>
                <a:noFill/>
              </a:ln>
              <a:effectLst/>
            </c:spPr>
            <c:extLst>
              <c:ext xmlns:c16="http://schemas.microsoft.com/office/drawing/2014/chart" uri="{C3380CC4-5D6E-409C-BE32-E72D297353CC}">
                <c16:uniqueId val="{00000011-6212-46D8-82BA-6642AA2452D2}"/>
              </c:ext>
            </c:extLst>
          </c:dPt>
          <c:dPt>
            <c:idx val="9"/>
            <c:bubble3D val="0"/>
            <c:spPr>
              <a:solidFill>
                <a:schemeClr val="accent4">
                  <a:lumMod val="60000"/>
                </a:schemeClr>
              </a:solidFill>
              <a:ln>
                <a:noFill/>
              </a:ln>
              <a:effectLst/>
            </c:spPr>
            <c:extLst>
              <c:ext xmlns:c16="http://schemas.microsoft.com/office/drawing/2014/chart" uri="{C3380CC4-5D6E-409C-BE32-E72D297353CC}">
                <c16:uniqueId val="{00000013-6212-46D8-82BA-6642AA2452D2}"/>
              </c:ext>
            </c:extLst>
          </c:dPt>
          <c:dPt>
            <c:idx val="10"/>
            <c:bubble3D val="0"/>
            <c:spPr>
              <a:solidFill>
                <a:schemeClr val="accent5">
                  <a:lumMod val="60000"/>
                </a:schemeClr>
              </a:solidFill>
              <a:ln>
                <a:noFill/>
              </a:ln>
              <a:effectLst/>
            </c:spPr>
            <c:extLst>
              <c:ext xmlns:c16="http://schemas.microsoft.com/office/drawing/2014/chart" uri="{C3380CC4-5D6E-409C-BE32-E72D297353CC}">
                <c16:uniqueId val="{00000015-6212-46D8-82BA-6642AA2452D2}"/>
              </c:ext>
            </c:extLst>
          </c:dPt>
          <c:dPt>
            <c:idx val="11"/>
            <c:bubble3D val="0"/>
            <c:spPr>
              <a:solidFill>
                <a:schemeClr val="accent6">
                  <a:lumMod val="60000"/>
                </a:schemeClr>
              </a:solidFill>
              <a:ln>
                <a:noFill/>
              </a:ln>
              <a:effectLst/>
            </c:spPr>
            <c:extLst>
              <c:ext xmlns:c16="http://schemas.microsoft.com/office/drawing/2014/chart" uri="{C3380CC4-5D6E-409C-BE32-E72D297353CC}">
                <c16:uniqueId val="{00000017-6212-46D8-82BA-6642AA2452D2}"/>
              </c:ext>
            </c:extLst>
          </c:dPt>
          <c:dPt>
            <c:idx val="12"/>
            <c:bubble3D val="0"/>
            <c:spPr>
              <a:solidFill>
                <a:schemeClr val="accent1">
                  <a:lumMod val="80000"/>
                  <a:lumOff val="20000"/>
                </a:schemeClr>
              </a:solidFill>
              <a:ln>
                <a:noFill/>
              </a:ln>
              <a:effectLst/>
            </c:spPr>
            <c:extLst>
              <c:ext xmlns:c16="http://schemas.microsoft.com/office/drawing/2014/chart" uri="{C3380CC4-5D6E-409C-BE32-E72D297353CC}">
                <c16:uniqueId val="{00000019-6212-46D8-82BA-6642AA2452D2}"/>
              </c:ext>
            </c:extLst>
          </c:dPt>
          <c:dPt>
            <c:idx val="13"/>
            <c:bubble3D val="0"/>
            <c:spPr>
              <a:solidFill>
                <a:schemeClr val="accent2">
                  <a:lumMod val="80000"/>
                  <a:lumOff val="20000"/>
                </a:schemeClr>
              </a:solidFill>
              <a:ln>
                <a:noFill/>
              </a:ln>
              <a:effectLst/>
            </c:spPr>
            <c:extLst>
              <c:ext xmlns:c16="http://schemas.microsoft.com/office/drawing/2014/chart" uri="{C3380CC4-5D6E-409C-BE32-E72D297353CC}">
                <c16:uniqueId val="{0000001B-6212-46D8-82BA-6642AA2452D2}"/>
              </c:ext>
            </c:extLst>
          </c:dPt>
          <c:dPt>
            <c:idx val="14"/>
            <c:bubble3D val="0"/>
            <c:spPr>
              <a:solidFill>
                <a:schemeClr val="accent3">
                  <a:lumMod val="80000"/>
                  <a:lumOff val="20000"/>
                </a:schemeClr>
              </a:solidFill>
              <a:ln>
                <a:noFill/>
              </a:ln>
              <a:effectLst/>
            </c:spPr>
            <c:extLst>
              <c:ext xmlns:c16="http://schemas.microsoft.com/office/drawing/2014/chart" uri="{C3380CC4-5D6E-409C-BE32-E72D297353CC}">
                <c16:uniqueId val="{0000001D-6212-46D8-82BA-6642AA2452D2}"/>
              </c:ext>
            </c:extLst>
          </c:dPt>
          <c:dPt>
            <c:idx val="15"/>
            <c:bubble3D val="0"/>
            <c:spPr>
              <a:solidFill>
                <a:schemeClr val="accent4">
                  <a:lumMod val="80000"/>
                  <a:lumOff val="20000"/>
                </a:schemeClr>
              </a:solidFill>
              <a:ln>
                <a:noFill/>
              </a:ln>
              <a:effectLst/>
            </c:spPr>
            <c:extLst>
              <c:ext xmlns:c16="http://schemas.microsoft.com/office/drawing/2014/chart" uri="{C3380CC4-5D6E-409C-BE32-E72D297353CC}">
                <c16:uniqueId val="{0000001F-6212-46D8-82BA-6642AA2452D2}"/>
              </c:ext>
            </c:extLst>
          </c:dPt>
          <c:dPt>
            <c:idx val="16"/>
            <c:bubble3D val="0"/>
            <c:spPr>
              <a:solidFill>
                <a:schemeClr val="accent5">
                  <a:lumMod val="80000"/>
                  <a:lumOff val="20000"/>
                </a:schemeClr>
              </a:solidFill>
              <a:ln>
                <a:noFill/>
              </a:ln>
              <a:effectLst/>
            </c:spPr>
            <c:extLst>
              <c:ext xmlns:c16="http://schemas.microsoft.com/office/drawing/2014/chart" uri="{C3380CC4-5D6E-409C-BE32-E72D297353CC}">
                <c16:uniqueId val="{00000021-6212-46D8-82BA-6642AA2452D2}"/>
              </c:ext>
            </c:extLst>
          </c:dPt>
          <c:dPt>
            <c:idx val="17"/>
            <c:bubble3D val="0"/>
            <c:spPr>
              <a:solidFill>
                <a:schemeClr val="accent6">
                  <a:lumMod val="80000"/>
                  <a:lumOff val="20000"/>
                </a:schemeClr>
              </a:solidFill>
              <a:ln>
                <a:noFill/>
              </a:ln>
              <a:effectLst/>
            </c:spPr>
            <c:extLst>
              <c:ext xmlns:c16="http://schemas.microsoft.com/office/drawing/2014/chart" uri="{C3380CC4-5D6E-409C-BE32-E72D297353CC}">
                <c16:uniqueId val="{00000023-6212-46D8-82BA-6642AA2452D2}"/>
              </c:ext>
            </c:extLst>
          </c:dPt>
          <c:dPt>
            <c:idx val="18"/>
            <c:bubble3D val="0"/>
            <c:spPr>
              <a:solidFill>
                <a:schemeClr val="bg2">
                  <a:lumMod val="90000"/>
                </a:schemeClr>
              </a:solidFill>
              <a:ln>
                <a:noFill/>
              </a:ln>
              <a:effectLst/>
            </c:spPr>
            <c:extLst>
              <c:ext xmlns:c16="http://schemas.microsoft.com/office/drawing/2014/chart" uri="{C3380CC4-5D6E-409C-BE32-E72D297353CC}">
                <c16:uniqueId val="{00000025-6212-46D8-82BA-6642AA2452D2}"/>
              </c:ext>
            </c:extLst>
          </c:dPt>
          <c:dLbls>
            <c:dLbl>
              <c:idx val="0"/>
              <c:layout>
                <c:manualLayout>
                  <c:x val="2.4936972236715701E-2"/>
                  <c:y val="-3.69678763587069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212-46D8-82BA-6642AA2452D2}"/>
                </c:ext>
              </c:extLst>
            </c:dLbl>
            <c:dLbl>
              <c:idx val="1"/>
              <c:layout>
                <c:manualLayout>
                  <c:x val="6.0304890808226499E-2"/>
                  <c:y val="-5.12723104085952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212-46D8-82BA-6642AA2452D2}"/>
                </c:ext>
              </c:extLst>
            </c:dLbl>
            <c:dLbl>
              <c:idx val="2"/>
              <c:layout>
                <c:manualLayout>
                  <c:x val="-9.7936919896186199E-3"/>
                  <c:y val="-3.25699366144905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212-46D8-82BA-6642AA2452D2}"/>
                </c:ext>
              </c:extLst>
            </c:dLbl>
            <c:dLbl>
              <c:idx val="3"/>
              <c:layout>
                <c:manualLayout>
                  <c:x val="2.3701545836419401E-3"/>
                  <c:y val="-5.290602224137509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212-46D8-82BA-6642AA2452D2}"/>
                </c:ext>
              </c:extLst>
            </c:dLbl>
            <c:dLbl>
              <c:idx val="4"/>
              <c:layout>
                <c:manualLayout>
                  <c:x val="3.7009975702671602E-2"/>
                  <c:y val="-3.8213661124453001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212-46D8-82BA-6642AA2452D2}"/>
                </c:ext>
              </c:extLst>
            </c:dLbl>
            <c:dLbl>
              <c:idx val="5"/>
              <c:layout>
                <c:manualLayout>
                  <c:x val="2.5560168098402798E-3"/>
                  <c:y val="3.47092638924909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6212-46D8-82BA-6642AA2452D2}"/>
                </c:ext>
              </c:extLst>
            </c:dLbl>
            <c:dLbl>
              <c:idx val="6"/>
              <c:layout>
                <c:manualLayout>
                  <c:x val="8.2140500593850408E-3"/>
                  <c:y val="2.264461603862780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6212-46D8-82BA-6642AA2452D2}"/>
                </c:ext>
              </c:extLst>
            </c:dLbl>
            <c:dLbl>
              <c:idx val="7"/>
              <c:layout>
                <c:manualLayout>
                  <c:x val="1.61405900623104E-2"/>
                  <c:y val="6.6349251508279897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6212-46D8-82BA-6642AA2452D2}"/>
                </c:ext>
              </c:extLst>
            </c:dLbl>
            <c:dLbl>
              <c:idx val="12"/>
              <c:layout>
                <c:manualLayout>
                  <c:x val="-7.0500597713867904E-3"/>
                  <c:y val="-2.49461731722037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9-6212-46D8-82BA-6642AA2452D2}"/>
                </c:ext>
              </c:extLst>
            </c:dLbl>
            <c:dLbl>
              <c:idx val="13"/>
              <c:layout>
                <c:manualLayout>
                  <c:x val="-5.3137955643440598E-3"/>
                  <c:y val="-1.41538152576836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B-6212-46D8-82BA-6642AA2452D2}"/>
                </c:ext>
              </c:extLst>
            </c:dLbl>
            <c:dLbl>
              <c:idx val="14"/>
              <c:layout>
                <c:manualLayout>
                  <c:x val="5.2450795397122902E-5"/>
                  <c:y val="1.92109248830612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D-6212-46D8-82BA-6642AA2452D2}"/>
                </c:ext>
              </c:extLst>
            </c:dLbl>
            <c:dLbl>
              <c:idx val="15"/>
              <c:layout>
                <c:manualLayout>
                  <c:x val="-3.29618316359936E-3"/>
                  <c:y val="-3.6793128131710801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F-6212-46D8-82BA-6642AA2452D2}"/>
                </c:ext>
              </c:extLst>
            </c:dLbl>
            <c:dLbl>
              <c:idx val="16"/>
              <c:layout>
                <c:manualLayout>
                  <c:x val="-1.5864263920706102E-2"/>
                  <c:y val="2.33864125114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21-6212-46D8-82BA-6642AA2452D2}"/>
                </c:ext>
              </c:extLst>
            </c:dLbl>
            <c:dLbl>
              <c:idx val="17"/>
              <c:layout>
                <c:manualLayout>
                  <c:x val="-2.4781081893601599E-2"/>
                  <c:y val="-2.57615035102546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23-6212-46D8-82BA-6642AA2452D2}"/>
                </c:ext>
              </c:extLst>
            </c:dLbl>
            <c:dLbl>
              <c:idx val="18"/>
              <c:layout>
                <c:manualLayout>
                  <c:x val="3.6146645123221501E-3"/>
                  <c:y val="-3.608994062907910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25-6212-46D8-82BA-6642AA2452D2}"/>
                </c:ext>
              </c:extLst>
            </c:dLbl>
            <c:spPr>
              <a:solidFill>
                <a:sysClr val="window" lastClr="FFFFFF"/>
              </a:solidFill>
              <a:ln>
                <a:solidFill>
                  <a:sysClr val="windowText" lastClr="000000">
                    <a:lumMod val="65000"/>
                    <a:lumOff val="35000"/>
                  </a:sysClr>
                </a:solidFill>
              </a:ln>
              <a:effectLst/>
            </c:spPr>
            <c:txPr>
              <a:bodyPr rot="0" spcFirstLastPara="1" vertOverflow="ellipsis" vert="horz" wrap="square" lIns="38100" tIns="19050" rIns="38100" bIns="19050" anchor="ctr" anchorCtr="1">
                <a:spAutoFit/>
              </a:bodyPr>
              <a:lstStyle/>
              <a:p>
                <a:pPr>
                  <a:defRPr lang="en-US" sz="1000" b="0" i="0" u="none" strike="noStrike" kern="1200" baseline="0">
                    <a:solidFill>
                      <a:schemeClr val="dk1"/>
                    </a:solidFill>
                    <a:latin typeface="+mn-lt"/>
                    <a:ea typeface="+mn-ea"/>
                    <a:cs typeface="+mn-cs"/>
                  </a:defRPr>
                </a:pPr>
                <a:endParaRPr lang="en-US"/>
              </a:p>
            </c:txPr>
            <c:dLblPos val="bestFit"/>
            <c:showLegendKey val="0"/>
            <c:showVal val="0"/>
            <c:showCatName val="0"/>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c15:spPr>
              </c:ext>
            </c:extLst>
          </c:dLbls>
          <c:cat>
            <c:strRef>
              <c:f>Sheet1!$A$2:$A$20</c:f>
              <c:strCache>
                <c:ptCount val="19"/>
                <c:pt idx="0">
                  <c:v>Пољопривреда, шумарство и рибарство </c:v>
                </c:pt>
                <c:pt idx="1">
                  <c:v>Рударство</c:v>
                </c:pt>
                <c:pt idx="2">
                  <c:v>Прерађивачка индустрија</c:v>
                </c:pt>
                <c:pt idx="3">
                  <c:v>Снабдевање електричном енергијом, гасом и паром</c:v>
                </c:pt>
                <c:pt idx="4">
                  <c:v>Снабдевање водом и управљање отпадним водама </c:v>
                </c:pt>
                <c:pt idx="5">
                  <c:v>Грађевинарство</c:v>
                </c:pt>
                <c:pt idx="6">
                  <c:v>Трговина на велико и мало и поправка  
моторних возила</c:v>
                </c:pt>
                <c:pt idx="7">
                  <c:v>Саобраћај и складиштење</c:v>
                </c:pt>
                <c:pt idx="8">
                  <c:v>Услуге смештаја и исхране</c:v>
                </c:pt>
                <c:pt idx="9">
                  <c:v>Информисање и комуникације</c:v>
                </c:pt>
                <c:pt idx="10">
                  <c:v>Финансијска делатност и делатност осигурања</c:v>
                </c:pt>
                <c:pt idx="11">
                  <c:v>Пословање некретнинама</c:v>
                </c:pt>
                <c:pt idx="12">
                  <c:v>Стручне, научне, иновационе и техничке делатности</c:v>
                </c:pt>
                <c:pt idx="13">
                  <c:v>Административне и помоћне услужне делатности</c:v>
                </c:pt>
                <c:pt idx="14">
                  <c:v>Државна управа и обавезно социјално осигурање</c:v>
                </c:pt>
                <c:pt idx="15">
                  <c:v>Образовање</c:v>
                </c:pt>
                <c:pt idx="16">
                  <c:v>Здравствена и социјална заштита</c:v>
                </c:pt>
                <c:pt idx="17">
                  <c:v>Уметност, забава и рекреација</c:v>
                </c:pt>
                <c:pt idx="18">
                  <c:v>Остале услужне делатности</c:v>
                </c:pt>
              </c:strCache>
            </c:strRef>
          </c:cat>
          <c:val>
            <c:numRef>
              <c:f>Sheet1!$B$2:$B$20</c:f>
              <c:numCache>
                <c:formatCode>General</c:formatCode>
                <c:ptCount val="19"/>
                <c:pt idx="0">
                  <c:v>30345</c:v>
                </c:pt>
                <c:pt idx="1">
                  <c:v>26776</c:v>
                </c:pt>
                <c:pt idx="2">
                  <c:v>476040</c:v>
                </c:pt>
                <c:pt idx="3">
                  <c:v>24643</c:v>
                </c:pt>
                <c:pt idx="4">
                  <c:v>35518</c:v>
                </c:pt>
                <c:pt idx="5">
                  <c:v>115291</c:v>
                </c:pt>
                <c:pt idx="6">
                  <c:v>348027</c:v>
                </c:pt>
                <c:pt idx="7">
                  <c:v>122868</c:v>
                </c:pt>
                <c:pt idx="8">
                  <c:v>85840</c:v>
                </c:pt>
                <c:pt idx="9">
                  <c:v>73882</c:v>
                </c:pt>
                <c:pt idx="10">
                  <c:v>43736</c:v>
                </c:pt>
                <c:pt idx="11">
                  <c:v>7249</c:v>
                </c:pt>
                <c:pt idx="12">
                  <c:v>108902</c:v>
                </c:pt>
                <c:pt idx="13">
                  <c:v>101644</c:v>
                </c:pt>
                <c:pt idx="14">
                  <c:v>157733</c:v>
                </c:pt>
                <c:pt idx="15">
                  <c:v>151217</c:v>
                </c:pt>
                <c:pt idx="16">
                  <c:v>155240</c:v>
                </c:pt>
                <c:pt idx="17">
                  <c:v>37892</c:v>
                </c:pt>
                <c:pt idx="18">
                  <c:v>44064</c:v>
                </c:pt>
              </c:numCache>
            </c:numRef>
          </c:val>
          <c:extLst>
            <c:ext xmlns:c16="http://schemas.microsoft.com/office/drawing/2014/chart" uri="{C3380CC4-5D6E-409C-BE32-E72D297353CC}">
              <c16:uniqueId val="{00000026-6212-46D8-82BA-6642AA2452D2}"/>
            </c:ext>
          </c:extLst>
        </c:ser>
        <c:ser>
          <c:idx val="1"/>
          <c:order val="1"/>
          <c:tx>
            <c:strRef>
              <c:f>Sheet1!$C$1</c:f>
              <c:strCache>
                <c:ptCount val="1"/>
                <c:pt idx="0">
                  <c:v>Column1</c:v>
                </c:pt>
              </c:strCache>
            </c:strRef>
          </c:tx>
          <c:dPt>
            <c:idx val="0"/>
            <c:bubble3D val="0"/>
            <c:spPr>
              <a:solidFill>
                <a:schemeClr val="accent1"/>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28-6212-46D8-82BA-6642AA2452D2}"/>
              </c:ext>
            </c:extLst>
          </c:dPt>
          <c:dPt>
            <c:idx val="1"/>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2A-6212-46D8-82BA-6642AA2452D2}"/>
              </c:ext>
            </c:extLst>
          </c:dPt>
          <c:dPt>
            <c:idx val="2"/>
            <c:bubble3D val="0"/>
            <c:spPr>
              <a:solidFill>
                <a:schemeClr val="accent3"/>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2C-6212-46D8-82BA-6642AA2452D2}"/>
              </c:ext>
            </c:extLst>
          </c:dPt>
          <c:dPt>
            <c:idx val="3"/>
            <c:bubble3D val="0"/>
            <c:spPr>
              <a:solidFill>
                <a:schemeClr val="accent4"/>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2E-6212-46D8-82BA-6642AA2452D2}"/>
              </c:ext>
            </c:extLst>
          </c:dPt>
          <c:dPt>
            <c:idx val="4"/>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30-6212-46D8-82BA-6642AA2452D2}"/>
              </c:ext>
            </c:extLst>
          </c:dPt>
          <c:dPt>
            <c:idx val="5"/>
            <c:bubble3D val="0"/>
            <c:spPr>
              <a:solidFill>
                <a:schemeClr val="accent6"/>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32-6212-46D8-82BA-6642AA2452D2}"/>
              </c:ext>
            </c:extLst>
          </c:dPt>
          <c:dPt>
            <c:idx val="6"/>
            <c:bubble3D val="0"/>
            <c:spPr>
              <a:solidFill>
                <a:schemeClr val="accent1">
                  <a:lumMod val="60000"/>
                </a:schemeClr>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34-6212-46D8-82BA-6642AA2452D2}"/>
              </c:ext>
            </c:extLst>
          </c:dPt>
          <c:dPt>
            <c:idx val="7"/>
            <c:bubble3D val="0"/>
            <c:spPr>
              <a:solidFill>
                <a:schemeClr val="accent2">
                  <a:lumMod val="60000"/>
                </a:schemeClr>
              </a:solidFill>
              <a:ln>
                <a:noFill/>
              </a:ln>
              <a:effectLst/>
            </c:spPr>
            <c:extLst>
              <c:ext xmlns:c16="http://schemas.microsoft.com/office/drawing/2014/chart" uri="{C3380CC4-5D6E-409C-BE32-E72D297353CC}">
                <c16:uniqueId val="{00000036-6212-46D8-82BA-6642AA2452D2}"/>
              </c:ext>
            </c:extLst>
          </c:dPt>
          <c:dPt>
            <c:idx val="8"/>
            <c:bubble3D val="0"/>
            <c:spPr>
              <a:solidFill>
                <a:schemeClr val="accent3">
                  <a:lumMod val="60000"/>
                </a:schemeClr>
              </a:solidFill>
              <a:ln>
                <a:noFill/>
              </a:ln>
              <a:effectLst/>
            </c:spPr>
            <c:extLst>
              <c:ext xmlns:c16="http://schemas.microsoft.com/office/drawing/2014/chart" uri="{C3380CC4-5D6E-409C-BE32-E72D297353CC}">
                <c16:uniqueId val="{00000038-6212-46D8-82BA-6642AA2452D2}"/>
              </c:ext>
            </c:extLst>
          </c:dPt>
          <c:dPt>
            <c:idx val="9"/>
            <c:bubble3D val="0"/>
            <c:spPr>
              <a:solidFill>
                <a:schemeClr val="accent4">
                  <a:lumMod val="60000"/>
                </a:schemeClr>
              </a:solidFill>
              <a:ln>
                <a:noFill/>
              </a:ln>
              <a:effectLst/>
            </c:spPr>
            <c:extLst>
              <c:ext xmlns:c16="http://schemas.microsoft.com/office/drawing/2014/chart" uri="{C3380CC4-5D6E-409C-BE32-E72D297353CC}">
                <c16:uniqueId val="{0000003A-6212-46D8-82BA-6642AA2452D2}"/>
              </c:ext>
            </c:extLst>
          </c:dPt>
          <c:dPt>
            <c:idx val="10"/>
            <c:bubble3D val="0"/>
            <c:spPr>
              <a:solidFill>
                <a:schemeClr val="accent5">
                  <a:lumMod val="60000"/>
                </a:schemeClr>
              </a:solidFill>
              <a:ln>
                <a:noFill/>
              </a:ln>
              <a:effectLst/>
            </c:spPr>
            <c:extLst>
              <c:ext xmlns:c16="http://schemas.microsoft.com/office/drawing/2014/chart" uri="{C3380CC4-5D6E-409C-BE32-E72D297353CC}">
                <c16:uniqueId val="{0000003C-6212-46D8-82BA-6642AA2452D2}"/>
              </c:ext>
            </c:extLst>
          </c:dPt>
          <c:dPt>
            <c:idx val="11"/>
            <c:bubble3D val="0"/>
            <c:spPr>
              <a:solidFill>
                <a:schemeClr val="accent6">
                  <a:lumMod val="60000"/>
                </a:schemeClr>
              </a:solidFill>
              <a:ln>
                <a:noFill/>
              </a:ln>
              <a:effectLst/>
            </c:spPr>
            <c:extLst>
              <c:ext xmlns:c16="http://schemas.microsoft.com/office/drawing/2014/chart" uri="{C3380CC4-5D6E-409C-BE32-E72D297353CC}">
                <c16:uniqueId val="{0000003E-6212-46D8-82BA-6642AA2452D2}"/>
              </c:ext>
            </c:extLst>
          </c:dPt>
          <c:dPt>
            <c:idx val="12"/>
            <c:bubble3D val="0"/>
            <c:spPr>
              <a:solidFill>
                <a:schemeClr val="accent1">
                  <a:lumMod val="80000"/>
                  <a:lumOff val="20000"/>
                </a:schemeClr>
              </a:solidFill>
              <a:ln>
                <a:noFill/>
              </a:ln>
              <a:effectLst/>
            </c:spPr>
            <c:extLst>
              <c:ext xmlns:c16="http://schemas.microsoft.com/office/drawing/2014/chart" uri="{C3380CC4-5D6E-409C-BE32-E72D297353CC}">
                <c16:uniqueId val="{00000040-6212-46D8-82BA-6642AA2452D2}"/>
              </c:ext>
            </c:extLst>
          </c:dPt>
          <c:dPt>
            <c:idx val="13"/>
            <c:bubble3D val="0"/>
            <c:spPr>
              <a:solidFill>
                <a:schemeClr val="accent2">
                  <a:lumMod val="80000"/>
                  <a:lumOff val="20000"/>
                </a:schemeClr>
              </a:solidFill>
              <a:ln>
                <a:noFill/>
              </a:ln>
              <a:effectLst/>
            </c:spPr>
            <c:extLst>
              <c:ext xmlns:c16="http://schemas.microsoft.com/office/drawing/2014/chart" uri="{C3380CC4-5D6E-409C-BE32-E72D297353CC}">
                <c16:uniqueId val="{00000042-6212-46D8-82BA-6642AA2452D2}"/>
              </c:ext>
            </c:extLst>
          </c:dPt>
          <c:dPt>
            <c:idx val="14"/>
            <c:bubble3D val="0"/>
            <c:spPr>
              <a:solidFill>
                <a:schemeClr val="accent3">
                  <a:lumMod val="80000"/>
                  <a:lumOff val="20000"/>
                </a:schemeClr>
              </a:solidFill>
              <a:ln>
                <a:noFill/>
              </a:ln>
              <a:effectLst/>
            </c:spPr>
            <c:extLst>
              <c:ext xmlns:c16="http://schemas.microsoft.com/office/drawing/2014/chart" uri="{C3380CC4-5D6E-409C-BE32-E72D297353CC}">
                <c16:uniqueId val="{00000044-6212-46D8-82BA-6642AA2452D2}"/>
              </c:ext>
            </c:extLst>
          </c:dPt>
          <c:dPt>
            <c:idx val="15"/>
            <c:bubble3D val="0"/>
            <c:spPr>
              <a:solidFill>
                <a:schemeClr val="accent4">
                  <a:lumMod val="80000"/>
                  <a:lumOff val="20000"/>
                </a:schemeClr>
              </a:solidFill>
              <a:ln>
                <a:noFill/>
              </a:ln>
              <a:effectLst/>
            </c:spPr>
            <c:extLst>
              <c:ext xmlns:c16="http://schemas.microsoft.com/office/drawing/2014/chart" uri="{C3380CC4-5D6E-409C-BE32-E72D297353CC}">
                <c16:uniqueId val="{00000046-6212-46D8-82BA-6642AA2452D2}"/>
              </c:ext>
            </c:extLst>
          </c:dPt>
          <c:dPt>
            <c:idx val="16"/>
            <c:bubble3D val="0"/>
            <c:spPr>
              <a:solidFill>
                <a:schemeClr val="accent5">
                  <a:lumMod val="80000"/>
                  <a:lumOff val="20000"/>
                </a:schemeClr>
              </a:solidFill>
              <a:ln>
                <a:noFill/>
              </a:ln>
              <a:effectLst/>
            </c:spPr>
            <c:extLst>
              <c:ext xmlns:c16="http://schemas.microsoft.com/office/drawing/2014/chart" uri="{C3380CC4-5D6E-409C-BE32-E72D297353CC}">
                <c16:uniqueId val="{00000048-6212-46D8-82BA-6642AA2452D2}"/>
              </c:ext>
            </c:extLst>
          </c:dPt>
          <c:dPt>
            <c:idx val="17"/>
            <c:bubble3D val="0"/>
            <c:spPr>
              <a:solidFill>
                <a:schemeClr val="accent6">
                  <a:lumMod val="80000"/>
                  <a:lumOff val="20000"/>
                </a:schemeClr>
              </a:solidFill>
              <a:ln>
                <a:noFill/>
              </a:ln>
              <a:effectLst/>
            </c:spPr>
            <c:extLst>
              <c:ext xmlns:c16="http://schemas.microsoft.com/office/drawing/2014/chart" uri="{C3380CC4-5D6E-409C-BE32-E72D297353CC}">
                <c16:uniqueId val="{0000004A-6212-46D8-82BA-6642AA2452D2}"/>
              </c:ext>
            </c:extLst>
          </c:dPt>
          <c:dPt>
            <c:idx val="18"/>
            <c:bubble3D val="0"/>
            <c:spPr>
              <a:solidFill>
                <a:schemeClr val="accent1">
                  <a:lumMod val="80000"/>
                </a:schemeClr>
              </a:solidFill>
              <a:ln>
                <a:noFill/>
              </a:ln>
              <a:effectLst/>
            </c:spPr>
            <c:extLst>
              <c:ext xmlns:c16="http://schemas.microsoft.com/office/drawing/2014/chart" uri="{C3380CC4-5D6E-409C-BE32-E72D297353CC}">
                <c16:uniqueId val="{0000004C-6212-46D8-82BA-6642AA2452D2}"/>
              </c:ext>
            </c:extLst>
          </c:dPt>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0"/>
            <c:extLst>
              <c:ext xmlns:c15="http://schemas.microsoft.com/office/drawing/2012/chart" uri="{CE6537A1-D6FC-4f65-9D91-7224C49458BB}"/>
            </c:extLst>
          </c:dLbls>
          <c:cat>
            <c:strRef>
              <c:f>Sheet1!$A$2:$A$20</c:f>
              <c:strCache>
                <c:ptCount val="19"/>
                <c:pt idx="0">
                  <c:v>Пољопривреда, шумарство и рибарство </c:v>
                </c:pt>
                <c:pt idx="1">
                  <c:v>Рударство</c:v>
                </c:pt>
                <c:pt idx="2">
                  <c:v>Прерађивачка индустрија</c:v>
                </c:pt>
                <c:pt idx="3">
                  <c:v>Снабдевање електричном енергијом, гасом и паром</c:v>
                </c:pt>
                <c:pt idx="4">
                  <c:v>Снабдевање водом и управљање отпадним водама </c:v>
                </c:pt>
                <c:pt idx="5">
                  <c:v>Грађевинарство</c:v>
                </c:pt>
                <c:pt idx="6">
                  <c:v>Трговина на велико и мало и поправка  
моторних возила</c:v>
                </c:pt>
                <c:pt idx="7">
                  <c:v>Саобраћај и складиштење</c:v>
                </c:pt>
                <c:pt idx="8">
                  <c:v>Услуге смештаја и исхране</c:v>
                </c:pt>
                <c:pt idx="9">
                  <c:v>Информисање и комуникације</c:v>
                </c:pt>
                <c:pt idx="10">
                  <c:v>Финансијска делатност и делатност осигурања</c:v>
                </c:pt>
                <c:pt idx="11">
                  <c:v>Пословање некретнинама</c:v>
                </c:pt>
                <c:pt idx="12">
                  <c:v>Стручне, научне, иновационе и техничке делатности</c:v>
                </c:pt>
                <c:pt idx="13">
                  <c:v>Административне и помоћне услужне делатности</c:v>
                </c:pt>
                <c:pt idx="14">
                  <c:v>Државна управа и обавезно социјално осигурање</c:v>
                </c:pt>
                <c:pt idx="15">
                  <c:v>Образовање</c:v>
                </c:pt>
                <c:pt idx="16">
                  <c:v>Здравствена и социјална заштита</c:v>
                </c:pt>
                <c:pt idx="17">
                  <c:v>Уметност, забава и рекреација</c:v>
                </c:pt>
                <c:pt idx="18">
                  <c:v>Остале услужне делатности</c:v>
                </c:pt>
              </c:strCache>
            </c:strRef>
          </c:cat>
          <c:val>
            <c:numRef>
              <c:f>Sheet1!$C$2:$C$20</c:f>
              <c:numCache>
                <c:formatCode>0.00</c:formatCode>
                <c:ptCount val="19"/>
                <c:pt idx="0">
                  <c:v>1.4134287139591999</c:v>
                </c:pt>
                <c:pt idx="1">
                  <c:v>1.24718956154132</c:v>
                </c:pt>
                <c:pt idx="2">
                  <c:v>22.1732939526491</c:v>
                </c:pt>
                <c:pt idx="3">
                  <c:v>1.14783733063426</c:v>
                </c:pt>
                <c:pt idx="4">
                  <c:v>1.6543799987610099</c:v>
                </c:pt>
                <c:pt idx="5">
                  <c:v>5.37009754032196</c:v>
                </c:pt>
                <c:pt idx="6">
                  <c:v>16.210623003232101</c:v>
                </c:pt>
                <c:pt idx="7">
                  <c:v>5.72302386642738</c:v>
                </c:pt>
                <c:pt idx="8">
                  <c:v>3.9983101270804902</c:v>
                </c:pt>
                <c:pt idx="9">
                  <c:v>3.4413227960037398</c:v>
                </c:pt>
                <c:pt idx="10">
                  <c:v>2.0371632306383098</c:v>
                </c:pt>
                <c:pt idx="11">
                  <c:v>0.337648533448351</c:v>
                </c:pt>
                <c:pt idx="12">
                  <c:v>5.0725066339622504</c:v>
                </c:pt>
                <c:pt idx="13">
                  <c:v>4.7344388927885603</c:v>
                </c:pt>
                <c:pt idx="14">
                  <c:v>7.3469880157827001</c:v>
                </c:pt>
                <c:pt idx="15">
                  <c:v>7.0434816226320001</c:v>
                </c:pt>
                <c:pt idx="16">
                  <c:v>7.2308674758617899</c:v>
                </c:pt>
                <c:pt idx="17">
                  <c:v>1.76495768098013</c:v>
                </c:pt>
                <c:pt idx="18">
                  <c:v>2.05244102329537</c:v>
                </c:pt>
              </c:numCache>
            </c:numRef>
          </c:val>
          <c:extLst>
            <c:ext xmlns:c16="http://schemas.microsoft.com/office/drawing/2014/chart" uri="{C3380CC4-5D6E-409C-BE32-E72D297353CC}">
              <c16:uniqueId val="{0000004D-6212-46D8-82BA-6642AA2452D2}"/>
            </c:ext>
          </c:extLst>
        </c:ser>
        <c:dLbls>
          <c:showLegendKey val="0"/>
          <c:showVal val="0"/>
          <c:showCatName val="0"/>
          <c:showSerName val="0"/>
          <c:showPercent val="1"/>
          <c:showBubbleSize val="0"/>
          <c:showLeaderLines val="0"/>
        </c:dLbls>
        <c:firstSliceAng val="0"/>
      </c:pieChart>
      <c:spPr>
        <a:noFill/>
        <a:ln>
          <a:noFill/>
        </a:ln>
        <a:effectLst/>
      </c:spPr>
    </c:plotArea>
    <c:legend>
      <c:legendPos val="b"/>
      <c:layout>
        <c:manualLayout>
          <c:xMode val="edge"/>
          <c:yMode val="edge"/>
          <c:x val="4.6199269784014403E-2"/>
          <c:y val="5.1860393115047698E-2"/>
          <c:w val="0.40927726212994298"/>
          <c:h val="0.92633134460742905"/>
        </c:manualLayout>
      </c:layout>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4898967091956796"/>
          <c:y val="0.20763941669453501"/>
          <c:w val="0.39878964039026599"/>
          <c:h val="0.63539456216621604"/>
        </c:manualLayout>
      </c:layout>
      <c:pieChart>
        <c:varyColors val="1"/>
        <c:ser>
          <c:idx val="0"/>
          <c:order val="0"/>
          <c:dPt>
            <c:idx val="0"/>
            <c:bubble3D val="0"/>
            <c:spPr>
              <a:solidFill>
                <a:schemeClr val="accent1"/>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59F4-42FA-A542-E920639D9BFF}"/>
              </c:ext>
            </c:extLst>
          </c:dPt>
          <c:dPt>
            <c:idx val="1"/>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59F4-42FA-A542-E920639D9BFF}"/>
              </c:ext>
            </c:extLst>
          </c:dPt>
          <c:dPt>
            <c:idx val="2"/>
            <c:bubble3D val="0"/>
            <c:spPr>
              <a:solidFill>
                <a:schemeClr val="accent3"/>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59F4-42FA-A542-E920639D9BFF}"/>
              </c:ext>
            </c:extLst>
          </c:dPt>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Sheet1!$B$27:$B$29</c:f>
              <c:strCache>
                <c:ptCount val="3"/>
                <c:pt idx="0">
                  <c:v>Рударство</c:v>
                </c:pt>
                <c:pt idx="1">
                  <c:v>Снадбевање електричном енергијом, гасом и паром</c:v>
                </c:pt>
                <c:pt idx="2">
                  <c:v>Прерађивачка индустрија</c:v>
                </c:pt>
              </c:strCache>
            </c:strRef>
          </c:cat>
          <c:val>
            <c:numRef>
              <c:f>Sheet1!$C$27:$C$29</c:f>
              <c:numCache>
                <c:formatCode>0%</c:formatCode>
                <c:ptCount val="3"/>
                <c:pt idx="0">
                  <c:v>0.11</c:v>
                </c:pt>
                <c:pt idx="1">
                  <c:v>0.42</c:v>
                </c:pt>
                <c:pt idx="2">
                  <c:v>0.47</c:v>
                </c:pt>
              </c:numCache>
            </c:numRef>
          </c:val>
          <c:extLst>
            <c:ext xmlns:c16="http://schemas.microsoft.com/office/drawing/2014/chart" uri="{C3380CC4-5D6E-409C-BE32-E72D297353CC}">
              <c16:uniqueId val="{00000006-59F4-42FA-A542-E920639D9BFF}"/>
            </c:ext>
          </c:extLst>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2.82714054927302E-2"/>
          <c:y val="0.15276958623415299"/>
          <c:w val="0.47216745322020498"/>
          <c:h val="0.69075284508355395"/>
        </c:manualLayout>
      </c:layout>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2846375486486696"/>
          <c:y val="0.178727257391503"/>
          <c:w val="0.39379823511365902"/>
          <c:h val="0.64963061091843699"/>
        </c:manualLayout>
      </c:layout>
      <c:pieChart>
        <c:varyColors val="1"/>
        <c:ser>
          <c:idx val="0"/>
          <c:order val="0"/>
          <c:dPt>
            <c:idx val="0"/>
            <c:bubble3D val="0"/>
            <c:spPr>
              <a:solidFill>
                <a:schemeClr val="accent1"/>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78B5-4BB3-A6FF-E7F538E1B052}"/>
              </c:ext>
            </c:extLst>
          </c:dPt>
          <c:dPt>
            <c:idx val="1"/>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78B5-4BB3-A6FF-E7F538E1B052}"/>
              </c:ext>
            </c:extLst>
          </c:dPt>
          <c:dPt>
            <c:idx val="2"/>
            <c:bubble3D val="0"/>
            <c:spPr>
              <a:solidFill>
                <a:schemeClr val="accent3"/>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78B5-4BB3-A6FF-E7F538E1B052}"/>
              </c:ext>
            </c:extLst>
          </c:dPt>
          <c:dPt>
            <c:idx val="3"/>
            <c:bubble3D val="0"/>
            <c:spPr>
              <a:solidFill>
                <a:schemeClr val="accent4"/>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78B5-4BB3-A6FF-E7F538E1B052}"/>
              </c:ext>
            </c:extLst>
          </c:dPt>
          <c:dPt>
            <c:idx val="4"/>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78B5-4BB3-A6FF-E7F538E1B052}"/>
              </c:ext>
            </c:extLst>
          </c:dPt>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Sheet1!$B$40:$B$44</c:f>
              <c:strCache>
                <c:ptCount val="5"/>
                <c:pt idx="0">
                  <c:v>Остали сектори</c:v>
                </c:pt>
                <c:pt idx="1">
                  <c:v>Снадбевање електричном енергијом</c:v>
                </c:pt>
                <c:pt idx="2">
                  <c:v>Производња прехрамбених производа</c:v>
                </c:pt>
                <c:pt idx="3">
                  <c:v>Производња хемикалија и химијских производа</c:v>
                </c:pt>
                <c:pt idx="4">
                  <c:v>Производња основних матела</c:v>
                </c:pt>
              </c:strCache>
            </c:strRef>
          </c:cat>
          <c:val>
            <c:numRef>
              <c:f>Sheet1!$C$40:$C$44</c:f>
              <c:numCache>
                <c:formatCode>0%</c:formatCode>
                <c:ptCount val="5"/>
                <c:pt idx="0">
                  <c:v>0.27</c:v>
                </c:pt>
                <c:pt idx="1">
                  <c:v>0.09</c:v>
                </c:pt>
                <c:pt idx="2">
                  <c:v>0.11</c:v>
                </c:pt>
                <c:pt idx="3">
                  <c:v>0.13</c:v>
                </c:pt>
                <c:pt idx="4">
                  <c:v>0.4</c:v>
                </c:pt>
              </c:numCache>
            </c:numRef>
          </c:val>
          <c:extLst>
            <c:ext xmlns:c16="http://schemas.microsoft.com/office/drawing/2014/chart" uri="{C3380CC4-5D6E-409C-BE32-E72D297353CC}">
              <c16:uniqueId val="{0000000A-78B5-4BB3-A6FF-E7F538E1B052}"/>
            </c:ext>
          </c:extLst>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3.1099053794746302E-2"/>
          <c:y val="0.106013922172772"/>
          <c:w val="0.42978050203617602"/>
          <c:h val="0.81207051387007601"/>
        </c:manualLayout>
      </c:layout>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n-US" sz="1600" b="1" i="0" u="none" strike="noStrike" kern="1200" cap="all" baseline="0">
                <a:solidFill>
                  <a:schemeClr val="tx1">
                    <a:lumMod val="65000"/>
                    <a:lumOff val="35000"/>
                  </a:schemeClr>
                </a:solidFill>
                <a:latin typeface="+mn-lt"/>
                <a:ea typeface="+mn-ea"/>
                <a:cs typeface="+mn-cs"/>
              </a:defRPr>
            </a:pPr>
            <a:r>
              <a:rPr lang="sr-Cyrl-RS" sz="1000"/>
              <a:t>ПОРЕКЛО ХЕМИКАЛИЈА</a:t>
            </a:r>
            <a:endParaRPr lang="en-GB" sz="1000"/>
          </a:p>
        </c:rich>
      </c:tx>
      <c:overlay val="0"/>
      <c:spPr>
        <a:noFill/>
        <a:ln>
          <a:noFill/>
        </a:ln>
        <a:effectLst/>
      </c:spPr>
    </c:title>
    <c:autoTitleDeleted val="0"/>
    <c:view3D>
      <c:rotX val="30"/>
      <c:rotY val="0"/>
      <c:depthPercent val="100"/>
      <c:rAngAx val="0"/>
    </c:view3D>
    <c:floor>
      <c:thickness val="0"/>
      <c:spPr>
        <a:noFill/>
        <a:ln w="6350" cap="flat" cmpd="sng" algn="ctr">
          <a:noFill/>
          <a:prstDash val="solid"/>
          <a:round/>
        </a:ln>
        <a:effectLst/>
      </c:spPr>
    </c:floor>
    <c:sideWall>
      <c:thickness val="0"/>
      <c:spPr>
        <a:noFill/>
        <a:ln>
          <a:noFill/>
        </a:ln>
        <a:effectLst/>
      </c:spPr>
    </c:sideWall>
    <c:backWall>
      <c:thickness val="0"/>
      <c:spPr>
        <a:noFill/>
        <a:ln>
          <a:noFill/>
        </a:ln>
        <a:effectLst/>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B42-48B4-83B5-7ED7E865F28D}"/>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B42-48B4-83B5-7ED7E865F28D}"/>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B42-48B4-83B5-7ED7E865F28D}"/>
              </c:ext>
            </c:extLst>
          </c:dPt>
          <c:dLbls>
            <c:dLbl>
              <c:idx val="1"/>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4B42-48B4-83B5-7ED7E865F28D}"/>
                </c:ext>
              </c:extLst>
            </c:dLbl>
            <c:dLbl>
              <c:idx val="2"/>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bg1">
                          <a:lumMod val="50000"/>
                        </a:schemeClr>
                      </a:solidFill>
                      <a:latin typeface="+mn-lt"/>
                      <a:ea typeface="+mn-ea"/>
                      <a:cs typeface="+mn-cs"/>
                    </a:defRPr>
                  </a:pPr>
                  <a:endParaRPr lang="en-US"/>
                </a:p>
              </c:txPr>
              <c:dLblPos val="outEnd"/>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4B42-48B4-83B5-7ED7E865F28D}"/>
                </c:ext>
              </c:extLst>
            </c:dLbl>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Sheet1!$B$55:$B$57</c:f>
              <c:strCache>
                <c:ptCount val="3"/>
                <c:pt idx="0">
                  <c:v>ЕУ</c:v>
                </c:pt>
                <c:pt idx="1">
                  <c:v>Србија</c:v>
                </c:pt>
                <c:pt idx="2">
                  <c:v>Треће земље</c:v>
                </c:pt>
              </c:strCache>
            </c:strRef>
          </c:cat>
          <c:val>
            <c:numRef>
              <c:f>Sheet1!$C$55:$C$57</c:f>
              <c:numCache>
                <c:formatCode>0%</c:formatCode>
                <c:ptCount val="3"/>
                <c:pt idx="0">
                  <c:v>0.28000000000000003</c:v>
                </c:pt>
                <c:pt idx="1">
                  <c:v>0.06</c:v>
                </c:pt>
                <c:pt idx="2">
                  <c:v>0.66</c:v>
                </c:pt>
              </c:numCache>
            </c:numRef>
          </c:val>
          <c:extLst>
            <c:ext xmlns:c16="http://schemas.microsoft.com/office/drawing/2014/chart" uri="{C3380CC4-5D6E-409C-BE32-E72D297353CC}">
              <c16:uniqueId val="{00000006-4B42-48B4-83B5-7ED7E865F28D}"/>
            </c:ext>
          </c:extLst>
        </c:ser>
        <c:dLbls>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n-US" sz="1600" b="1" i="0" u="none" strike="noStrike" kern="1200" cap="all" baseline="0">
                <a:solidFill>
                  <a:schemeClr val="tx1">
                    <a:lumMod val="65000"/>
                    <a:lumOff val="35000"/>
                  </a:schemeClr>
                </a:solidFill>
                <a:latin typeface="+mn-lt"/>
                <a:ea typeface="+mn-ea"/>
                <a:cs typeface="+mn-cs"/>
              </a:defRPr>
            </a:pPr>
            <a:r>
              <a:rPr lang="sr-Cyrl-RS" sz="1050"/>
              <a:t>Класификација опасности хемикалија</a:t>
            </a:r>
            <a:endParaRPr lang="en-GB" sz="1050"/>
          </a:p>
        </c:rich>
      </c:tx>
      <c:overlay val="0"/>
      <c:spPr>
        <a:noFill/>
        <a:ln>
          <a:noFill/>
        </a:ln>
        <a:effectLst/>
      </c:spPr>
    </c:title>
    <c:autoTitleDeleted val="0"/>
    <c:view3D>
      <c:rotX val="30"/>
      <c:rotY val="0"/>
      <c:depthPercent val="100"/>
      <c:rAngAx val="0"/>
    </c:view3D>
    <c:floor>
      <c:thickness val="0"/>
      <c:spPr>
        <a:noFill/>
        <a:ln w="6350" cap="flat" cmpd="sng" algn="ctr">
          <a:noFill/>
          <a:prstDash val="solid"/>
          <a:round/>
        </a:ln>
        <a:effectLst/>
      </c:spPr>
    </c:floor>
    <c:sideWall>
      <c:thickness val="0"/>
      <c:spPr>
        <a:noFill/>
        <a:ln>
          <a:noFill/>
        </a:ln>
        <a:effectLst/>
      </c:spPr>
    </c:sideWall>
    <c:backWall>
      <c:thickness val="0"/>
      <c:spPr>
        <a:noFill/>
        <a:ln>
          <a:noFill/>
        </a:ln>
        <a:effectLst/>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366-4056-B9A6-60445B76FDE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366-4056-B9A6-60445B76FDEA}"/>
              </c:ext>
            </c:extLst>
          </c:dPt>
          <c:dLbls>
            <c:dLbl>
              <c:idx val="0"/>
              <c:layout>
                <c:manualLayout>
                  <c:x val="7.6029693486590003E-3"/>
                  <c:y val="-7.5703385789222697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6366-4056-B9A6-60445B76FDEA}"/>
                </c:ext>
              </c:extLst>
            </c:dLbl>
            <c:dLbl>
              <c:idx val="1"/>
              <c:layout>
                <c:manualLayout>
                  <c:x val="-7.0558050032071801E-2"/>
                  <c:y val="6.9735006973500697E-3"/>
                </c:manualLayout>
              </c:layout>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6366-4056-B9A6-60445B76FDEA}"/>
                </c:ext>
              </c:extLst>
            </c:dLbl>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Sheet1!$B$68:$B$69</c:f>
              <c:strCache>
                <c:ptCount val="2"/>
                <c:pt idx="0">
                  <c:v>Неопасне</c:v>
                </c:pt>
                <c:pt idx="1">
                  <c:v>Опасне</c:v>
                </c:pt>
              </c:strCache>
            </c:strRef>
          </c:cat>
          <c:val>
            <c:numRef>
              <c:f>Sheet1!$C$68:$C$69</c:f>
              <c:numCache>
                <c:formatCode>0%</c:formatCode>
                <c:ptCount val="2"/>
                <c:pt idx="0">
                  <c:v>0.16</c:v>
                </c:pt>
                <c:pt idx="1">
                  <c:v>0.84</c:v>
                </c:pt>
              </c:numCache>
            </c:numRef>
          </c:val>
          <c:extLst>
            <c:ext xmlns:c16="http://schemas.microsoft.com/office/drawing/2014/chart" uri="{C3380CC4-5D6E-409C-BE32-E72D297353CC}">
              <c16:uniqueId val="{00000004-6366-4056-B9A6-60445B76FDEA}"/>
            </c:ext>
          </c:extLst>
        </c:ser>
        <c:dLbls>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n-US" sz="1050" b="1" i="0" u="none" strike="noStrike" kern="1200" cap="all" baseline="0">
                <a:solidFill>
                  <a:schemeClr val="tx1">
                    <a:lumMod val="65000"/>
                    <a:lumOff val="35000"/>
                  </a:schemeClr>
                </a:solidFill>
                <a:latin typeface="+mn-lt"/>
                <a:ea typeface="+mn-ea"/>
                <a:cs typeface="+mn-cs"/>
              </a:defRPr>
            </a:pPr>
            <a:r>
              <a:rPr lang="sr-Cyrl-RS" sz="1050"/>
              <a:t>НАМЕНА </a:t>
            </a:r>
          </a:p>
          <a:p>
            <a:pPr>
              <a:defRPr lang="en-US" sz="1050" b="1" i="0" u="none" strike="noStrike" kern="1200" cap="all" baseline="0">
                <a:solidFill>
                  <a:schemeClr val="tx1">
                    <a:lumMod val="65000"/>
                    <a:lumOff val="35000"/>
                  </a:schemeClr>
                </a:solidFill>
                <a:latin typeface="+mn-lt"/>
                <a:ea typeface="+mn-ea"/>
                <a:cs typeface="+mn-cs"/>
              </a:defRPr>
            </a:pPr>
            <a:r>
              <a:rPr lang="sr-Cyrl-RS" sz="1050"/>
              <a:t>ХЕМИКАЛИЈА</a:t>
            </a:r>
            <a:endParaRPr lang="en-GB" sz="1050"/>
          </a:p>
        </c:rich>
      </c:tx>
      <c:layout>
        <c:manualLayout>
          <c:xMode val="edge"/>
          <c:yMode val="edge"/>
          <c:x val="0.22505018065034099"/>
          <c:y val="0"/>
        </c:manualLayout>
      </c:layout>
      <c:overlay val="0"/>
      <c:spPr>
        <a:noFill/>
        <a:ln>
          <a:noFill/>
        </a:ln>
        <a:effectLst/>
      </c:spPr>
    </c:title>
    <c:autoTitleDeleted val="0"/>
    <c:view3D>
      <c:rotX val="30"/>
      <c:rotY val="0"/>
      <c:depthPercent val="100"/>
      <c:rAngAx val="0"/>
    </c:view3D>
    <c:floor>
      <c:thickness val="0"/>
      <c:spPr>
        <a:noFill/>
        <a:ln w="6350" cap="flat" cmpd="sng" algn="ctr">
          <a:noFill/>
          <a:prstDash val="solid"/>
          <a:round/>
        </a:ln>
        <a:effectLst/>
      </c:spPr>
    </c:floor>
    <c:sideWall>
      <c:thickness val="0"/>
      <c:spPr>
        <a:noFill/>
        <a:ln>
          <a:noFill/>
        </a:ln>
        <a:effectLst/>
      </c:spPr>
    </c:sideWall>
    <c:backWall>
      <c:thickness val="0"/>
      <c:spPr>
        <a:noFill/>
        <a:ln>
          <a:noFill/>
        </a:ln>
        <a:effectLst/>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9BA-40D6-8BAF-07860AE3212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9BA-40D6-8BAF-07860AE3212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9BA-40D6-8BAF-07860AE3212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9BA-40D6-8BAF-07860AE3212B}"/>
              </c:ext>
            </c:extLst>
          </c:dPt>
          <c:dLbls>
            <c:dLbl>
              <c:idx val="0"/>
              <c:layout>
                <c:manualLayout>
                  <c:x val="3.2417539083866499E-2"/>
                  <c:y val="-3.10082973819867E-2"/>
                </c:manualLayout>
              </c:layout>
              <c:tx>
                <c:rich>
                  <a:bodyPr rot="0" spcFirstLastPara="1" vertOverflow="ellipsis" vert="horz" wrap="square" lIns="38100" tIns="19050" rIns="38100" bIns="19050" anchor="ctr" anchorCtr="1">
                    <a:noAutofit/>
                  </a:bodyPr>
                  <a:lstStyle/>
                  <a:p>
                    <a:fld id="{C29205CE-E267-4714-95BC-3734B1C08928}" type="CATEGORYNAME">
                      <a:rPr lang="sr-Cyrl-CS"/>
                      <a:pPr/>
                      <a:t>[CATEGORY NAME]</a:t>
                    </a:fld>
                    <a:endParaRPr lang="en-US"/>
                  </a:p>
                </c:rich>
              </c:tx>
              <c:spPr>
                <a:noFill/>
                <a:ln>
                  <a:noFill/>
                </a:ln>
                <a:effectLst/>
              </c:sp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38610662358643"/>
                      <c:h val="0.14199166982203701"/>
                    </c:manualLayout>
                  </c15:layout>
                  <c15:dlblFieldTable/>
                  <c15:showDataLabelsRange val="0"/>
                </c:ext>
                <c:ext xmlns:c16="http://schemas.microsoft.com/office/drawing/2014/chart" uri="{C3380CC4-5D6E-409C-BE32-E72D297353CC}">
                  <c16:uniqueId val="{00000001-49BA-40D6-8BAF-07860AE3212B}"/>
                </c:ext>
              </c:extLst>
            </c:dLbl>
            <c:dLbl>
              <c:idx val="1"/>
              <c:layout>
                <c:manualLayout>
                  <c:x val="-2.5441084807856201E-7"/>
                  <c:y val="-7.4313296979490601E-2"/>
                </c:manualLayout>
              </c:layout>
              <c:spPr>
                <a:noFill/>
                <a:ln>
                  <a:noFill/>
                </a:ln>
                <a:effectLst/>
              </c:spPr>
              <c:txPr>
                <a:bodyPr rot="0" spcFirstLastPara="1" vertOverflow="ellipsis" vert="horz" wrap="square" lIns="38100" tIns="19050" rIns="38100" bIns="19050" anchor="ctr" anchorCtr="1">
                  <a:noAutofit/>
                </a:bodyPr>
                <a:lstStyle/>
                <a:p>
                  <a:pPr>
                    <a:defRPr lang="en-US" sz="6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52019386106624"/>
                      <c:h val="0.168496781522151"/>
                    </c:manualLayout>
                  </c15:layout>
                </c:ext>
                <c:ext xmlns:c16="http://schemas.microsoft.com/office/drawing/2014/chart" uri="{C3380CC4-5D6E-409C-BE32-E72D297353CC}">
                  <c16:uniqueId val="{00000003-49BA-40D6-8BAF-07860AE3212B}"/>
                </c:ext>
              </c:extLst>
            </c:dLbl>
            <c:dLbl>
              <c:idx val="2"/>
              <c:layout>
                <c:manualLayout>
                  <c:x val="3.2310432116825501E-2"/>
                  <c:y val="-5.9629047694293802E-7"/>
                </c:manualLayout>
              </c:layout>
              <c:tx>
                <c:rich>
                  <a:bodyPr rot="0" spcFirstLastPara="1" vertOverflow="ellipsis" vert="horz" wrap="square" lIns="38100" tIns="19050" rIns="38100" bIns="19050" anchor="ctr" anchorCtr="1">
                    <a:noAutofit/>
                  </a:bodyPr>
                  <a:lstStyle/>
                  <a:p>
                    <a:fld id="{AF838515-1B17-4A24-B304-2B2128C109FB}" type="CATEGORYNAME">
                      <a:rPr lang="sr-Cyrl-CS"/>
                      <a:pPr/>
                      <a:t>[CATEGORY NAME]</a:t>
                    </a:fld>
                    <a:endParaRPr lang="en-US"/>
                  </a:p>
                </c:rich>
              </c:tx>
              <c:spPr>
                <a:noFill/>
                <a:ln>
                  <a:noFill/>
                </a:ln>
                <a:effectLst/>
              </c:sp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53354890412527201"/>
                      <c:h val="0.19170977349906199"/>
                    </c:manualLayout>
                  </c15:layout>
                  <c15:dlblFieldTable/>
                  <c15:showDataLabelsRange val="0"/>
                </c:ext>
                <c:ext xmlns:c16="http://schemas.microsoft.com/office/drawing/2014/chart" uri="{C3380CC4-5D6E-409C-BE32-E72D297353CC}">
                  <c16:uniqueId val="{00000005-49BA-40D6-8BAF-07860AE3212B}"/>
                </c:ext>
              </c:extLst>
            </c:dLbl>
            <c:dLbl>
              <c:idx val="3"/>
              <c:layout>
                <c:manualLayout>
                  <c:x val="-2.4001023390951599E-8"/>
                  <c:y val="-4.9197138434579901E-2"/>
                </c:manualLayout>
              </c:layout>
              <c:tx>
                <c:rich>
                  <a:bodyPr rot="0" spcFirstLastPara="1" vertOverflow="ellipsis" vert="horz" wrap="square" lIns="38100" tIns="19050" rIns="38100" bIns="19050" anchor="ctr" anchorCtr="1">
                    <a:noAutofit/>
                  </a:bodyPr>
                  <a:lstStyle/>
                  <a:p>
                    <a:pPr>
                      <a:defRPr lang="en-US" sz="600" b="1" i="0" u="none" strike="noStrike" kern="1200" spc="0" baseline="0">
                        <a:solidFill>
                          <a:schemeClr val="accent4">
                            <a:lumMod val="75000"/>
                          </a:schemeClr>
                        </a:solidFill>
                        <a:latin typeface="+mn-lt"/>
                        <a:ea typeface="+mn-ea"/>
                        <a:cs typeface="+mn-cs"/>
                      </a:defRPr>
                    </a:pPr>
                    <a:r>
                      <a:rPr lang="sr-Cyrl-CS">
                        <a:solidFill>
                          <a:schemeClr val="accent4">
                            <a:lumMod val="75000"/>
                          </a:schemeClr>
                        </a:solidFill>
                      </a:rPr>
                      <a:t>Цемент и др. грађ. мат. (К35) 20%</a:t>
                    </a:r>
                  </a:p>
                </c:rich>
              </c:tx>
              <c:spPr>
                <a:noFill/>
                <a:ln>
                  <a:noFill/>
                </a:ln>
                <a:effectLst/>
              </c:sp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52681617544172099"/>
                      <c:h val="0.17661825781811399"/>
                    </c:manualLayout>
                  </c15:layout>
                  <c15:showDataLabelsRange val="0"/>
                </c:ext>
                <c:ext xmlns:c16="http://schemas.microsoft.com/office/drawing/2014/chart" uri="{C3380CC4-5D6E-409C-BE32-E72D297353CC}">
                  <c16:uniqueId val="{00000007-49BA-40D6-8BAF-07860AE3212B}"/>
                </c:ext>
              </c:extLst>
            </c:dLbl>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Sheet1!$B$82:$B$85</c:f>
              <c:strCache>
                <c:ptCount val="4"/>
                <c:pt idx="0">
                  <c:v>Ђубрива (G40)</c:v>
                </c:pt>
                <c:pt idx="1">
                  <c:v>Остало</c:v>
                </c:pt>
                <c:pt idx="2">
                  <c:v>Нафтни деривати и гас</c:v>
                </c:pt>
                <c:pt idx="3">
                  <c:v>Цемент и др. грађевински мат. (К35)</c:v>
                </c:pt>
              </c:strCache>
            </c:strRef>
          </c:cat>
          <c:val>
            <c:numRef>
              <c:f>Sheet1!$C$82:$C$85</c:f>
              <c:numCache>
                <c:formatCode>0%</c:formatCode>
                <c:ptCount val="4"/>
                <c:pt idx="0">
                  <c:v>0.06</c:v>
                </c:pt>
                <c:pt idx="1">
                  <c:v>0.31</c:v>
                </c:pt>
                <c:pt idx="2">
                  <c:v>0.43</c:v>
                </c:pt>
                <c:pt idx="3">
                  <c:v>0.2</c:v>
                </c:pt>
              </c:numCache>
            </c:numRef>
          </c:val>
          <c:extLst>
            <c:ext xmlns:c16="http://schemas.microsoft.com/office/drawing/2014/chart" uri="{C3380CC4-5D6E-409C-BE32-E72D297353CC}">
              <c16:uniqueId val="{00000008-49BA-40D6-8BAF-07860AE3212B}"/>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n-US" sz="1600" b="1" i="0" u="none" strike="noStrike" kern="1200" cap="all" baseline="0">
                <a:solidFill>
                  <a:schemeClr val="tx1">
                    <a:lumMod val="65000"/>
                    <a:lumOff val="35000"/>
                  </a:schemeClr>
                </a:solidFill>
                <a:latin typeface="+mn-lt"/>
                <a:ea typeface="+mn-ea"/>
                <a:cs typeface="+mn-cs"/>
              </a:defRPr>
            </a:pPr>
            <a:r>
              <a:rPr lang="sr-Cyrl-RS" sz="1000"/>
              <a:t>ПОРЕКЛО </a:t>
            </a:r>
            <a:r>
              <a:rPr lang="sr-Latn-RS" sz="1000"/>
              <a:t>svhc</a:t>
            </a:r>
            <a:r>
              <a:rPr lang="sr-Cyrl-RS" sz="1000"/>
              <a:t> ХЕМИКАЛИЈА</a:t>
            </a:r>
            <a:endParaRPr lang="en-GB" sz="1000"/>
          </a:p>
        </c:rich>
      </c:tx>
      <c:overlay val="0"/>
      <c:spPr>
        <a:noFill/>
        <a:ln>
          <a:noFill/>
        </a:ln>
        <a:effectLst/>
      </c:spPr>
    </c:title>
    <c:autoTitleDeleted val="0"/>
    <c:view3D>
      <c:rotX val="30"/>
      <c:rotY val="0"/>
      <c:depthPercent val="100"/>
      <c:rAngAx val="0"/>
    </c:view3D>
    <c:floor>
      <c:thickness val="0"/>
      <c:spPr>
        <a:noFill/>
        <a:ln w="6350" cap="flat" cmpd="sng" algn="ctr">
          <a:noFill/>
          <a:prstDash val="solid"/>
          <a:round/>
        </a:ln>
        <a:effectLst/>
      </c:spPr>
    </c:floor>
    <c:sideWall>
      <c:thickness val="0"/>
      <c:spPr>
        <a:noFill/>
        <a:ln>
          <a:noFill/>
        </a:ln>
        <a:effectLst/>
      </c:spPr>
    </c:sideWall>
    <c:backWall>
      <c:thickness val="0"/>
      <c:spPr>
        <a:noFill/>
        <a:ln>
          <a:noFill/>
        </a:ln>
        <a:effectLst/>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74B-4E9F-922F-5B3F62E3AC7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74B-4E9F-922F-5B3F62E3AC79}"/>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74B-4E9F-922F-5B3F62E3AC79}"/>
              </c:ext>
            </c:extLst>
          </c:dPt>
          <c:dLbls>
            <c:dLbl>
              <c:idx val="0"/>
              <c:layout>
                <c:manualLayout>
                  <c:x val="2.4992197457919901E-2"/>
                  <c:y val="-5.1565461097023903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774B-4E9F-922F-5B3F62E3AC79}"/>
                </c:ext>
              </c:extLst>
            </c:dLbl>
            <c:dLbl>
              <c:idx val="1"/>
              <c:layout>
                <c:manualLayout>
                  <c:x val="3.7062984576592399E-2"/>
                  <c:y val="-9.4682789651293606E-2"/>
                </c:manualLayout>
              </c:layout>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774B-4E9F-922F-5B3F62E3AC79}"/>
                </c:ext>
              </c:extLst>
            </c:dLbl>
            <c:dLbl>
              <c:idx val="2"/>
              <c:layout>
                <c:manualLayout>
                  <c:x val="4.2472690074814502E-2"/>
                  <c:y val="-0.33191451068616401"/>
                </c:manualLayout>
              </c:layout>
              <c:spPr>
                <a:noFill/>
                <a:ln>
                  <a:noFill/>
                </a:ln>
                <a:effectLst/>
              </c:spPr>
              <c:txPr>
                <a:bodyPr rot="0" spcFirstLastPara="1" vertOverflow="ellipsis" vert="horz" wrap="square" lIns="38100" tIns="19050" rIns="38100" bIns="19050" anchor="ctr" anchorCtr="1">
                  <a:noAutofit/>
                </a:bodyPr>
                <a:lstStyle/>
                <a:p>
                  <a:pPr>
                    <a:defRPr lang="en-US" sz="600" b="1" i="0" u="none" strike="noStrike" kern="1200" spc="0" baseline="0">
                      <a:solidFill>
                        <a:schemeClr val="bg1">
                          <a:lumMod val="50000"/>
                        </a:schemeClr>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19372003835091101"/>
                      <c:h val="0.14749999999999999"/>
                    </c:manualLayout>
                  </c15:layout>
                </c:ext>
                <c:ext xmlns:c16="http://schemas.microsoft.com/office/drawing/2014/chart" uri="{C3380CC4-5D6E-409C-BE32-E72D297353CC}">
                  <c16:uniqueId val="{00000005-774B-4E9F-922F-5B3F62E3AC79}"/>
                </c:ext>
              </c:extLst>
            </c:dLbl>
            <c:spPr>
              <a:noFill/>
              <a:ln>
                <a:noFill/>
              </a:ln>
              <a:effectLst/>
            </c:spPr>
            <c:txPr>
              <a:bodyPr rot="0" spcFirstLastPara="1" vertOverflow="ellipsis" vert="horz" wrap="square" lIns="38100" tIns="19050" rIns="38100" bIns="19050" anchor="ctr" anchorCtr="1">
                <a:spAutoFit/>
              </a:bodyPr>
              <a:lstStyle/>
              <a:p>
                <a:pPr>
                  <a:defRPr lang="en-US" sz="6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Sheet1!$B$55:$B$57</c:f>
              <c:strCache>
                <c:ptCount val="3"/>
                <c:pt idx="0">
                  <c:v>ЕУ</c:v>
                </c:pt>
                <c:pt idx="1">
                  <c:v>Србија</c:v>
                </c:pt>
                <c:pt idx="2">
                  <c:v>Треће земље</c:v>
                </c:pt>
              </c:strCache>
            </c:strRef>
          </c:cat>
          <c:val>
            <c:numRef>
              <c:f>Sheet1!$C$55:$C$57</c:f>
              <c:numCache>
                <c:formatCode>0%</c:formatCode>
                <c:ptCount val="3"/>
                <c:pt idx="0">
                  <c:v>0.28000000000000003</c:v>
                </c:pt>
                <c:pt idx="1">
                  <c:v>0.06</c:v>
                </c:pt>
                <c:pt idx="2">
                  <c:v>0.66</c:v>
                </c:pt>
              </c:numCache>
            </c:numRef>
          </c:val>
          <c:extLst>
            <c:ext xmlns:c16="http://schemas.microsoft.com/office/drawing/2014/chart" uri="{C3380CC4-5D6E-409C-BE32-E72D297353CC}">
              <c16:uniqueId val="{00000006-774B-4E9F-922F-5B3F62E3AC79}"/>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en-US"/>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0.29444</cdr:x>
      <cdr:y>0.46644</cdr:y>
    </cdr:from>
    <cdr:to>
      <cdr:x>0.3569</cdr:x>
      <cdr:y>0.56288</cdr:y>
    </cdr:to>
    <cdr:sp macro="" textlink="">
      <cdr:nvSpPr>
        <cdr:cNvPr id="2" name="Rectangles 1"/>
        <cdr:cNvSpPr/>
      </cdr:nvSpPr>
      <cdr:spPr>
        <a:xfrm xmlns:a="http://schemas.openxmlformats.org/drawingml/2006/main">
          <a:off x="1346200" y="1279525"/>
          <a:ext cx="285527" cy="264560"/>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vert="horz" wrap="none" lIns="45720" tIns="45720" rIns="45720" bIns="45720" rtlCol="0" anchor="t" anchorCtr="0">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sr-Cyrl-RS" sz="1100">
              <a:solidFill>
                <a:sysClr val="windowText" lastClr="000000"/>
              </a:solidFill>
            </a:rPr>
            <a:t>%</a:t>
          </a:r>
          <a:endParaRPr lang="sr-Latn-RS" sz="1100">
            <a:solidFill>
              <a:sysClr val="windowText" lastClr="000000"/>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8CE1-8FFA-4A69-95DA-201FA0BF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43786</Words>
  <Characters>249584</Characters>
  <Application>Microsoft Office Word</Application>
  <DocSecurity>0</DocSecurity>
  <Lines>2079</Lines>
  <Paragraphs>585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292785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 Stankovski</dc:creator>
  <cp:lastModifiedBy>Jovan Stojanović</cp:lastModifiedBy>
  <cp:revision>2</cp:revision>
  <cp:lastPrinted>2022-12-05T13:35:00Z</cp:lastPrinted>
  <dcterms:created xsi:type="dcterms:W3CDTF">2022-12-06T10:32:00Z</dcterms:created>
  <dcterms:modified xsi:type="dcterms:W3CDTF">2022-12-06T10:32:00Z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F3235B88D26D448CA4AEE74821D1CA3D</vt:lpwstr>
  </property>
</Properties>
</file>