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1F1C0" w14:textId="77777777" w:rsidR="00601491" w:rsidRPr="00AE0571" w:rsidRDefault="00601491" w:rsidP="008D2909">
      <w:pPr>
        <w:spacing w:after="360"/>
        <w:jc w:val="center"/>
        <w:rPr>
          <w:lang w:val="sr-Cyrl-RS"/>
        </w:rPr>
      </w:pPr>
      <w:r w:rsidRPr="00AE0571">
        <w:rPr>
          <w:lang w:val="sr-Cyrl-RS"/>
        </w:rPr>
        <w:t>О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Б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Р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А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З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Л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О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Ж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Е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Њ</w:t>
      </w:r>
      <w:r w:rsidR="00C36E5F">
        <w:rPr>
          <w:lang w:val="sr-Cyrl-RS"/>
        </w:rPr>
        <w:t xml:space="preserve"> </w:t>
      </w:r>
      <w:r w:rsidRPr="00AE0571">
        <w:rPr>
          <w:lang w:val="sr-Cyrl-RS"/>
        </w:rPr>
        <w:t>Е</w:t>
      </w:r>
    </w:p>
    <w:p w14:paraId="00B4161D" w14:textId="77777777" w:rsidR="00601491" w:rsidRPr="00AE0571" w:rsidRDefault="00601491" w:rsidP="00C36E5F">
      <w:pPr>
        <w:pStyle w:val="ListParagraph"/>
        <w:numPr>
          <w:ilvl w:val="0"/>
          <w:numId w:val="2"/>
        </w:numPr>
        <w:tabs>
          <w:tab w:val="left" w:pos="993"/>
        </w:tabs>
        <w:spacing w:after="120"/>
        <w:ind w:firstLine="131"/>
        <w:jc w:val="both"/>
        <w:rPr>
          <w:lang w:val="sr-Cyrl-RS"/>
        </w:rPr>
      </w:pPr>
      <w:r w:rsidRPr="00AE0571">
        <w:rPr>
          <w:lang w:val="sr-Cyrl-RS"/>
        </w:rPr>
        <w:t>УСТАВНИ ОСНОВ ЗА ДОНОШЕЊЕ ЗАКОНА</w:t>
      </w:r>
    </w:p>
    <w:p w14:paraId="17C11554" w14:textId="77777777" w:rsidR="00601491" w:rsidRPr="00AE0571" w:rsidRDefault="00601491" w:rsidP="008D2909">
      <w:pPr>
        <w:pStyle w:val="Default"/>
        <w:spacing w:after="240"/>
        <w:ind w:firstLine="720"/>
        <w:jc w:val="both"/>
        <w:rPr>
          <w:rFonts w:ascii="Times New Roman" w:hAnsi="Times New Roman" w:cs="Times New Roman"/>
          <w:lang w:val="sr-Cyrl-RS"/>
        </w:rPr>
      </w:pPr>
      <w:r w:rsidRPr="00AE0571">
        <w:rPr>
          <w:rFonts w:ascii="Times New Roman" w:hAnsi="Times New Roman" w:cs="Times New Roman"/>
          <w:lang w:val="sr-Cyrl-RS"/>
        </w:rPr>
        <w:t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</w:t>
      </w:r>
      <w:r w:rsidR="008D2909" w:rsidRPr="00AE0571">
        <w:rPr>
          <w:rFonts w:ascii="Times New Roman" w:hAnsi="Times New Roman" w:cs="Times New Roman"/>
          <w:lang w:val="sr-Cyrl-RS"/>
        </w:rPr>
        <w:t xml:space="preserve">авеза њиховог потврђивања. </w:t>
      </w:r>
    </w:p>
    <w:p w14:paraId="655BF33C" w14:textId="77777777" w:rsidR="00601491" w:rsidRPr="00AE0571" w:rsidRDefault="00601491" w:rsidP="00C36E5F">
      <w:pPr>
        <w:pStyle w:val="ListParagraph"/>
        <w:numPr>
          <w:ilvl w:val="0"/>
          <w:numId w:val="2"/>
        </w:numPr>
        <w:tabs>
          <w:tab w:val="left" w:pos="993"/>
        </w:tabs>
        <w:spacing w:after="120"/>
        <w:ind w:left="1134" w:hanging="283"/>
        <w:jc w:val="both"/>
        <w:rPr>
          <w:lang w:val="sr-Cyrl-RS"/>
        </w:rPr>
      </w:pPr>
      <w:r w:rsidRPr="00AE0571">
        <w:rPr>
          <w:lang w:val="sr-Cyrl-RS"/>
        </w:rPr>
        <w:t>РАЗЛОЗИ ЗА ПОТВРЂИВАЊЕ УГОВОРА</w:t>
      </w:r>
    </w:p>
    <w:p w14:paraId="138F2139" w14:textId="77777777" w:rsidR="009478A6" w:rsidRPr="00AE0571" w:rsidRDefault="009478A6" w:rsidP="009478A6">
      <w:pPr>
        <w:ind w:firstLine="708"/>
        <w:jc w:val="both"/>
        <w:rPr>
          <w:lang w:val="sr-Cyrl-CS"/>
        </w:rPr>
      </w:pPr>
      <w:r w:rsidRPr="00AE0571">
        <w:rPr>
          <w:lang w:val="sr-Cyrl-CS"/>
        </w:rPr>
        <w:t xml:space="preserve">Разлози за потврђивање Споразума о зајму </w:t>
      </w:r>
      <w:r w:rsidRPr="00AE0571">
        <w:rPr>
          <w:lang w:val="sr-Cyrl-RS"/>
        </w:rPr>
        <w:t>(</w:t>
      </w:r>
      <w:r w:rsidR="004543D9" w:rsidRPr="00AE0571">
        <w:rPr>
          <w:rFonts w:eastAsia="Calibri"/>
          <w:lang w:val="sr-Cyrl-RS"/>
        </w:rPr>
        <w:t>Пројекат чисте енергије и енергетске ефикасности за грађане</w:t>
      </w:r>
      <w:r w:rsidRPr="00AE0571">
        <w:rPr>
          <w:lang w:val="sr-Cyrl-RS"/>
        </w:rPr>
        <w:t>) између Републике Србије и Међународне банке за обнову и развој</w:t>
      </w:r>
      <w:r w:rsidRPr="00AE0571">
        <w:rPr>
          <w:lang w:val="sr-Cyrl-CS"/>
        </w:rPr>
        <w:t xml:space="preserve"> који је </w:t>
      </w:r>
      <w:r w:rsidRPr="00496BDB">
        <w:rPr>
          <w:lang w:val="sr-Cyrl-CS"/>
        </w:rPr>
        <w:t>потписан у Београду</w:t>
      </w:r>
      <w:r w:rsidRPr="00C1338F">
        <w:t>,</w:t>
      </w:r>
      <w:r w:rsidRPr="00C1338F">
        <w:rPr>
          <w:lang w:val="sr-Cyrl-CS"/>
        </w:rPr>
        <w:t xml:space="preserve"> </w:t>
      </w:r>
      <w:r w:rsidR="00496BDB" w:rsidRPr="00C1338F">
        <w:rPr>
          <w:lang w:val="sr-Cyrl-CS"/>
        </w:rPr>
        <w:t>16</w:t>
      </w:r>
      <w:r w:rsidRPr="00C1338F">
        <w:rPr>
          <w:lang w:val="sr-Cyrl-CS"/>
        </w:rPr>
        <w:t xml:space="preserve">. </w:t>
      </w:r>
      <w:r w:rsidR="00496BDB" w:rsidRPr="00C1338F">
        <w:rPr>
          <w:lang w:val="sr-Cyrl-CS"/>
        </w:rPr>
        <w:t>новембра</w:t>
      </w:r>
      <w:r w:rsidRPr="00C1338F">
        <w:rPr>
          <w:lang w:val="sr-Cyrl-CS"/>
        </w:rPr>
        <w:t xml:space="preserve"> 2022. године (у</w:t>
      </w:r>
      <w:r w:rsidRPr="00496BDB">
        <w:rPr>
          <w:lang w:val="sr-Cyrl-CS"/>
        </w:rPr>
        <w:t xml:space="preserve"> даљем тексту: Споразум о зајму), садржани су у одредби члана </w:t>
      </w:r>
      <w:r w:rsidRPr="00496BDB">
        <w:rPr>
          <w:lang w:val="ru-RU"/>
        </w:rPr>
        <w:t>5</w:t>
      </w:r>
      <w:r w:rsidRPr="00496BDB">
        <w:rPr>
          <w:lang w:val="sr-Cyrl-CS"/>
        </w:rPr>
        <w:t>. став 2. Закона о јавном</w:t>
      </w:r>
      <w:r w:rsidRPr="00AE0571">
        <w:rPr>
          <w:lang w:val="sr-Cyrl-CS"/>
        </w:rPr>
        <w:t xml:space="preserve"> дугу („Службени гласник РС”, бр. 61/05, 107/09, 78/11, </w:t>
      </w:r>
      <w:r w:rsidRPr="00AE0571">
        <w:rPr>
          <w:lang w:val="sr-Latn-RS"/>
        </w:rPr>
        <w:t>68/15, 95/18, 91/19 и 149/20</w:t>
      </w:r>
      <w:r w:rsidRPr="00AE0571">
        <w:rPr>
          <w:lang w:val="sr-Cyrl-CS"/>
        </w:rPr>
        <w:t>), према којој Народна скупштина Републике Србије одлучује о задуживању Републике Србије и одредби члана 14. став 1. Закона о закључивању и извршавању међународних уговора („Службени гласник РС”, број 32/13), према којој Народна скупштина, између осталог, потврђује уговоре којима се стварају финансијске обавезе за Републику Србију.</w:t>
      </w:r>
    </w:p>
    <w:p w14:paraId="74FA5062" w14:textId="77777777" w:rsidR="00A2387E" w:rsidRPr="00AE0571" w:rsidRDefault="00E31F5C" w:rsidP="00A27F64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>Законом о буџету Републике Србије за 2022. годину („Службени гласник РС”, бр. 110/21</w:t>
      </w:r>
      <w:r w:rsidR="00496BDB">
        <w:rPr>
          <w:lang w:val="sr-Cyrl-RS"/>
        </w:rPr>
        <w:t xml:space="preserve"> и 125/22</w:t>
      </w:r>
      <w:r w:rsidRPr="00AE0571">
        <w:rPr>
          <w:lang w:val="sr-Cyrl-RS"/>
        </w:rPr>
        <w:t>) у члану 3.Б. предвиђено је задуживање код Међународне банке за</w:t>
      </w:r>
      <w:r w:rsidR="004543D9" w:rsidRPr="00AE0571">
        <w:rPr>
          <w:lang w:val="sr-Cyrl-RS"/>
        </w:rPr>
        <w:t xml:space="preserve"> обнову и развој до износа </w:t>
      </w:r>
      <w:r w:rsidR="004543D9" w:rsidRPr="00C1338F">
        <w:rPr>
          <w:lang w:val="sr-Cyrl-RS"/>
        </w:rPr>
        <w:t xml:space="preserve">од </w:t>
      </w:r>
      <w:r w:rsidR="00496BDB" w:rsidRPr="00C1338F">
        <w:rPr>
          <w:lang w:val="sr-Cyrl-RS"/>
        </w:rPr>
        <w:t>44.9</w:t>
      </w:r>
      <w:r w:rsidRPr="00C1338F">
        <w:rPr>
          <w:lang w:val="sr-Cyrl-RS"/>
        </w:rPr>
        <w:t xml:space="preserve">00.000 </w:t>
      </w:r>
      <w:r w:rsidR="00C36E5F">
        <w:t>EUR</w:t>
      </w:r>
      <w:r w:rsidRPr="00C1338F">
        <w:rPr>
          <w:lang w:val="sr-Cyrl-RS"/>
        </w:rPr>
        <w:t xml:space="preserve"> за</w:t>
      </w:r>
      <w:r w:rsidR="002773F1" w:rsidRPr="00C1338F">
        <w:rPr>
          <w:lang w:val="sr-Cyrl-RS"/>
        </w:rPr>
        <w:t xml:space="preserve"> </w:t>
      </w:r>
      <w:r w:rsidR="004543D9" w:rsidRPr="00C1338F">
        <w:rPr>
          <w:rFonts w:eastAsia="Calibri"/>
          <w:lang w:val="sr-Cyrl-RS"/>
        </w:rPr>
        <w:t>Пројекат</w:t>
      </w:r>
      <w:r w:rsidR="004543D9" w:rsidRPr="00AE0571">
        <w:rPr>
          <w:rFonts w:eastAsia="Calibri"/>
          <w:lang w:val="sr-Cyrl-RS"/>
        </w:rPr>
        <w:t xml:space="preserve"> чисте енергије и енергетске ефикасности за грађане</w:t>
      </w:r>
      <w:r w:rsidR="004543D9" w:rsidRPr="00AE0571">
        <w:rPr>
          <w:bCs/>
          <w:lang w:val="sr-Cyrl-RS"/>
        </w:rPr>
        <w:t xml:space="preserve"> </w:t>
      </w:r>
      <w:r w:rsidR="00804972" w:rsidRPr="00AE0571">
        <w:rPr>
          <w:bCs/>
          <w:lang w:val="sr-Cyrl-RS"/>
        </w:rPr>
        <w:t>(у даљем тексту: Пројекат)</w:t>
      </w:r>
      <w:r w:rsidRPr="00AE0571">
        <w:rPr>
          <w:lang w:val="sr-Cyrl-RS"/>
        </w:rPr>
        <w:t>.</w:t>
      </w:r>
    </w:p>
    <w:p w14:paraId="41EAC726" w14:textId="77777777" w:rsidR="008D2909" w:rsidRPr="00AE0571" w:rsidRDefault="008D2909" w:rsidP="008D2909">
      <w:pPr>
        <w:ind w:firstLine="720"/>
        <w:jc w:val="both"/>
        <w:rPr>
          <w:bCs/>
          <w:lang w:val="sr-Cyrl-RS"/>
        </w:rPr>
      </w:pPr>
      <w:r w:rsidRPr="00AE0571">
        <w:rPr>
          <w:bCs/>
          <w:lang w:val="sr-Cyrl-RS"/>
        </w:rPr>
        <w:t>Оперативни циљ овакве врсте зајма за инвестиционо пројектно финансирање (Investment Project Financing-IPF) јесте повећање обима спровођења мера унапређења</w:t>
      </w:r>
      <w:r w:rsidR="007A7298" w:rsidRPr="00AE0571">
        <w:rPr>
          <w:bCs/>
          <w:lang w:val="sr-Cyrl-RS"/>
        </w:rPr>
        <w:t xml:space="preserve"> енергетске ефикасности, увођења одрживог грејања и уградње</w:t>
      </w:r>
      <w:r w:rsidRPr="00AE0571">
        <w:rPr>
          <w:bCs/>
          <w:lang w:val="sr-Cyrl-RS"/>
        </w:rPr>
        <w:t xml:space="preserve"> кровних соларних панела код домаћинстава у јединицама локалне самоуправе</w:t>
      </w:r>
      <w:r w:rsidR="004F7628" w:rsidRPr="00AE0571">
        <w:rPr>
          <w:bCs/>
          <w:lang w:val="sr-Cyrl-RS"/>
        </w:rPr>
        <w:t xml:space="preserve"> (у даљем тексту: ЈЛС)</w:t>
      </w:r>
      <w:r w:rsidRPr="00AE0571">
        <w:rPr>
          <w:bCs/>
          <w:lang w:val="sr-Cyrl-RS"/>
        </w:rPr>
        <w:t xml:space="preserve"> у Србији које учествују у Пројекту.</w:t>
      </w:r>
    </w:p>
    <w:p w14:paraId="66E6C6E8" w14:textId="77777777" w:rsidR="004769DF" w:rsidRPr="00AE0571" w:rsidRDefault="004769DF" w:rsidP="004769DF">
      <w:pPr>
        <w:ind w:firstLine="720"/>
        <w:jc w:val="both"/>
        <w:rPr>
          <w:rFonts w:eastAsia="Calibri"/>
          <w:b/>
          <w:bCs/>
          <w:lang w:val="sr-Latn-RS"/>
        </w:rPr>
      </w:pPr>
      <w:r w:rsidRPr="00AE0571">
        <w:rPr>
          <w:rFonts w:eastAsia="Calibri"/>
          <w:lang w:val="sr-Cyrl-RS"/>
        </w:rPr>
        <w:t xml:space="preserve">Пројекат је у потпуности усклађен са програмом реформи Владе Републике Србије на пољу чисте енергије и енергетске ефикасности. Наиме, циљ доношења и спровођења реформи јесте повећање обима зелених инвестиција ради убрзања опоравка након пандемије </w:t>
      </w:r>
      <w:r w:rsidRPr="00AE0571">
        <w:rPr>
          <w:rFonts w:eastAsia="Calibri"/>
          <w:lang w:val="sr-Latn-RS"/>
        </w:rPr>
        <w:t>COVID</w:t>
      </w:r>
      <w:r w:rsidRPr="00AE0571">
        <w:rPr>
          <w:rFonts w:eastAsia="Calibri"/>
          <w:lang w:val="sr-Cyrl-RS"/>
        </w:rPr>
        <w:t>-19 и изградње отпорности на будуће изазове, нарочито када је реч о најосетљивијим грађанима.</w:t>
      </w:r>
      <w:r w:rsidRPr="00AE0571">
        <w:rPr>
          <w:rFonts w:eastAsia="Calibri"/>
          <w:b/>
          <w:bCs/>
          <w:lang w:val="sr-Cyrl-RS"/>
        </w:rPr>
        <w:t xml:space="preserve"> </w:t>
      </w:r>
    </w:p>
    <w:p w14:paraId="3E69A4C6" w14:textId="77777777" w:rsidR="001D499E" w:rsidRPr="00AE0571" w:rsidRDefault="004769DF" w:rsidP="00AA7DDB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 xml:space="preserve">Пре свега, у 2020. години израђен је нацрт Стратегије нискоугљеничног развоја Републике Србије уз финансијску подршку Европске уније, којом је постављен амбициознији циљ смањења емисија </w:t>
      </w:r>
      <w:r w:rsidRPr="00AE0571">
        <w:rPr>
          <w:rFonts w:eastAsia="Calibri"/>
          <w:lang w:val="sr-Latn-RS"/>
        </w:rPr>
        <w:t>GHG</w:t>
      </w:r>
      <w:r w:rsidRPr="00AE0571">
        <w:rPr>
          <w:rFonts w:eastAsia="Calibri"/>
          <w:lang w:val="sr-Cyrl-RS"/>
        </w:rPr>
        <w:t xml:space="preserve"> Србије за 33,3% у 2030. години у поређењу са нивоима из 1990. године (односно 13,2% у поређењу са нивоима из 2010. године). Затим, у буџету </w:t>
      </w:r>
      <w:r w:rsidR="003C2E61">
        <w:rPr>
          <w:rFonts w:eastAsia="Calibri"/>
          <w:lang w:val="sr-Cyrl-RS"/>
        </w:rPr>
        <w:t xml:space="preserve">Републике Србије </w:t>
      </w:r>
      <w:r w:rsidRPr="00AE0571">
        <w:rPr>
          <w:rFonts w:eastAsia="Calibri"/>
          <w:lang w:val="sr-Cyrl-RS"/>
        </w:rPr>
        <w:t xml:space="preserve">за 2021. годину издвојене су скоро 2,2 милијарде </w:t>
      </w:r>
      <w:r w:rsidR="00C36E5F">
        <w:rPr>
          <w:rFonts w:eastAsia="Calibri"/>
        </w:rPr>
        <w:t>EUR</w:t>
      </w:r>
      <w:r w:rsidRPr="00AE0571">
        <w:rPr>
          <w:rFonts w:eastAsia="Calibri"/>
          <w:lang w:val="sr-Cyrl-RS"/>
        </w:rPr>
        <w:t xml:space="preserve"> за енергетску ефикасност, одрживо грејање, санацију даљинског грејања, зелени опоравак и раст, рударство, изградњу канализационих мрежа, прераду отпадних вода и пројекте и програме управљања чврстим отпадом. Такође, у априлу 2021. године донет је сет закона из области енергетике и рударства, међу којима је поред нових закона – Закона о коришћењу обновљивих извора енергије и Закона о енергетској ефикасности и рационалној употреби енергије усвојен и Закон о измена и допунама Закона о рударству и геолошким истраживањима, односно Закон о енергетици у коме је прописана обавеза израде Интегрисаног националног енергетског и климатског плана Републике Србије за период од 2021. до 2030. године укључујући перспективу до 2050. године (ИНЕКП), као и праћење и извештавање о његовој реализацији. Поред наведеног, планирана је и израда нове Стратегије развоја енергетике која ће, заједно са ИНЕКП-ом, бити усаглашена са Законом о становању и одржавању зграда и Дугорочном стратегијом за подстицање улагања у обнову националног фонда зграда Републике Србије до 2050. године. На крају, у складу са новоусвојеним прописима о енергетици из 2021. године, у оквиру </w:t>
      </w:r>
      <w:r w:rsidR="00EE603D" w:rsidRPr="00AE0571">
        <w:rPr>
          <w:rFonts w:eastAsia="Calibri"/>
          <w:lang w:val="sr-Cyrl-RS"/>
        </w:rPr>
        <w:t>Министарства рударства и енергетике (у даљем тексту: МРЕ)</w:t>
      </w:r>
      <w:r w:rsidRPr="00AE0571">
        <w:rPr>
          <w:rFonts w:eastAsia="Calibri"/>
          <w:lang w:val="sr-Cyrl-RS"/>
        </w:rPr>
        <w:t xml:space="preserve"> формирана је Управа за </w:t>
      </w:r>
      <w:r w:rsidRPr="00AE0571">
        <w:rPr>
          <w:rFonts w:eastAsia="Calibri"/>
          <w:lang w:val="sr-Cyrl-RS"/>
        </w:rPr>
        <w:lastRenderedPageBreak/>
        <w:t>финансирање и подстицање енергетске ефикасности (Управа за енергетску ефикасност, односно УФПЕЕ).</w:t>
      </w:r>
      <w:r w:rsidRPr="00AE0571">
        <w:rPr>
          <w:rFonts w:eastAsia="Calibri"/>
          <w:b/>
          <w:bCs/>
          <w:lang w:val="sr-Cyrl-RS"/>
        </w:rPr>
        <w:t xml:space="preserve"> </w:t>
      </w:r>
      <w:r w:rsidRPr="00AE0571">
        <w:rPr>
          <w:rFonts w:eastAsia="Calibri"/>
          <w:lang w:val="sr-Cyrl-RS"/>
        </w:rPr>
        <w:t>Управа ће заменити постојећи Буџетски фонд за унапређење енергетске ефикасности који је представљао само буџетску линију којом је управљало МРЕ. Припрему и надзор над применом националне политике унапређења енергетске ефикасности вршиће МРЕ, док ће УФПЕЕ бити задужена за реализацију те политике на основу годишњих програма улагања која ће Влада усвајати сваке године.</w:t>
      </w:r>
    </w:p>
    <w:p w14:paraId="75E30862" w14:textId="77777777" w:rsidR="008D2909" w:rsidRPr="00AE0571" w:rsidRDefault="008D2909" w:rsidP="008D2909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 xml:space="preserve">Закључком Владе 05 Број: 48-920/2022 од 3. фебруара 2022. године, утврђена је Основа за преговоре са Међународном банком за обнову и развој у вези са одобравањем зајма за Пројекат </w:t>
      </w:r>
      <w:r w:rsidRPr="00AE0571">
        <w:rPr>
          <w:iCs/>
          <w:lang w:val="sr-Cyrl-RS"/>
        </w:rPr>
        <w:t>чисте енергије и енергетске ефикасности за грађане</w:t>
      </w:r>
      <w:r w:rsidRPr="00AE0571">
        <w:rPr>
          <w:lang w:val="sr-Cyrl-RS"/>
        </w:rPr>
        <w:t xml:space="preserve"> и одређен је преговарачки тим Републике Србије. </w:t>
      </w:r>
    </w:p>
    <w:p w14:paraId="21C58A3E" w14:textId="77777777" w:rsidR="008D2909" w:rsidRPr="00AE0571" w:rsidRDefault="008D2909" w:rsidP="008D2909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>На преговорима, вођеним 9</w:t>
      </w:r>
      <w:r w:rsidRPr="00AE0571">
        <w:rPr>
          <w:lang w:val="sr-Latn-RS"/>
        </w:rPr>
        <w:t>.</w:t>
      </w:r>
      <w:r w:rsidRPr="00AE0571">
        <w:rPr>
          <w:lang w:val="sr-Cyrl-RS"/>
        </w:rPr>
        <w:t xml:space="preserve"> фебруара 2022. године, стране су путем аудио-видео комуникације са представницима Међународне банке за обнову и развој</w:t>
      </w:r>
      <w:r w:rsidR="00546490">
        <w:rPr>
          <w:lang w:val="sr-Cyrl-RS"/>
        </w:rPr>
        <w:t xml:space="preserve"> (у даљем тексту: Банка)</w:t>
      </w:r>
      <w:r w:rsidRPr="00AE0571">
        <w:rPr>
          <w:lang w:val="sr-Cyrl-RS"/>
        </w:rPr>
        <w:t xml:space="preserve"> договориле услове и начин коришћења зајма у износу од 44.900.000 евра (еквивалент од 50 милиона </w:t>
      </w:r>
      <w:r w:rsidR="00C36E5F">
        <w:t>USD</w:t>
      </w:r>
      <w:r w:rsidRPr="00AE0571">
        <w:rPr>
          <w:lang w:val="sr-Cyrl-RS"/>
        </w:rPr>
        <w:t xml:space="preserve"> по курсу од 0,89613765 </w:t>
      </w:r>
      <w:r w:rsidR="00C36E5F">
        <w:t>EUR</w:t>
      </w:r>
      <w:r w:rsidRPr="00AE0571">
        <w:rPr>
          <w:lang w:val="sr-Cyrl-RS"/>
        </w:rPr>
        <w:t>/</w:t>
      </w:r>
      <w:r w:rsidR="00C36E5F">
        <w:t>USD</w:t>
      </w:r>
      <w:r w:rsidRPr="00AE0571">
        <w:rPr>
          <w:lang w:val="sr-Cyrl-RS"/>
        </w:rPr>
        <w:t xml:space="preserve">, на дан 31. јануар 2022. године) и усагласиле одредбе Споразума о зајму. </w:t>
      </w:r>
      <w:r w:rsidRPr="00AE0571">
        <w:rPr>
          <w:bCs/>
          <w:lang w:val="sr-Cyrl-RS"/>
        </w:rPr>
        <w:t xml:space="preserve"> </w:t>
      </w:r>
    </w:p>
    <w:p w14:paraId="32554311" w14:textId="77777777" w:rsidR="008D2909" w:rsidRPr="00AE0571" w:rsidRDefault="008D2909" w:rsidP="008D2909">
      <w:pPr>
        <w:ind w:firstLine="720"/>
        <w:jc w:val="both"/>
        <w:rPr>
          <w:bCs/>
          <w:color w:val="000000"/>
          <w:lang w:val="sr-Cyrl-RS"/>
        </w:rPr>
      </w:pPr>
      <w:r w:rsidRPr="00AE0571">
        <w:rPr>
          <w:bCs/>
          <w:color w:val="000000"/>
          <w:lang w:val="sr-Cyrl-RS"/>
        </w:rPr>
        <w:t xml:space="preserve">Пројекат је структуиран кроз спровођење активности подељених у две основне компоненте. </w:t>
      </w:r>
    </w:p>
    <w:p w14:paraId="0BFAB527" w14:textId="77777777" w:rsidR="008D2909" w:rsidRPr="00AE0571" w:rsidRDefault="008D2909" w:rsidP="008D2909">
      <w:pPr>
        <w:ind w:firstLine="720"/>
        <w:jc w:val="both"/>
        <w:rPr>
          <w:rFonts w:eastAsia="Calibri"/>
          <w:b/>
          <w:lang w:val="sr-Cyrl-RS"/>
        </w:rPr>
      </w:pPr>
      <w:r w:rsidRPr="00AE0571">
        <w:rPr>
          <w:rFonts w:eastAsia="Calibri"/>
          <w:b/>
          <w:lang w:val="sr-Cyrl-RS"/>
        </w:rPr>
        <w:t>Компонента 1: Финансирање улагања у енергетску ефикасност, одрживо грејање и уградњу кровних соларних панела у стамбеним зградама</w:t>
      </w:r>
    </w:p>
    <w:p w14:paraId="2C0441B5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 xml:space="preserve">У оквиру ове компоненте финансираће се грантови које додељује </w:t>
      </w:r>
      <w:r w:rsidR="00EE603D" w:rsidRPr="00AE0571">
        <w:rPr>
          <w:rFonts w:eastAsia="Calibri"/>
          <w:lang w:val="sr-Cyrl-RS"/>
        </w:rPr>
        <w:t>МРЕ</w:t>
      </w:r>
      <w:r w:rsidRPr="00AE0571">
        <w:rPr>
          <w:rFonts w:eastAsia="Calibri"/>
          <w:lang w:val="sr-Cyrl-RS"/>
        </w:rPr>
        <w:t xml:space="preserve">, којима ће се суфинансирати улагања у унапређење енергетске ефикасности, одрживо грејање и кровне соларне панеле у стамбеним објектима. Поред грантова који ће се нудити посредством Пројекта (које ће одобравати МРЕ и који ће се исплаћивати посредством </w:t>
      </w:r>
      <w:r w:rsidR="004F7628" w:rsidRPr="00AE0571">
        <w:rPr>
          <w:rFonts w:eastAsia="Calibri"/>
          <w:lang w:val="sr-Cyrl-RS"/>
        </w:rPr>
        <w:t>ЈЛС</w:t>
      </w:r>
      <w:r w:rsidRPr="00AE0571">
        <w:rPr>
          <w:rFonts w:eastAsia="Calibri"/>
          <w:lang w:val="sr-Cyrl-RS"/>
        </w:rPr>
        <w:t>, које буду учествовале у Пројекту), инвестиције ће се финансирати и путем: (i) паралелних грантова које ће непосредно одобравати ЈЛС; и (ii) учешћа самих домаћинстава из постојеће штедње или задуживања.</w:t>
      </w:r>
    </w:p>
    <w:p w14:paraId="3A597A7F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>Пројекат ће представљати увећану и унапређену верзију постојећег државног програма који је као пилот-иницијативу 2021. године покренуло МРЕ и у оквиру кога је финансирано унапређење енергетске ефикасности у стамбеном сектору путем комбинације јавних грантова и финансирања из приватног сектора. У склопу тог програма, власници једнопородичних објеката (ЈПО) и станова у зградама за вишепородично становање (ЗВС) могу да поднесу захтев својој ЈЛС за одобравање субвенција за потребе суфинансирања мера увођења чисте енергије и унапређења енергетске ефикасности.</w:t>
      </w:r>
    </w:p>
    <w:p w14:paraId="15BD2764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>Први јавни позив у оквиру Пројекта биће заснован на пилот-програму из 2021. године, али уз неколико унапређења: (i) приоритет ће бити дат улагањима у ЈПО и трошковно ефикасним комбинацијама мера за уштеду енергије (као што је замена грађевинске столарије упоредо са уградњом изолације таваница); (ii) подстаћи</w:t>
      </w:r>
      <w:r w:rsidRPr="00AE0571">
        <w:rPr>
          <w:rFonts w:eastAsia="Calibri"/>
          <w:lang w:val="sr-Latn-RS"/>
        </w:rPr>
        <w:t xml:space="preserve"> </w:t>
      </w:r>
      <w:r w:rsidRPr="00AE0571">
        <w:rPr>
          <w:rFonts w:eastAsia="Calibri"/>
          <w:lang w:val="sr-Cyrl-RS"/>
        </w:rPr>
        <w:t>ће се стандардизација улагања у чисту енергију и унапређење енергетске ефикасности и стандардизација модалитета њихове реализације у свим ЈЛС; (iii) додатни нагласак ће се ставити на најосетљивије грађане путем допунских грантова за социјалну инклузију и додатне подршке за сиромашније општине; и (iv) усвојиће се захтеви Светске банке везани за животну средину, социјална питања и фидуцијарне активности.</w:t>
      </w:r>
    </w:p>
    <w:p w14:paraId="149CE539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 xml:space="preserve">У касније јавне позиве у оквиру Пројекта биће уграђене поуке претходних позива и биће извршене корекције према потреби. Светска банка ће блиско сарађивати са МРЕ и ЈЛС током петогодишњег периода реализације програма у циљу повећања његовог обима, уз истовремено постепено унапређење усмеравања државних грантова на инвестиције које имају највећи потенцијал за остварење користи на пољу енергије и најдуже периоде приноса на уложена средства, као и на домаћинства и ЈЛС којима је најпотребнија финансијска подршка. Поред тога, Пројекат ће настојати да: (i) изгради нова партнерства са пословним банкама (поред постојећег односа са Банком Поштанском штедионицом) ради обезбеђивања додатних извора финансирања које </w:t>
      </w:r>
      <w:r w:rsidRPr="00AE0571">
        <w:rPr>
          <w:rFonts w:eastAsia="Calibri"/>
          <w:lang w:val="sr-Cyrl-RS"/>
        </w:rPr>
        <w:lastRenderedPageBreak/>
        <w:t>домаћинства-корисници могу да употребе за покривање свог дела инвестиционих трошкова; и (ii) прати евентуално оснивање компанија за пружање енергетских услуга (ESCO) у стамбеном сектору али без пружања подршке за прерастање локалних извођача радова у компаније за пружање енергетских услуга у пуном обиму.</w:t>
      </w:r>
    </w:p>
    <w:p w14:paraId="62127088" w14:textId="77777777" w:rsidR="008D2909" w:rsidRPr="00AE0571" w:rsidRDefault="008D2909" w:rsidP="008D2909">
      <w:pPr>
        <w:ind w:firstLine="720"/>
        <w:jc w:val="both"/>
        <w:rPr>
          <w:rFonts w:eastAsia="Calibri"/>
          <w:b/>
          <w:lang w:val="sr-Latn-CS"/>
        </w:rPr>
      </w:pPr>
      <w:r w:rsidRPr="00AE0571">
        <w:rPr>
          <w:rFonts w:eastAsia="Calibri"/>
          <w:b/>
          <w:lang w:val="sr-Cyrl-RS"/>
        </w:rPr>
        <w:t>Компонента 2: Техничка подршка и помоћ при реализацији</w:t>
      </w:r>
      <w:r w:rsidRPr="00AE0571">
        <w:rPr>
          <w:rFonts w:eastAsia="Calibri"/>
          <w:b/>
          <w:lang w:val="sr-Latn-CS"/>
        </w:rPr>
        <w:t xml:space="preserve"> </w:t>
      </w:r>
    </w:p>
    <w:p w14:paraId="7873ED6A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 xml:space="preserve">Ова компонента за циљ има пружање подршке развоју скалабилних механизама финансирања и уклањању тржишних препрека, и подељена је на три поткомпоненте: </w:t>
      </w:r>
    </w:p>
    <w:p w14:paraId="1267FDD0" w14:textId="77777777" w:rsidR="008D2909" w:rsidRPr="00AE0571" w:rsidRDefault="008D2909" w:rsidP="008D2909">
      <w:pPr>
        <w:ind w:firstLine="720"/>
        <w:jc w:val="both"/>
        <w:rPr>
          <w:rFonts w:eastAsia="Calibri"/>
          <w:b/>
          <w:i/>
          <w:iCs/>
          <w:lang w:val="sr-Cyrl-RS"/>
        </w:rPr>
      </w:pPr>
      <w:r w:rsidRPr="00AE0571">
        <w:rPr>
          <w:rFonts w:eastAsia="Calibri"/>
          <w:b/>
          <w:i/>
          <w:iCs/>
          <w:lang w:val="sr-Cyrl-RS"/>
        </w:rPr>
        <w:t xml:space="preserve">Поткомпонента 2а: Повећање капацитета локалног тржишта, побољшање позитивног окружења и подизање свести грађана </w:t>
      </w:r>
    </w:p>
    <w:p w14:paraId="3A80C33E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>Између осталог, ова поткомпонента ће, у координацији са другим међународним финансијским институцијама и донаторима, пружити подршку за: (i) израду јавних политика, закона и прописа који се односе на енергетску ефикасност, одрживо грејање и кровне соларне панеле; (ii) развој тржишта и изградњу капацитета МРЕ, ЈЛС, извођача радова и пословних банака у циљу филтрирања, осмишљавања, оцењивања, анализирања/финансирања, реализовања и мерења учинка улагања у чисту енергију и унапређење енергетске ефикасности у стамбеном сектору; и (iii) комуникације и информативне активности у циљу подизања свести грађана Србије о предностима улагања у унапређење енергетске ефикасности и чисту енергију и доступним програмима подршке.</w:t>
      </w:r>
    </w:p>
    <w:p w14:paraId="78CF0194" w14:textId="77777777" w:rsidR="008D2909" w:rsidRPr="00AE0571" w:rsidRDefault="008D2909" w:rsidP="008D2909">
      <w:pPr>
        <w:ind w:firstLine="720"/>
        <w:jc w:val="both"/>
        <w:rPr>
          <w:rFonts w:eastAsia="Calibri"/>
          <w:b/>
          <w:i/>
          <w:iCs/>
          <w:lang w:val="sr-Cyrl-RS"/>
        </w:rPr>
      </w:pPr>
      <w:r w:rsidRPr="00AE0571">
        <w:rPr>
          <w:rFonts w:eastAsia="Calibri"/>
          <w:b/>
          <w:i/>
          <w:iCs/>
          <w:lang w:val="sr-Cyrl-RS"/>
        </w:rPr>
        <w:t xml:space="preserve">Поткомпонента 2б: Спровођење техничких студија као основа за осмишљавање и реализацију програма </w:t>
      </w:r>
    </w:p>
    <w:p w14:paraId="387C85B9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>У оквиру ове поткомпоненте финансираће се спровођење техничких студија потребних за реализацију инвестиционих пројеката, као што су: (i) енергетске ревизије одабраних објеката пре приступања санацији; (ii) израда техничких пројеката и надзор над извођењем радова за поједине објекте; (iii) енергетске ревизије узорка објеката након санације и мерење и верификација (М и В) резултата; и (iv) праћење и евалуација (М и Е).</w:t>
      </w:r>
    </w:p>
    <w:p w14:paraId="1C22E6E5" w14:textId="77777777" w:rsidR="008D2909" w:rsidRPr="00AE0571" w:rsidRDefault="008D2909" w:rsidP="008D2909">
      <w:pPr>
        <w:ind w:firstLine="720"/>
        <w:jc w:val="both"/>
        <w:rPr>
          <w:rFonts w:eastAsia="Calibri"/>
          <w:b/>
          <w:i/>
          <w:iCs/>
          <w:lang w:val="sr-Cyrl-RS"/>
        </w:rPr>
      </w:pPr>
      <w:r w:rsidRPr="00AE0571">
        <w:rPr>
          <w:rFonts w:eastAsia="Calibri"/>
          <w:b/>
          <w:i/>
          <w:iCs/>
          <w:lang w:val="sr-Cyrl-RS"/>
        </w:rPr>
        <w:t xml:space="preserve">Поткомпонента 2в: Подршка за реализацију пројекта </w:t>
      </w:r>
    </w:p>
    <w:p w14:paraId="0200AD1F" w14:textId="77777777" w:rsidR="008D2909" w:rsidRPr="00AE0571" w:rsidRDefault="008D2909" w:rsidP="008D2909">
      <w:pPr>
        <w:ind w:firstLine="720"/>
        <w:jc w:val="both"/>
        <w:rPr>
          <w:rFonts w:eastAsia="Calibri"/>
          <w:lang w:val="sr-Cyrl-RS"/>
        </w:rPr>
      </w:pPr>
      <w:r w:rsidRPr="00AE0571">
        <w:rPr>
          <w:rFonts w:eastAsia="Calibri"/>
          <w:lang w:val="sr-Cyrl-RS"/>
        </w:rPr>
        <w:t>Кроз ову поткомпоненту ће се подржати активности везане за реализацију пројекта, као што су: (i) ангажовање запослених у Јединици за имплементацију пројекта</w:t>
      </w:r>
      <w:r w:rsidR="004F7628" w:rsidRPr="00AE0571">
        <w:rPr>
          <w:rFonts w:eastAsia="Calibri"/>
          <w:lang w:val="sr-Cyrl-RS"/>
        </w:rPr>
        <w:t xml:space="preserve"> (у даљем тексту ЈИП) и то: </w:t>
      </w:r>
      <w:r w:rsidRPr="00AE0571">
        <w:rPr>
          <w:rFonts w:eastAsia="Calibri"/>
          <w:lang w:val="sr-Cyrl-RS"/>
        </w:rPr>
        <w:t>руководилац пројекта, технички експерти, експерт за заштиту животне средине и социјална питања, експерт за базу података и праћење и евалуацију, правни експерти итд.; (ii) ангажовање техничких експерата у ЈЛС (или на регионалном нивоу); (iii) ревизије; и (iv) текући трошкови пословања (као што су канцеларијска опрема и логистика).</w:t>
      </w:r>
    </w:p>
    <w:p w14:paraId="6EFE2E23" w14:textId="77777777" w:rsidR="008D2909" w:rsidRPr="00AE0571" w:rsidRDefault="008D2909" w:rsidP="008D2909">
      <w:pPr>
        <w:ind w:firstLine="720"/>
        <w:jc w:val="both"/>
        <w:rPr>
          <w:bCs/>
          <w:lang w:val="sr-Cyrl-RS"/>
        </w:rPr>
      </w:pPr>
      <w:r w:rsidRPr="00AE0571">
        <w:rPr>
          <w:bCs/>
          <w:lang w:val="sr-Cyrl-RS"/>
        </w:rPr>
        <w:t>Реализација Пројекта треба да допринесе успостављању оквира и структуре за споров</w:t>
      </w:r>
      <w:r w:rsidRPr="00AE0571">
        <w:rPr>
          <w:bCs/>
          <w:lang w:val="sr-Latn-RS"/>
        </w:rPr>
        <w:t>o</w:t>
      </w:r>
      <w:r w:rsidRPr="00AE0571">
        <w:rPr>
          <w:bCs/>
          <w:lang w:val="sr-Cyrl-RS"/>
        </w:rPr>
        <w:t>ђење повећаног обима мера енергетске ефикасности, увођење чисте енергије у стамбеном сектору и мобилизације приватних улагања путем суфинансирања домаћинстава.</w:t>
      </w:r>
    </w:p>
    <w:p w14:paraId="283CF78B" w14:textId="77777777" w:rsidR="008D2909" w:rsidRDefault="00145269" w:rsidP="008D2909">
      <w:pPr>
        <w:ind w:firstLine="720"/>
        <w:jc w:val="both"/>
        <w:rPr>
          <w:bCs/>
          <w:iCs/>
          <w:lang w:val="sr-Cyrl-RS"/>
        </w:rPr>
      </w:pPr>
      <w:r w:rsidRPr="00AE0571">
        <w:rPr>
          <w:bCs/>
          <w:iCs/>
          <w:lang w:val="sr-Cyrl-RS"/>
        </w:rPr>
        <w:t xml:space="preserve">Сходно критеријумима подобности и процедурама прихватљивим за </w:t>
      </w:r>
      <w:r w:rsidR="00546490">
        <w:rPr>
          <w:bCs/>
          <w:iCs/>
          <w:lang w:val="sr-Cyrl-RS"/>
        </w:rPr>
        <w:t>Банку</w:t>
      </w:r>
      <w:r w:rsidR="00AD2101" w:rsidRPr="00AE0571">
        <w:rPr>
          <w:bCs/>
          <w:iCs/>
          <w:lang w:val="sr-Cyrl-RS"/>
        </w:rPr>
        <w:t xml:space="preserve"> </w:t>
      </w:r>
      <w:r w:rsidRPr="00AE0571">
        <w:rPr>
          <w:bCs/>
          <w:iCs/>
          <w:lang w:val="sr-Cyrl-RS"/>
        </w:rPr>
        <w:t>и детаљније предвиђеним Пројектним приручником за операције и грантове</w:t>
      </w:r>
      <w:r w:rsidR="00AD2101" w:rsidRPr="00AE0571">
        <w:rPr>
          <w:bCs/>
          <w:iCs/>
          <w:lang w:val="sr-Cyrl-RS"/>
        </w:rPr>
        <w:t xml:space="preserve"> (у даљем тексту: Приручник)</w:t>
      </w:r>
      <w:r w:rsidRPr="00AE0571">
        <w:rPr>
          <w:bCs/>
          <w:iCs/>
          <w:lang w:val="sr-Cyrl-RS"/>
        </w:rPr>
        <w:t xml:space="preserve">, </w:t>
      </w:r>
      <w:r w:rsidR="008D2909" w:rsidRPr="00AE0571">
        <w:rPr>
          <w:bCs/>
          <w:iCs/>
          <w:lang w:val="sr-Cyrl-RS"/>
        </w:rPr>
        <w:t xml:space="preserve">Република Србија ће преко МРЕ склопити споразум о гранту са сваком ЈЛС која учествује у Пројекту. Носилац Пројекта ће бити МРЕ и примаће исплате по основу повлачења средстава зајма и управљати њима, а за свакодневно управљање Пројектом биће задужена </w:t>
      </w:r>
      <w:r w:rsidR="004F7628" w:rsidRPr="00AE0571">
        <w:rPr>
          <w:bCs/>
          <w:iCs/>
          <w:lang w:val="sr-Cyrl-RS"/>
        </w:rPr>
        <w:t>ЈИП</w:t>
      </w:r>
      <w:r w:rsidR="008D2909" w:rsidRPr="00AE0571">
        <w:rPr>
          <w:bCs/>
          <w:iCs/>
          <w:lang w:val="sr-Cyrl-RS"/>
        </w:rPr>
        <w:t xml:space="preserve"> у МРЕ. Средства зајма биће исплаћивана на наменски рачун отворен код Народне банке Србије у име МРЕ. </w:t>
      </w:r>
      <w:r w:rsidR="00FC4D2C">
        <w:rPr>
          <w:bCs/>
          <w:iCs/>
          <w:lang w:val="sr-Cyrl-RS"/>
        </w:rPr>
        <w:t>З</w:t>
      </w:r>
      <w:r w:rsidR="00FC4D2C" w:rsidRPr="00AE0571">
        <w:rPr>
          <w:bCs/>
          <w:iCs/>
          <w:lang w:val="sr-Cyrl-RS"/>
        </w:rPr>
        <w:t>аједно са ЈЛС</w:t>
      </w:r>
      <w:r w:rsidR="00FC4D2C">
        <w:rPr>
          <w:bCs/>
          <w:iCs/>
          <w:lang w:val="sr-Cyrl-RS"/>
        </w:rPr>
        <w:t>, МРЕ</w:t>
      </w:r>
      <w:r w:rsidR="008D2909" w:rsidRPr="00AE0571">
        <w:rPr>
          <w:bCs/>
          <w:iCs/>
          <w:lang w:val="sr-Cyrl-RS"/>
        </w:rPr>
        <w:t xml:space="preserve"> ће суфинансирати инвестиције на локалном нивоу, усмеравајући средства са наменског рачуна на посебне рачуне/подрачуне у РСД које ће за ту сврху бити отворени за ЈЛС код Управе за трезор, преко евиденционог рачуна МРЕ у информационом </w:t>
      </w:r>
      <w:r w:rsidR="00FC4D2C">
        <w:rPr>
          <w:bCs/>
          <w:iCs/>
          <w:lang w:val="sr-Cyrl-RS"/>
        </w:rPr>
        <w:t>с</w:t>
      </w:r>
      <w:r w:rsidR="008D2909" w:rsidRPr="00AE0571">
        <w:rPr>
          <w:bCs/>
          <w:iCs/>
          <w:lang w:val="sr-Cyrl-RS"/>
        </w:rPr>
        <w:t>истему извршења буџета Републике Србије. У случ</w:t>
      </w:r>
      <w:r w:rsidR="00FC4D2C">
        <w:rPr>
          <w:bCs/>
          <w:iCs/>
          <w:lang w:val="sr-Cyrl-RS"/>
        </w:rPr>
        <w:t>ају да ЈЛС не потроше средства г</w:t>
      </w:r>
      <w:r w:rsidR="008D2909" w:rsidRPr="00AE0571">
        <w:rPr>
          <w:bCs/>
          <w:iCs/>
          <w:lang w:val="sr-Cyrl-RS"/>
        </w:rPr>
        <w:t xml:space="preserve">ранта у складу са условима и роковима </w:t>
      </w:r>
      <w:r w:rsidR="00FC4D2C">
        <w:rPr>
          <w:bCs/>
          <w:iCs/>
          <w:lang w:val="sr-Cyrl-RS"/>
        </w:rPr>
        <w:t>дефинисаним споразумом о г</w:t>
      </w:r>
      <w:r w:rsidR="008D2909" w:rsidRPr="00AE0571">
        <w:rPr>
          <w:bCs/>
          <w:iCs/>
          <w:lang w:val="sr-Cyrl-RS"/>
        </w:rPr>
        <w:t xml:space="preserve">ранту, ЈЛС је у обавези да средства врати на </w:t>
      </w:r>
      <w:r w:rsidR="00546490">
        <w:rPr>
          <w:bCs/>
          <w:iCs/>
          <w:lang w:val="sr-Cyrl-RS"/>
        </w:rPr>
        <w:t xml:space="preserve">наведени </w:t>
      </w:r>
      <w:r w:rsidR="008D2909" w:rsidRPr="00AE0571">
        <w:rPr>
          <w:bCs/>
          <w:iCs/>
          <w:lang w:val="sr-Cyrl-RS"/>
        </w:rPr>
        <w:t xml:space="preserve">рачун, у складу са инструкцијама које је МРЕ добила од </w:t>
      </w:r>
      <w:r w:rsidR="008D2909" w:rsidRPr="00AE0571">
        <w:rPr>
          <w:bCs/>
          <w:iCs/>
          <w:lang w:val="sr-Cyrl-RS"/>
        </w:rPr>
        <w:lastRenderedPageBreak/>
        <w:t>Министартсва фина</w:t>
      </w:r>
      <w:r w:rsidR="00FC4D2C">
        <w:rPr>
          <w:bCs/>
          <w:iCs/>
          <w:lang w:val="sr-Cyrl-RS"/>
        </w:rPr>
        <w:t>нс</w:t>
      </w:r>
      <w:r w:rsidR="008D2909" w:rsidRPr="00AE0571">
        <w:rPr>
          <w:bCs/>
          <w:iCs/>
          <w:lang w:val="sr-Cyrl-RS"/>
        </w:rPr>
        <w:t xml:space="preserve">ија. Враћена </w:t>
      </w:r>
      <w:r w:rsidR="00FC4D2C">
        <w:rPr>
          <w:bCs/>
          <w:iCs/>
          <w:lang w:val="sr-Cyrl-RS"/>
        </w:rPr>
        <w:t>непотрошена средства г</w:t>
      </w:r>
      <w:r w:rsidR="008D2909" w:rsidRPr="00AE0571">
        <w:rPr>
          <w:bCs/>
          <w:iCs/>
          <w:lang w:val="sr-Cyrl-RS"/>
        </w:rPr>
        <w:t>ранта могу бити реалоцирана на ЈЛС које уч</w:t>
      </w:r>
      <w:r w:rsidR="00E36178">
        <w:rPr>
          <w:bCs/>
          <w:iCs/>
          <w:lang w:val="sr-Cyrl-RS"/>
        </w:rPr>
        <w:t>ествују у Пројекту у складу са С</w:t>
      </w:r>
      <w:r w:rsidR="00F61148">
        <w:rPr>
          <w:bCs/>
          <w:iCs/>
          <w:lang w:val="sr-Cyrl-RS"/>
        </w:rPr>
        <w:t>поразумом о зајму, а</w:t>
      </w:r>
      <w:r w:rsidR="008D2909" w:rsidRPr="00AE0571">
        <w:rPr>
          <w:bCs/>
          <w:iCs/>
          <w:lang w:val="sr-Cyrl-RS"/>
        </w:rPr>
        <w:t xml:space="preserve"> МРЕ </w:t>
      </w:r>
      <w:r w:rsidR="00F61148">
        <w:rPr>
          <w:bCs/>
          <w:iCs/>
          <w:lang w:val="sr-Cyrl-RS"/>
        </w:rPr>
        <w:t xml:space="preserve">ће бити у </w:t>
      </w:r>
      <w:r w:rsidR="008D2909" w:rsidRPr="00AE0571">
        <w:rPr>
          <w:bCs/>
          <w:iCs/>
          <w:lang w:val="sr-Cyrl-RS"/>
        </w:rPr>
        <w:t>обавези да извештава Министарство фина</w:t>
      </w:r>
      <w:r w:rsidR="00FC4D2C">
        <w:rPr>
          <w:bCs/>
          <w:iCs/>
          <w:lang w:val="sr-Cyrl-RS"/>
        </w:rPr>
        <w:t>нсија о непотрошеним средствима г</w:t>
      </w:r>
      <w:r w:rsidR="008D2909" w:rsidRPr="00AE0571">
        <w:rPr>
          <w:bCs/>
          <w:iCs/>
          <w:lang w:val="sr-Cyrl-RS"/>
        </w:rPr>
        <w:t>ранта од стране ЈЛС.</w:t>
      </w:r>
    </w:p>
    <w:p w14:paraId="45F15F98" w14:textId="77777777" w:rsidR="00546490" w:rsidRPr="00AE0571" w:rsidRDefault="00546490" w:rsidP="00546490">
      <w:pPr>
        <w:ind w:firstLine="720"/>
        <w:jc w:val="both"/>
        <w:rPr>
          <w:bCs/>
          <w:iCs/>
          <w:lang w:val="sr-Cyrl-RS"/>
        </w:rPr>
      </w:pPr>
      <w:r w:rsidRPr="00AE0571">
        <w:rPr>
          <w:bCs/>
          <w:iCs/>
          <w:lang w:val="sr-Cyrl-RS"/>
        </w:rPr>
        <w:t xml:space="preserve">Управљачки одбор, са надлежностима и ресурсима прихватљивим за Банку, којим председава представник МРЕ и који ће бити сачињен од представника релевантних министарстава, </w:t>
      </w:r>
      <w:r w:rsidRPr="00AE0571">
        <w:rPr>
          <w:rFonts w:eastAsia="Calibri"/>
          <w:bCs/>
          <w:iCs/>
          <w:lang w:val="sr-Cyrl-RS"/>
        </w:rPr>
        <w:t>институција и ЈЛС које учествују у Пројекту</w:t>
      </w:r>
      <w:r w:rsidRPr="00AE0571">
        <w:rPr>
          <w:bCs/>
          <w:iCs/>
          <w:lang w:val="sr-Cyrl-RS"/>
        </w:rPr>
        <w:t>, а који ће, између осталог, бити одговоран за свеукупну координацију и функције стратешког вођења, биће успостављен 6 месеци од ступања на снагу Споразума о зајму.</w:t>
      </w:r>
    </w:p>
    <w:p w14:paraId="57ED2ABA" w14:textId="77777777" w:rsidR="00440427" w:rsidRPr="00AE0571" w:rsidRDefault="00B47FD9" w:rsidP="00440427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 xml:space="preserve">Извештај са преговора прихваћен је </w:t>
      </w:r>
      <w:r w:rsidR="00440427" w:rsidRPr="00AE0571">
        <w:rPr>
          <w:lang w:val="sr-Cyrl-RS"/>
        </w:rPr>
        <w:t>Закључком Владе 05 Број: 48-</w:t>
      </w:r>
      <w:r w:rsidR="008D2909" w:rsidRPr="00AE0571">
        <w:rPr>
          <w:lang w:val="sr-Cyrl-RS"/>
        </w:rPr>
        <w:t>1405</w:t>
      </w:r>
      <w:r w:rsidR="00440427" w:rsidRPr="00AE0571">
        <w:rPr>
          <w:lang w:val="sr-Cyrl-RS"/>
        </w:rPr>
        <w:t>/2022 од 1</w:t>
      </w:r>
      <w:r w:rsidR="008D2909" w:rsidRPr="00AE0571">
        <w:rPr>
          <w:lang w:val="sr-Cyrl-RS"/>
        </w:rPr>
        <w:t>4</w:t>
      </w:r>
      <w:r w:rsidR="00440427" w:rsidRPr="00AE0571">
        <w:rPr>
          <w:lang w:val="sr-Cyrl-RS"/>
        </w:rPr>
        <w:t xml:space="preserve">. фебруара 2022. године, </w:t>
      </w:r>
      <w:r w:rsidRPr="00AE0571">
        <w:rPr>
          <w:lang w:val="sr-Cyrl-RS"/>
        </w:rPr>
        <w:t xml:space="preserve">којим је истовремено </w:t>
      </w:r>
      <w:r w:rsidR="00440427" w:rsidRPr="00AE0571">
        <w:rPr>
          <w:lang w:val="sr-Cyrl-RS"/>
        </w:rPr>
        <w:t>усвојен Нацрт споразума о зајму (</w:t>
      </w:r>
      <w:r w:rsidR="008D2909" w:rsidRPr="00AE0571">
        <w:rPr>
          <w:rFonts w:eastAsia="Calibri"/>
          <w:lang w:val="sr-Cyrl-RS"/>
        </w:rPr>
        <w:t>Пројекат чисте енергије и енергетске ефикасности за грађане</w:t>
      </w:r>
      <w:r w:rsidR="00440427" w:rsidRPr="00AE0571">
        <w:rPr>
          <w:lang w:val="sr-Cyrl-RS"/>
        </w:rPr>
        <w:t xml:space="preserve">) између Републике Србије и Међународне банке за обнову и развој и овлашћен </w:t>
      </w:r>
      <w:r w:rsidR="00440427" w:rsidRPr="00AE0571">
        <w:rPr>
          <w:lang w:val="sr-Cyrl-CS"/>
        </w:rPr>
        <w:t xml:space="preserve">Синиша Мали, министар финансија, да у име </w:t>
      </w:r>
      <w:r w:rsidR="00440427" w:rsidRPr="00AE0571">
        <w:rPr>
          <w:lang w:val="sr-Latn-CS"/>
        </w:rPr>
        <w:t xml:space="preserve">Владе, </w:t>
      </w:r>
      <w:r w:rsidR="00440427" w:rsidRPr="00AE0571">
        <w:rPr>
          <w:lang w:val="sr-Cyrl-CS"/>
        </w:rPr>
        <w:t>као заступника Републике Србије</w:t>
      </w:r>
      <w:r w:rsidR="00440427" w:rsidRPr="00AE0571">
        <w:rPr>
          <w:lang w:val="ru-RU"/>
        </w:rPr>
        <w:t>,</w:t>
      </w:r>
      <w:r w:rsidR="00440427" w:rsidRPr="00AE0571">
        <w:rPr>
          <w:lang w:val="sr-Cyrl-CS"/>
        </w:rPr>
        <w:t xml:space="preserve"> потпише наведени споразум</w:t>
      </w:r>
      <w:r w:rsidR="008D2909" w:rsidRPr="00AE0571">
        <w:rPr>
          <w:lang w:val="sr-Cyrl-RS"/>
        </w:rPr>
        <w:t>.</w:t>
      </w:r>
    </w:p>
    <w:p w14:paraId="408CF99D" w14:textId="77777777" w:rsidR="008D2909" w:rsidRPr="00AE0571" w:rsidRDefault="008D2909" w:rsidP="008D2909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>У</w:t>
      </w:r>
      <w:r w:rsidR="0097695C" w:rsidRPr="00AE0571">
        <w:rPr>
          <w:lang w:val="sr-Cyrl-RS"/>
        </w:rPr>
        <w:t xml:space="preserve"> складу са Општим условима </w:t>
      </w:r>
      <w:r w:rsidR="00546490">
        <w:rPr>
          <w:lang w:val="sr-Cyrl-CS"/>
        </w:rPr>
        <w:t>Банке</w:t>
      </w:r>
      <w:r w:rsidR="00546490" w:rsidRPr="008B3155">
        <w:rPr>
          <w:lang w:val="sr-Cyrl-CS"/>
        </w:rPr>
        <w:t xml:space="preserve"> </w:t>
      </w:r>
      <w:r w:rsidR="0097695C" w:rsidRPr="00AE0571">
        <w:rPr>
          <w:lang w:val="sr-Cyrl-RS"/>
        </w:rPr>
        <w:t>од 14. децембра 2018. године (са изменама и допунама од 1. августа 2020. године, 21. децембра 2020. године и 1. априла 2021. године)</w:t>
      </w:r>
      <w:r w:rsidR="00CF3F02">
        <w:rPr>
          <w:lang w:val="sr-Cyrl-RS"/>
        </w:rPr>
        <w:t xml:space="preserve"> и стандардном политиком, коју Б</w:t>
      </w:r>
      <w:r w:rsidR="0097695C" w:rsidRPr="00AE0571">
        <w:rPr>
          <w:lang w:val="sr-Cyrl-RS"/>
        </w:rPr>
        <w:t xml:space="preserve">анка примењује </w:t>
      </w:r>
      <w:r w:rsidR="00843140" w:rsidRPr="00AE0571">
        <w:rPr>
          <w:lang w:val="sr-Cyrl-RS"/>
        </w:rPr>
        <w:t>код одобравања зајмова за финанс</w:t>
      </w:r>
      <w:r w:rsidR="0097695C" w:rsidRPr="00AE0571">
        <w:rPr>
          <w:lang w:val="sr-Cyrl-RS"/>
        </w:rPr>
        <w:t>ирање инвестиционих пројеката</w:t>
      </w:r>
      <w:r w:rsidRPr="00AE0571">
        <w:rPr>
          <w:lang w:val="sr-Cyrl-RS"/>
        </w:rPr>
        <w:t xml:space="preserve">, договорени су следећи финансијски услови и начин на који ће се средства овог зајма користити и отплаћивати: </w:t>
      </w:r>
    </w:p>
    <w:p w14:paraId="7B50BFEB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 xml:space="preserve">директно задужење Републике: у износу од 44.900.000 </w:t>
      </w:r>
      <w:r w:rsidR="00C36E5F">
        <w:t>EUR</w:t>
      </w:r>
      <w:r w:rsidRPr="00AE0571">
        <w:rPr>
          <w:lang w:val="sr-Cyrl-RS"/>
        </w:rPr>
        <w:t>;</w:t>
      </w:r>
    </w:p>
    <w:p w14:paraId="63DF89F0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>полугодишња отплата зајма, 15. јуна и 15. децембра сваке године;</w:t>
      </w:r>
    </w:p>
    <w:p w14:paraId="11BBA7DD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 xml:space="preserve">рок доспећа: 12 година, укључујући период почека од </w:t>
      </w:r>
      <w:r w:rsidR="00C36E5F">
        <w:rPr>
          <w:lang w:val="sr-Cyrl-RS"/>
        </w:rPr>
        <w:t>три</w:t>
      </w:r>
      <w:r w:rsidRPr="00AE0571">
        <w:rPr>
          <w:lang w:val="sr-Cyrl-RS"/>
        </w:rPr>
        <w:t xml:space="preserve"> године, уз отплату главнице у 18 једнаких полугодишњих рата, од којих прва доспева 15. јуна 2025. године, а последња 15. децембра 2033. године;</w:t>
      </w:r>
    </w:p>
    <w:p w14:paraId="67237D6F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>приступна накнада: 0,25% на укупну главницу (112.250 евра) и плаћа се из средстава зајма;</w:t>
      </w:r>
    </w:p>
    <w:p w14:paraId="578FF559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>накнада на неповучена средства: 0,25% годишње на Износ главнице који није повучен;</w:t>
      </w:r>
    </w:p>
    <w:p w14:paraId="48C431FF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>каматна стопа:</w:t>
      </w:r>
      <w:r w:rsidRPr="00AE0571">
        <w:rPr>
          <w:sz w:val="22"/>
          <w:szCs w:val="22"/>
          <w:lang w:val="sr-Cyrl-RS"/>
        </w:rPr>
        <w:t xml:space="preserve"> </w:t>
      </w:r>
      <w:r w:rsidRPr="00AE0571">
        <w:rPr>
          <w:lang w:val="sr-Cyrl-RS"/>
        </w:rPr>
        <w:t>Референтна стопа (шестомесечни EURIBOR) плус Варијабилна маржа или стопа која се примењује након Конверзије, у складу са Одељком 3.02(</w:t>
      </w:r>
      <w:r w:rsidRPr="00AE0571">
        <w:t>e</w:t>
      </w:r>
      <w:r w:rsidRPr="00AE0571">
        <w:rPr>
          <w:lang w:val="sr-Cyrl-RS"/>
        </w:rPr>
        <w:t>) Општих услова;</w:t>
      </w:r>
    </w:p>
    <w:p w14:paraId="29BED53C" w14:textId="77777777" w:rsidR="008D2909" w:rsidRPr="00AE0571" w:rsidRDefault="008D2909" w:rsidP="008D2909">
      <w:pPr>
        <w:tabs>
          <w:tab w:val="left" w:pos="1080"/>
        </w:tabs>
        <w:ind w:firstLine="720"/>
        <w:jc w:val="both"/>
        <w:rPr>
          <w:lang w:val="sr-Cyrl-RS"/>
        </w:rPr>
      </w:pPr>
      <w:r w:rsidRPr="00AE0571">
        <w:rPr>
          <w:lang w:val="sr-Cyrl-RS"/>
        </w:rPr>
        <w:t>-</w:t>
      </w:r>
      <w:r w:rsidRPr="00AE0571">
        <w:rPr>
          <w:lang w:val="sr-Cyrl-RS"/>
        </w:rPr>
        <w:tab/>
        <w:t>рок расположивости зајма: средства зајма се могу повлачити до 30. новембра 2027. године.</w:t>
      </w:r>
    </w:p>
    <w:p w14:paraId="19073138" w14:textId="77777777" w:rsidR="00B47FD9" w:rsidRPr="00AE0571" w:rsidRDefault="00B47FD9" w:rsidP="00B47FD9">
      <w:pPr>
        <w:ind w:firstLine="720"/>
        <w:jc w:val="both"/>
        <w:rPr>
          <w:lang w:val="sr-Cyrl-RS"/>
        </w:rPr>
      </w:pPr>
      <w:r w:rsidRPr="00AE0571">
        <w:rPr>
          <w:lang w:val="sr-Cyrl-RS"/>
        </w:rPr>
        <w:t xml:space="preserve">Након што је </w:t>
      </w:r>
      <w:r w:rsidR="00AD2101" w:rsidRPr="00AE0571">
        <w:rPr>
          <w:lang w:val="sr-Cyrl-RS"/>
        </w:rPr>
        <w:t>Банка</w:t>
      </w:r>
      <w:r w:rsidRPr="00AE0571">
        <w:rPr>
          <w:lang w:val="sr-Cyrl-RS"/>
        </w:rPr>
        <w:t xml:space="preserve"> спровела своју процедуру одобрења од стране Одбора извршних директора, Споразум о зајму </w:t>
      </w:r>
      <w:r w:rsidR="008D2909" w:rsidRPr="00AE0571">
        <w:rPr>
          <w:lang w:val="sr-Cyrl-RS"/>
        </w:rPr>
        <w:t>(Пројекат чист</w:t>
      </w:r>
      <w:r w:rsidR="0060324B">
        <w:rPr>
          <w:lang w:val="sr-Cyrl-RS"/>
        </w:rPr>
        <w:t>е</w:t>
      </w:r>
      <w:r w:rsidR="008D2909" w:rsidRPr="00AE0571">
        <w:rPr>
          <w:lang w:val="sr-Cyrl-RS"/>
        </w:rPr>
        <w:t xml:space="preserve"> енергиј</w:t>
      </w:r>
      <w:r w:rsidR="0060324B">
        <w:rPr>
          <w:lang w:val="sr-Cyrl-RS"/>
        </w:rPr>
        <w:t>е</w:t>
      </w:r>
      <w:r w:rsidR="008D2909" w:rsidRPr="00AE0571">
        <w:rPr>
          <w:lang w:val="sr-Cyrl-RS"/>
        </w:rPr>
        <w:t xml:space="preserve"> и енергетск</w:t>
      </w:r>
      <w:r w:rsidR="0060324B">
        <w:rPr>
          <w:lang w:val="sr-Cyrl-RS"/>
        </w:rPr>
        <w:t>е</w:t>
      </w:r>
      <w:r w:rsidR="008D2909" w:rsidRPr="00AE0571">
        <w:rPr>
          <w:lang w:val="sr-Cyrl-RS"/>
        </w:rPr>
        <w:t xml:space="preserve"> ефикасност</w:t>
      </w:r>
      <w:r w:rsidR="0060324B">
        <w:rPr>
          <w:lang w:val="sr-Cyrl-RS"/>
        </w:rPr>
        <w:t>и</w:t>
      </w:r>
      <w:r w:rsidR="008D2909" w:rsidRPr="00AE0571">
        <w:rPr>
          <w:lang w:val="sr-Cyrl-RS"/>
        </w:rPr>
        <w:t xml:space="preserve"> за грађане) између Републике Србије и Међународне банке за обнову и </w:t>
      </w:r>
      <w:r w:rsidR="008D2909" w:rsidRPr="00C1338F">
        <w:rPr>
          <w:lang w:val="sr-Cyrl-RS"/>
        </w:rPr>
        <w:t xml:space="preserve">развој </w:t>
      </w:r>
      <w:r w:rsidRPr="00C1338F">
        <w:rPr>
          <w:lang w:val="sr-Cyrl-RS"/>
        </w:rPr>
        <w:t xml:space="preserve">је потписан </w:t>
      </w:r>
      <w:r w:rsidR="00496BDB" w:rsidRPr="00C1338F">
        <w:rPr>
          <w:lang w:val="sr-Cyrl-RS"/>
        </w:rPr>
        <w:t>16. новембра 2022. године</w:t>
      </w:r>
      <w:r w:rsidRPr="00C1338F">
        <w:rPr>
          <w:lang w:val="sr-Cyrl-RS"/>
        </w:rPr>
        <w:t xml:space="preserve"> 2022. године у Београду</w:t>
      </w:r>
      <w:r w:rsidRPr="00AE0571">
        <w:rPr>
          <w:lang w:val="sr-Cyrl-RS"/>
        </w:rPr>
        <w:t>.</w:t>
      </w:r>
    </w:p>
    <w:p w14:paraId="43F803B1" w14:textId="77777777" w:rsidR="001066CE" w:rsidRDefault="008D2909" w:rsidP="008D2909">
      <w:pPr>
        <w:ind w:firstLine="720"/>
        <w:jc w:val="both"/>
        <w:rPr>
          <w:bCs/>
          <w:iCs/>
          <w:lang w:val="sr-Cyrl-RS"/>
        </w:rPr>
      </w:pPr>
      <w:r w:rsidRPr="00AE0571">
        <w:rPr>
          <w:bCs/>
          <w:iCs/>
          <w:lang w:val="sr-Cyrl-RS"/>
        </w:rPr>
        <w:t>Пројекат ће користити услуге Централне фидуцијарне јединице (</w:t>
      </w:r>
      <w:r w:rsidR="00AE0571" w:rsidRPr="00AE0571">
        <w:rPr>
          <w:bCs/>
          <w:iCs/>
          <w:lang w:val="sr-Cyrl-RS"/>
        </w:rPr>
        <w:t xml:space="preserve">у даљем тексту: </w:t>
      </w:r>
      <w:r w:rsidRPr="00AE0571">
        <w:rPr>
          <w:bCs/>
          <w:iCs/>
          <w:lang w:val="sr-Cyrl-RS"/>
        </w:rPr>
        <w:t xml:space="preserve">ЦФЈ) у оквиру Министарства финансија за послове јавних набавки и управљања финансијама. </w:t>
      </w:r>
      <w:r w:rsidR="00AA7DDB" w:rsidRPr="00AE0571">
        <w:rPr>
          <w:bCs/>
          <w:iCs/>
          <w:lang w:val="sr-Cyrl-RS"/>
        </w:rPr>
        <w:t>ЦФЈ</w:t>
      </w:r>
      <w:r w:rsidRPr="00AE0571">
        <w:rPr>
          <w:bCs/>
          <w:iCs/>
          <w:lang w:val="sr-Cyrl-RS"/>
        </w:rPr>
        <w:t xml:space="preserve"> је формирана при М</w:t>
      </w:r>
      <w:r w:rsidR="00AA7DDB" w:rsidRPr="00AE0571">
        <w:rPr>
          <w:bCs/>
          <w:iCs/>
          <w:lang w:val="sr-Cyrl-RS"/>
        </w:rPr>
        <w:t>инистарству финансија</w:t>
      </w:r>
      <w:r w:rsidRPr="00AE0571">
        <w:rPr>
          <w:bCs/>
          <w:iCs/>
          <w:lang w:val="sr-Cyrl-RS"/>
        </w:rPr>
        <w:t xml:space="preserve"> у октобру 2017. ради пружања фидуцијарне подршке (активности јавних набавки и управљања финансијама) свим пројектима које у Србији подржава Светска банка. ЦФЈ је стекла значајно искуство у јавним набавкама и управљању финансијама на пројектима Светске банке од свог оснивања и тренутно обавља функције финансијског управљања и набавке за текуће пројекте и грантове које финансира Светска банка. Запослени у ЦФЈ ће сарађивати са техничким особљем МРЕ у погледу техничких аспеката реализације Пројекта у складу са Приручником. Приручник ће детаљно разјаснити аранжмане за имплементацију, укључујући конкретну поделу одговорности између учесника у реализацији Пројекта. </w:t>
      </w:r>
    </w:p>
    <w:p w14:paraId="1CB268AE" w14:textId="77777777" w:rsidR="001066CE" w:rsidRDefault="001066CE">
      <w:pPr>
        <w:spacing w:after="160" w:line="259" w:lineRule="auto"/>
        <w:rPr>
          <w:bCs/>
          <w:iCs/>
          <w:lang w:val="sr-Cyrl-RS"/>
        </w:rPr>
      </w:pPr>
      <w:r>
        <w:rPr>
          <w:bCs/>
          <w:iCs/>
          <w:lang w:val="sr-Cyrl-RS"/>
        </w:rPr>
        <w:br w:type="page"/>
      </w:r>
    </w:p>
    <w:p w14:paraId="0366AAB7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lastRenderedPageBreak/>
        <w:t>III</w:t>
      </w:r>
      <w:r w:rsidR="00C36E5F">
        <w:rPr>
          <w:rFonts w:ascii="Times New Roman" w:hAnsi="Times New Roman" w:cs="Times New Roman"/>
          <w:color w:val="auto"/>
          <w:lang w:val="sr-Cyrl-RS"/>
        </w:rPr>
        <w:t>.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 ОБЈАШЊЕЊЕ ОСНОВНИХ ПРАВНИХ ИНСТИТУТА И ПОЈЕДИНАЧНИХ РЕШЕЊА </w:t>
      </w:r>
    </w:p>
    <w:p w14:paraId="14AFD73F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38E1382C" w14:textId="77777777" w:rsidR="00601491" w:rsidRPr="00370E7E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t>Одредбом члана 1. овог закона потврђ</w:t>
      </w:r>
      <w:r w:rsidR="00C36E5F">
        <w:rPr>
          <w:rFonts w:ascii="Times New Roman" w:hAnsi="Times New Roman" w:cs="Times New Roman"/>
          <w:color w:val="auto"/>
          <w:lang w:val="sr-Cyrl-RS"/>
        </w:rPr>
        <w:t>ује се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287F90" w:rsidRPr="00AE0571">
        <w:rPr>
          <w:rFonts w:ascii="Times New Roman" w:hAnsi="Times New Roman" w:cs="Times New Roman"/>
          <w:color w:val="auto"/>
          <w:lang w:val="sr-Cyrl-RS"/>
        </w:rPr>
        <w:t>Споразум о зајму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77B3C" w:rsidRPr="00AE0571">
        <w:rPr>
          <w:rFonts w:ascii="Times New Roman" w:hAnsi="Times New Roman" w:cs="Times New Roman"/>
          <w:color w:val="auto"/>
          <w:lang w:val="sr-Cyrl-RS"/>
        </w:rPr>
        <w:t>(</w:t>
      </w:r>
      <w:r w:rsidR="008D2909" w:rsidRPr="00AE0571">
        <w:rPr>
          <w:rFonts w:ascii="Times New Roman" w:hAnsi="Times New Roman" w:cs="Times New Roman"/>
          <w:lang w:val="sr-Cyrl-RS"/>
        </w:rPr>
        <w:t>Пројекат чисте енергије и енергетске ефикасности за грађане</w:t>
      </w:r>
      <w:r w:rsidR="00777B3C" w:rsidRPr="00AE0571">
        <w:rPr>
          <w:rFonts w:ascii="Times New Roman" w:hAnsi="Times New Roman" w:cs="Times New Roman"/>
          <w:color w:val="auto"/>
          <w:lang w:val="sr-Cyrl-RS"/>
        </w:rPr>
        <w:t xml:space="preserve">) између Републике Србије и Међународне банке за обнову и развој </w:t>
      </w:r>
      <w:r w:rsidR="006E238E" w:rsidRPr="00AE0571">
        <w:rPr>
          <w:rFonts w:ascii="Times New Roman" w:hAnsi="Times New Roman" w:cs="Times New Roman"/>
          <w:color w:val="auto"/>
          <w:lang w:val="sr-Cyrl-RS"/>
        </w:rPr>
        <w:t xml:space="preserve">који је </w:t>
      </w:r>
      <w:r w:rsidRPr="00AE0571">
        <w:rPr>
          <w:rFonts w:ascii="Times New Roman" w:hAnsi="Times New Roman" w:cs="Times New Roman"/>
          <w:color w:val="auto"/>
          <w:lang w:val="sr-Cyrl-RS"/>
        </w:rPr>
        <w:t>потписан у Београду</w:t>
      </w:r>
      <w:r w:rsidRPr="00370E7E">
        <w:rPr>
          <w:rFonts w:ascii="Times New Roman" w:hAnsi="Times New Roman" w:cs="Times New Roman"/>
          <w:color w:val="auto"/>
          <w:lang w:val="sr-Cyrl-RS"/>
        </w:rPr>
        <w:t xml:space="preserve">, </w:t>
      </w:r>
      <w:r w:rsidR="00496BDB" w:rsidRPr="00370E7E">
        <w:rPr>
          <w:rFonts w:ascii="Times New Roman" w:hAnsi="Times New Roman" w:cs="Times New Roman"/>
          <w:color w:val="auto"/>
          <w:lang w:val="sr-Cyrl-RS"/>
        </w:rPr>
        <w:t>16. новембра</w:t>
      </w:r>
      <w:r w:rsidRPr="00370E7E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6E238E" w:rsidRPr="00370E7E">
        <w:rPr>
          <w:rFonts w:ascii="Times New Roman" w:hAnsi="Times New Roman" w:cs="Times New Roman"/>
          <w:color w:val="auto"/>
          <w:lang w:val="sr-Cyrl-RS"/>
        </w:rPr>
        <w:t>2022</w:t>
      </w:r>
      <w:r w:rsidRPr="00370E7E">
        <w:rPr>
          <w:rFonts w:ascii="Times New Roman" w:hAnsi="Times New Roman" w:cs="Times New Roman"/>
          <w:color w:val="auto"/>
          <w:lang w:val="sr-Cyrl-RS"/>
        </w:rPr>
        <w:t xml:space="preserve">. године </w:t>
      </w:r>
      <w:r w:rsidRPr="00370E7E">
        <w:rPr>
          <w:rFonts w:ascii="Times New Roman" w:hAnsi="Times New Roman" w:cs="Times New Roman"/>
          <w:lang w:val="sr-Cyrl-RS"/>
        </w:rPr>
        <w:t xml:space="preserve">у оригиналу на енглеском језику. </w:t>
      </w:r>
    </w:p>
    <w:p w14:paraId="3334B0E0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370E7E">
        <w:rPr>
          <w:rFonts w:ascii="Times New Roman" w:hAnsi="Times New Roman" w:cs="Times New Roman"/>
          <w:color w:val="auto"/>
          <w:lang w:val="sr-Cyrl-RS"/>
        </w:rPr>
        <w:t>Одредба члана 2. овог з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акона садржи текст </w:t>
      </w:r>
      <w:r w:rsidR="006E238E" w:rsidRPr="00AE0571">
        <w:rPr>
          <w:rFonts w:ascii="Times New Roman" w:hAnsi="Times New Roman" w:cs="Times New Roman"/>
          <w:color w:val="auto"/>
          <w:lang w:val="sr-Cyrl-RS"/>
        </w:rPr>
        <w:t>Споразума о зајму (</w:t>
      </w:r>
      <w:r w:rsidR="008D2909" w:rsidRPr="00AE0571">
        <w:rPr>
          <w:rFonts w:ascii="Times New Roman" w:hAnsi="Times New Roman" w:cs="Times New Roman"/>
          <w:lang w:val="sr-Cyrl-RS"/>
        </w:rPr>
        <w:t>Пројекат чисте енергије и енергетске ефикасности за грађане</w:t>
      </w:r>
      <w:r w:rsidR="006E238E" w:rsidRPr="00AE0571">
        <w:rPr>
          <w:rFonts w:ascii="Times New Roman" w:hAnsi="Times New Roman" w:cs="Times New Roman"/>
          <w:color w:val="auto"/>
          <w:lang w:val="sr-Cyrl-RS"/>
        </w:rPr>
        <w:t>) између Републике Србије и Међународне банке за обнову и развој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, у оригиналу на енглеском и преводу на српски језик. </w:t>
      </w:r>
    </w:p>
    <w:p w14:paraId="07724065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t xml:space="preserve">У одредби члана 3. закона уређује се ступање на снагу овог закона. </w:t>
      </w:r>
    </w:p>
    <w:p w14:paraId="451D0CF3" w14:textId="77777777" w:rsidR="00601491" w:rsidRPr="00AE0571" w:rsidRDefault="00601491" w:rsidP="00601491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0686B134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t>IV</w:t>
      </w:r>
      <w:r w:rsidR="00C36E5F">
        <w:rPr>
          <w:rFonts w:ascii="Times New Roman" w:hAnsi="Times New Roman" w:cs="Times New Roman"/>
          <w:color w:val="auto"/>
        </w:rPr>
        <w:t>.</w:t>
      </w:r>
      <w:r w:rsidRPr="00AE0571">
        <w:rPr>
          <w:rFonts w:ascii="Times New Roman" w:hAnsi="Times New Roman" w:cs="Times New Roman"/>
          <w:color w:val="auto"/>
          <w:lang w:val="sr-Cyrl-RS"/>
        </w:rPr>
        <w:t xml:space="preserve"> ФИНАНСИЈСКЕ ОБАВЕЗЕ И ПРОЦЕНА ФИНАНСИЈСКИХ СРЕДСТАВА КОЈА НАСТАЈУ ИЗВРШАВАЊЕМ ЗАКОНА</w:t>
      </w:r>
    </w:p>
    <w:p w14:paraId="7848D315" w14:textId="77777777" w:rsidR="00601491" w:rsidRPr="00AE057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14:paraId="1CD6B981" w14:textId="77777777" w:rsidR="00601491" w:rsidRDefault="00601491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AE0571">
        <w:rPr>
          <w:rFonts w:ascii="Times New Roman" w:hAnsi="Times New Roman" w:cs="Times New Roman"/>
          <w:color w:val="auto"/>
          <w:lang w:val="sr-Cyrl-RS"/>
        </w:rPr>
        <w:t>За спровођење овог закона обезбеђиваће се сред</w:t>
      </w:r>
      <w:r w:rsidR="008D2909" w:rsidRPr="00AE0571">
        <w:rPr>
          <w:rFonts w:ascii="Times New Roman" w:hAnsi="Times New Roman" w:cs="Times New Roman"/>
          <w:color w:val="auto"/>
          <w:lang w:val="sr-Cyrl-RS"/>
        </w:rPr>
        <w:t>ства у буџету Републике Србије.</w:t>
      </w:r>
    </w:p>
    <w:p w14:paraId="74973A7D" w14:textId="77777777" w:rsidR="003B1134" w:rsidRDefault="003B1134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68ABC931" w14:textId="77777777" w:rsidR="003B1134" w:rsidRPr="00601491" w:rsidRDefault="003B1134" w:rsidP="00601491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14:paraId="21523957" w14:textId="77777777" w:rsidR="003B1134" w:rsidRDefault="003B1134" w:rsidP="003B1134">
      <w:pPr>
        <w:ind w:firstLine="720"/>
        <w:jc w:val="both"/>
        <w:rPr>
          <w:lang w:val="ru-RU"/>
        </w:rPr>
      </w:pPr>
      <w:r w:rsidRPr="00EB3E6D">
        <w:t>V</w:t>
      </w:r>
      <w:r w:rsidR="00C36E5F">
        <w:t>.</w:t>
      </w:r>
      <w:r>
        <w:t xml:space="preserve"> </w:t>
      </w:r>
      <w:r w:rsidRPr="00EB3E6D">
        <w:rPr>
          <w:lang w:val="ru-RU"/>
        </w:rPr>
        <w:t>РАЗЛОЗИ ЗА ДОНОШЕЊЕ ЗАКОНА ПО ХИТНОМ ПОСТУПКУ</w:t>
      </w:r>
    </w:p>
    <w:p w14:paraId="6A6E7E98" w14:textId="77777777" w:rsidR="003B1134" w:rsidRPr="003B1134" w:rsidRDefault="003B1134" w:rsidP="003B1134">
      <w:pPr>
        <w:ind w:firstLine="720"/>
        <w:jc w:val="both"/>
        <w:rPr>
          <w:lang w:val="ru-RU"/>
        </w:rPr>
      </w:pPr>
    </w:p>
    <w:p w14:paraId="2BFB6BB4" w14:textId="77777777" w:rsidR="003B1134" w:rsidRPr="00440045" w:rsidRDefault="003B1134" w:rsidP="003B1134">
      <w:pPr>
        <w:ind w:firstLine="720"/>
        <w:jc w:val="both"/>
      </w:pPr>
      <w:r w:rsidRPr="00EB3E6D">
        <w:rPr>
          <w:lang w:val="sr-Cyrl-CS"/>
        </w:rPr>
        <w:t>Разлози за доношење овог закона по хитном поступку, сагласно члану 16</w:t>
      </w:r>
      <w:r w:rsidRPr="00EB3E6D">
        <w:t>7</w:t>
      </w:r>
      <w:r w:rsidRPr="00EB3E6D">
        <w:rPr>
          <w:lang w:val="sr-Cyrl-CS"/>
        </w:rPr>
        <w:t>. Пословника Народне скупштине Републике Србије („Службени гласник РС”, бр</w:t>
      </w:r>
      <w:r w:rsidRPr="00EB3E6D">
        <w:t>.</w:t>
      </w:r>
      <w:r w:rsidRPr="00EB3E6D">
        <w:rPr>
          <w:lang w:val="sr-Cyrl-CS"/>
        </w:rPr>
        <w:t xml:space="preserve"> </w:t>
      </w:r>
      <w:r w:rsidRPr="00ED2E3A">
        <w:t xml:space="preserve">52/10 </w:t>
      </w:r>
      <w:r w:rsidRPr="00ED2E3A">
        <w:rPr>
          <w:lang w:val="sr-Cyrl-CS"/>
        </w:rPr>
        <w:t>и</w:t>
      </w:r>
      <w:r w:rsidRPr="00ED2E3A">
        <w:t xml:space="preserve"> 13/11</w:t>
      </w:r>
      <w:r w:rsidRPr="00EB3E6D">
        <w:rPr>
          <w:lang w:val="sr-Cyrl-CS"/>
        </w:rPr>
        <w:t xml:space="preserve">), произлазе из чињенице да је повлачење средстава по </w:t>
      </w:r>
      <w:r w:rsidRPr="00EB3E6D">
        <w:rPr>
          <w:lang w:val="ru-RU"/>
        </w:rPr>
        <w:t>Споразуму о зајму</w:t>
      </w:r>
      <w:r w:rsidRPr="00EB3E6D">
        <w:rPr>
          <w:lang w:val="sr-Cyrl-CS"/>
        </w:rPr>
        <w:t>, услов</w:t>
      </w:r>
      <w:r w:rsidRPr="00EB3E6D">
        <w:rPr>
          <w:lang w:val="ru-RU"/>
        </w:rPr>
        <w:t>љено ступањем на снагу закона о потврђивању Споразума о зајму.</w:t>
      </w:r>
    </w:p>
    <w:p w14:paraId="675FB41A" w14:textId="77777777" w:rsidR="004543D9" w:rsidRPr="00601491" w:rsidRDefault="004543D9">
      <w:pPr>
        <w:rPr>
          <w:lang w:val="sr-Cyrl-RS"/>
        </w:rPr>
      </w:pPr>
    </w:p>
    <w:sectPr w:rsidR="004543D9" w:rsidRPr="00601491" w:rsidSect="00AE0571">
      <w:pgSz w:w="11906" w:h="16838"/>
      <w:pgMar w:top="108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3CD62" w14:textId="77777777" w:rsidR="00A75362" w:rsidRDefault="00A75362" w:rsidP="0060324B">
      <w:r>
        <w:separator/>
      </w:r>
    </w:p>
  </w:endnote>
  <w:endnote w:type="continuationSeparator" w:id="0">
    <w:p w14:paraId="1CCE209A" w14:textId="77777777" w:rsidR="00A75362" w:rsidRDefault="00A75362" w:rsidP="0060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DA05E" w14:textId="77777777" w:rsidR="00A75362" w:rsidRDefault="00A75362" w:rsidP="0060324B">
      <w:r>
        <w:separator/>
      </w:r>
    </w:p>
  </w:footnote>
  <w:footnote w:type="continuationSeparator" w:id="0">
    <w:p w14:paraId="5D959B54" w14:textId="77777777" w:rsidR="00A75362" w:rsidRDefault="00A75362" w:rsidP="0060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419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851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923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9955" w:hanging="360"/>
      </w:pPr>
      <w:rPr>
        <w:rFonts w:ascii="Wingdings" w:hAnsi="Wingdings" w:hint="default"/>
      </w:rPr>
    </w:lvl>
  </w:abstractNum>
  <w:abstractNum w:abstractNumId="1" w15:restartNumberingAfterBreak="0">
    <w:nsid w:val="669E75C2"/>
    <w:multiLevelType w:val="hybridMultilevel"/>
    <w:tmpl w:val="D3E807E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456312">
    <w:abstractNumId w:val="0"/>
  </w:num>
  <w:num w:numId="2" w16cid:durableId="1435057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F9B"/>
    <w:rsid w:val="00042FA0"/>
    <w:rsid w:val="0004558D"/>
    <w:rsid w:val="00045DDC"/>
    <w:rsid w:val="0006446C"/>
    <w:rsid w:val="001066CE"/>
    <w:rsid w:val="00117C14"/>
    <w:rsid w:val="00135BBB"/>
    <w:rsid w:val="00145269"/>
    <w:rsid w:val="0016024B"/>
    <w:rsid w:val="001610A3"/>
    <w:rsid w:val="00165B38"/>
    <w:rsid w:val="001A37EA"/>
    <w:rsid w:val="001D0D87"/>
    <w:rsid w:val="001D14DA"/>
    <w:rsid w:val="001D499E"/>
    <w:rsid w:val="001E39D3"/>
    <w:rsid w:val="00204799"/>
    <w:rsid w:val="0021496A"/>
    <w:rsid w:val="002537C4"/>
    <w:rsid w:val="002773F1"/>
    <w:rsid w:val="0028066C"/>
    <w:rsid w:val="00287F90"/>
    <w:rsid w:val="002A40E8"/>
    <w:rsid w:val="002B2B6A"/>
    <w:rsid w:val="002E468E"/>
    <w:rsid w:val="002F5225"/>
    <w:rsid w:val="00303B75"/>
    <w:rsid w:val="00340C91"/>
    <w:rsid w:val="00346D5B"/>
    <w:rsid w:val="00362890"/>
    <w:rsid w:val="00370E7E"/>
    <w:rsid w:val="00372A01"/>
    <w:rsid w:val="00390847"/>
    <w:rsid w:val="003B1134"/>
    <w:rsid w:val="003C2E61"/>
    <w:rsid w:val="003D65F5"/>
    <w:rsid w:val="003F5DC9"/>
    <w:rsid w:val="00421B5A"/>
    <w:rsid w:val="00426994"/>
    <w:rsid w:val="0043259B"/>
    <w:rsid w:val="00440427"/>
    <w:rsid w:val="00446B32"/>
    <w:rsid w:val="0045187F"/>
    <w:rsid w:val="004543D9"/>
    <w:rsid w:val="004769DF"/>
    <w:rsid w:val="0047703B"/>
    <w:rsid w:val="00491089"/>
    <w:rsid w:val="00496BDB"/>
    <w:rsid w:val="004C3F45"/>
    <w:rsid w:val="004E0AF1"/>
    <w:rsid w:val="004F29E3"/>
    <w:rsid w:val="004F7628"/>
    <w:rsid w:val="00524960"/>
    <w:rsid w:val="00526622"/>
    <w:rsid w:val="00546490"/>
    <w:rsid w:val="00561396"/>
    <w:rsid w:val="00575761"/>
    <w:rsid w:val="005803BC"/>
    <w:rsid w:val="005A349F"/>
    <w:rsid w:val="005B26BC"/>
    <w:rsid w:val="005B4328"/>
    <w:rsid w:val="005D4A7A"/>
    <w:rsid w:val="005E18DE"/>
    <w:rsid w:val="005E7C45"/>
    <w:rsid w:val="00601491"/>
    <w:rsid w:val="0060324B"/>
    <w:rsid w:val="006127BC"/>
    <w:rsid w:val="00617C82"/>
    <w:rsid w:val="00640EC7"/>
    <w:rsid w:val="006468BC"/>
    <w:rsid w:val="00657FC3"/>
    <w:rsid w:val="00664B3F"/>
    <w:rsid w:val="006E238E"/>
    <w:rsid w:val="0070153B"/>
    <w:rsid w:val="0070423B"/>
    <w:rsid w:val="00707D31"/>
    <w:rsid w:val="00711766"/>
    <w:rsid w:val="00734BD9"/>
    <w:rsid w:val="00745406"/>
    <w:rsid w:val="007459BA"/>
    <w:rsid w:val="00757257"/>
    <w:rsid w:val="00767BEC"/>
    <w:rsid w:val="007737D6"/>
    <w:rsid w:val="00777B3C"/>
    <w:rsid w:val="007A4CA2"/>
    <w:rsid w:val="007A5F55"/>
    <w:rsid w:val="007A7298"/>
    <w:rsid w:val="007B329B"/>
    <w:rsid w:val="007B3391"/>
    <w:rsid w:val="007C3D51"/>
    <w:rsid w:val="007C61FD"/>
    <w:rsid w:val="007F068E"/>
    <w:rsid w:val="007F57F0"/>
    <w:rsid w:val="007F72BE"/>
    <w:rsid w:val="00804972"/>
    <w:rsid w:val="00843140"/>
    <w:rsid w:val="008466F9"/>
    <w:rsid w:val="00853530"/>
    <w:rsid w:val="00853F08"/>
    <w:rsid w:val="00872944"/>
    <w:rsid w:val="008D2909"/>
    <w:rsid w:val="008E2CBE"/>
    <w:rsid w:val="008F19EA"/>
    <w:rsid w:val="008F6C2D"/>
    <w:rsid w:val="00902C52"/>
    <w:rsid w:val="00907539"/>
    <w:rsid w:val="00917A8E"/>
    <w:rsid w:val="00934336"/>
    <w:rsid w:val="009478A6"/>
    <w:rsid w:val="009618EF"/>
    <w:rsid w:val="0097695C"/>
    <w:rsid w:val="009A295B"/>
    <w:rsid w:val="009A6500"/>
    <w:rsid w:val="009C0D5C"/>
    <w:rsid w:val="009C6A9C"/>
    <w:rsid w:val="00A07225"/>
    <w:rsid w:val="00A14BA4"/>
    <w:rsid w:val="00A2387E"/>
    <w:rsid w:val="00A27F64"/>
    <w:rsid w:val="00A41A26"/>
    <w:rsid w:val="00A55E2D"/>
    <w:rsid w:val="00A64798"/>
    <w:rsid w:val="00A7060B"/>
    <w:rsid w:val="00A75362"/>
    <w:rsid w:val="00A8566E"/>
    <w:rsid w:val="00A9434B"/>
    <w:rsid w:val="00AA7DDB"/>
    <w:rsid w:val="00AD2101"/>
    <w:rsid w:val="00AD5418"/>
    <w:rsid w:val="00AE0571"/>
    <w:rsid w:val="00AE3437"/>
    <w:rsid w:val="00B066BB"/>
    <w:rsid w:val="00B36CAE"/>
    <w:rsid w:val="00B47FD9"/>
    <w:rsid w:val="00BE4F9B"/>
    <w:rsid w:val="00C1338F"/>
    <w:rsid w:val="00C36E5F"/>
    <w:rsid w:val="00C65FD0"/>
    <w:rsid w:val="00C7600E"/>
    <w:rsid w:val="00C844EB"/>
    <w:rsid w:val="00CC057E"/>
    <w:rsid w:val="00CC0B5E"/>
    <w:rsid w:val="00CD73B8"/>
    <w:rsid w:val="00CF0172"/>
    <w:rsid w:val="00CF3F02"/>
    <w:rsid w:val="00D23C6D"/>
    <w:rsid w:val="00D278F6"/>
    <w:rsid w:val="00D45589"/>
    <w:rsid w:val="00D91C8D"/>
    <w:rsid w:val="00D92F80"/>
    <w:rsid w:val="00DA1214"/>
    <w:rsid w:val="00DD2132"/>
    <w:rsid w:val="00DF44D2"/>
    <w:rsid w:val="00E21BAE"/>
    <w:rsid w:val="00E31F5C"/>
    <w:rsid w:val="00E3456C"/>
    <w:rsid w:val="00E36178"/>
    <w:rsid w:val="00E42A9A"/>
    <w:rsid w:val="00E56089"/>
    <w:rsid w:val="00E612DE"/>
    <w:rsid w:val="00E627AF"/>
    <w:rsid w:val="00E7495D"/>
    <w:rsid w:val="00E813A8"/>
    <w:rsid w:val="00EE5E97"/>
    <w:rsid w:val="00EE603D"/>
    <w:rsid w:val="00F61148"/>
    <w:rsid w:val="00F61A07"/>
    <w:rsid w:val="00F8308B"/>
    <w:rsid w:val="00FA0AA2"/>
    <w:rsid w:val="00FC4D2C"/>
    <w:rsid w:val="00FC6B4B"/>
    <w:rsid w:val="00FE610B"/>
    <w:rsid w:val="00F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F77F6"/>
  <w15:docId w15:val="{0CE32223-8D2E-4A46-8BDE-6EE1773E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Main numbered paragraph,123 List Paragraph,Numbered Paragraph,References,Numbered List Paragraph,Bullets,List Paragraph (numbered (a)),List Paragraph nowy,Liste 1,List_Paragraph,Multilevel para_II,List Paragraph1,Bullet paras,Bullet,lp1"/>
    <w:basedOn w:val="Normal"/>
    <w:link w:val="ListParagraphChar"/>
    <w:uiPriority w:val="34"/>
    <w:qFormat/>
    <w:rsid w:val="00BE4F9B"/>
    <w:pPr>
      <w:ind w:left="720"/>
      <w:contextualSpacing/>
    </w:pPr>
  </w:style>
  <w:style w:type="character" w:customStyle="1" w:styleId="ListParagraphChar">
    <w:name w:val="List Paragraph Char"/>
    <w:aliases w:val="Main numbered paragraph Char,123 List Paragraph Char,Numbered Paragraph Char,References Char,Numbered List Paragraph Char,Bullets Char,List Paragraph (numbered (a)) Char,List Paragraph nowy Char,Liste 1 Char,List_Paragraph Char"/>
    <w:link w:val="ListParagraph"/>
    <w:uiPriority w:val="34"/>
    <w:qFormat/>
    <w:locked/>
    <w:rsid w:val="00BE4F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9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9E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014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032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2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032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24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2352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DraganaD</dc:creator>
  <cp:keywords/>
  <dc:description/>
  <cp:lastModifiedBy>Ivana Vojinović</cp:lastModifiedBy>
  <cp:revision>2</cp:revision>
  <cp:lastPrinted>2022-02-02T09:56:00Z</cp:lastPrinted>
  <dcterms:created xsi:type="dcterms:W3CDTF">2022-11-25T15:18:00Z</dcterms:created>
  <dcterms:modified xsi:type="dcterms:W3CDTF">2022-11-25T15:18:00Z</dcterms:modified>
</cp:coreProperties>
</file>