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E3" w:rsidRPr="00F84863" w:rsidRDefault="006961E3" w:rsidP="006130E2">
      <w:pPr>
        <w:ind w:left="-720" w:firstLine="720"/>
        <w:jc w:val="center"/>
        <w:rPr>
          <w:lang w:val="sr-Cyrl-CS"/>
        </w:rPr>
      </w:pPr>
      <w:r w:rsidRPr="00F84863">
        <w:rPr>
          <w:lang w:val="sr-Cyrl-CS"/>
        </w:rPr>
        <w:t>О Б Р А З Л О Ж Е Њ Е</w:t>
      </w:r>
    </w:p>
    <w:p w:rsidR="00FC1322" w:rsidRPr="00F84863" w:rsidRDefault="00FC1322" w:rsidP="006130E2">
      <w:pPr>
        <w:ind w:left="-720" w:firstLine="720"/>
        <w:jc w:val="center"/>
        <w:rPr>
          <w:lang w:val="sr-Cyrl-CS"/>
        </w:rPr>
      </w:pPr>
    </w:p>
    <w:p w:rsidR="006961E3" w:rsidRPr="00F84863" w:rsidRDefault="006961E3" w:rsidP="006130E2">
      <w:pPr>
        <w:rPr>
          <w:bCs/>
          <w:lang w:val="sr-Cyrl-CS"/>
        </w:rPr>
      </w:pPr>
      <w:r w:rsidRPr="00F84863">
        <w:rPr>
          <w:bCs/>
          <w:lang w:val="sr-Cyrl-CS"/>
        </w:rPr>
        <w:t xml:space="preserve"> </w:t>
      </w:r>
      <w:r w:rsidRPr="00F84863">
        <w:rPr>
          <w:bCs/>
          <w:lang w:val="sr-Cyrl-CS"/>
        </w:rPr>
        <w:tab/>
        <w:t>I. УСТАВНИ ОСНОВ ЗА ДОНОШЕЊЕ ЗАКОНА</w:t>
      </w:r>
    </w:p>
    <w:p w:rsidR="006961E3" w:rsidRPr="00F84863" w:rsidRDefault="006961E3" w:rsidP="006130E2">
      <w:pPr>
        <w:rPr>
          <w:bCs/>
          <w:lang w:val="sr-Cyrl-CS"/>
        </w:rPr>
      </w:pPr>
    </w:p>
    <w:p w:rsidR="0040226C" w:rsidRPr="00F84863" w:rsidRDefault="006961E3" w:rsidP="006130E2">
      <w:pPr>
        <w:jc w:val="both"/>
        <w:rPr>
          <w:lang w:val="sr-Cyrl-CS"/>
        </w:rPr>
      </w:pPr>
      <w:r w:rsidRPr="00F84863">
        <w:rPr>
          <w:lang w:val="sr-Cyrl-CS"/>
        </w:rPr>
        <w:t xml:space="preserve"> </w:t>
      </w:r>
      <w:r w:rsidRPr="00F84863">
        <w:rPr>
          <w:lang w:val="sr-Cyrl-CS"/>
        </w:rPr>
        <w:tab/>
      </w:r>
      <w:r w:rsidR="0040226C" w:rsidRPr="00F84863">
        <w:rPr>
          <w:lang w:val="sr-Cyrl-CS"/>
        </w:rPr>
        <w:t>Уставни основ за доношење овог закона садржан је у одредби члана 9</w:t>
      </w:r>
      <w:r w:rsidR="003C4052" w:rsidRPr="00F84863">
        <w:rPr>
          <w:lang w:val="sr-Cyrl-CS"/>
        </w:rPr>
        <w:t>3</w:t>
      </w:r>
      <w:r w:rsidR="0040226C" w:rsidRPr="00F84863">
        <w:rPr>
          <w:lang w:val="sr-Cyrl-CS"/>
        </w:rPr>
        <w:t xml:space="preserve">. став 1. Устава Републике Србије, којом је прописано да </w:t>
      </w:r>
      <w:r w:rsidR="003C4052" w:rsidRPr="00F84863">
        <w:rPr>
          <w:lang w:val="sr-Cyrl-CS"/>
        </w:rPr>
        <w:t>Република Србија, аутономне покрајине и јединице локалне самоуправе могу да се задужују</w:t>
      </w:r>
      <w:r w:rsidR="00AE55C5" w:rsidRPr="00F84863">
        <w:rPr>
          <w:lang w:val="sr-Cyrl-CS"/>
        </w:rPr>
        <w:t>, као и члана 97. тачка 15. Устава Републике Србије, према којој Република Србија уређује и обезбеђује финансирање остваривања права и дужности Републике Србије, утврђених Уставом и законом.</w:t>
      </w:r>
    </w:p>
    <w:p w:rsidR="006961E3" w:rsidRPr="00F84863" w:rsidRDefault="0040226C" w:rsidP="006130E2">
      <w:pPr>
        <w:jc w:val="both"/>
        <w:rPr>
          <w:lang w:val="sr-Cyrl-CS"/>
        </w:rPr>
      </w:pPr>
      <w:r w:rsidRPr="00F84863">
        <w:rPr>
          <w:lang w:val="sr-Cyrl-CS"/>
        </w:rPr>
        <w:t xml:space="preserve"> </w:t>
      </w:r>
    </w:p>
    <w:p w:rsidR="006961E3" w:rsidRPr="00F84863" w:rsidRDefault="006961E3" w:rsidP="006130E2">
      <w:pPr>
        <w:ind w:firstLine="720"/>
        <w:jc w:val="both"/>
        <w:rPr>
          <w:bCs/>
          <w:lang w:val="sr-Cyrl-CS"/>
        </w:rPr>
      </w:pPr>
      <w:r w:rsidRPr="00F84863">
        <w:rPr>
          <w:bCs/>
          <w:lang w:val="sr-Cyrl-CS"/>
        </w:rPr>
        <w:t xml:space="preserve"> II. РАЗЛОЗИ ЗА ДОНОШЕЊЕ ЗАКОНА</w:t>
      </w:r>
      <w:r w:rsidR="0069359B" w:rsidRPr="00F84863">
        <w:rPr>
          <w:bCs/>
          <w:lang w:val="sr-Cyrl-CS"/>
        </w:rPr>
        <w:t xml:space="preserve"> </w:t>
      </w:r>
      <w:r w:rsidR="00B23202" w:rsidRPr="00F84863">
        <w:rPr>
          <w:bCs/>
          <w:lang w:val="sr-Cyrl-CS"/>
        </w:rPr>
        <w:t>–</w:t>
      </w:r>
      <w:r w:rsidR="0069359B" w:rsidRPr="00F84863">
        <w:rPr>
          <w:bCs/>
          <w:lang w:val="sr-Cyrl-CS"/>
        </w:rPr>
        <w:t xml:space="preserve"> ПОТВРЂИВАЊЕ</w:t>
      </w:r>
    </w:p>
    <w:p w:rsidR="00B23202" w:rsidRPr="00F84863" w:rsidRDefault="00B23202" w:rsidP="006130E2">
      <w:pPr>
        <w:ind w:firstLine="720"/>
        <w:jc w:val="both"/>
        <w:rPr>
          <w:bCs/>
          <w:lang w:val="sr-Cyrl-CS"/>
        </w:rPr>
      </w:pPr>
    </w:p>
    <w:p w:rsidR="00B23202" w:rsidRPr="00F84863" w:rsidRDefault="00B23202" w:rsidP="006130E2">
      <w:pPr>
        <w:ind w:firstLine="720"/>
        <w:jc w:val="both"/>
        <w:rPr>
          <w:bCs/>
          <w:lang w:val="sr-Cyrl-CS"/>
        </w:rPr>
      </w:pPr>
      <w:r w:rsidRPr="00F84863">
        <w:rPr>
          <w:bCs/>
          <w:lang w:val="sr-Cyrl-CS"/>
        </w:rPr>
        <w:t xml:space="preserve">Разлози за доношење </w:t>
      </w:r>
      <w:r w:rsidR="008C4B8F" w:rsidRPr="00F84863">
        <w:rPr>
          <w:lang w:val="sr-Cyrl-CS"/>
        </w:rPr>
        <w:t xml:space="preserve">Закона о потврђивању </w:t>
      </w:r>
      <w:r w:rsidR="004B10A7" w:rsidRPr="00F84863">
        <w:rPr>
          <w:lang w:val="sr-Cyrl-CS"/>
        </w:rPr>
        <w:t>Уговора о кредитном ар</w:t>
      </w:r>
      <w:r w:rsidR="00F84863" w:rsidRPr="00F84863">
        <w:rPr>
          <w:lang w:val="sr-Cyrl-CS"/>
        </w:rPr>
        <w:t>анжману у износу од 203.400.928</w:t>
      </w:r>
      <w:r w:rsidR="004B10A7" w:rsidRPr="00F84863">
        <w:rPr>
          <w:lang w:val="sr-Cyrl-CS"/>
        </w:rPr>
        <w:t xml:space="preserve">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који је потписан у Београду и Будимпешти 27. јануара 2022. године</w:t>
      </w:r>
      <w:r w:rsidRPr="00F84863">
        <w:rPr>
          <w:bCs/>
          <w:lang w:val="sr-Cyrl-CS"/>
        </w:rPr>
        <w:t xml:space="preserve">, садржани су у одредби члана 5. став 2. Закона о јавном дугу („Службени гласник РС”, бр. </w:t>
      </w:r>
      <w:r w:rsidR="008C4B8F" w:rsidRPr="00F84863">
        <w:rPr>
          <w:lang w:val="sr-Cyrl-CS"/>
        </w:rPr>
        <w:t>61/05, 107/09, 78/11, 68/15, 95/18,  91/19 и 149/20</w:t>
      </w:r>
      <w:r w:rsidRPr="00F84863">
        <w:rPr>
          <w:bCs/>
          <w:lang w:val="sr-Cyrl-CS"/>
        </w:rPr>
        <w:t>) према којој Народна скупштина Републике Србије одлучује о задуживању Републике Србије.</w:t>
      </w:r>
    </w:p>
    <w:p w:rsidR="004B10A7" w:rsidRPr="00F84863" w:rsidRDefault="004B10A7" w:rsidP="00F84863">
      <w:pPr>
        <w:ind w:firstLine="720"/>
        <w:jc w:val="both"/>
        <w:rPr>
          <w:rFonts w:eastAsia="Calibri"/>
          <w:lang w:val="sr-Cyrl-CS"/>
        </w:rPr>
      </w:pPr>
      <w:r w:rsidRPr="00F84863">
        <w:rPr>
          <w:rFonts w:eastAsia="Calibri"/>
          <w:lang w:val="sr-Cyrl-CS"/>
        </w:rPr>
        <w:t>Законом о буџету Републике Србије за 2022. годину („Службени гласник РС”, број 110/21) предвиђено је задуживање за финансирање Пројекта изградње комуналне (канализационе) инфраструктуре и инфраструктуре за одлагање комуналног чврстог отпада у</w:t>
      </w:r>
      <w:r w:rsidR="00F84863" w:rsidRPr="00F84863">
        <w:rPr>
          <w:rFonts w:eastAsia="Calibri"/>
          <w:lang w:val="sr-Cyrl-CS"/>
        </w:rPr>
        <w:t xml:space="preserve"> </w:t>
      </w:r>
      <w:r w:rsidRPr="00F84863">
        <w:rPr>
          <w:rFonts w:eastAsia="Calibri"/>
          <w:lang w:val="sr-Cyrl-CS"/>
        </w:rPr>
        <w:t>Републици Србији са радним називом „Чиста Србија” у износу до 650.000.000 евра.</w:t>
      </w:r>
    </w:p>
    <w:p w:rsidR="004B10A7" w:rsidRPr="00F84863" w:rsidRDefault="004B10A7" w:rsidP="004B10A7">
      <w:pPr>
        <w:ind w:firstLine="720"/>
        <w:jc w:val="both"/>
        <w:rPr>
          <w:rFonts w:eastAsia="Calibri"/>
          <w:lang w:val="sr-Cyrl-CS"/>
        </w:rPr>
      </w:pPr>
      <w:r w:rsidRPr="00F84863">
        <w:rPr>
          <w:rFonts w:eastAsia="Calibri"/>
          <w:lang w:val="sr-Cyrl-CS"/>
        </w:rPr>
        <w:t>Комерцијални уговор о пројектовању и извођењу радова на изградњи комуналне (канализационе) инфраструктуре у Републици Србији потписан је 5. фебруара 2021. године између Републике Србије као финансијера и China Road and Bridge Corporation Ltd. као извођача радова.</w:t>
      </w:r>
    </w:p>
    <w:p w:rsidR="004B10A7" w:rsidRPr="00F84863" w:rsidRDefault="004B10A7" w:rsidP="004B10A7">
      <w:pPr>
        <w:ind w:firstLine="720"/>
        <w:jc w:val="both"/>
        <w:rPr>
          <w:rFonts w:eastAsia="Calibri"/>
          <w:lang w:val="sr-Cyrl-CS"/>
        </w:rPr>
      </w:pPr>
      <w:r w:rsidRPr="00F84863">
        <w:rPr>
          <w:rFonts w:eastAsia="Calibri"/>
          <w:lang w:val="sr-Cyrl-CS"/>
        </w:rPr>
        <w:t>Дана 5. августа 2021. године потписани су Релевантни анекси који се односе на 11 Релевантних пројеката у Врању, Великим Црљенима, Вараварин, Сврљиг, Обреновац, Мионица, Лазаревац, Лајковац, Купању, Кладово, Бања Врујци који се финансирају средствима из зајма. Релевантни анекси потписани су између Републике Србије као финансијера и градова, општина и других ентитета, као Релевантних инвеститора, и China Road and Bridge Corporation као извођача радова.</w:t>
      </w:r>
    </w:p>
    <w:p w:rsidR="004B10A7" w:rsidRPr="00F84863" w:rsidRDefault="004B10A7" w:rsidP="004B10A7">
      <w:pPr>
        <w:ind w:firstLine="720"/>
        <w:jc w:val="both"/>
        <w:rPr>
          <w:rFonts w:eastAsia="Calibri"/>
          <w:lang w:val="sr-Cyrl-CS"/>
        </w:rPr>
      </w:pPr>
      <w:r w:rsidRPr="00F84863">
        <w:rPr>
          <w:rFonts w:eastAsia="Calibri"/>
          <w:lang w:val="sr-Cyrl-CS"/>
        </w:rPr>
        <w:t>Пројекат изградње комуналне инфраструктуре и инфраструктуре за одлагање комуналног чврстог отпада „Чиста Србија”, за чије је спровођење надлежно Министарство грађевинарства, саобраћаја и инфраструктуре, конципиран је на основу потребе за повећаном еколошком заштитом вода и земље.</w:t>
      </w:r>
    </w:p>
    <w:p w:rsidR="004B10A7" w:rsidRPr="00F84863" w:rsidRDefault="004B10A7" w:rsidP="004B10A7">
      <w:pPr>
        <w:ind w:firstLine="720"/>
        <w:jc w:val="both"/>
        <w:rPr>
          <w:rFonts w:eastAsia="Calibri"/>
          <w:lang w:val="sr-Cyrl-CS"/>
        </w:rPr>
      </w:pPr>
      <w:r w:rsidRPr="00F84863">
        <w:rPr>
          <w:rFonts w:eastAsia="Calibri"/>
          <w:lang w:val="sr-Cyrl-CS"/>
        </w:rPr>
        <w:t>У оквиру пројекта „Чиста Србија”, планирана је изградња 7000 километара канализационе мреже и више од 250 постројења за прераду отпадних вода, за шта је планирано улагање од четири милијарде евра.</w:t>
      </w:r>
    </w:p>
    <w:p w:rsidR="004B10A7" w:rsidRPr="00F84863" w:rsidRDefault="004B10A7" w:rsidP="004B10A7">
      <w:pPr>
        <w:ind w:firstLine="720"/>
        <w:jc w:val="both"/>
        <w:rPr>
          <w:rFonts w:eastAsia="Calibri"/>
          <w:lang w:val="sr-Cyrl-CS"/>
        </w:rPr>
      </w:pPr>
      <w:r w:rsidRPr="00F84863">
        <w:rPr>
          <w:rFonts w:eastAsia="Calibri"/>
          <w:lang w:val="sr-Cyrl-CS"/>
        </w:rPr>
        <w:t>С обзиром на комплексност овај пројекат од значаја за Републику Србију ће се изводити фазно, тако што ће се делом финансирати из буџета, а делом из кредитних средстава за следеће општине Варварин, Мионица, Крупањ, Лајковац, Бања Врујци, Сврљиг, Кладово, Лазаревац, Велики Црљени, Обреновац и Врање.</w:t>
      </w:r>
    </w:p>
    <w:p w:rsidR="00F84863" w:rsidRPr="00F84863" w:rsidRDefault="00F84863" w:rsidP="004B10A7">
      <w:pPr>
        <w:ind w:firstLine="720"/>
        <w:jc w:val="both"/>
        <w:rPr>
          <w:rFonts w:eastAsia="Calibri"/>
          <w:lang w:val="sr-Cyrl-CS"/>
        </w:rPr>
      </w:pPr>
    </w:p>
    <w:p w:rsidR="004B10A7" w:rsidRPr="00F84863" w:rsidRDefault="004B10A7" w:rsidP="004B10A7">
      <w:pPr>
        <w:ind w:firstLine="720"/>
        <w:jc w:val="both"/>
        <w:rPr>
          <w:rFonts w:eastAsia="Calibri"/>
          <w:lang w:val="sr-Cyrl-CS"/>
        </w:rPr>
      </w:pPr>
      <w:r w:rsidRPr="00F84863">
        <w:rPr>
          <w:rFonts w:eastAsia="Calibri"/>
          <w:lang w:val="sr-Cyrl-CS"/>
        </w:rPr>
        <w:lastRenderedPageBreak/>
        <w:t xml:space="preserve"> Након вишемесечних разговора са неколико банака и настојања да се обезбеде најповољнији услови финансирања за Републику Србију, BANK OF CHINA уз China Export &amp; Credit Insurance Corporation осигурање (Sinosure) за финансирање овог пројекта.</w:t>
      </w:r>
    </w:p>
    <w:p w:rsidR="003A6058" w:rsidRPr="00F84863" w:rsidRDefault="00802B0C" w:rsidP="004B10A7">
      <w:pPr>
        <w:ind w:firstLine="720"/>
        <w:jc w:val="both"/>
        <w:rPr>
          <w:rFonts w:eastAsia="Calibri"/>
          <w:lang w:val="sr-Cyrl-CS"/>
        </w:rPr>
      </w:pPr>
      <w:r w:rsidRPr="00F84863">
        <w:rPr>
          <w:rFonts w:eastAsia="Calibri"/>
          <w:lang w:val="sr-Cyrl-CS"/>
        </w:rPr>
        <w:t xml:space="preserve">Влада је </w:t>
      </w:r>
      <w:r w:rsidR="003A6058" w:rsidRPr="00F84863">
        <w:rPr>
          <w:rFonts w:eastAsia="Calibri"/>
          <w:lang w:val="sr-Cyrl-CS"/>
        </w:rPr>
        <w:t>усвојила Закључак</w:t>
      </w:r>
      <w:r w:rsidR="00F84863" w:rsidRPr="00F84863">
        <w:rPr>
          <w:rFonts w:eastAsia="Calibri"/>
          <w:lang w:val="sr-Cyrl-CS"/>
        </w:rPr>
        <w:t xml:space="preserve"> 05 Број: 48-604/2022-1 од 26. јануара 2022. године</w:t>
      </w:r>
      <w:r w:rsidR="003A6058" w:rsidRPr="00F84863">
        <w:rPr>
          <w:rFonts w:eastAsia="Calibri"/>
          <w:lang w:val="sr-Cyrl-CS"/>
        </w:rPr>
        <w:t xml:space="preserve"> којим се утврђује Oснова за вођење преговора са BANK OF CHINA SRBIJA A.D. BEOGRAD, као Овлашћеним главним аранжером и BANK OF CHINA LIMITED HUNGARIAN BRANCH, као Агентом и Првобитним зајмодавцем у вези са одобравањем уговора о кредитном аранжману у износу до 203.400.928 евра осигураног код China Export &amp; Credit Insurance Corporation за финансирање изградње комуналне (канализационе) инфраструктуре у Републици Србији у оквиру Пројекта „Чиста Србија”, одређује делегација за вођење преговора са представницима BANK OF CHINA SRBIJA A.D. BEOGRAD, као Овлашћеним главним аранжером и  BANK OF CHINA LIMITED HUNGARIAN BRANCH, </w:t>
      </w:r>
      <w:r w:rsidR="003A6058" w:rsidRPr="00F84863">
        <w:rPr>
          <w:lang w:val="sr-Cyrl-CS"/>
        </w:rPr>
        <w:t>усваја се Нацрт уговора о кредитном аранжману у износу до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и овлашћује Синиша Мали, министар финансија, да у име Владе, као заступникa Републике Србије, потпише овај уговор о кредитном аранжману. Уговор је потписан 27. јануара 2022. године.</w:t>
      </w:r>
    </w:p>
    <w:p w:rsidR="004B10A7" w:rsidRPr="00F84863" w:rsidRDefault="003A6058" w:rsidP="004B10A7">
      <w:pPr>
        <w:ind w:firstLine="720"/>
        <w:jc w:val="both"/>
        <w:rPr>
          <w:rFonts w:eastAsia="Calibri"/>
          <w:lang w:val="sr-Cyrl-CS"/>
        </w:rPr>
      </w:pPr>
      <w:r w:rsidRPr="00F84863">
        <w:rPr>
          <w:rFonts w:eastAsia="Calibri"/>
          <w:lang w:val="sr-Cyrl-CS"/>
        </w:rPr>
        <w:t>Уговором</w:t>
      </w:r>
      <w:r w:rsidR="004B10A7" w:rsidRPr="00F84863">
        <w:rPr>
          <w:rFonts w:eastAsia="Calibri"/>
          <w:lang w:val="sr-Cyrl-CS"/>
        </w:rPr>
        <w:t xml:space="preserve"> о кредитном аранжману у износу од 203.400.928 евра између Републике Србије, коју заступа Влада Републике Србије, поступајући преко Министарства финансија, као Зајмопримаца, BANK OF CHINA SRBIJA A.D. BEOGRAD као Овлашћеног главног аранжера, BANK OF CHINA LIMITED HUNGARIAN BRANCH у својству Агента и  BANK OF CHINA LIMITED HUNGARIAN BRANCH као Зајмодавца, предвиђени су следећи финансијски услови:</w:t>
      </w:r>
    </w:p>
    <w:p w:rsidR="004B10A7" w:rsidRPr="00F84863" w:rsidRDefault="004B10A7" w:rsidP="004B10A7">
      <w:pPr>
        <w:ind w:firstLine="720"/>
        <w:jc w:val="both"/>
        <w:rPr>
          <w:rFonts w:eastAsia="Calibri"/>
          <w:lang w:val="sr-Cyrl-CS"/>
        </w:rPr>
      </w:pPr>
      <w:r w:rsidRPr="00F84863">
        <w:rPr>
          <w:rFonts w:eastAsia="Calibri"/>
          <w:lang w:val="sr-Cyrl-CS"/>
        </w:rPr>
        <w:t>-</w:t>
      </w:r>
      <w:r w:rsidRPr="00F84863">
        <w:rPr>
          <w:rFonts w:ascii="Calibri" w:eastAsia="Calibri" w:hAnsi="Calibri"/>
          <w:sz w:val="22"/>
          <w:szCs w:val="22"/>
          <w:lang w:val="sr-Cyrl-CS"/>
        </w:rPr>
        <w:t xml:space="preserve"> </w:t>
      </w:r>
      <w:r w:rsidRPr="00F84863">
        <w:rPr>
          <w:rFonts w:eastAsia="Calibri"/>
          <w:lang w:val="sr-Cyrl-CS"/>
        </w:rPr>
        <w:t>задужење Републике Србије: 203.400.928  евра;</w:t>
      </w:r>
    </w:p>
    <w:p w:rsidR="004B10A7" w:rsidRPr="00F84863" w:rsidRDefault="004B10A7" w:rsidP="004B10A7">
      <w:pPr>
        <w:ind w:firstLine="720"/>
        <w:jc w:val="both"/>
        <w:rPr>
          <w:lang w:val="sr-Cyrl-CS"/>
        </w:rPr>
      </w:pPr>
      <w:r w:rsidRPr="00F84863">
        <w:rPr>
          <w:lang w:val="sr-Cyrl-CS"/>
        </w:rPr>
        <w:t>- Период повлачења: 60 месеци од ступања на снагу уговора о кредиту;</w:t>
      </w:r>
    </w:p>
    <w:p w:rsidR="004B10A7" w:rsidRPr="00F84863" w:rsidRDefault="004B10A7" w:rsidP="004B10A7">
      <w:pPr>
        <w:ind w:firstLine="720"/>
        <w:jc w:val="both"/>
        <w:rPr>
          <w:lang w:val="sr-Cyrl-CS"/>
        </w:rPr>
      </w:pPr>
      <w:r w:rsidRPr="00F84863">
        <w:rPr>
          <w:lang w:val="sr-Cyrl-CS"/>
        </w:rPr>
        <w:t xml:space="preserve">- Период почека: 66 месеци од Датума ефективности; </w:t>
      </w:r>
    </w:p>
    <w:p w:rsidR="004B10A7" w:rsidRPr="00F84863" w:rsidRDefault="004B10A7" w:rsidP="004B10A7">
      <w:pPr>
        <w:ind w:firstLine="720"/>
        <w:jc w:val="both"/>
        <w:rPr>
          <w:lang w:val="sr-Cyrl-CS"/>
        </w:rPr>
      </w:pPr>
      <w:r w:rsidRPr="00F84863">
        <w:rPr>
          <w:lang w:val="sr-Cyrl-CS"/>
        </w:rPr>
        <w:t xml:space="preserve">- Отплата: кредит ће се отплаћивати током 180 месеци од датума ефективности, што укључује и период почека; </w:t>
      </w:r>
    </w:p>
    <w:p w:rsidR="004B10A7" w:rsidRPr="00F84863" w:rsidRDefault="004B10A7" w:rsidP="004B10A7">
      <w:pPr>
        <w:ind w:firstLine="720"/>
        <w:jc w:val="both"/>
        <w:rPr>
          <w:lang w:val="sr-Cyrl-CS"/>
        </w:rPr>
      </w:pPr>
      <w:r w:rsidRPr="00F84863">
        <w:rPr>
          <w:lang w:val="sr-Cyrl-CS"/>
        </w:rPr>
        <w:t>- Каматна стопа: Варијабилна каматна стопа заснована на шестомесечном (6М) EURIBOR-у плус маржа од  1% годишње;</w:t>
      </w:r>
    </w:p>
    <w:p w:rsidR="004B10A7" w:rsidRPr="00F84863" w:rsidRDefault="004B10A7" w:rsidP="004B10A7">
      <w:pPr>
        <w:ind w:firstLine="720"/>
        <w:jc w:val="both"/>
        <w:rPr>
          <w:lang w:val="sr-Cyrl-CS"/>
        </w:rPr>
      </w:pPr>
      <w:r w:rsidRPr="00F84863">
        <w:rPr>
          <w:lang w:val="sr-Cyrl-CS"/>
        </w:rPr>
        <w:t>- Уписна провизија, односно накнада за аранжман: од 0,75%, једнократно обрачуната на износ учешћа Првобитних зајмодавца у динарској противвредности;</w:t>
      </w:r>
    </w:p>
    <w:p w:rsidR="004B10A7" w:rsidRPr="00F84863" w:rsidRDefault="004B10A7" w:rsidP="004B10A7">
      <w:pPr>
        <w:ind w:firstLine="720"/>
        <w:jc w:val="both"/>
        <w:rPr>
          <w:lang w:val="sr-Cyrl-CS"/>
        </w:rPr>
      </w:pPr>
      <w:r w:rsidRPr="00F84863">
        <w:rPr>
          <w:lang w:val="sr-Cyrl-CS"/>
        </w:rPr>
        <w:t>- Накнада за администрирање зајма: Провизија на неповучена средства од 0,30% годишње, обрачуната на дневни неповучени и неотказани износ кредита, плаћа се полугодишње на крају сваког обрачунског периода од којих први почиње датумом ступања на снагу Уговора о кредиту  у динарској противвредности;</w:t>
      </w:r>
    </w:p>
    <w:p w:rsidR="004B10A7" w:rsidRPr="00F84863" w:rsidRDefault="004B10A7" w:rsidP="004B10A7">
      <w:pPr>
        <w:ind w:firstLine="720"/>
        <w:jc w:val="both"/>
        <w:rPr>
          <w:lang w:val="sr-Cyrl-CS"/>
        </w:rPr>
      </w:pPr>
      <w:r w:rsidRPr="00F84863">
        <w:rPr>
          <w:lang w:val="sr-Cyrl-CS"/>
        </w:rPr>
        <w:t>- плаћање премије Sinosure осигурања.</w:t>
      </w:r>
    </w:p>
    <w:p w:rsidR="00AE55C5" w:rsidRPr="00F84863" w:rsidRDefault="00AE55C5" w:rsidP="002C2746">
      <w:pPr>
        <w:ind w:firstLine="708"/>
        <w:jc w:val="both"/>
        <w:rPr>
          <w:lang w:val="sr-Cyrl-CS"/>
        </w:rPr>
      </w:pPr>
    </w:p>
    <w:p w:rsidR="00692046" w:rsidRPr="00F84863" w:rsidRDefault="00692046" w:rsidP="00692046">
      <w:pPr>
        <w:ind w:firstLine="720"/>
        <w:jc w:val="both"/>
        <w:rPr>
          <w:lang w:val="sr-Cyrl-CS"/>
        </w:rPr>
      </w:pPr>
      <w:r w:rsidRPr="00F84863">
        <w:rPr>
          <w:lang w:val="sr-Cyrl-CS"/>
        </w:rPr>
        <w:t xml:space="preserve">III. ОБЈАШЊЕЊЕ ОСНОВНИХ ПРАВНИХ ИНСТИТУТА И ПОЈЕДИНАЧНИХ РЕШЕЊА </w:t>
      </w:r>
    </w:p>
    <w:p w:rsidR="00692046" w:rsidRPr="00F84863" w:rsidRDefault="00692046" w:rsidP="00692046">
      <w:pPr>
        <w:jc w:val="both"/>
        <w:rPr>
          <w:lang w:val="sr-Cyrl-CS"/>
        </w:rPr>
      </w:pPr>
    </w:p>
    <w:p w:rsidR="00692046" w:rsidRPr="00F84863" w:rsidRDefault="00692046" w:rsidP="00692046">
      <w:pPr>
        <w:ind w:firstLine="720"/>
        <w:jc w:val="both"/>
        <w:rPr>
          <w:rFonts w:eastAsia="SimSun"/>
          <w:lang w:val="sr-Cyrl-CS"/>
        </w:rPr>
      </w:pPr>
      <w:r w:rsidRPr="00F84863">
        <w:rPr>
          <w:lang w:val="sr-Cyrl-CS"/>
        </w:rPr>
        <w:t xml:space="preserve">Одредбом члана 1. </w:t>
      </w:r>
      <w:r w:rsidR="00F84863" w:rsidRPr="00F84863">
        <w:rPr>
          <w:lang w:val="sr-Cyrl-CS"/>
        </w:rPr>
        <w:t xml:space="preserve">овог закона </w:t>
      </w:r>
      <w:r w:rsidRPr="00F84863">
        <w:rPr>
          <w:lang w:val="sr-Cyrl-CS"/>
        </w:rPr>
        <w:t>предвиђа се потврђивање</w:t>
      </w:r>
      <w:r w:rsidR="00D34420" w:rsidRPr="00F84863">
        <w:rPr>
          <w:lang w:val="sr-Cyrl-CS"/>
        </w:rPr>
        <w:t xml:space="preserve"> </w:t>
      </w:r>
      <w:r w:rsidR="004B10A7" w:rsidRPr="00F84863">
        <w:rPr>
          <w:lang w:val="sr-Cyrl-CS"/>
        </w:rPr>
        <w:t xml:space="preserve">Уговора о кредитном аранжману у износу од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w:t>
      </w:r>
      <w:r w:rsidR="004B10A7" w:rsidRPr="00F84863">
        <w:rPr>
          <w:lang w:val="sr-Cyrl-CS"/>
        </w:rPr>
        <w:lastRenderedPageBreak/>
        <w:t>Овлашћеног главног аранжера са BANK OF CHINA LIMITED HUNGARIAN BRANCH у својству Агента и BANK OF CHINA LIMITED HUNGARIAN BRANCH као Првобитним зајмодавцем, који је потписан у Београду и Будимпешти 27. јануара 2022. године</w:t>
      </w:r>
      <w:r w:rsidR="00746BDE" w:rsidRPr="00F84863">
        <w:rPr>
          <w:lang w:val="sr-Cyrl-CS"/>
        </w:rPr>
        <w:t xml:space="preserve">, </w:t>
      </w:r>
      <w:r w:rsidRPr="00F84863">
        <w:rPr>
          <w:rFonts w:eastAsia="SimSun"/>
          <w:lang w:val="sr-Cyrl-CS"/>
        </w:rPr>
        <w:t>у оригиналу на енглеском језику.</w:t>
      </w:r>
    </w:p>
    <w:p w:rsidR="004B10A7" w:rsidRPr="00F84863" w:rsidRDefault="00692046" w:rsidP="00692046">
      <w:pPr>
        <w:ind w:firstLine="720"/>
        <w:jc w:val="both"/>
        <w:rPr>
          <w:lang w:val="sr-Cyrl-CS"/>
        </w:rPr>
      </w:pPr>
      <w:r w:rsidRPr="00F84863">
        <w:rPr>
          <w:lang w:val="sr-Cyrl-CS"/>
        </w:rPr>
        <w:t xml:space="preserve"> Одредба члана 2. </w:t>
      </w:r>
      <w:r w:rsidR="00F84863" w:rsidRPr="00F84863">
        <w:rPr>
          <w:lang w:val="sr-Cyrl-CS"/>
        </w:rPr>
        <w:t xml:space="preserve">овог закона </w:t>
      </w:r>
      <w:r w:rsidRPr="00F84863">
        <w:rPr>
          <w:lang w:val="sr-Cyrl-CS"/>
        </w:rPr>
        <w:t xml:space="preserve">садржи текст </w:t>
      </w:r>
      <w:r w:rsidR="004B10A7" w:rsidRPr="00F84863">
        <w:rPr>
          <w:lang w:val="sr-Cyrl-CS"/>
        </w:rPr>
        <w:t>Уговора о кредитном ар</w:t>
      </w:r>
      <w:r w:rsidR="00F84863" w:rsidRPr="00F84863">
        <w:rPr>
          <w:lang w:val="sr-Cyrl-CS"/>
        </w:rPr>
        <w:t>анжману у износу од 203.400.928</w:t>
      </w:r>
      <w:r w:rsidR="004B10A7" w:rsidRPr="00F84863">
        <w:rPr>
          <w:lang w:val="sr-Cyrl-CS"/>
        </w:rPr>
        <w:t xml:space="preserve">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w:t>
      </w:r>
      <w:r w:rsidR="00F84863" w:rsidRPr="00F84863">
        <w:rPr>
          <w:lang w:val="sr-Cyrl-CS"/>
        </w:rPr>
        <w:t>,</w:t>
      </w:r>
      <w:r w:rsidR="00F84863" w:rsidRPr="00F84863">
        <w:rPr>
          <w:rFonts w:eastAsia="SimSun"/>
          <w:lang w:val="sr-Cyrl-CS" w:eastAsia="zh-CN"/>
        </w:rPr>
        <w:t xml:space="preserve"> </w:t>
      </w:r>
      <w:r w:rsidR="00F84863" w:rsidRPr="00F84863">
        <w:rPr>
          <w:lang w:val="sr-Cyrl-CS"/>
        </w:rPr>
        <w:t>у оригиналу на енглеском језику и у преводу на српски језик</w:t>
      </w:r>
      <w:r w:rsidR="004B10A7" w:rsidRPr="00F84863">
        <w:rPr>
          <w:lang w:val="sr-Cyrl-CS"/>
        </w:rPr>
        <w:t>.</w:t>
      </w:r>
    </w:p>
    <w:p w:rsidR="00692046" w:rsidRPr="00F84863" w:rsidRDefault="00692046" w:rsidP="00692046">
      <w:pPr>
        <w:ind w:firstLine="720"/>
        <w:jc w:val="both"/>
        <w:rPr>
          <w:lang w:val="sr-Cyrl-CS"/>
        </w:rPr>
      </w:pPr>
      <w:r w:rsidRPr="00F84863">
        <w:rPr>
          <w:lang w:val="sr-Cyrl-CS"/>
        </w:rPr>
        <w:t>Одредбом члана 3. уређује с</w:t>
      </w:r>
      <w:r w:rsidR="007B18CC" w:rsidRPr="00F84863">
        <w:rPr>
          <w:lang w:val="sr-Cyrl-CS"/>
        </w:rPr>
        <w:t>е ступање на снагу овог закона</w:t>
      </w:r>
      <w:r w:rsidR="003F1AE9" w:rsidRPr="00F84863">
        <w:rPr>
          <w:lang w:val="sr-Cyrl-CS"/>
        </w:rPr>
        <w:t>.</w:t>
      </w:r>
    </w:p>
    <w:p w:rsidR="003F1AE9" w:rsidRPr="00F84863" w:rsidRDefault="003F1AE9" w:rsidP="00692046">
      <w:pPr>
        <w:ind w:firstLine="720"/>
        <w:jc w:val="both"/>
        <w:rPr>
          <w:bCs/>
          <w:lang w:val="sr-Cyrl-CS"/>
        </w:rPr>
      </w:pPr>
    </w:p>
    <w:p w:rsidR="00692046" w:rsidRPr="00F84863" w:rsidRDefault="00692046" w:rsidP="00692046">
      <w:pPr>
        <w:ind w:firstLine="720"/>
        <w:jc w:val="both"/>
        <w:rPr>
          <w:bCs/>
          <w:lang w:val="sr-Cyrl-CS"/>
        </w:rPr>
      </w:pPr>
      <w:r w:rsidRPr="00F84863">
        <w:rPr>
          <w:bCs/>
          <w:lang w:val="sr-Cyrl-CS"/>
        </w:rPr>
        <w:t>IV. ПРОЦЕНА ИЗНОСА ФИНАНСИЈСКИХ СРЕДСТАВА ПОТРЕБНИХ ЗА   СПРОВОЂЕЊЕ ЗАКОНА</w:t>
      </w:r>
    </w:p>
    <w:p w:rsidR="00692046" w:rsidRPr="00F84863" w:rsidRDefault="00692046" w:rsidP="00692046">
      <w:pPr>
        <w:jc w:val="both"/>
        <w:rPr>
          <w:lang w:val="sr-Cyrl-CS"/>
        </w:rPr>
      </w:pPr>
    </w:p>
    <w:p w:rsidR="00692046" w:rsidRPr="00F84863" w:rsidRDefault="00692046" w:rsidP="00692046">
      <w:pPr>
        <w:jc w:val="both"/>
        <w:rPr>
          <w:lang w:val="sr-Cyrl-CS"/>
        </w:rPr>
      </w:pPr>
      <w:r w:rsidRPr="00F84863">
        <w:rPr>
          <w:lang w:val="sr-Cyrl-CS"/>
        </w:rPr>
        <w:tab/>
        <w:t>За спровођење овог закона обезбеђиваће се средства у буџету Републике Србије.</w:t>
      </w:r>
    </w:p>
    <w:p w:rsidR="00545D4A" w:rsidRPr="00F84863" w:rsidRDefault="00545D4A" w:rsidP="00692046">
      <w:pPr>
        <w:jc w:val="both"/>
        <w:rPr>
          <w:lang w:val="sr-Cyrl-CS"/>
        </w:rPr>
      </w:pPr>
    </w:p>
    <w:p w:rsidR="00545D4A" w:rsidRPr="00F84863" w:rsidRDefault="00545D4A" w:rsidP="00545D4A">
      <w:pPr>
        <w:ind w:firstLine="720"/>
        <w:jc w:val="both"/>
        <w:rPr>
          <w:lang w:val="sr-Cyrl-CS"/>
        </w:rPr>
      </w:pPr>
      <w:r w:rsidRPr="00F84863">
        <w:rPr>
          <w:lang w:val="sr-Cyrl-CS"/>
        </w:rPr>
        <w:t xml:space="preserve">V. РАЗЛОЗИ ЗА ДОНОШЕЊЕ ЗАКОНА ПО ХИТНОМ ПОСТУПКУ </w:t>
      </w:r>
    </w:p>
    <w:p w:rsidR="00545D4A" w:rsidRPr="00F84863" w:rsidRDefault="00545D4A" w:rsidP="00545D4A">
      <w:pPr>
        <w:ind w:firstLine="720"/>
        <w:jc w:val="both"/>
        <w:rPr>
          <w:lang w:val="sr-Cyrl-CS"/>
        </w:rPr>
      </w:pPr>
    </w:p>
    <w:p w:rsidR="002D7138" w:rsidRPr="00F84863" w:rsidRDefault="00545D4A" w:rsidP="00545D4A">
      <w:pPr>
        <w:ind w:firstLine="720"/>
        <w:jc w:val="both"/>
        <w:rPr>
          <w:lang w:val="sr-Cyrl-CS"/>
        </w:rPr>
      </w:pPr>
      <w:r w:rsidRPr="00F84863">
        <w:rPr>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повлачење кредитних средстава за финансирање наставка реализације Пројекта условљено ступањем на снагу овог закона.</w:t>
      </w:r>
    </w:p>
    <w:p w:rsidR="00B74EB0" w:rsidRPr="00F84863" w:rsidRDefault="002D7138" w:rsidP="00692046">
      <w:pPr>
        <w:jc w:val="both"/>
        <w:rPr>
          <w:lang w:val="sr-Cyrl-CS"/>
        </w:rPr>
      </w:pPr>
      <w:r w:rsidRPr="00F84863">
        <w:rPr>
          <w:lang w:val="sr-Cyrl-CS"/>
        </w:rPr>
        <w:tab/>
      </w:r>
      <w:bookmarkStart w:id="0" w:name="_GoBack"/>
      <w:bookmarkEnd w:id="0"/>
    </w:p>
    <w:sectPr w:rsidR="00B74EB0" w:rsidRPr="00F84863" w:rsidSect="00E85DEA">
      <w:headerReference w:type="even" r:id="rId7"/>
      <w:headerReference w:type="default" r:id="rId8"/>
      <w:footerReference w:type="even" r:id="rId9"/>
      <w:footerReference w:type="default" r:id="rId10"/>
      <w:headerReference w:type="first" r:id="rId11"/>
      <w:footerReference w:type="first" r:id="rId12"/>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0C2" w:rsidRDefault="007D40C2">
      <w:r>
        <w:separator/>
      </w:r>
    </w:p>
  </w:endnote>
  <w:endnote w:type="continuationSeparator" w:id="0">
    <w:p w:rsidR="007D40C2" w:rsidRDefault="007D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885162"/>
      <w:docPartObj>
        <w:docPartGallery w:val="Page Numbers (Bottom of Page)"/>
        <w:docPartUnique/>
      </w:docPartObj>
    </w:sdtPr>
    <w:sdtEndPr>
      <w:rPr>
        <w:noProof/>
      </w:rPr>
    </w:sdtEndPr>
    <w:sdtContent>
      <w:p w:rsidR="00E85DEA" w:rsidRDefault="00E85DEA">
        <w:pPr>
          <w:pStyle w:val="Footer"/>
          <w:jc w:val="right"/>
        </w:pPr>
        <w:r>
          <w:fldChar w:fldCharType="begin"/>
        </w:r>
        <w:r>
          <w:instrText xml:space="preserve"> PAGE   \* MERGEFORMAT </w:instrText>
        </w:r>
        <w:r>
          <w:fldChar w:fldCharType="separate"/>
        </w:r>
        <w:r w:rsidR="00F84863">
          <w:rPr>
            <w:noProof/>
          </w:rPr>
          <w:t>3</w:t>
        </w:r>
        <w:r>
          <w:rPr>
            <w:noProof/>
          </w:rPr>
          <w:fldChar w:fldCharType="end"/>
        </w:r>
      </w:p>
    </w:sdtContent>
  </w:sdt>
  <w:p w:rsidR="00E85DEA" w:rsidRDefault="00E85D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DEA" w:rsidRDefault="00E85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0C2" w:rsidRDefault="007D40C2">
      <w:r>
        <w:separator/>
      </w:r>
    </w:p>
  </w:footnote>
  <w:footnote w:type="continuationSeparator" w:id="0">
    <w:p w:rsidR="007D40C2" w:rsidRDefault="007D4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DEA" w:rsidRDefault="00E85D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DEA" w:rsidRDefault="00E85D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3"/>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32B9A"/>
    <w:rsid w:val="000437FA"/>
    <w:rsid w:val="000546C7"/>
    <w:rsid w:val="00062F06"/>
    <w:rsid w:val="00064108"/>
    <w:rsid w:val="000821BE"/>
    <w:rsid w:val="000828FE"/>
    <w:rsid w:val="000934C3"/>
    <w:rsid w:val="0009350A"/>
    <w:rsid w:val="000A50DC"/>
    <w:rsid w:val="000A781B"/>
    <w:rsid w:val="000B0459"/>
    <w:rsid w:val="000B1A47"/>
    <w:rsid w:val="000B433B"/>
    <w:rsid w:val="000B4E48"/>
    <w:rsid w:val="000B53A9"/>
    <w:rsid w:val="000B70BA"/>
    <w:rsid w:val="000C1F4C"/>
    <w:rsid w:val="000C4E82"/>
    <w:rsid w:val="000D143F"/>
    <w:rsid w:val="000E05B7"/>
    <w:rsid w:val="00103B05"/>
    <w:rsid w:val="001067EB"/>
    <w:rsid w:val="00113ACC"/>
    <w:rsid w:val="0011444A"/>
    <w:rsid w:val="00117CB4"/>
    <w:rsid w:val="00122854"/>
    <w:rsid w:val="00126325"/>
    <w:rsid w:val="00137165"/>
    <w:rsid w:val="00144767"/>
    <w:rsid w:val="00147749"/>
    <w:rsid w:val="00153626"/>
    <w:rsid w:val="001667F5"/>
    <w:rsid w:val="001767A8"/>
    <w:rsid w:val="00194E3B"/>
    <w:rsid w:val="001A3B02"/>
    <w:rsid w:val="001A6A09"/>
    <w:rsid w:val="001A7148"/>
    <w:rsid w:val="001A77EC"/>
    <w:rsid w:val="001B66FD"/>
    <w:rsid w:val="001C546D"/>
    <w:rsid w:val="001C5E2D"/>
    <w:rsid w:val="001E1C8B"/>
    <w:rsid w:val="001E418E"/>
    <w:rsid w:val="001E7107"/>
    <w:rsid w:val="001F1228"/>
    <w:rsid w:val="00204A89"/>
    <w:rsid w:val="002052E3"/>
    <w:rsid w:val="0022669F"/>
    <w:rsid w:val="00241C0E"/>
    <w:rsid w:val="00243DD8"/>
    <w:rsid w:val="00253453"/>
    <w:rsid w:val="00255BA5"/>
    <w:rsid w:val="0025659C"/>
    <w:rsid w:val="0025742D"/>
    <w:rsid w:val="00272201"/>
    <w:rsid w:val="00282F56"/>
    <w:rsid w:val="00286C70"/>
    <w:rsid w:val="00291078"/>
    <w:rsid w:val="002912F5"/>
    <w:rsid w:val="002978D5"/>
    <w:rsid w:val="002A19F2"/>
    <w:rsid w:val="002B7869"/>
    <w:rsid w:val="002C140C"/>
    <w:rsid w:val="002C2746"/>
    <w:rsid w:val="002D7138"/>
    <w:rsid w:val="002F1750"/>
    <w:rsid w:val="0030234C"/>
    <w:rsid w:val="00302F02"/>
    <w:rsid w:val="00305959"/>
    <w:rsid w:val="00316AB7"/>
    <w:rsid w:val="00321404"/>
    <w:rsid w:val="00321414"/>
    <w:rsid w:val="003234C8"/>
    <w:rsid w:val="00344F7E"/>
    <w:rsid w:val="0035586F"/>
    <w:rsid w:val="003627B1"/>
    <w:rsid w:val="0037221F"/>
    <w:rsid w:val="00375309"/>
    <w:rsid w:val="0038219E"/>
    <w:rsid w:val="00384EA3"/>
    <w:rsid w:val="00387AD2"/>
    <w:rsid w:val="003968DA"/>
    <w:rsid w:val="00396FF3"/>
    <w:rsid w:val="003A6058"/>
    <w:rsid w:val="003B34BB"/>
    <w:rsid w:val="003C0CD0"/>
    <w:rsid w:val="003C2142"/>
    <w:rsid w:val="003C4052"/>
    <w:rsid w:val="003E6854"/>
    <w:rsid w:val="003E6BA6"/>
    <w:rsid w:val="003F1AE9"/>
    <w:rsid w:val="003F7B23"/>
    <w:rsid w:val="0040226C"/>
    <w:rsid w:val="00406A9D"/>
    <w:rsid w:val="0040739B"/>
    <w:rsid w:val="0041332A"/>
    <w:rsid w:val="00423BF8"/>
    <w:rsid w:val="004651F6"/>
    <w:rsid w:val="00470AE5"/>
    <w:rsid w:val="00475346"/>
    <w:rsid w:val="00475C98"/>
    <w:rsid w:val="00485D86"/>
    <w:rsid w:val="004A33F0"/>
    <w:rsid w:val="004A3461"/>
    <w:rsid w:val="004B0478"/>
    <w:rsid w:val="004B10A7"/>
    <w:rsid w:val="004B4959"/>
    <w:rsid w:val="004E689B"/>
    <w:rsid w:val="004F0597"/>
    <w:rsid w:val="00507384"/>
    <w:rsid w:val="00507842"/>
    <w:rsid w:val="005141EE"/>
    <w:rsid w:val="00520E35"/>
    <w:rsid w:val="005233EB"/>
    <w:rsid w:val="00525E17"/>
    <w:rsid w:val="0053290E"/>
    <w:rsid w:val="005330EB"/>
    <w:rsid w:val="00537AE1"/>
    <w:rsid w:val="00542F03"/>
    <w:rsid w:val="00543111"/>
    <w:rsid w:val="00545D4A"/>
    <w:rsid w:val="00547727"/>
    <w:rsid w:val="005532A5"/>
    <w:rsid w:val="0056231B"/>
    <w:rsid w:val="00562EF5"/>
    <w:rsid w:val="00562FA9"/>
    <w:rsid w:val="00564468"/>
    <w:rsid w:val="005667F8"/>
    <w:rsid w:val="00572EFC"/>
    <w:rsid w:val="005759C0"/>
    <w:rsid w:val="00584A3D"/>
    <w:rsid w:val="00590734"/>
    <w:rsid w:val="005937ED"/>
    <w:rsid w:val="00596B97"/>
    <w:rsid w:val="005A62CD"/>
    <w:rsid w:val="005B7034"/>
    <w:rsid w:val="005B78AF"/>
    <w:rsid w:val="005C0446"/>
    <w:rsid w:val="005C442E"/>
    <w:rsid w:val="005C77BF"/>
    <w:rsid w:val="005D0A0B"/>
    <w:rsid w:val="005D4E8E"/>
    <w:rsid w:val="005E0D82"/>
    <w:rsid w:val="005F3A87"/>
    <w:rsid w:val="005F7752"/>
    <w:rsid w:val="00604F72"/>
    <w:rsid w:val="00606517"/>
    <w:rsid w:val="00612F27"/>
    <w:rsid w:val="006130E2"/>
    <w:rsid w:val="00621F25"/>
    <w:rsid w:val="00624117"/>
    <w:rsid w:val="0064720E"/>
    <w:rsid w:val="00654444"/>
    <w:rsid w:val="006610A8"/>
    <w:rsid w:val="006655D8"/>
    <w:rsid w:val="0069053B"/>
    <w:rsid w:val="00692046"/>
    <w:rsid w:val="0069359B"/>
    <w:rsid w:val="006941D5"/>
    <w:rsid w:val="006961E3"/>
    <w:rsid w:val="006B2DE0"/>
    <w:rsid w:val="006B3D26"/>
    <w:rsid w:val="006B4040"/>
    <w:rsid w:val="006B496A"/>
    <w:rsid w:val="006B561D"/>
    <w:rsid w:val="006B6E0D"/>
    <w:rsid w:val="006C134E"/>
    <w:rsid w:val="006C32B0"/>
    <w:rsid w:val="006C3AB7"/>
    <w:rsid w:val="006C671B"/>
    <w:rsid w:val="006C6834"/>
    <w:rsid w:val="006E57BB"/>
    <w:rsid w:val="006E6033"/>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92FB6"/>
    <w:rsid w:val="00796DC0"/>
    <w:rsid w:val="007B14FA"/>
    <w:rsid w:val="007B18CC"/>
    <w:rsid w:val="007C3802"/>
    <w:rsid w:val="007D3CBB"/>
    <w:rsid w:val="007D40C2"/>
    <w:rsid w:val="007E5871"/>
    <w:rsid w:val="007F45DA"/>
    <w:rsid w:val="007F76C7"/>
    <w:rsid w:val="00802B0C"/>
    <w:rsid w:val="00812742"/>
    <w:rsid w:val="00815794"/>
    <w:rsid w:val="00836B68"/>
    <w:rsid w:val="00845874"/>
    <w:rsid w:val="0085379B"/>
    <w:rsid w:val="008604C6"/>
    <w:rsid w:val="00862E50"/>
    <w:rsid w:val="00864A3D"/>
    <w:rsid w:val="00866F6D"/>
    <w:rsid w:val="00874CB0"/>
    <w:rsid w:val="00880F00"/>
    <w:rsid w:val="00884A19"/>
    <w:rsid w:val="00890B04"/>
    <w:rsid w:val="00890DFB"/>
    <w:rsid w:val="008A2893"/>
    <w:rsid w:val="008A5066"/>
    <w:rsid w:val="008B4ED3"/>
    <w:rsid w:val="008B4F87"/>
    <w:rsid w:val="008C220C"/>
    <w:rsid w:val="008C39C2"/>
    <w:rsid w:val="008C45A6"/>
    <w:rsid w:val="008C4B8F"/>
    <w:rsid w:val="008D29F9"/>
    <w:rsid w:val="008E640C"/>
    <w:rsid w:val="008F15A3"/>
    <w:rsid w:val="008F54A3"/>
    <w:rsid w:val="009014BF"/>
    <w:rsid w:val="009142C3"/>
    <w:rsid w:val="00923785"/>
    <w:rsid w:val="009327F0"/>
    <w:rsid w:val="009333FB"/>
    <w:rsid w:val="00933B8D"/>
    <w:rsid w:val="00935EEF"/>
    <w:rsid w:val="00940CF7"/>
    <w:rsid w:val="0094174E"/>
    <w:rsid w:val="00947089"/>
    <w:rsid w:val="00947F14"/>
    <w:rsid w:val="0096620B"/>
    <w:rsid w:val="00966D91"/>
    <w:rsid w:val="0097521F"/>
    <w:rsid w:val="0098613B"/>
    <w:rsid w:val="00995A30"/>
    <w:rsid w:val="009A5A8F"/>
    <w:rsid w:val="009A781A"/>
    <w:rsid w:val="009B3000"/>
    <w:rsid w:val="009B4A27"/>
    <w:rsid w:val="009B79F9"/>
    <w:rsid w:val="009B7AAF"/>
    <w:rsid w:val="009C0011"/>
    <w:rsid w:val="009C0876"/>
    <w:rsid w:val="009C1B3F"/>
    <w:rsid w:val="009C2FD0"/>
    <w:rsid w:val="009C535A"/>
    <w:rsid w:val="009D3B96"/>
    <w:rsid w:val="009E43BE"/>
    <w:rsid w:val="009E66D1"/>
    <w:rsid w:val="009E6D0B"/>
    <w:rsid w:val="009F0496"/>
    <w:rsid w:val="009F3404"/>
    <w:rsid w:val="00A037E5"/>
    <w:rsid w:val="00A16918"/>
    <w:rsid w:val="00A1714E"/>
    <w:rsid w:val="00A24C0E"/>
    <w:rsid w:val="00A45E23"/>
    <w:rsid w:val="00A56DC0"/>
    <w:rsid w:val="00A67B90"/>
    <w:rsid w:val="00A82C9B"/>
    <w:rsid w:val="00AA5172"/>
    <w:rsid w:val="00AA5E8B"/>
    <w:rsid w:val="00AA7FD3"/>
    <w:rsid w:val="00AB1D87"/>
    <w:rsid w:val="00AC23DB"/>
    <w:rsid w:val="00AC319E"/>
    <w:rsid w:val="00AC6967"/>
    <w:rsid w:val="00AC6E28"/>
    <w:rsid w:val="00AD73DE"/>
    <w:rsid w:val="00AE0B32"/>
    <w:rsid w:val="00AE55C5"/>
    <w:rsid w:val="00AF05CC"/>
    <w:rsid w:val="00B01134"/>
    <w:rsid w:val="00B04E49"/>
    <w:rsid w:val="00B11D1A"/>
    <w:rsid w:val="00B15893"/>
    <w:rsid w:val="00B207D5"/>
    <w:rsid w:val="00B21F0D"/>
    <w:rsid w:val="00B23202"/>
    <w:rsid w:val="00B31EEB"/>
    <w:rsid w:val="00B41779"/>
    <w:rsid w:val="00B41E3D"/>
    <w:rsid w:val="00B6096C"/>
    <w:rsid w:val="00B74EB0"/>
    <w:rsid w:val="00B8231A"/>
    <w:rsid w:val="00B82F86"/>
    <w:rsid w:val="00B92820"/>
    <w:rsid w:val="00B92834"/>
    <w:rsid w:val="00B949C6"/>
    <w:rsid w:val="00BA558F"/>
    <w:rsid w:val="00BE4ADF"/>
    <w:rsid w:val="00BF6BB4"/>
    <w:rsid w:val="00C06E8B"/>
    <w:rsid w:val="00C14179"/>
    <w:rsid w:val="00C161E1"/>
    <w:rsid w:val="00C21708"/>
    <w:rsid w:val="00C454A1"/>
    <w:rsid w:val="00C54BEC"/>
    <w:rsid w:val="00C574E3"/>
    <w:rsid w:val="00C645D8"/>
    <w:rsid w:val="00C661C9"/>
    <w:rsid w:val="00C8159D"/>
    <w:rsid w:val="00C8376C"/>
    <w:rsid w:val="00C847B1"/>
    <w:rsid w:val="00C90848"/>
    <w:rsid w:val="00C90E26"/>
    <w:rsid w:val="00C95A13"/>
    <w:rsid w:val="00CB0050"/>
    <w:rsid w:val="00CB11E2"/>
    <w:rsid w:val="00CB387A"/>
    <w:rsid w:val="00CB391B"/>
    <w:rsid w:val="00CC1AE1"/>
    <w:rsid w:val="00CC41C3"/>
    <w:rsid w:val="00CC77B9"/>
    <w:rsid w:val="00CF1B02"/>
    <w:rsid w:val="00CF1BE2"/>
    <w:rsid w:val="00D03CA3"/>
    <w:rsid w:val="00D047EF"/>
    <w:rsid w:val="00D055F0"/>
    <w:rsid w:val="00D07955"/>
    <w:rsid w:val="00D34420"/>
    <w:rsid w:val="00D42C6F"/>
    <w:rsid w:val="00D57EE4"/>
    <w:rsid w:val="00D60D13"/>
    <w:rsid w:val="00D6104B"/>
    <w:rsid w:val="00D7163A"/>
    <w:rsid w:val="00D71C65"/>
    <w:rsid w:val="00D809EF"/>
    <w:rsid w:val="00DA3A35"/>
    <w:rsid w:val="00DD264B"/>
    <w:rsid w:val="00DE046C"/>
    <w:rsid w:val="00DF2E0D"/>
    <w:rsid w:val="00DF2F34"/>
    <w:rsid w:val="00DF3348"/>
    <w:rsid w:val="00DF6741"/>
    <w:rsid w:val="00E219CE"/>
    <w:rsid w:val="00E3026C"/>
    <w:rsid w:val="00E376A0"/>
    <w:rsid w:val="00E40475"/>
    <w:rsid w:val="00E45A97"/>
    <w:rsid w:val="00E45C01"/>
    <w:rsid w:val="00E53694"/>
    <w:rsid w:val="00E64495"/>
    <w:rsid w:val="00E77BF9"/>
    <w:rsid w:val="00E803F4"/>
    <w:rsid w:val="00E80D89"/>
    <w:rsid w:val="00E80F05"/>
    <w:rsid w:val="00E82B95"/>
    <w:rsid w:val="00E85949"/>
    <w:rsid w:val="00E85DEA"/>
    <w:rsid w:val="00E8762A"/>
    <w:rsid w:val="00E92AE5"/>
    <w:rsid w:val="00E93238"/>
    <w:rsid w:val="00EA60E5"/>
    <w:rsid w:val="00EC3998"/>
    <w:rsid w:val="00EC61DD"/>
    <w:rsid w:val="00EE09D2"/>
    <w:rsid w:val="00EE585F"/>
    <w:rsid w:val="00EE6323"/>
    <w:rsid w:val="00EE6B63"/>
    <w:rsid w:val="00EF6FF3"/>
    <w:rsid w:val="00F01185"/>
    <w:rsid w:val="00F26949"/>
    <w:rsid w:val="00F332F8"/>
    <w:rsid w:val="00F333C3"/>
    <w:rsid w:val="00F6000B"/>
    <w:rsid w:val="00F62120"/>
    <w:rsid w:val="00F765C6"/>
    <w:rsid w:val="00F81A44"/>
    <w:rsid w:val="00F84863"/>
    <w:rsid w:val="00F84AFF"/>
    <w:rsid w:val="00F86715"/>
    <w:rsid w:val="00F90C89"/>
    <w:rsid w:val="00F9113C"/>
    <w:rsid w:val="00F9386E"/>
    <w:rsid w:val="00FC1322"/>
    <w:rsid w:val="00FC6CBA"/>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3D28F"/>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link w:val="FooterChar"/>
    <w:uiPriority w:val="99"/>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884A19"/>
    <w:rPr>
      <w:sz w:val="24"/>
      <w:szCs w:val="24"/>
    </w:rPr>
  </w:style>
  <w:style w:type="character" w:customStyle="1" w:styleId="FooterChar">
    <w:name w:val="Footer Char"/>
    <w:basedOn w:val="DefaultParagraphFont"/>
    <w:link w:val="Footer"/>
    <w:uiPriority w:val="99"/>
    <w:rsid w:val="00E85D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3075">
      <w:bodyDiv w:val="1"/>
      <w:marLeft w:val="0"/>
      <w:marRight w:val="0"/>
      <w:marTop w:val="0"/>
      <w:marBottom w:val="0"/>
      <w:divBdr>
        <w:top w:val="none" w:sz="0" w:space="0" w:color="auto"/>
        <w:left w:val="none" w:sz="0" w:space="0" w:color="auto"/>
        <w:bottom w:val="none" w:sz="0" w:space="0" w:color="auto"/>
        <w:right w:val="none" w:sz="0" w:space="0" w:color="auto"/>
      </w:divBdr>
    </w:div>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651451632">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Strahinja Vujicic</cp:lastModifiedBy>
  <cp:revision>8</cp:revision>
  <cp:lastPrinted>2021-06-14T09:55:00Z</cp:lastPrinted>
  <dcterms:created xsi:type="dcterms:W3CDTF">2022-01-27T10:10:00Z</dcterms:created>
  <dcterms:modified xsi:type="dcterms:W3CDTF">2022-01-28T10:46:00Z</dcterms:modified>
</cp:coreProperties>
</file>