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01605D" w14:textId="77777777" w:rsidR="004F592E" w:rsidRPr="00221978" w:rsidRDefault="004F592E" w:rsidP="00674DB5">
      <w:pPr>
        <w:pStyle w:val="Bullet1"/>
        <w:spacing w:before="0" w:after="0" w:line="240" w:lineRule="auto"/>
        <w:ind w:left="0" w:firstLine="0"/>
        <w:jc w:val="both"/>
        <w:rPr>
          <w:rFonts w:ascii="Times New Roman" w:hAnsi="Times New Roman" w:cs="Times New Roman"/>
          <w:sz w:val="24"/>
          <w:szCs w:val="24"/>
          <w:lang w:val="sr-Cyrl-CS"/>
        </w:rPr>
      </w:pPr>
      <w:bookmarkStart w:id="0" w:name="_Hlk88648878"/>
    </w:p>
    <w:p w14:paraId="2E8DA416" w14:textId="10DEA9D3" w:rsidR="00891060" w:rsidRPr="00221978" w:rsidRDefault="00A440E5" w:rsidP="0001141D">
      <w:pPr>
        <w:pStyle w:val="Bullet1"/>
        <w:spacing w:before="0" w:after="0" w:line="240" w:lineRule="auto"/>
        <w:ind w:left="0" w:firstLine="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 </w:t>
      </w:r>
      <w:r w:rsidR="00891060" w:rsidRPr="00221978">
        <w:rPr>
          <w:rFonts w:ascii="Times New Roman" w:hAnsi="Times New Roman" w:cs="Times New Roman"/>
          <w:sz w:val="24"/>
          <w:szCs w:val="24"/>
          <w:lang w:val="sr-Cyrl-CS"/>
        </w:rPr>
        <w:t>На основу члана 38. став 1. Закона о планском систему Републике Србије („Службени гласник РС</w:t>
      </w:r>
      <w:r w:rsidR="00824E47" w:rsidRPr="00221978">
        <w:rPr>
          <w:rFonts w:ascii="Times New Roman" w:hAnsi="Times New Roman" w:cs="Times New Roman"/>
          <w:sz w:val="24"/>
          <w:szCs w:val="24"/>
          <w:lang w:val="sr-Cyrl-CS"/>
        </w:rPr>
        <w:t>”</w:t>
      </w:r>
      <w:r w:rsidR="00891060" w:rsidRPr="00221978">
        <w:rPr>
          <w:rFonts w:ascii="Times New Roman" w:hAnsi="Times New Roman" w:cs="Times New Roman"/>
          <w:sz w:val="24"/>
          <w:szCs w:val="24"/>
          <w:lang w:val="sr-Cyrl-CS"/>
        </w:rPr>
        <w:t>, број 30/18),</w:t>
      </w:r>
    </w:p>
    <w:p w14:paraId="222A345B" w14:textId="77777777" w:rsidR="00FF12FB" w:rsidRPr="00221978" w:rsidRDefault="00FF12FB" w:rsidP="0001141D">
      <w:pPr>
        <w:pStyle w:val="Bullet1"/>
        <w:spacing w:before="0" w:after="0" w:line="240" w:lineRule="auto"/>
        <w:ind w:left="0" w:firstLine="720"/>
        <w:jc w:val="both"/>
        <w:rPr>
          <w:rFonts w:ascii="Times New Roman" w:hAnsi="Times New Roman" w:cs="Times New Roman"/>
          <w:sz w:val="24"/>
          <w:szCs w:val="24"/>
          <w:lang w:val="sr-Cyrl-CS"/>
        </w:rPr>
      </w:pPr>
    </w:p>
    <w:p w14:paraId="0ADCB7A9" w14:textId="77777777" w:rsidR="00891060" w:rsidRPr="00221978" w:rsidRDefault="00891060" w:rsidP="0001141D">
      <w:pPr>
        <w:pStyle w:val="Bullet1"/>
        <w:spacing w:before="0" w:after="0" w:line="240" w:lineRule="auto"/>
        <w:ind w:left="0" w:firstLine="720"/>
        <w:rPr>
          <w:rFonts w:ascii="Times New Roman" w:hAnsi="Times New Roman" w:cs="Times New Roman"/>
          <w:sz w:val="24"/>
          <w:szCs w:val="24"/>
          <w:lang w:val="sr-Cyrl-CS"/>
        </w:rPr>
      </w:pPr>
      <w:r w:rsidRPr="00221978">
        <w:rPr>
          <w:rFonts w:ascii="Times New Roman" w:hAnsi="Times New Roman" w:cs="Times New Roman"/>
          <w:sz w:val="24"/>
          <w:szCs w:val="24"/>
          <w:lang w:val="sr-Cyrl-CS"/>
        </w:rPr>
        <w:t>Влада усваја</w:t>
      </w:r>
    </w:p>
    <w:p w14:paraId="507E95CD" w14:textId="77777777" w:rsidR="00891060" w:rsidRPr="00221978" w:rsidRDefault="00891060" w:rsidP="0001141D">
      <w:pPr>
        <w:pStyle w:val="Bullet1"/>
        <w:spacing w:before="0" w:after="0" w:line="240" w:lineRule="auto"/>
        <w:ind w:left="0" w:firstLine="1440"/>
        <w:rPr>
          <w:rFonts w:ascii="Times New Roman" w:hAnsi="Times New Roman" w:cs="Times New Roman"/>
          <w:sz w:val="24"/>
          <w:szCs w:val="24"/>
          <w:lang w:val="sr-Cyrl-CS"/>
        </w:rPr>
      </w:pPr>
    </w:p>
    <w:p w14:paraId="44952EE1" w14:textId="2FBD0595" w:rsidR="00891060" w:rsidRPr="00221978" w:rsidRDefault="00727B0C" w:rsidP="00727B0C">
      <w:pPr>
        <w:spacing w:after="0" w:line="240" w:lineRule="auto"/>
        <w:jc w:val="center"/>
        <w:rPr>
          <w:rFonts w:ascii="Times New Roman" w:hAnsi="Times New Roman" w:cs="Times New Roman"/>
          <w:sz w:val="24"/>
          <w:szCs w:val="24"/>
          <w:lang w:val="sr-Cyrl-CS"/>
        </w:rPr>
      </w:pPr>
      <w:r w:rsidRPr="00221978">
        <w:rPr>
          <w:rFonts w:ascii="Times New Roman" w:hAnsi="Times New Roman" w:cs="Times New Roman"/>
          <w:sz w:val="24"/>
          <w:szCs w:val="24"/>
          <w:lang w:val="sr-Cyrl-CS"/>
        </w:rPr>
        <w:t>О</w:t>
      </w:r>
      <w:r w:rsidR="00674DB5"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Д</w:t>
      </w:r>
      <w:r w:rsidR="00674DB5"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Л</w:t>
      </w:r>
      <w:r w:rsidR="00674DB5"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У</w:t>
      </w:r>
      <w:r w:rsidR="00674DB5"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К</w:t>
      </w:r>
      <w:r w:rsidR="00674DB5"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У</w:t>
      </w:r>
    </w:p>
    <w:p w14:paraId="2A3452E5" w14:textId="50575A83" w:rsidR="00891060" w:rsidRPr="00221978" w:rsidRDefault="00727B0C" w:rsidP="003F2C15">
      <w:pPr>
        <w:spacing w:after="0" w:line="240" w:lineRule="auto"/>
        <w:jc w:val="center"/>
        <w:rPr>
          <w:rFonts w:ascii="Times New Roman" w:hAnsi="Times New Roman" w:cs="Times New Roman"/>
          <w:bCs/>
          <w:sz w:val="24"/>
          <w:szCs w:val="24"/>
          <w:lang w:val="sr-Cyrl-CS"/>
        </w:rPr>
      </w:pPr>
      <w:r w:rsidRPr="00221978">
        <w:rPr>
          <w:rFonts w:ascii="Times New Roman" w:hAnsi="Times New Roman" w:cs="Times New Roman"/>
          <w:bCs/>
          <w:sz w:val="24"/>
          <w:szCs w:val="24"/>
          <w:lang w:val="sr-Cyrl-CS"/>
        </w:rPr>
        <w:t xml:space="preserve">О </w:t>
      </w:r>
      <w:r w:rsidR="003F2C15" w:rsidRPr="00221978">
        <w:rPr>
          <w:rFonts w:ascii="Times New Roman" w:hAnsi="Times New Roman" w:cs="Times New Roman"/>
          <w:bCs/>
          <w:sz w:val="24"/>
          <w:szCs w:val="24"/>
          <w:lang w:val="sr-Cyrl-CS"/>
        </w:rPr>
        <w:t>ИЗМЕН</w:t>
      </w:r>
      <w:r w:rsidRPr="00221978">
        <w:rPr>
          <w:rFonts w:ascii="Times New Roman" w:hAnsi="Times New Roman" w:cs="Times New Roman"/>
          <w:bCs/>
          <w:sz w:val="24"/>
          <w:szCs w:val="24"/>
          <w:lang w:val="sr-Cyrl-CS"/>
        </w:rPr>
        <w:t>АМА</w:t>
      </w:r>
      <w:r w:rsidR="003F2C15" w:rsidRPr="00221978">
        <w:rPr>
          <w:rFonts w:ascii="Times New Roman" w:hAnsi="Times New Roman" w:cs="Times New Roman"/>
          <w:bCs/>
          <w:sz w:val="24"/>
          <w:szCs w:val="24"/>
          <w:lang w:val="sr-Cyrl-CS"/>
        </w:rPr>
        <w:t xml:space="preserve"> И ДОПУН</w:t>
      </w:r>
      <w:r w:rsidRPr="00221978">
        <w:rPr>
          <w:rFonts w:ascii="Times New Roman" w:hAnsi="Times New Roman" w:cs="Times New Roman"/>
          <w:bCs/>
          <w:sz w:val="24"/>
          <w:szCs w:val="24"/>
          <w:lang w:val="sr-Cyrl-CS"/>
        </w:rPr>
        <w:t>АМА</w:t>
      </w:r>
      <w:r w:rsidR="00891060" w:rsidRPr="00221978">
        <w:rPr>
          <w:rFonts w:ascii="Times New Roman" w:hAnsi="Times New Roman" w:cs="Times New Roman"/>
          <w:bCs/>
          <w:sz w:val="24"/>
          <w:szCs w:val="24"/>
          <w:lang w:val="sr-Cyrl-CS"/>
        </w:rPr>
        <w:t xml:space="preserve"> СТРАТЕГИЈЕ РЕФОРМЕ ЈАВНЕ УПРАВЕ У РЕПУБЛИЦИ СРБИЈИ ЗА ПЕРИОД 2021-2030. ГОДИНЕ И АКЦИОНОГ ПЛАНА ЗА ПЕРИОД 2021-2025. ГОДИН</w:t>
      </w:r>
      <w:r w:rsidR="00F67D87" w:rsidRPr="00221978">
        <w:rPr>
          <w:rFonts w:ascii="Times New Roman" w:hAnsi="Times New Roman" w:cs="Times New Roman"/>
          <w:bCs/>
          <w:sz w:val="24"/>
          <w:szCs w:val="24"/>
          <w:lang w:val="sr-Cyrl-CS"/>
        </w:rPr>
        <w:t>Е</w:t>
      </w:r>
    </w:p>
    <w:bookmarkEnd w:id="0"/>
    <w:p w14:paraId="345CD6E9" w14:textId="04347FE1" w:rsidR="00891060" w:rsidRPr="00221978" w:rsidRDefault="00891060" w:rsidP="0001141D">
      <w:pPr>
        <w:pStyle w:val="Heading3"/>
        <w:spacing w:before="0" w:line="240" w:lineRule="auto"/>
        <w:jc w:val="both"/>
        <w:rPr>
          <w:rFonts w:ascii="Times New Roman" w:hAnsi="Times New Roman" w:cs="Times New Roman"/>
          <w:color w:val="auto"/>
          <w:lang w:val="sr-Cyrl-CS"/>
        </w:rPr>
      </w:pPr>
    </w:p>
    <w:p w14:paraId="7EE2041D" w14:textId="0FCB4B5B" w:rsidR="00CA1600" w:rsidRPr="00221978" w:rsidRDefault="00891060" w:rsidP="001A02CA">
      <w:pPr>
        <w:pStyle w:val="Heading3"/>
        <w:numPr>
          <w:ilvl w:val="0"/>
          <w:numId w:val="2"/>
        </w:numPr>
        <w:spacing w:before="0" w:line="240" w:lineRule="auto"/>
        <w:jc w:val="both"/>
        <w:rPr>
          <w:rFonts w:ascii="Times New Roman" w:hAnsi="Times New Roman" w:cs="Times New Roman"/>
          <w:bCs/>
          <w:color w:val="auto"/>
          <w:lang w:val="sr-Cyrl-CS" w:eastAsia="de-DE"/>
        </w:rPr>
      </w:pPr>
      <w:r w:rsidRPr="00221978">
        <w:rPr>
          <w:rFonts w:ascii="Times New Roman" w:hAnsi="Times New Roman" w:cs="Times New Roman"/>
          <w:color w:val="auto"/>
          <w:lang w:val="sr-Cyrl-CS"/>
        </w:rPr>
        <w:t xml:space="preserve">У Стратегији реформе јавне управе </w:t>
      </w:r>
      <w:bookmarkStart w:id="1" w:name="_Hlk88648948"/>
      <w:r w:rsidRPr="00221978">
        <w:rPr>
          <w:rFonts w:ascii="Times New Roman" w:hAnsi="Times New Roman" w:cs="Times New Roman"/>
          <w:color w:val="auto"/>
          <w:lang w:val="sr-Cyrl-CS"/>
        </w:rPr>
        <w:t>у Републици Србији за период 2021-2030</w:t>
      </w:r>
      <w:bookmarkEnd w:id="1"/>
      <w:r w:rsidR="00F67D87" w:rsidRPr="00221978">
        <w:rPr>
          <w:rFonts w:ascii="Times New Roman" w:hAnsi="Times New Roman" w:cs="Times New Roman"/>
          <w:color w:val="auto"/>
          <w:lang w:val="sr-Cyrl-CS"/>
        </w:rPr>
        <w:t xml:space="preserve">. </w:t>
      </w:r>
      <w:r w:rsidRPr="00221978">
        <w:rPr>
          <w:rFonts w:ascii="Times New Roman" w:hAnsi="Times New Roman" w:cs="Times New Roman"/>
          <w:color w:val="auto"/>
          <w:lang w:val="sr-Cyrl-CS"/>
        </w:rPr>
        <w:t>године („Службени гласник РС</w:t>
      </w:r>
      <w:r w:rsidR="00824E47" w:rsidRPr="00221978">
        <w:rPr>
          <w:rFonts w:ascii="Times New Roman" w:hAnsi="Times New Roman" w:cs="Times New Roman"/>
          <w:color w:val="auto"/>
          <w:lang w:val="sr-Cyrl-CS"/>
        </w:rPr>
        <w:t>”</w:t>
      </w:r>
      <w:r w:rsidRPr="00221978">
        <w:rPr>
          <w:rFonts w:ascii="Times New Roman" w:hAnsi="Times New Roman" w:cs="Times New Roman"/>
          <w:color w:val="auto"/>
          <w:lang w:val="sr-Cyrl-CS"/>
        </w:rPr>
        <w:t>, број 42/21</w:t>
      </w:r>
      <w:r w:rsidR="001A02CA" w:rsidRPr="00221978">
        <w:rPr>
          <w:rFonts w:ascii="Times New Roman" w:hAnsi="Times New Roman" w:cs="Times New Roman"/>
          <w:color w:val="auto"/>
          <w:lang w:val="sr-Cyrl-CS"/>
        </w:rPr>
        <w:t xml:space="preserve"> </w:t>
      </w:r>
      <w:r w:rsidR="00824E47" w:rsidRPr="00221978">
        <w:rPr>
          <w:rFonts w:ascii="Times New Roman" w:hAnsi="Times New Roman" w:cs="Times New Roman"/>
          <w:color w:val="auto"/>
          <w:lang w:val="sr-Cyrl-CS"/>
        </w:rPr>
        <w:t>–</w:t>
      </w:r>
      <w:r w:rsidR="001A02CA" w:rsidRPr="00221978">
        <w:rPr>
          <w:rFonts w:ascii="Times New Roman" w:hAnsi="Times New Roman" w:cs="Times New Roman"/>
          <w:color w:val="auto"/>
          <w:lang w:val="sr-Cyrl-CS"/>
        </w:rPr>
        <w:t xml:space="preserve"> </w:t>
      </w:r>
      <w:r w:rsidRPr="00221978">
        <w:rPr>
          <w:rFonts w:ascii="Times New Roman" w:hAnsi="Times New Roman" w:cs="Times New Roman"/>
          <w:color w:val="auto"/>
          <w:lang w:val="sr-Cyrl-CS"/>
        </w:rPr>
        <w:t xml:space="preserve">у даљем тексту: Стратегија РЈУ) </w:t>
      </w:r>
      <w:bookmarkStart w:id="2" w:name="_Toc396380771"/>
      <w:r w:rsidR="00A325C3" w:rsidRPr="00221978">
        <w:rPr>
          <w:rFonts w:ascii="Times New Roman" w:hAnsi="Times New Roman" w:cs="Times New Roman"/>
          <w:color w:val="auto"/>
          <w:lang w:val="sr-Cyrl-CS"/>
        </w:rPr>
        <w:t>у делу III. Планирање и координација јавних политика, одељак 2. Посебан циљ</w:t>
      </w:r>
      <w:bookmarkStart w:id="3" w:name="_Hlk88725265"/>
      <w:r w:rsidR="00D7229E" w:rsidRPr="00221978">
        <w:rPr>
          <w:rFonts w:ascii="Times New Roman" w:hAnsi="Times New Roman" w:cs="Times New Roman"/>
          <w:color w:val="auto"/>
          <w:lang w:val="sr-Cyrl-CS"/>
        </w:rPr>
        <w:t xml:space="preserve">, </w:t>
      </w:r>
      <w:r w:rsidR="00D7229E" w:rsidRPr="00221978">
        <w:rPr>
          <w:rFonts w:ascii="Times New Roman" w:eastAsia="Times New Roman" w:hAnsi="Times New Roman" w:cs="Times New Roman"/>
          <w:color w:val="auto"/>
          <w:lang w:val="sr-Cyrl-CS" w:eastAsia="ar-SA"/>
        </w:rPr>
        <w:t>д</w:t>
      </w:r>
      <w:r w:rsidRPr="00221978">
        <w:rPr>
          <w:rFonts w:ascii="Times New Roman" w:eastAsia="Times New Roman" w:hAnsi="Times New Roman" w:cs="Times New Roman"/>
          <w:color w:val="auto"/>
          <w:lang w:val="sr-Cyrl-CS" w:eastAsia="ar-SA"/>
        </w:rPr>
        <w:t xml:space="preserve">одаје се </w:t>
      </w:r>
      <w:r w:rsidR="00A325C3" w:rsidRPr="00221978">
        <w:rPr>
          <w:rFonts w:ascii="Times New Roman" w:eastAsia="Times New Roman" w:hAnsi="Times New Roman" w:cs="Times New Roman"/>
          <w:color w:val="auto"/>
          <w:lang w:val="sr-Cyrl-CS" w:eastAsia="ar-SA"/>
        </w:rPr>
        <w:t>п</w:t>
      </w:r>
      <w:r w:rsidRPr="00221978">
        <w:rPr>
          <w:rFonts w:ascii="Times New Roman" w:eastAsia="Times New Roman" w:hAnsi="Times New Roman" w:cs="Times New Roman"/>
          <w:color w:val="auto"/>
          <w:lang w:val="sr-Cyrl-CS" w:eastAsia="ar-SA"/>
        </w:rPr>
        <w:t xml:space="preserve">оказатељ исхода – </w:t>
      </w:r>
      <w:r w:rsidR="00513031" w:rsidRPr="00221978">
        <w:rPr>
          <w:rFonts w:ascii="Times New Roman" w:eastAsia="Times New Roman" w:hAnsi="Times New Roman" w:cs="Times New Roman"/>
          <w:color w:val="auto"/>
          <w:lang w:val="sr-Cyrl-CS" w:eastAsia="ar-SA"/>
        </w:rPr>
        <w:t>и</w:t>
      </w:r>
      <w:r w:rsidRPr="00221978">
        <w:rPr>
          <w:rFonts w:ascii="Times New Roman" w:eastAsia="Times New Roman" w:hAnsi="Times New Roman" w:cs="Times New Roman"/>
          <w:color w:val="auto"/>
          <w:lang w:val="sr-Cyrl-CS" w:eastAsia="ar-SA"/>
        </w:rPr>
        <w:t>ндикатор усклађености и квалитета планирања исхода</w:t>
      </w:r>
      <w:bookmarkEnd w:id="2"/>
      <w:r w:rsidRPr="00221978">
        <w:rPr>
          <w:rFonts w:ascii="Times New Roman" w:eastAsia="Times New Roman" w:hAnsi="Times New Roman" w:cs="Times New Roman"/>
          <w:color w:val="auto"/>
          <w:lang w:val="sr-Cyrl-CS" w:eastAsia="ar-SA"/>
        </w:rPr>
        <w:t xml:space="preserve"> </w:t>
      </w:r>
      <w:r w:rsidR="006862BA" w:rsidRPr="00221978">
        <w:rPr>
          <w:rFonts w:ascii="Times New Roman" w:eastAsia="Times New Roman" w:hAnsi="Times New Roman" w:cs="Times New Roman"/>
          <w:color w:val="auto"/>
          <w:lang w:val="sr-Cyrl-CS" w:eastAsia="ar-SA"/>
        </w:rPr>
        <w:t>са циљним вредностима и гласи: „</w:t>
      </w:r>
      <w:r w:rsidRPr="00221978">
        <w:rPr>
          <w:rFonts w:ascii="Times New Roman" w:eastAsia="Times New Roman" w:hAnsi="Times New Roman" w:cs="Times New Roman"/>
          <w:color w:val="auto"/>
          <w:lang w:val="sr-Cyrl-CS" w:eastAsia="ar-SA"/>
        </w:rPr>
        <w:t>2021: /; 2022: 3; 2023: 4; 2024: 4; 2025: 5</w:t>
      </w:r>
      <w:r w:rsidR="006862BA" w:rsidRPr="00221978">
        <w:rPr>
          <w:rFonts w:ascii="Times New Roman" w:eastAsia="Times New Roman" w:hAnsi="Times New Roman" w:cs="Times New Roman"/>
          <w:color w:val="auto"/>
          <w:lang w:val="sr-Cyrl-CS" w:eastAsia="ar-SA"/>
        </w:rPr>
        <w:t>.</w:t>
      </w:r>
      <w:r w:rsidR="009B73BA" w:rsidRPr="00221978">
        <w:rPr>
          <w:rFonts w:ascii="Times New Roman" w:hAnsi="Times New Roman" w:cs="Times New Roman"/>
          <w:lang w:val="sr-Cyrl-CS"/>
        </w:rPr>
        <w:t xml:space="preserve">   </w:t>
      </w:r>
    </w:p>
    <w:p w14:paraId="0328BA55" w14:textId="0DD95B44" w:rsidR="00513031" w:rsidRPr="00221978" w:rsidRDefault="00513031" w:rsidP="00513031">
      <w:pPr>
        <w:rPr>
          <w:lang w:val="sr-Cyrl-CS" w:eastAsia="de-DE"/>
        </w:rPr>
      </w:pPr>
    </w:p>
    <w:tbl>
      <w:tblPr>
        <w:tblW w:w="5000" w:type="pct"/>
        <w:shd w:val="clear" w:color="auto" w:fill="E7E6E6"/>
        <w:tblLook w:val="00A0" w:firstRow="1" w:lastRow="0" w:firstColumn="1" w:lastColumn="0" w:noHBand="0" w:noVBand="0"/>
      </w:tblPr>
      <w:tblGrid>
        <w:gridCol w:w="4964"/>
        <w:gridCol w:w="2007"/>
        <w:gridCol w:w="2007"/>
        <w:gridCol w:w="359"/>
      </w:tblGrid>
      <w:tr w:rsidR="00513031" w:rsidRPr="00221978" w14:paraId="019DC0D6" w14:textId="77777777" w:rsidTr="00C70AA6">
        <w:trPr>
          <w:trHeight w:val="340"/>
        </w:trPr>
        <w:tc>
          <w:tcPr>
            <w:tcW w:w="2658" w:type="pct"/>
            <w:tcBorders>
              <w:bottom w:val="single" w:sz="18" w:space="0" w:color="C00000"/>
            </w:tcBorders>
            <w:shd w:val="clear" w:color="auto" w:fill="F2F2F2"/>
          </w:tcPr>
          <w:p w14:paraId="354C68F1" w14:textId="77777777" w:rsidR="00513031" w:rsidRPr="00221978" w:rsidRDefault="00513031" w:rsidP="00856EFB">
            <w:pPr>
              <w:rPr>
                <w:rFonts w:ascii="Times New Roman" w:hAnsi="Times New Roman" w:cs="Times New Roman"/>
                <w:sz w:val="20"/>
                <w:szCs w:val="20"/>
                <w:lang w:val="sr-Cyrl-CS"/>
              </w:rPr>
            </w:pPr>
            <w:r w:rsidRPr="00221978">
              <w:rPr>
                <w:rFonts w:ascii="Times New Roman" w:eastAsia="Calibri" w:hAnsi="Times New Roman" w:cs="Times New Roman"/>
                <w:bCs/>
                <w:sz w:val="20"/>
                <w:szCs w:val="20"/>
                <w:lang w:val="sr-Cyrl-CS"/>
              </w:rPr>
              <w:t>Индикатор усклађености и квалитета планирања политика</w:t>
            </w:r>
          </w:p>
        </w:tc>
        <w:tc>
          <w:tcPr>
            <w:tcW w:w="1075" w:type="pct"/>
            <w:tcBorders>
              <w:bottom w:val="single" w:sz="18" w:space="0" w:color="C00000"/>
            </w:tcBorders>
            <w:shd w:val="clear" w:color="auto" w:fill="F2F2F2"/>
          </w:tcPr>
          <w:p w14:paraId="4F62AA12" w14:textId="77777777" w:rsidR="00513031" w:rsidRPr="00221978" w:rsidRDefault="00513031"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(2021) /</w:t>
            </w:r>
          </w:p>
        </w:tc>
        <w:tc>
          <w:tcPr>
            <w:tcW w:w="1075" w:type="pct"/>
            <w:tcBorders>
              <w:bottom w:val="single" w:sz="18" w:space="0" w:color="C00000"/>
            </w:tcBorders>
            <w:shd w:val="clear" w:color="auto" w:fill="F2F2F2"/>
          </w:tcPr>
          <w:p w14:paraId="172365CC" w14:textId="77777777" w:rsidR="00513031" w:rsidRPr="00221978" w:rsidRDefault="00513031"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(2021): /</w:t>
            </w:r>
          </w:p>
          <w:p w14:paraId="4404F875" w14:textId="77777777" w:rsidR="00513031" w:rsidRPr="00221978" w:rsidRDefault="00513031"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(2022): 3</w:t>
            </w:r>
          </w:p>
          <w:p w14:paraId="0DBC86EF" w14:textId="77777777" w:rsidR="00513031" w:rsidRPr="00221978" w:rsidRDefault="00513031"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(2023): 4</w:t>
            </w:r>
          </w:p>
          <w:p w14:paraId="14913DEB" w14:textId="77777777" w:rsidR="00513031" w:rsidRPr="00221978" w:rsidRDefault="00513031"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(2024): 4</w:t>
            </w:r>
          </w:p>
          <w:p w14:paraId="2301119A" w14:textId="77777777" w:rsidR="00513031" w:rsidRPr="00221978" w:rsidRDefault="00513031"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(2025): 5</w:t>
            </w:r>
          </w:p>
          <w:p w14:paraId="7B0D0161" w14:textId="77777777" w:rsidR="00513031" w:rsidRPr="00221978" w:rsidRDefault="00513031" w:rsidP="00856EFB">
            <w:pPr>
              <w:rPr>
                <w:rFonts w:ascii="Times New Roman" w:hAnsi="Times New Roman" w:cs="Times New Roman"/>
                <w:sz w:val="20"/>
                <w:szCs w:val="20"/>
                <w:lang w:val="sr-Cyrl-CS"/>
              </w:rPr>
            </w:pPr>
          </w:p>
        </w:tc>
        <w:tc>
          <w:tcPr>
            <w:tcW w:w="192" w:type="pct"/>
            <w:tcBorders>
              <w:bottom w:val="single" w:sz="18" w:space="0" w:color="C00000"/>
              <w:right w:val="single" w:sz="18" w:space="0" w:color="C00000"/>
            </w:tcBorders>
            <w:shd w:val="clear" w:color="auto" w:fill="F2F2F2"/>
          </w:tcPr>
          <w:p w14:paraId="3CFAEE89" w14:textId="77777777" w:rsidR="00513031" w:rsidRPr="00221978" w:rsidRDefault="00513031" w:rsidP="00856EFB">
            <w:pPr>
              <w:rPr>
                <w:sz w:val="20"/>
                <w:szCs w:val="20"/>
                <w:lang w:val="sr-Cyrl-CS"/>
              </w:rPr>
            </w:pPr>
          </w:p>
        </w:tc>
      </w:tr>
    </w:tbl>
    <w:p w14:paraId="00369EA9" w14:textId="1EE59327" w:rsidR="00CA1600" w:rsidRPr="00221978" w:rsidRDefault="00C70AA6" w:rsidP="00C70AA6">
      <w:pPr>
        <w:jc w:val="right"/>
        <w:rPr>
          <w:lang w:val="sr-Cyrl-CS" w:eastAsia="de-DE"/>
        </w:rPr>
      </w:pPr>
      <w:r w:rsidRPr="00221978">
        <w:rPr>
          <w:rFonts w:ascii="Times New Roman" w:hAnsi="Times New Roman" w:cs="Times New Roman"/>
          <w:lang w:val="sr-Cyrl-CS"/>
        </w:rPr>
        <w:t>”.</w:t>
      </w:r>
    </w:p>
    <w:p w14:paraId="451312AF" w14:textId="4590BE23" w:rsidR="00C20065" w:rsidRPr="00221978" w:rsidRDefault="00C20065" w:rsidP="002E1B76">
      <w:pPr>
        <w:keepNext/>
        <w:keepLines/>
        <w:spacing w:after="0" w:line="240" w:lineRule="auto"/>
        <w:ind w:left="720"/>
        <w:jc w:val="both"/>
        <w:outlineLvl w:val="2"/>
        <w:rPr>
          <w:rFonts w:ascii="Times New Roman" w:eastAsiaTheme="majorEastAsia" w:hAnsi="Times New Roman" w:cs="Times New Roman"/>
          <w:bCs/>
          <w:sz w:val="24"/>
          <w:szCs w:val="24"/>
          <w:lang w:val="sr-Cyrl-CS" w:eastAsia="de-DE"/>
        </w:rPr>
      </w:pPr>
      <w:r w:rsidRPr="00221978">
        <w:rPr>
          <w:rFonts w:ascii="Times New Roman" w:eastAsia="Times New Roman" w:hAnsi="Times New Roman" w:cs="Times New Roman"/>
          <w:sz w:val="24"/>
          <w:szCs w:val="24"/>
          <w:lang w:val="sr-Cyrl-CS" w:eastAsia="ar-SA"/>
        </w:rPr>
        <w:t xml:space="preserve">Назив Посебног циља 1 „Унапређен </w:t>
      </w:r>
      <w:r w:rsidRPr="00221978">
        <w:rPr>
          <w:rFonts w:ascii="Times New Roman" w:eastAsiaTheme="majorEastAsia" w:hAnsi="Times New Roman" w:cs="Times New Roman"/>
          <w:bCs/>
          <w:sz w:val="24"/>
          <w:szCs w:val="24"/>
          <w:lang w:val="sr-Cyrl-CS" w:eastAsia="de-DE"/>
        </w:rPr>
        <w:t>квалитет докумената јавних политика и прописа</w:t>
      </w:r>
      <w:r w:rsidR="002E1B76" w:rsidRPr="00221978">
        <w:rPr>
          <w:rFonts w:ascii="Times New Roman" w:eastAsiaTheme="majorEastAsia" w:hAnsi="Times New Roman" w:cs="Times New Roman"/>
          <w:bCs/>
          <w:sz w:val="24"/>
          <w:szCs w:val="24"/>
          <w:lang w:val="sr-Cyrl-CS" w:eastAsia="de-DE"/>
        </w:rPr>
        <w:t>”</w:t>
      </w:r>
      <w:r w:rsidRPr="00221978">
        <w:rPr>
          <w:rFonts w:ascii="Times New Roman" w:eastAsia="Calibri" w:hAnsi="Times New Roman" w:cs="Times New Roman"/>
          <w:bCs/>
          <w:iCs/>
          <w:sz w:val="24"/>
          <w:szCs w:val="24"/>
          <w:lang w:val="sr-Cyrl-CS"/>
        </w:rPr>
        <w:t xml:space="preserve"> мења се и гласи: „</w:t>
      </w:r>
      <w:r w:rsidRPr="00221978">
        <w:rPr>
          <w:rFonts w:ascii="Times New Roman" w:eastAsia="Times New Roman" w:hAnsi="Times New Roman" w:cs="Times New Roman"/>
          <w:sz w:val="24"/>
          <w:szCs w:val="24"/>
          <w:lang w:val="sr-Cyrl-CS" w:eastAsia="ar-SA"/>
        </w:rPr>
        <w:t xml:space="preserve">Побољшан </w:t>
      </w:r>
      <w:r w:rsidRPr="00221978">
        <w:rPr>
          <w:rFonts w:ascii="Times New Roman" w:eastAsiaTheme="majorEastAsia" w:hAnsi="Times New Roman" w:cs="Times New Roman"/>
          <w:bCs/>
          <w:sz w:val="24"/>
          <w:szCs w:val="24"/>
          <w:lang w:val="sr-Cyrl-CS" w:eastAsia="de-DE"/>
        </w:rPr>
        <w:t>квалитет докумената јавних политика и прописа</w:t>
      </w:r>
      <w:r w:rsidR="00824E47" w:rsidRPr="00221978">
        <w:rPr>
          <w:rFonts w:ascii="Times New Roman" w:eastAsiaTheme="majorEastAsia" w:hAnsi="Times New Roman" w:cs="Times New Roman"/>
          <w:bCs/>
          <w:sz w:val="24"/>
          <w:szCs w:val="24"/>
          <w:lang w:val="sr-Cyrl-CS" w:eastAsia="de-DE"/>
        </w:rPr>
        <w:t>”</w:t>
      </w:r>
      <w:r w:rsidRPr="00221978">
        <w:rPr>
          <w:rFonts w:ascii="Times New Roman" w:eastAsiaTheme="majorEastAsia" w:hAnsi="Times New Roman" w:cs="Times New Roman"/>
          <w:bCs/>
          <w:sz w:val="24"/>
          <w:szCs w:val="24"/>
          <w:lang w:val="sr-Cyrl-CS" w:eastAsia="de-DE"/>
        </w:rPr>
        <w:t>.</w:t>
      </w:r>
    </w:p>
    <w:p w14:paraId="673BDDF9" w14:textId="6D8EDB70" w:rsidR="00A66DE4" w:rsidRPr="00221978" w:rsidRDefault="00A66DE4" w:rsidP="00C70AA6">
      <w:pPr>
        <w:keepNext/>
        <w:keepLines/>
        <w:spacing w:after="0" w:line="240" w:lineRule="auto"/>
        <w:jc w:val="right"/>
        <w:outlineLvl w:val="2"/>
        <w:rPr>
          <w:rFonts w:ascii="Times New Roman" w:eastAsiaTheme="majorEastAsia" w:hAnsi="Times New Roman" w:cs="Times New Roman"/>
          <w:bCs/>
          <w:sz w:val="24"/>
          <w:szCs w:val="24"/>
          <w:lang w:val="sr-Cyrl-CS" w:eastAsia="de-DE"/>
        </w:rPr>
      </w:pPr>
    </w:p>
    <w:p w14:paraId="5B14DB05" w14:textId="77777777" w:rsidR="00513031" w:rsidRPr="00221978" w:rsidRDefault="00CA1600" w:rsidP="00C20065">
      <w:pPr>
        <w:pStyle w:val="ListParagraph"/>
        <w:numPr>
          <w:ilvl w:val="0"/>
          <w:numId w:val="2"/>
        </w:numPr>
        <w:spacing w:after="0"/>
        <w:jc w:val="both"/>
        <w:rPr>
          <w:rFonts w:ascii="Times New Roman" w:hAnsi="Times New Roman" w:cs="Times New Roman"/>
          <w:sz w:val="24"/>
          <w:szCs w:val="24"/>
          <w:lang w:val="sr-Cyrl-CS" w:eastAsia="de-DE"/>
        </w:rPr>
      </w:pPr>
      <w:r w:rsidRPr="00221978">
        <w:rPr>
          <w:rFonts w:ascii="Times New Roman" w:hAnsi="Times New Roman" w:cs="Times New Roman"/>
          <w:sz w:val="24"/>
          <w:szCs w:val="24"/>
          <w:lang w:val="sr-Cyrl-CS" w:eastAsia="de-DE"/>
        </w:rPr>
        <w:t xml:space="preserve">У делу IV. Управљање људским ресурсима, одељак 2. </w:t>
      </w:r>
      <w:r w:rsidR="00513031" w:rsidRPr="00221978">
        <w:rPr>
          <w:rFonts w:ascii="Times New Roman" w:hAnsi="Times New Roman" w:cs="Times New Roman"/>
          <w:sz w:val="24"/>
          <w:szCs w:val="24"/>
          <w:lang w:val="sr-Cyrl-CS" w:eastAsia="de-DE"/>
        </w:rPr>
        <w:t xml:space="preserve">назив </w:t>
      </w:r>
      <w:r w:rsidRPr="00221978">
        <w:rPr>
          <w:rFonts w:ascii="Times New Roman" w:hAnsi="Times New Roman" w:cs="Times New Roman"/>
          <w:sz w:val="24"/>
          <w:szCs w:val="24"/>
          <w:lang w:val="sr-Cyrl-CS" w:eastAsia="de-DE"/>
        </w:rPr>
        <w:t>Посеб</w:t>
      </w:r>
      <w:r w:rsidR="00513031" w:rsidRPr="00221978">
        <w:rPr>
          <w:rFonts w:ascii="Times New Roman" w:hAnsi="Times New Roman" w:cs="Times New Roman"/>
          <w:sz w:val="24"/>
          <w:szCs w:val="24"/>
          <w:lang w:val="sr-Cyrl-CS" w:eastAsia="de-DE"/>
        </w:rPr>
        <w:t>ног</w:t>
      </w:r>
      <w:r w:rsidRPr="00221978">
        <w:rPr>
          <w:rFonts w:ascii="Times New Roman" w:hAnsi="Times New Roman" w:cs="Times New Roman"/>
          <w:sz w:val="24"/>
          <w:szCs w:val="24"/>
          <w:lang w:val="sr-Cyrl-CS" w:eastAsia="de-DE"/>
        </w:rPr>
        <w:t xml:space="preserve"> циљ</w:t>
      </w:r>
      <w:r w:rsidR="00513031" w:rsidRPr="00221978">
        <w:rPr>
          <w:rFonts w:ascii="Times New Roman" w:hAnsi="Times New Roman" w:cs="Times New Roman"/>
          <w:sz w:val="24"/>
          <w:szCs w:val="24"/>
          <w:lang w:val="sr-Cyrl-CS" w:eastAsia="de-DE"/>
        </w:rPr>
        <w:t>а</w:t>
      </w:r>
      <w:r w:rsidRPr="00221978">
        <w:rPr>
          <w:rFonts w:ascii="Times New Roman" w:hAnsi="Times New Roman" w:cs="Times New Roman"/>
          <w:sz w:val="24"/>
          <w:szCs w:val="24"/>
          <w:lang w:val="sr-Cyrl-CS" w:eastAsia="de-DE"/>
        </w:rPr>
        <w:t xml:space="preserve"> </w:t>
      </w:r>
      <w:r w:rsidR="00513031" w:rsidRPr="00221978">
        <w:rPr>
          <w:rFonts w:ascii="Times New Roman" w:hAnsi="Times New Roman" w:cs="Times New Roman"/>
          <w:sz w:val="24"/>
          <w:szCs w:val="24"/>
          <w:lang w:val="sr-Cyrl-CS" w:eastAsia="de-DE"/>
        </w:rPr>
        <w:t>4:</w:t>
      </w:r>
    </w:p>
    <w:p w14:paraId="018600BC" w14:textId="59493386" w:rsidR="00513031" w:rsidRPr="00221978" w:rsidRDefault="00513031" w:rsidP="00C70AA6">
      <w:pPr>
        <w:spacing w:after="0"/>
        <w:ind w:left="720"/>
        <w:jc w:val="both"/>
        <w:rPr>
          <w:rFonts w:ascii="Times New Roman" w:hAnsi="Times New Roman" w:cs="Times New Roman"/>
          <w:sz w:val="24"/>
          <w:szCs w:val="24"/>
          <w:lang w:val="sr-Cyrl-CS" w:eastAsia="de-DE"/>
        </w:rPr>
      </w:pPr>
      <w:r w:rsidRPr="00221978">
        <w:rPr>
          <w:rFonts w:ascii="Times New Roman" w:hAnsi="Times New Roman" w:cs="Times New Roman"/>
          <w:sz w:val="24"/>
          <w:szCs w:val="24"/>
          <w:lang w:val="sr-Cyrl-CS" w:eastAsia="de-DE"/>
        </w:rPr>
        <w:t>„</w:t>
      </w:r>
      <w:r w:rsidR="00E17ECF" w:rsidRPr="00221978">
        <w:rPr>
          <w:rFonts w:ascii="Times New Roman" w:hAnsi="Times New Roman" w:cs="Times New Roman"/>
          <w:sz w:val="24"/>
          <w:szCs w:val="24"/>
          <w:lang w:val="sr-Cyrl-CS" w:eastAsia="de-DE"/>
        </w:rPr>
        <w:t>Развијен и имплементиран</w:t>
      </w:r>
      <w:r w:rsidR="00CA1600" w:rsidRPr="00221978">
        <w:rPr>
          <w:rFonts w:ascii="Times New Roman" w:hAnsi="Times New Roman" w:cs="Times New Roman"/>
          <w:sz w:val="24"/>
          <w:szCs w:val="24"/>
          <w:lang w:val="sr-Cyrl-CS" w:eastAsia="de-DE"/>
        </w:rPr>
        <w:t xml:space="preserve"> функционалан и иновативан систем стручног усавршавања и стручних испита у јавној управи заснован на анализи потреба за унапређењем компетенција, односно знања, вештина и способности запослених</w:t>
      </w:r>
      <w:r w:rsidR="00824E47" w:rsidRPr="00221978">
        <w:rPr>
          <w:rFonts w:ascii="Times New Roman" w:hAnsi="Times New Roman" w:cs="Times New Roman"/>
          <w:sz w:val="24"/>
          <w:szCs w:val="24"/>
          <w:lang w:val="sr-Cyrl-CS" w:eastAsia="de-DE"/>
        </w:rPr>
        <w:t>”</w:t>
      </w:r>
      <w:r w:rsidR="00CA1600" w:rsidRPr="00221978">
        <w:rPr>
          <w:rFonts w:ascii="Times New Roman" w:hAnsi="Times New Roman" w:cs="Times New Roman"/>
          <w:sz w:val="24"/>
          <w:szCs w:val="24"/>
          <w:lang w:val="sr-Cyrl-CS" w:eastAsia="de-DE"/>
        </w:rPr>
        <w:t xml:space="preserve"> </w:t>
      </w:r>
      <w:r w:rsidRPr="00221978">
        <w:rPr>
          <w:rFonts w:ascii="Times New Roman" w:hAnsi="Times New Roman" w:cs="Times New Roman"/>
          <w:sz w:val="24"/>
          <w:szCs w:val="24"/>
          <w:lang w:val="sr-Cyrl-CS" w:eastAsia="de-DE"/>
        </w:rPr>
        <w:t>мења се</w:t>
      </w:r>
      <w:r w:rsidR="00CA1600" w:rsidRPr="00221978">
        <w:rPr>
          <w:rFonts w:ascii="Times New Roman" w:hAnsi="Times New Roman" w:cs="Times New Roman"/>
          <w:sz w:val="24"/>
          <w:szCs w:val="24"/>
          <w:lang w:val="sr-Cyrl-CS" w:eastAsia="de-DE"/>
        </w:rPr>
        <w:t xml:space="preserve"> и гласи: </w:t>
      </w:r>
      <w:r w:rsidRPr="00221978">
        <w:rPr>
          <w:rFonts w:ascii="Times New Roman" w:hAnsi="Times New Roman" w:cs="Times New Roman"/>
          <w:sz w:val="24"/>
          <w:szCs w:val="24"/>
          <w:lang w:val="sr-Cyrl-CS" w:eastAsia="de-DE"/>
        </w:rPr>
        <w:t>„</w:t>
      </w:r>
      <w:r w:rsidR="00CA1600" w:rsidRPr="00221978">
        <w:rPr>
          <w:rFonts w:ascii="Times New Roman" w:hAnsi="Times New Roman" w:cs="Times New Roman"/>
          <w:sz w:val="24"/>
          <w:szCs w:val="24"/>
          <w:lang w:val="sr-Cyrl-CS" w:eastAsia="de-DE"/>
        </w:rPr>
        <w:t>Степен у ком се систем стручног усавршавања у јавној управи нормативно и у пракси заснива на анализи потреба за унапређењем знања и вештина, односно способности запослених у јавној управи.</w:t>
      </w:r>
      <w:r w:rsidR="009B73BA" w:rsidRPr="00221978">
        <w:rPr>
          <w:rFonts w:ascii="Times New Roman" w:hAnsi="Times New Roman" w:cs="Times New Roman"/>
          <w:sz w:val="24"/>
          <w:szCs w:val="24"/>
          <w:lang w:val="sr-Cyrl-CS" w:eastAsia="de-DE"/>
        </w:rPr>
        <w:t xml:space="preserve">”    </w:t>
      </w:r>
    </w:p>
    <w:bookmarkEnd w:id="3"/>
    <w:p w14:paraId="07655929" w14:textId="089C8C9C" w:rsidR="005077BE" w:rsidRPr="00221978" w:rsidRDefault="005077BE" w:rsidP="00C70AA6">
      <w:pPr>
        <w:spacing w:after="0" w:line="240" w:lineRule="auto"/>
        <w:jc w:val="right"/>
        <w:rPr>
          <w:lang w:val="sr-Cyrl-CS" w:eastAsia="de-DE"/>
        </w:rPr>
      </w:pPr>
    </w:p>
    <w:p w14:paraId="3BBF30B6" w14:textId="77777777" w:rsidR="00A12312" w:rsidRPr="00221978" w:rsidRDefault="00A12312" w:rsidP="0001141D">
      <w:pPr>
        <w:spacing w:after="0" w:line="240" w:lineRule="auto"/>
        <w:rPr>
          <w:lang w:val="sr-Cyrl-CS" w:eastAsia="de-DE"/>
        </w:rPr>
      </w:pPr>
    </w:p>
    <w:p w14:paraId="1059207E" w14:textId="1A358EAC" w:rsidR="000D1D17" w:rsidRPr="00221978" w:rsidRDefault="000D1D17" w:rsidP="00824E47">
      <w:pPr>
        <w:pStyle w:val="Heading3"/>
        <w:numPr>
          <w:ilvl w:val="0"/>
          <w:numId w:val="2"/>
        </w:numPr>
        <w:spacing w:before="0" w:line="240" w:lineRule="auto"/>
        <w:jc w:val="both"/>
        <w:rPr>
          <w:rFonts w:ascii="Times New Roman" w:hAnsi="Times New Roman" w:cs="Times New Roman"/>
          <w:bCs/>
          <w:color w:val="auto"/>
          <w:lang w:val="sr-Cyrl-CS" w:eastAsia="de-DE"/>
        </w:rPr>
      </w:pPr>
      <w:bookmarkStart w:id="4" w:name="_Hlk88725569"/>
      <w:r w:rsidRPr="00221978">
        <w:rPr>
          <w:rFonts w:ascii="Times New Roman" w:hAnsi="Times New Roman" w:cs="Times New Roman"/>
          <w:color w:val="auto"/>
          <w:lang w:val="sr-Cyrl-CS" w:eastAsia="de-DE"/>
        </w:rPr>
        <w:lastRenderedPageBreak/>
        <w:t xml:space="preserve">У делу V. Пружање услуга, одељак </w:t>
      </w:r>
      <w:r w:rsidR="000261A3" w:rsidRPr="00221978">
        <w:rPr>
          <w:rFonts w:ascii="Times New Roman" w:hAnsi="Times New Roman" w:cs="Times New Roman"/>
          <w:color w:val="auto"/>
          <w:lang w:val="sr-Cyrl-CS" w:eastAsia="de-DE"/>
        </w:rPr>
        <w:t xml:space="preserve">2. </w:t>
      </w:r>
      <w:r w:rsidRPr="00221978">
        <w:rPr>
          <w:rFonts w:ascii="Times New Roman" w:hAnsi="Times New Roman" w:cs="Times New Roman"/>
          <w:color w:val="auto"/>
          <w:lang w:val="sr-Cyrl-CS" w:eastAsia="de-DE"/>
        </w:rPr>
        <w:t>Посебан циљ,</w:t>
      </w:r>
      <w:bookmarkEnd w:id="4"/>
      <w:r w:rsidRPr="00221978">
        <w:rPr>
          <w:rFonts w:ascii="Times New Roman" w:hAnsi="Times New Roman" w:cs="Times New Roman"/>
          <w:color w:val="auto"/>
          <w:lang w:val="sr-Cyrl-CS" w:eastAsia="de-DE"/>
        </w:rPr>
        <w:t xml:space="preserve"> </w:t>
      </w:r>
      <w:r w:rsidR="00FA09C5" w:rsidRPr="00221978">
        <w:rPr>
          <w:rFonts w:ascii="Times New Roman" w:hAnsi="Times New Roman" w:cs="Times New Roman"/>
          <w:color w:val="auto"/>
          <w:lang w:val="sr-Cyrl-CS" w:eastAsia="de-DE"/>
        </w:rPr>
        <w:t xml:space="preserve">после става </w:t>
      </w:r>
      <w:r w:rsidR="00222391" w:rsidRPr="00221978">
        <w:rPr>
          <w:rFonts w:ascii="Times New Roman" w:hAnsi="Times New Roman" w:cs="Times New Roman"/>
          <w:color w:val="auto"/>
          <w:lang w:val="sr-Cyrl-CS" w:eastAsia="de-DE"/>
        </w:rPr>
        <w:t>5.</w:t>
      </w:r>
      <w:r w:rsidR="0068639A" w:rsidRPr="00221978">
        <w:rPr>
          <w:rFonts w:ascii="Times New Roman" w:hAnsi="Times New Roman" w:cs="Times New Roman"/>
          <w:color w:val="auto"/>
          <w:lang w:val="sr-Cyrl-CS" w:eastAsia="de-DE"/>
        </w:rPr>
        <w:t xml:space="preserve"> </w:t>
      </w:r>
      <w:r w:rsidRPr="00221978">
        <w:rPr>
          <w:rFonts w:ascii="Times New Roman" w:hAnsi="Times New Roman" w:cs="Times New Roman"/>
          <w:color w:val="auto"/>
          <w:lang w:val="sr-Cyrl-CS" w:eastAsia="de-DE"/>
        </w:rPr>
        <w:t>додаје се</w:t>
      </w:r>
      <w:r w:rsidR="00FA09C5" w:rsidRPr="00221978">
        <w:rPr>
          <w:rFonts w:ascii="Times New Roman" w:hAnsi="Times New Roman" w:cs="Times New Roman"/>
          <w:color w:val="auto"/>
          <w:lang w:val="sr-Cyrl-CS" w:eastAsia="de-DE"/>
        </w:rPr>
        <w:t xml:space="preserve"> став 6</w:t>
      </w:r>
      <w:r w:rsidR="00222391" w:rsidRPr="00221978">
        <w:rPr>
          <w:rFonts w:ascii="Times New Roman" w:hAnsi="Times New Roman" w:cs="Times New Roman"/>
          <w:color w:val="auto"/>
          <w:lang w:val="sr-Cyrl-CS" w:eastAsia="de-DE"/>
        </w:rPr>
        <w:t>.</w:t>
      </w:r>
      <w:r w:rsidR="00824E47" w:rsidRPr="00221978">
        <w:rPr>
          <w:rFonts w:ascii="Times New Roman" w:hAnsi="Times New Roman" w:cs="Times New Roman"/>
          <w:color w:val="auto"/>
          <w:lang w:val="sr-Cyrl-CS" w:eastAsia="de-DE"/>
        </w:rPr>
        <w:t xml:space="preserve"> </w:t>
      </w:r>
      <w:r w:rsidR="00222391" w:rsidRPr="00221978">
        <w:rPr>
          <w:rFonts w:ascii="Times New Roman" w:hAnsi="Times New Roman" w:cs="Times New Roman"/>
          <w:color w:val="auto"/>
          <w:lang w:val="sr-Cyrl-CS" w:eastAsia="de-DE"/>
        </w:rPr>
        <w:t>кој</w:t>
      </w:r>
      <w:r w:rsidR="00FA09C5" w:rsidRPr="00221978">
        <w:rPr>
          <w:rFonts w:ascii="Times New Roman" w:hAnsi="Times New Roman" w:cs="Times New Roman"/>
          <w:color w:val="auto"/>
          <w:lang w:val="sr-Cyrl-CS" w:eastAsia="de-DE"/>
        </w:rPr>
        <w:t>и гласи</w:t>
      </w:r>
      <w:r w:rsidRPr="00221978">
        <w:rPr>
          <w:rFonts w:ascii="Times New Roman" w:hAnsi="Times New Roman" w:cs="Times New Roman"/>
          <w:color w:val="auto"/>
          <w:lang w:val="sr-Cyrl-CS" w:eastAsia="de-DE"/>
        </w:rPr>
        <w:t>:</w:t>
      </w:r>
    </w:p>
    <w:p w14:paraId="646D463A" w14:textId="490C9364" w:rsidR="000D1D17" w:rsidRPr="00221978" w:rsidRDefault="000D1D17" w:rsidP="00007AEC">
      <w:pPr>
        <w:pStyle w:val="Heading3"/>
        <w:spacing w:before="0" w:line="240" w:lineRule="auto"/>
        <w:ind w:left="720"/>
        <w:jc w:val="both"/>
        <w:rPr>
          <w:rFonts w:ascii="Times New Roman" w:hAnsi="Times New Roman" w:cs="Times New Roman"/>
          <w:noProof/>
          <w:color w:val="auto"/>
          <w:lang w:val="sr-Cyrl-CS"/>
        </w:rPr>
      </w:pPr>
      <w:r w:rsidRPr="00221978">
        <w:rPr>
          <w:rFonts w:ascii="Times New Roman" w:hAnsi="Times New Roman" w:cs="Times New Roman"/>
          <w:lang w:val="sr-Cyrl-CS"/>
        </w:rPr>
        <w:t>„</w:t>
      </w:r>
      <w:bookmarkStart w:id="5" w:name="_Hlk88725706"/>
      <w:r w:rsidRPr="00221978">
        <w:rPr>
          <w:rFonts w:ascii="Times New Roman" w:hAnsi="Times New Roman" w:cs="Times New Roman"/>
          <w:color w:val="auto"/>
          <w:lang w:val="sr-Cyrl-CS"/>
        </w:rPr>
        <w:t>Кроз овај циљ,</w:t>
      </w:r>
      <w:r w:rsidR="000B46A8" w:rsidRPr="00221978">
        <w:rPr>
          <w:rFonts w:ascii="Times New Roman" w:hAnsi="Times New Roman" w:cs="Times New Roman"/>
          <w:color w:val="auto"/>
          <w:lang w:val="sr-Cyrl-CS"/>
        </w:rPr>
        <w:t xml:space="preserve"> </w:t>
      </w:r>
      <w:r w:rsidRPr="00221978">
        <w:rPr>
          <w:rFonts w:ascii="Times New Roman" w:hAnsi="Times New Roman" w:cs="Times New Roman"/>
          <w:color w:val="auto"/>
          <w:lang w:val="sr-Cyrl-CS"/>
        </w:rPr>
        <w:t xml:space="preserve">пратиће се остваривање циљева и учинци </w:t>
      </w:r>
      <w:r w:rsidRPr="00221978">
        <w:rPr>
          <w:rFonts w:ascii="Times New Roman" w:hAnsi="Times New Roman" w:cs="Times New Roman"/>
          <w:noProof/>
          <w:color w:val="auto"/>
          <w:lang w:val="sr-Cyrl-CS"/>
        </w:rPr>
        <w:t>Програма развоја електронске управе у Републици Србији, Програма „е-Папир</w:t>
      </w:r>
      <w:r w:rsidR="00824E47" w:rsidRPr="00221978">
        <w:rPr>
          <w:rFonts w:ascii="Times New Roman" w:hAnsi="Times New Roman" w:cs="Times New Roman"/>
          <w:noProof/>
          <w:color w:val="auto"/>
          <w:lang w:val="sr-Cyrl-CS"/>
        </w:rPr>
        <w:t>”</w:t>
      </w:r>
      <w:r w:rsidRPr="00221978">
        <w:rPr>
          <w:rFonts w:ascii="Times New Roman" w:hAnsi="Times New Roman" w:cs="Times New Roman"/>
          <w:noProof/>
          <w:color w:val="auto"/>
          <w:lang w:val="sr-Cyrl-CS"/>
        </w:rPr>
        <w:t>, као и Националног програма за сузбијање сиве економије у Србији у делу у коме се односи на инспекцијски надзор.</w:t>
      </w:r>
      <w:r w:rsidR="009B73BA" w:rsidRPr="00221978">
        <w:rPr>
          <w:rFonts w:ascii="Times New Roman" w:hAnsi="Times New Roman" w:cs="Times New Roman"/>
          <w:noProof/>
          <w:color w:val="auto"/>
          <w:lang w:val="sr-Cyrl-CS"/>
        </w:rPr>
        <w:t xml:space="preserve">”    </w:t>
      </w:r>
    </w:p>
    <w:p w14:paraId="63CB2BCD" w14:textId="77777777" w:rsidR="00575D32" w:rsidRPr="00221978" w:rsidRDefault="00575D32" w:rsidP="0001141D">
      <w:pPr>
        <w:spacing w:after="0" w:line="240" w:lineRule="auto"/>
        <w:rPr>
          <w:lang w:val="sr-Cyrl-CS"/>
        </w:rPr>
      </w:pPr>
    </w:p>
    <w:bookmarkEnd w:id="5"/>
    <w:p w14:paraId="7A9B9F91" w14:textId="77777777" w:rsidR="00257073" w:rsidRPr="00221978" w:rsidRDefault="005077BE" w:rsidP="0001141D">
      <w:pPr>
        <w:pStyle w:val="Heading3"/>
        <w:numPr>
          <w:ilvl w:val="0"/>
          <w:numId w:val="2"/>
        </w:numPr>
        <w:spacing w:before="0" w:line="240" w:lineRule="auto"/>
        <w:jc w:val="both"/>
        <w:rPr>
          <w:rFonts w:ascii="Times New Roman" w:hAnsi="Times New Roman" w:cs="Times New Roman"/>
          <w:bCs/>
          <w:color w:val="auto"/>
          <w:lang w:val="sr-Cyrl-CS" w:eastAsia="de-DE"/>
        </w:rPr>
      </w:pPr>
      <w:r w:rsidRPr="00221978">
        <w:rPr>
          <w:rFonts w:ascii="Times New Roman" w:hAnsi="Times New Roman" w:cs="Times New Roman"/>
          <w:bCs/>
          <w:color w:val="auto"/>
          <w:lang w:val="sr-Cyrl-CS" w:eastAsia="de-DE"/>
        </w:rPr>
        <w:t>У делу VII. Управљање јавн</w:t>
      </w:r>
      <w:r w:rsidR="00740BE6" w:rsidRPr="00221978">
        <w:rPr>
          <w:rFonts w:ascii="Times New Roman" w:hAnsi="Times New Roman" w:cs="Times New Roman"/>
          <w:bCs/>
          <w:color w:val="auto"/>
          <w:lang w:val="sr-Cyrl-CS" w:eastAsia="de-DE"/>
        </w:rPr>
        <w:t>им финансијама</w:t>
      </w:r>
      <w:r w:rsidR="00257073" w:rsidRPr="00221978">
        <w:rPr>
          <w:rFonts w:ascii="Times New Roman" w:hAnsi="Times New Roman" w:cs="Times New Roman"/>
          <w:bCs/>
          <w:color w:val="auto"/>
          <w:lang w:val="sr-Cyrl-CS" w:eastAsia="de-DE"/>
        </w:rPr>
        <w:t xml:space="preserve"> у одељку 1, Анализа стања последњи став мења се и гласи:</w:t>
      </w:r>
    </w:p>
    <w:p w14:paraId="0A64375C" w14:textId="16A2A145" w:rsidR="00257073" w:rsidRPr="00221978" w:rsidRDefault="00257073" w:rsidP="00257073">
      <w:pPr>
        <w:pStyle w:val="Heading3"/>
        <w:spacing w:before="0" w:line="240" w:lineRule="auto"/>
        <w:ind w:left="720"/>
        <w:jc w:val="both"/>
        <w:rPr>
          <w:rFonts w:ascii="Times New Roman" w:hAnsi="Times New Roman" w:cs="Times New Roman"/>
          <w:color w:val="auto"/>
          <w:lang w:val="sr-Cyrl-CS"/>
        </w:rPr>
      </w:pPr>
      <w:r w:rsidRPr="00221978">
        <w:rPr>
          <w:rFonts w:ascii="Times New Roman" w:hAnsi="Times New Roman" w:cs="Times New Roman"/>
          <w:color w:val="auto"/>
          <w:lang w:val="sr-Cyrl-CS"/>
        </w:rPr>
        <w:t>„Пошто је за постизање овог циља израђен хијерархијски нижи документ, тј. ПРУЈФ, ова стратегија неће разрађивати мере које доприносе остваривању тог циља, већ ће описно дати правац деловања на основу којег су утврђени посебни циљеви ПРУЈФ и разрађене мере за њихово остваривање.”</w:t>
      </w:r>
    </w:p>
    <w:p w14:paraId="4EE3A756" w14:textId="777BD94E" w:rsidR="006862BA" w:rsidRPr="00221978" w:rsidRDefault="00257073" w:rsidP="00EF0E62">
      <w:pPr>
        <w:spacing w:after="0"/>
        <w:jc w:val="both"/>
        <w:rPr>
          <w:rFonts w:ascii="Times New Roman" w:hAnsi="Times New Roman" w:cs="Times New Roman"/>
          <w:sz w:val="24"/>
          <w:szCs w:val="24"/>
          <w:lang w:val="sr-Cyrl-CS"/>
        </w:rPr>
      </w:pPr>
      <w:r w:rsidRPr="00221978">
        <w:rPr>
          <w:sz w:val="24"/>
          <w:szCs w:val="24"/>
          <w:lang w:val="sr-Cyrl-CS"/>
        </w:rPr>
        <w:tab/>
      </w:r>
      <w:r w:rsidRPr="00221978">
        <w:rPr>
          <w:rFonts w:ascii="Times New Roman" w:hAnsi="Times New Roman" w:cs="Times New Roman"/>
          <w:sz w:val="24"/>
          <w:szCs w:val="24"/>
          <w:lang w:val="sr-Cyrl-CS"/>
        </w:rPr>
        <w:t xml:space="preserve">У одељку 2. </w:t>
      </w:r>
      <w:r w:rsidRPr="00221978">
        <w:rPr>
          <w:rFonts w:ascii="Times New Roman" w:hAnsi="Times New Roman" w:cs="Times New Roman"/>
          <w:bCs/>
          <w:sz w:val="24"/>
          <w:szCs w:val="24"/>
          <w:lang w:val="sr-Cyrl-CS"/>
        </w:rPr>
        <w:t>„</w:t>
      </w:r>
      <w:r w:rsidRPr="00221978">
        <w:rPr>
          <w:rFonts w:ascii="Times New Roman" w:hAnsi="Times New Roman" w:cs="Times New Roman"/>
          <w:bCs/>
          <w:sz w:val="24"/>
          <w:szCs w:val="24"/>
          <w:lang w:val="sr-Cyrl-CS" w:eastAsia="de-DE"/>
        </w:rPr>
        <w:t xml:space="preserve"> Посебан циљ”</w:t>
      </w:r>
      <w:r w:rsidR="00EF0E62" w:rsidRPr="00221978">
        <w:rPr>
          <w:rFonts w:ascii="Times New Roman" w:hAnsi="Times New Roman" w:cs="Times New Roman"/>
          <w:bCs/>
          <w:sz w:val="24"/>
          <w:szCs w:val="24"/>
          <w:lang w:val="sr-Cyrl-CS" w:eastAsia="de-DE"/>
        </w:rPr>
        <w:t xml:space="preserve"> </w:t>
      </w:r>
      <w:r w:rsidR="00EF0E62" w:rsidRPr="00221978">
        <w:rPr>
          <w:rFonts w:ascii="Times New Roman" w:hAnsi="Times New Roman" w:cs="Times New Roman"/>
          <w:sz w:val="24"/>
          <w:szCs w:val="24"/>
          <w:lang w:val="sr-Cyrl-CS"/>
        </w:rPr>
        <w:t>н</w:t>
      </w:r>
      <w:r w:rsidR="00C33CCC" w:rsidRPr="00221978">
        <w:rPr>
          <w:rFonts w:ascii="Times New Roman" w:hAnsi="Times New Roman" w:cs="Times New Roman"/>
          <w:sz w:val="24"/>
          <w:szCs w:val="24"/>
          <w:lang w:val="sr-Cyrl-CS"/>
        </w:rPr>
        <w:t>азив Посебног циља 1</w:t>
      </w:r>
      <w:r w:rsidR="00824E47" w:rsidRPr="00221978">
        <w:rPr>
          <w:rFonts w:ascii="Times New Roman" w:hAnsi="Times New Roman" w:cs="Times New Roman"/>
          <w:sz w:val="24"/>
          <w:szCs w:val="24"/>
          <w:lang w:val="sr-Cyrl-CS"/>
        </w:rPr>
        <w:t>:</w:t>
      </w:r>
      <w:r w:rsidR="00C33CCC" w:rsidRPr="00221978">
        <w:rPr>
          <w:rFonts w:ascii="Times New Roman" w:hAnsi="Times New Roman" w:cs="Times New Roman"/>
          <w:sz w:val="24"/>
          <w:szCs w:val="24"/>
          <w:lang w:val="sr-Cyrl-CS"/>
        </w:rPr>
        <w:t xml:space="preserve"> </w:t>
      </w:r>
      <w:r w:rsidR="001A4126" w:rsidRPr="00221978">
        <w:rPr>
          <w:rFonts w:ascii="Times New Roman" w:hAnsi="Times New Roman" w:cs="Times New Roman"/>
          <w:sz w:val="24"/>
          <w:szCs w:val="24"/>
          <w:lang w:val="sr-Cyrl-CS"/>
        </w:rPr>
        <w:t xml:space="preserve">„Даље унапређење програмског </w:t>
      </w:r>
      <w:r w:rsidR="00EF0E62" w:rsidRPr="00221978">
        <w:rPr>
          <w:rFonts w:ascii="Times New Roman" w:hAnsi="Times New Roman" w:cs="Times New Roman"/>
          <w:sz w:val="24"/>
          <w:szCs w:val="24"/>
          <w:lang w:val="sr-Cyrl-CS"/>
        </w:rPr>
        <w:tab/>
      </w:r>
      <w:r w:rsidR="001A4126" w:rsidRPr="00221978">
        <w:rPr>
          <w:rFonts w:ascii="Times New Roman" w:hAnsi="Times New Roman" w:cs="Times New Roman"/>
          <w:sz w:val="24"/>
          <w:szCs w:val="24"/>
          <w:lang w:val="sr-Cyrl-CS"/>
        </w:rPr>
        <w:t>буџета и средњорочног планирања на свим нивоима власти</w:t>
      </w:r>
      <w:r w:rsidR="00824E47" w:rsidRPr="00221978">
        <w:rPr>
          <w:rFonts w:ascii="Times New Roman" w:eastAsia="Calibri" w:hAnsi="Times New Roman" w:cs="Times New Roman"/>
          <w:sz w:val="24"/>
          <w:szCs w:val="24"/>
          <w:lang w:val="sr-Cyrl-CS"/>
        </w:rPr>
        <w:t>”</w:t>
      </w:r>
      <w:r w:rsidR="001A4126" w:rsidRPr="00221978">
        <w:rPr>
          <w:rFonts w:ascii="Times New Roman" w:hAnsi="Times New Roman" w:cs="Times New Roman"/>
          <w:sz w:val="24"/>
          <w:szCs w:val="24"/>
          <w:lang w:val="sr-Cyrl-CS"/>
        </w:rPr>
        <w:t xml:space="preserve"> мења се и гласи: </w:t>
      </w:r>
      <w:r w:rsidR="00EF0E62" w:rsidRPr="00221978">
        <w:rPr>
          <w:rFonts w:ascii="Times New Roman" w:hAnsi="Times New Roman" w:cs="Times New Roman"/>
          <w:sz w:val="24"/>
          <w:szCs w:val="24"/>
          <w:lang w:val="sr-Cyrl-CS"/>
        </w:rPr>
        <w:tab/>
      </w:r>
      <w:r w:rsidR="001A4126" w:rsidRPr="00221978">
        <w:rPr>
          <w:rFonts w:ascii="Times New Roman" w:hAnsi="Times New Roman" w:cs="Times New Roman"/>
          <w:sz w:val="24"/>
          <w:szCs w:val="24"/>
          <w:lang w:val="sr-Cyrl-CS"/>
        </w:rPr>
        <w:t>„</w:t>
      </w:r>
      <w:r w:rsidR="005077BE" w:rsidRPr="00221978">
        <w:rPr>
          <w:rFonts w:ascii="Times New Roman" w:hAnsi="Times New Roman" w:cs="Times New Roman"/>
          <w:sz w:val="24"/>
          <w:szCs w:val="24"/>
          <w:lang w:val="sr-Cyrl-CS"/>
        </w:rPr>
        <w:t xml:space="preserve">Унапређени капацитети </w:t>
      </w:r>
      <w:r w:rsidR="005077BE" w:rsidRPr="00221978">
        <w:rPr>
          <w:rFonts w:ascii="Times New Roman" w:eastAsia="Calibri" w:hAnsi="Times New Roman" w:cs="Times New Roman"/>
          <w:sz w:val="24"/>
          <w:szCs w:val="24"/>
          <w:lang w:val="sr-Cyrl-CS"/>
        </w:rPr>
        <w:t xml:space="preserve">за буџетско планирање и управљање јавним инвестицијама </w:t>
      </w:r>
      <w:r w:rsidR="00EF0E62" w:rsidRPr="00221978">
        <w:rPr>
          <w:rFonts w:ascii="Times New Roman" w:eastAsia="Calibri" w:hAnsi="Times New Roman" w:cs="Times New Roman"/>
          <w:sz w:val="24"/>
          <w:szCs w:val="24"/>
          <w:lang w:val="sr-Cyrl-CS"/>
        </w:rPr>
        <w:tab/>
      </w:r>
      <w:r w:rsidR="005077BE" w:rsidRPr="00221978">
        <w:rPr>
          <w:rFonts w:ascii="Times New Roman" w:eastAsia="Calibri" w:hAnsi="Times New Roman" w:cs="Times New Roman"/>
          <w:sz w:val="24"/>
          <w:szCs w:val="24"/>
          <w:lang w:val="sr-Cyrl-CS"/>
        </w:rPr>
        <w:t>и праћење фискалних ризика</w:t>
      </w:r>
      <w:r w:rsidR="0015418F" w:rsidRPr="00221978">
        <w:rPr>
          <w:rFonts w:ascii="Times New Roman" w:eastAsia="Calibri" w:hAnsi="Times New Roman" w:cs="Times New Roman"/>
          <w:sz w:val="24"/>
          <w:szCs w:val="24"/>
          <w:lang w:val="sr-Cyrl-CS"/>
        </w:rPr>
        <w:t>.</w:t>
      </w:r>
      <w:r w:rsidR="00824E47" w:rsidRPr="00221978">
        <w:rPr>
          <w:rFonts w:ascii="Times New Roman" w:eastAsia="Calibri" w:hAnsi="Times New Roman" w:cs="Times New Roman"/>
          <w:sz w:val="24"/>
          <w:szCs w:val="24"/>
          <w:lang w:val="sr-Cyrl-CS"/>
        </w:rPr>
        <w:t>”</w:t>
      </w:r>
    </w:p>
    <w:p w14:paraId="435D9E38" w14:textId="761FD9DD" w:rsidR="005077BE" w:rsidRPr="00221978" w:rsidRDefault="001A4126" w:rsidP="00007AEC">
      <w:pPr>
        <w:suppressAutoHyphens/>
        <w:autoSpaceDN w:val="0"/>
        <w:spacing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Назив </w:t>
      </w:r>
      <w:r w:rsidR="005077BE" w:rsidRPr="00221978">
        <w:rPr>
          <w:rFonts w:ascii="Times New Roman" w:hAnsi="Times New Roman" w:cs="Times New Roman"/>
          <w:sz w:val="24"/>
          <w:szCs w:val="24"/>
          <w:lang w:val="sr-Cyrl-CS"/>
        </w:rPr>
        <w:t>Посебно</w:t>
      </w:r>
      <w:r w:rsidRPr="00221978">
        <w:rPr>
          <w:rFonts w:ascii="Times New Roman" w:hAnsi="Times New Roman" w:cs="Times New Roman"/>
          <w:sz w:val="24"/>
          <w:szCs w:val="24"/>
          <w:lang w:val="sr-Cyrl-CS"/>
        </w:rPr>
        <w:t>г</w:t>
      </w:r>
      <w:r w:rsidR="005077BE" w:rsidRPr="00221978">
        <w:rPr>
          <w:rFonts w:ascii="Times New Roman" w:hAnsi="Times New Roman" w:cs="Times New Roman"/>
          <w:sz w:val="24"/>
          <w:szCs w:val="24"/>
          <w:lang w:val="sr-Cyrl-CS"/>
        </w:rPr>
        <w:t xml:space="preserve"> циљ</w:t>
      </w:r>
      <w:r w:rsidRPr="00221978">
        <w:rPr>
          <w:rFonts w:ascii="Times New Roman" w:hAnsi="Times New Roman" w:cs="Times New Roman"/>
          <w:sz w:val="24"/>
          <w:szCs w:val="24"/>
          <w:lang w:val="sr-Cyrl-CS"/>
        </w:rPr>
        <w:t>а</w:t>
      </w:r>
      <w:r w:rsidR="00824E47" w:rsidRPr="00221978">
        <w:rPr>
          <w:rFonts w:ascii="Times New Roman" w:hAnsi="Times New Roman" w:cs="Times New Roman"/>
          <w:sz w:val="24"/>
          <w:szCs w:val="24"/>
          <w:lang w:val="sr-Cyrl-CS"/>
        </w:rPr>
        <w:t xml:space="preserve"> 4:</w:t>
      </w:r>
      <w:r w:rsidR="005077BE"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w:t>
      </w:r>
      <w:r w:rsidR="005077BE" w:rsidRPr="00221978">
        <w:rPr>
          <w:rFonts w:ascii="Times New Roman" w:hAnsi="Times New Roman" w:cs="Times New Roman"/>
          <w:bCs/>
          <w:sz w:val="24"/>
          <w:szCs w:val="24"/>
          <w:lang w:val="sr-Cyrl-CS"/>
        </w:rPr>
        <w:t>Унапређење система интерне финансијске контроле у јавном сектору</w:t>
      </w:r>
      <w:r w:rsidR="00824E47" w:rsidRPr="00221978">
        <w:rPr>
          <w:rFonts w:ascii="Times New Roman" w:hAnsi="Times New Roman" w:cs="Times New Roman"/>
          <w:bCs/>
          <w:sz w:val="24"/>
          <w:szCs w:val="24"/>
          <w:lang w:val="sr-Cyrl-CS"/>
        </w:rPr>
        <w:t>”</w:t>
      </w:r>
      <w:r w:rsidR="005077BE" w:rsidRPr="00221978">
        <w:rPr>
          <w:rFonts w:ascii="Times New Roman" w:hAnsi="Times New Roman" w:cs="Times New Roman"/>
          <w:bCs/>
          <w:sz w:val="24"/>
          <w:szCs w:val="24"/>
          <w:lang w:val="sr-Cyrl-CS"/>
        </w:rPr>
        <w:t xml:space="preserve"> </w:t>
      </w:r>
      <w:r w:rsidR="00007AEC" w:rsidRPr="00221978">
        <w:rPr>
          <w:rFonts w:ascii="Times New Roman" w:hAnsi="Times New Roman" w:cs="Times New Roman"/>
          <w:bCs/>
          <w:sz w:val="24"/>
          <w:szCs w:val="24"/>
          <w:lang w:val="sr-Cyrl-CS"/>
        </w:rPr>
        <w:t>мења се и</w:t>
      </w:r>
      <w:r w:rsidR="005077BE" w:rsidRPr="00221978">
        <w:rPr>
          <w:rFonts w:ascii="Times New Roman" w:hAnsi="Times New Roman" w:cs="Times New Roman"/>
          <w:bCs/>
          <w:sz w:val="24"/>
          <w:szCs w:val="24"/>
          <w:lang w:val="sr-Cyrl-CS"/>
        </w:rPr>
        <w:t xml:space="preserve"> гласи: </w:t>
      </w:r>
      <w:r w:rsidRPr="00221978">
        <w:rPr>
          <w:rFonts w:ascii="Times New Roman" w:hAnsi="Times New Roman" w:cs="Times New Roman"/>
          <w:bCs/>
          <w:sz w:val="24"/>
          <w:szCs w:val="24"/>
          <w:lang w:val="sr-Cyrl-CS"/>
        </w:rPr>
        <w:t>„</w:t>
      </w:r>
      <w:r w:rsidR="005077BE" w:rsidRPr="00221978">
        <w:rPr>
          <w:rFonts w:ascii="Times New Roman" w:hAnsi="Times New Roman" w:cs="Times New Roman"/>
          <w:bCs/>
          <w:sz w:val="24"/>
          <w:szCs w:val="24"/>
          <w:lang w:val="sr-Cyrl-CS"/>
        </w:rPr>
        <w:t>Унапређење примене система интерне финансијске контроле у јавном сектору</w:t>
      </w:r>
      <w:r w:rsidRPr="00221978">
        <w:rPr>
          <w:rFonts w:ascii="Times New Roman" w:hAnsi="Times New Roman" w:cs="Times New Roman"/>
          <w:bCs/>
          <w:sz w:val="24"/>
          <w:szCs w:val="24"/>
          <w:lang w:val="sr-Cyrl-CS"/>
        </w:rPr>
        <w:t>.</w:t>
      </w:r>
      <w:r w:rsidR="009B73BA" w:rsidRPr="00221978">
        <w:rPr>
          <w:rFonts w:ascii="Times New Roman" w:hAnsi="Times New Roman" w:cs="Times New Roman"/>
          <w:bCs/>
          <w:sz w:val="24"/>
          <w:szCs w:val="24"/>
          <w:lang w:val="sr-Cyrl-CS"/>
        </w:rPr>
        <w:t xml:space="preserve">”    </w:t>
      </w:r>
    </w:p>
    <w:p w14:paraId="190FD9C0" w14:textId="0133F665" w:rsidR="005077BE" w:rsidRPr="00221978" w:rsidRDefault="00077D00" w:rsidP="00007AEC">
      <w:pPr>
        <w:suppressAutoHyphens/>
        <w:autoSpaceDN w:val="0"/>
        <w:spacing w:after="0" w:line="240" w:lineRule="auto"/>
        <w:ind w:left="720"/>
        <w:jc w:val="both"/>
        <w:textAlignment w:val="baseline"/>
        <w:rPr>
          <w:rFonts w:ascii="Times New Roman" w:hAnsi="Times New Roman" w:cs="Times New Roman"/>
          <w:bCs/>
          <w:sz w:val="24"/>
          <w:szCs w:val="24"/>
          <w:lang w:val="sr-Cyrl-CS"/>
        </w:rPr>
      </w:pPr>
      <w:r w:rsidRPr="00221978">
        <w:rPr>
          <w:rFonts w:ascii="Times New Roman" w:hAnsi="Times New Roman" w:cs="Times New Roman"/>
          <w:sz w:val="24"/>
          <w:szCs w:val="24"/>
          <w:lang w:val="sr-Cyrl-CS"/>
        </w:rPr>
        <w:t xml:space="preserve">Назив </w:t>
      </w:r>
      <w:r w:rsidR="005077BE" w:rsidRPr="00221978">
        <w:rPr>
          <w:rFonts w:ascii="Times New Roman" w:hAnsi="Times New Roman" w:cs="Times New Roman"/>
          <w:sz w:val="24"/>
          <w:szCs w:val="24"/>
          <w:lang w:val="sr-Cyrl-CS"/>
        </w:rPr>
        <w:t>Посебно</w:t>
      </w:r>
      <w:r w:rsidRPr="00221978">
        <w:rPr>
          <w:rFonts w:ascii="Times New Roman" w:hAnsi="Times New Roman" w:cs="Times New Roman"/>
          <w:sz w:val="24"/>
          <w:szCs w:val="24"/>
          <w:lang w:val="sr-Cyrl-CS"/>
        </w:rPr>
        <w:t>г</w:t>
      </w:r>
      <w:r w:rsidR="005077BE" w:rsidRPr="00221978">
        <w:rPr>
          <w:rFonts w:ascii="Times New Roman" w:hAnsi="Times New Roman" w:cs="Times New Roman"/>
          <w:sz w:val="24"/>
          <w:szCs w:val="24"/>
          <w:lang w:val="sr-Cyrl-CS"/>
        </w:rPr>
        <w:t xml:space="preserve"> циљ</w:t>
      </w:r>
      <w:r w:rsidRPr="00221978">
        <w:rPr>
          <w:rFonts w:ascii="Times New Roman" w:hAnsi="Times New Roman" w:cs="Times New Roman"/>
          <w:sz w:val="24"/>
          <w:szCs w:val="24"/>
          <w:lang w:val="sr-Cyrl-CS"/>
        </w:rPr>
        <w:t>а</w:t>
      </w:r>
      <w:r w:rsidR="005077BE" w:rsidRPr="00221978">
        <w:rPr>
          <w:rFonts w:ascii="Times New Roman" w:hAnsi="Times New Roman" w:cs="Times New Roman"/>
          <w:sz w:val="24"/>
          <w:szCs w:val="24"/>
          <w:lang w:val="sr-Cyrl-CS"/>
        </w:rPr>
        <w:t xml:space="preserve"> 5: </w:t>
      </w:r>
      <w:r w:rsidRPr="00221978">
        <w:rPr>
          <w:rFonts w:ascii="Times New Roman" w:hAnsi="Times New Roman" w:cs="Times New Roman"/>
          <w:sz w:val="24"/>
          <w:szCs w:val="24"/>
          <w:lang w:val="sr-Cyrl-CS"/>
        </w:rPr>
        <w:t>„</w:t>
      </w:r>
      <w:r w:rsidR="005077BE" w:rsidRPr="00221978">
        <w:rPr>
          <w:rFonts w:ascii="Times New Roman" w:hAnsi="Times New Roman" w:cs="Times New Roman"/>
          <w:sz w:val="24"/>
          <w:szCs w:val="24"/>
          <w:lang w:val="sr-Cyrl-CS"/>
        </w:rPr>
        <w:t>Унапређење рачуноводства и рачуноводствених стандарда сада</w:t>
      </w:r>
      <w:r w:rsidR="00824E47"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 xml:space="preserve"> мења се и </w:t>
      </w:r>
      <w:r w:rsidR="005077BE" w:rsidRPr="00221978">
        <w:rPr>
          <w:rFonts w:ascii="Times New Roman" w:hAnsi="Times New Roman" w:cs="Times New Roman"/>
          <w:sz w:val="24"/>
          <w:szCs w:val="24"/>
          <w:lang w:val="sr-Cyrl-CS"/>
        </w:rPr>
        <w:t xml:space="preserve">гласи: </w:t>
      </w:r>
      <w:r w:rsidRPr="00221978">
        <w:rPr>
          <w:rFonts w:ascii="Times New Roman" w:hAnsi="Times New Roman" w:cs="Times New Roman"/>
          <w:sz w:val="24"/>
          <w:szCs w:val="24"/>
          <w:lang w:val="sr-Cyrl-CS"/>
        </w:rPr>
        <w:t>„</w:t>
      </w:r>
      <w:r w:rsidR="005077BE" w:rsidRPr="00221978">
        <w:rPr>
          <w:rFonts w:ascii="Times New Roman" w:hAnsi="Times New Roman" w:cs="Times New Roman"/>
          <w:bCs/>
          <w:sz w:val="24"/>
          <w:szCs w:val="24"/>
          <w:lang w:val="sr-Cyrl-CS"/>
        </w:rPr>
        <w:t>Унапређено рачуноводство у јавном сектору применом међународних</w:t>
      </w:r>
      <w:r w:rsidR="007E1F17" w:rsidRPr="00221978">
        <w:rPr>
          <w:rFonts w:ascii="Times New Roman" w:hAnsi="Times New Roman" w:cs="Times New Roman"/>
          <w:bCs/>
          <w:sz w:val="24"/>
          <w:szCs w:val="24"/>
          <w:lang w:val="sr-Cyrl-CS"/>
        </w:rPr>
        <w:t xml:space="preserve"> </w:t>
      </w:r>
      <w:r w:rsidR="005077BE" w:rsidRPr="00221978">
        <w:rPr>
          <w:rFonts w:ascii="Times New Roman" w:hAnsi="Times New Roman" w:cs="Times New Roman"/>
          <w:bCs/>
          <w:sz w:val="24"/>
          <w:szCs w:val="24"/>
          <w:lang w:val="sr-Cyrl-CS"/>
        </w:rPr>
        <w:t>рачуноводствених стандарда</w:t>
      </w:r>
      <w:r w:rsidR="005077BE" w:rsidRPr="00221978">
        <w:rPr>
          <w:rFonts w:ascii="Times New Roman" w:eastAsia="Calibri" w:hAnsi="Times New Roman" w:cs="Times New Roman"/>
          <w:sz w:val="24"/>
          <w:szCs w:val="24"/>
          <w:lang w:val="sr-Cyrl-CS"/>
        </w:rPr>
        <w:t xml:space="preserve"> за јавни сектор (</w:t>
      </w:r>
      <w:r w:rsidR="005077BE" w:rsidRPr="00221978">
        <w:rPr>
          <w:rFonts w:ascii="Times New Roman" w:eastAsia="Calibri" w:hAnsi="Times New Roman" w:cs="Times New Roman"/>
          <w:i/>
          <w:iCs/>
          <w:sz w:val="24"/>
          <w:szCs w:val="24"/>
          <w:lang w:val="sr-Cyrl-CS"/>
        </w:rPr>
        <w:t>IPSAS</w:t>
      </w:r>
      <w:r w:rsidR="005077BE" w:rsidRPr="00221978">
        <w:rPr>
          <w:rFonts w:ascii="Times New Roman" w:eastAsia="Calibri" w:hAnsi="Times New Roman" w:cs="Times New Roman"/>
          <w:sz w:val="24"/>
          <w:szCs w:val="24"/>
          <w:lang w:val="sr-Cyrl-CS"/>
        </w:rPr>
        <w:t>)</w:t>
      </w:r>
      <w:r w:rsidRPr="00221978">
        <w:rPr>
          <w:rFonts w:ascii="Times New Roman" w:hAnsi="Times New Roman" w:cs="Times New Roman"/>
          <w:bCs/>
          <w:sz w:val="24"/>
          <w:szCs w:val="24"/>
          <w:lang w:val="sr-Cyrl-CS"/>
        </w:rPr>
        <w:t>.</w:t>
      </w:r>
      <w:r w:rsidR="009B73BA" w:rsidRPr="00221978">
        <w:rPr>
          <w:rFonts w:ascii="Times New Roman" w:hAnsi="Times New Roman" w:cs="Times New Roman"/>
          <w:bCs/>
          <w:sz w:val="24"/>
          <w:szCs w:val="24"/>
          <w:lang w:val="sr-Cyrl-CS"/>
        </w:rPr>
        <w:t xml:space="preserve">”    </w:t>
      </w:r>
    </w:p>
    <w:p w14:paraId="569A3B1C" w14:textId="77777777" w:rsidR="00845897" w:rsidRPr="00221978" w:rsidRDefault="00845897" w:rsidP="006862BA">
      <w:pPr>
        <w:suppressAutoHyphens/>
        <w:autoSpaceDN w:val="0"/>
        <w:spacing w:after="0" w:line="240" w:lineRule="auto"/>
        <w:jc w:val="both"/>
        <w:textAlignment w:val="baseline"/>
        <w:rPr>
          <w:rFonts w:ascii="Times New Roman" w:hAnsi="Times New Roman" w:cs="Times New Roman"/>
          <w:bCs/>
          <w:sz w:val="24"/>
          <w:szCs w:val="24"/>
          <w:lang w:val="sr-Cyrl-CS"/>
        </w:rPr>
      </w:pPr>
    </w:p>
    <w:p w14:paraId="4440B593" w14:textId="3F040471" w:rsidR="00845897" w:rsidRPr="00221978" w:rsidRDefault="00845897" w:rsidP="00845897">
      <w:pPr>
        <w:pStyle w:val="ListParagraph"/>
        <w:numPr>
          <w:ilvl w:val="0"/>
          <w:numId w:val="2"/>
        </w:numPr>
        <w:jc w:val="both"/>
        <w:rPr>
          <w:rFonts w:ascii="Times New Roman" w:hAnsi="Times New Roman" w:cs="Times New Roman"/>
          <w:sz w:val="24"/>
          <w:szCs w:val="24"/>
          <w:lang w:val="sr-Cyrl-CS"/>
        </w:rPr>
      </w:pPr>
      <w:bookmarkStart w:id="6" w:name="_Hlk92703866"/>
      <w:r w:rsidRPr="00221978">
        <w:rPr>
          <w:rFonts w:ascii="Times New Roman" w:hAnsi="Times New Roman" w:cs="Times New Roman"/>
          <w:sz w:val="24"/>
          <w:szCs w:val="24"/>
          <w:lang w:val="sr-Cyrl-CS"/>
        </w:rPr>
        <w:t>У</w:t>
      </w:r>
      <w:r w:rsidR="00E14E9D" w:rsidRPr="00221978">
        <w:rPr>
          <w:rFonts w:ascii="Times New Roman" w:hAnsi="Times New Roman" w:cs="Times New Roman"/>
          <w:sz w:val="24"/>
          <w:szCs w:val="24"/>
          <w:lang w:val="sr-Cyrl-CS"/>
        </w:rPr>
        <w:t xml:space="preserve"> делу VII. </w:t>
      </w:r>
      <w:r w:rsidRPr="00221978">
        <w:rPr>
          <w:rFonts w:ascii="Times New Roman" w:hAnsi="Times New Roman" w:cs="Times New Roman"/>
          <w:sz w:val="24"/>
          <w:szCs w:val="24"/>
          <w:lang w:val="sr-Cyrl-CS"/>
        </w:rPr>
        <w:t>Управљања јавним финансијама, Посебан циљ,</w:t>
      </w:r>
      <w:bookmarkEnd w:id="6"/>
      <w:r w:rsidRPr="00221978">
        <w:rPr>
          <w:rFonts w:ascii="Times New Roman" w:hAnsi="Times New Roman" w:cs="Times New Roman"/>
          <w:sz w:val="24"/>
          <w:szCs w:val="24"/>
          <w:lang w:val="sr-Cyrl-CS"/>
        </w:rPr>
        <w:t xml:space="preserve"> мења се назив посебног циља 7. и гласи:</w:t>
      </w:r>
    </w:p>
    <w:p w14:paraId="01829A61" w14:textId="359E1FC8" w:rsidR="00845897" w:rsidRPr="00221978" w:rsidRDefault="00845897" w:rsidP="00007AEC">
      <w:pPr>
        <w:ind w:left="720"/>
        <w:jc w:val="both"/>
        <w:rPr>
          <w:rFonts w:ascii="Times New Roman" w:hAnsi="Times New Roman" w:cs="Times New Roman"/>
          <w:sz w:val="24"/>
          <w:szCs w:val="24"/>
          <w:lang w:val="sr-Cyrl-CS" w:eastAsia="de-DE"/>
        </w:rPr>
      </w:pPr>
      <w:r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eastAsia="de-DE"/>
        </w:rPr>
        <w:t>Остваривање одрживог буџета са стабилним јавним дугом у односу на БДП уз помоћ бољег финансијског управљања и контроле, процеса ревизије и повезивања буџетског планирања са политикама  Владе.</w:t>
      </w:r>
      <w:r w:rsidR="009B73BA" w:rsidRPr="00221978">
        <w:rPr>
          <w:rFonts w:ascii="Times New Roman" w:hAnsi="Times New Roman" w:cs="Times New Roman"/>
          <w:sz w:val="24"/>
          <w:szCs w:val="24"/>
          <w:lang w:val="sr-Cyrl-CS" w:eastAsia="de-DE"/>
        </w:rPr>
        <w:t xml:space="preserve">”    </w:t>
      </w:r>
    </w:p>
    <w:p w14:paraId="0A6923C7" w14:textId="554FAD85" w:rsidR="00845897" w:rsidRPr="00221978" w:rsidRDefault="00845897" w:rsidP="00845897">
      <w:pPr>
        <w:pStyle w:val="ListParagraph"/>
        <w:numPr>
          <w:ilvl w:val="0"/>
          <w:numId w:val="2"/>
        </w:numPr>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E14E9D" w:rsidRPr="00221978">
        <w:rPr>
          <w:rFonts w:ascii="Times New Roman" w:hAnsi="Times New Roman" w:cs="Times New Roman"/>
          <w:sz w:val="24"/>
          <w:szCs w:val="24"/>
          <w:lang w:val="sr-Cyrl-CS"/>
        </w:rPr>
        <w:t xml:space="preserve">делу VII. </w:t>
      </w:r>
      <w:r w:rsidRPr="00221978">
        <w:rPr>
          <w:rFonts w:ascii="Times New Roman" w:hAnsi="Times New Roman" w:cs="Times New Roman"/>
          <w:sz w:val="24"/>
          <w:szCs w:val="24"/>
          <w:lang w:val="sr-Cyrl-CS"/>
        </w:rPr>
        <w:t xml:space="preserve"> Управљања јавним финансијама, Посебан циљ, </w:t>
      </w:r>
      <w:r w:rsidR="002A07C0" w:rsidRPr="00221978">
        <w:rPr>
          <w:rFonts w:ascii="Times New Roman" w:hAnsi="Times New Roman" w:cs="Times New Roman"/>
          <w:sz w:val="24"/>
          <w:szCs w:val="24"/>
          <w:lang w:val="sr-Cyrl-CS"/>
        </w:rPr>
        <w:t>други</w:t>
      </w:r>
      <w:r w:rsidRPr="00221978">
        <w:rPr>
          <w:rFonts w:ascii="Times New Roman" w:hAnsi="Times New Roman" w:cs="Times New Roman"/>
          <w:sz w:val="24"/>
          <w:szCs w:val="24"/>
          <w:lang w:val="sr-Cyrl-CS"/>
        </w:rPr>
        <w:t xml:space="preserve"> ред табеле</w:t>
      </w:r>
      <w:r w:rsidR="00E14E9D" w:rsidRPr="00221978">
        <w:rPr>
          <w:rFonts w:ascii="Times New Roman" w:hAnsi="Times New Roman" w:cs="Times New Roman"/>
          <w:sz w:val="24"/>
          <w:szCs w:val="24"/>
          <w:lang w:val="sr-Cyrl-CS"/>
        </w:rPr>
        <w:t xml:space="preserve"> мења се</w:t>
      </w:r>
      <w:r w:rsidR="00150EE5"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и гласи:</w:t>
      </w:r>
    </w:p>
    <w:p w14:paraId="24141B35" w14:textId="1FA99C71" w:rsidR="002A07C0" w:rsidRPr="00221978" w:rsidRDefault="002A07C0" w:rsidP="002A07C0">
      <w:pPr>
        <w:pStyle w:val="ListParagraph"/>
        <w:jc w:val="both"/>
        <w:rPr>
          <w:rFonts w:ascii="Times New Roman" w:hAnsi="Times New Roman" w:cs="Times New Roman"/>
          <w:sz w:val="24"/>
          <w:szCs w:val="24"/>
          <w:lang w:val="sr-Cyrl-CS"/>
        </w:rPr>
      </w:pPr>
      <w:r w:rsidRPr="00221978">
        <w:rPr>
          <w:rFonts w:ascii="Times New Roman" w:eastAsia="Times New Roman" w:hAnsi="Times New Roman" w:cs="Times New Roman"/>
          <w:lang w:val="sr-Cyrl-CS" w:eastAsia="ar-SA"/>
        </w:rPr>
        <w:t>„</w:t>
      </w:r>
    </w:p>
    <w:tbl>
      <w:tblPr>
        <w:tblW w:w="5000" w:type="pct"/>
        <w:shd w:val="clear" w:color="auto" w:fill="E7E6E6"/>
        <w:tblLook w:val="00A0" w:firstRow="1" w:lastRow="0" w:firstColumn="1" w:lastColumn="0" w:noHBand="0" w:noVBand="0"/>
      </w:tblPr>
      <w:tblGrid>
        <w:gridCol w:w="5246"/>
        <w:gridCol w:w="2057"/>
        <w:gridCol w:w="2057"/>
      </w:tblGrid>
      <w:tr w:rsidR="00845897" w:rsidRPr="00221978" w14:paraId="0896393E" w14:textId="77777777" w:rsidTr="002A07C0">
        <w:trPr>
          <w:trHeight w:val="381"/>
        </w:trPr>
        <w:tc>
          <w:tcPr>
            <w:tcW w:w="2801" w:type="pct"/>
            <w:tcBorders>
              <w:top w:val="single" w:sz="18" w:space="0" w:color="FFFFFF"/>
              <w:left w:val="nil"/>
              <w:bottom w:val="single" w:sz="18" w:space="0" w:color="FFFFFF"/>
              <w:right w:val="single" w:sz="18" w:space="0" w:color="FFFFFF"/>
            </w:tcBorders>
            <w:shd w:val="clear" w:color="auto" w:fill="F2F2F2"/>
          </w:tcPr>
          <w:p w14:paraId="7E8E4708" w14:textId="77777777" w:rsidR="00845897" w:rsidRPr="00221978" w:rsidRDefault="00845897" w:rsidP="00D37E18">
            <w:pPr>
              <w:spacing w:before="60"/>
              <w:rPr>
                <w:rFonts w:ascii="Times New Roman" w:hAnsi="Times New Roman" w:cs="Times New Roman"/>
                <w:sz w:val="24"/>
                <w:szCs w:val="24"/>
                <w:lang w:val="sr-Cyrl-CS"/>
              </w:rPr>
            </w:pPr>
            <w:r w:rsidRPr="00221978">
              <w:rPr>
                <w:rFonts w:ascii="Times New Roman" w:hAnsi="Times New Roman" w:cs="Times New Roman"/>
                <w:sz w:val="24"/>
                <w:szCs w:val="24"/>
                <w:lang w:val="sr-Cyrl-CS"/>
              </w:rPr>
              <w:t>Ниво дуга опште државе у БДП-у</w:t>
            </w:r>
          </w:p>
        </w:tc>
        <w:tc>
          <w:tcPr>
            <w:tcW w:w="1099" w:type="pct"/>
            <w:tcBorders>
              <w:top w:val="single" w:sz="18" w:space="0" w:color="FFFFFF"/>
              <w:left w:val="single" w:sz="18" w:space="0" w:color="FFFFFF"/>
              <w:bottom w:val="single" w:sz="18" w:space="0" w:color="FFFFFF"/>
              <w:right w:val="single" w:sz="18" w:space="0" w:color="FFFFFF"/>
            </w:tcBorders>
            <w:shd w:val="clear" w:color="auto" w:fill="F2F2F2"/>
          </w:tcPr>
          <w:p w14:paraId="3347FD06" w14:textId="77777777" w:rsidR="00845897" w:rsidRPr="00221978" w:rsidRDefault="00845897" w:rsidP="00D37E18">
            <w:pPr>
              <w:spacing w:before="60"/>
              <w:rPr>
                <w:rFonts w:ascii="Times New Roman" w:hAnsi="Times New Roman" w:cs="Times New Roman"/>
                <w:sz w:val="24"/>
                <w:szCs w:val="24"/>
                <w:lang w:val="sr-Cyrl-CS"/>
              </w:rPr>
            </w:pPr>
            <w:r w:rsidRPr="00221978">
              <w:rPr>
                <w:rFonts w:ascii="Times New Roman" w:hAnsi="Times New Roman" w:cs="Times New Roman"/>
                <w:sz w:val="24"/>
                <w:szCs w:val="24"/>
                <w:lang w:val="sr-Cyrl-CS"/>
              </w:rPr>
              <w:t>(2020): 59%</w:t>
            </w:r>
          </w:p>
        </w:tc>
        <w:tc>
          <w:tcPr>
            <w:tcW w:w="1099" w:type="pct"/>
            <w:tcBorders>
              <w:top w:val="single" w:sz="18" w:space="0" w:color="FFFFFF"/>
              <w:left w:val="single" w:sz="18" w:space="0" w:color="FFFFFF"/>
              <w:bottom w:val="single" w:sz="18" w:space="0" w:color="FFFFFF"/>
            </w:tcBorders>
            <w:shd w:val="clear" w:color="auto" w:fill="F2F2F2"/>
          </w:tcPr>
          <w:p w14:paraId="6BC29BD4" w14:textId="77777777" w:rsidR="00845897" w:rsidRPr="00221978" w:rsidRDefault="00845897" w:rsidP="00D37E18">
            <w:pPr>
              <w:spacing w:before="60"/>
              <w:rPr>
                <w:rFonts w:ascii="Times New Roman" w:hAnsi="Times New Roman" w:cs="Times New Roman"/>
                <w:sz w:val="24"/>
                <w:szCs w:val="24"/>
                <w:lang w:val="sr-Cyrl-CS"/>
              </w:rPr>
            </w:pPr>
            <w:r w:rsidRPr="00221978">
              <w:rPr>
                <w:rFonts w:ascii="Times New Roman" w:hAnsi="Times New Roman" w:cs="Times New Roman"/>
                <w:sz w:val="24"/>
                <w:szCs w:val="24"/>
                <w:lang w:val="sr-Cyrl-CS"/>
              </w:rPr>
              <w:t>(2021): 58.7%</w:t>
            </w:r>
          </w:p>
          <w:p w14:paraId="23E10D40" w14:textId="77777777" w:rsidR="00845897" w:rsidRPr="00221978" w:rsidRDefault="00845897" w:rsidP="00D37E18">
            <w:pPr>
              <w:spacing w:before="60"/>
              <w:rPr>
                <w:rFonts w:ascii="Times New Roman" w:hAnsi="Times New Roman" w:cs="Times New Roman"/>
                <w:sz w:val="24"/>
                <w:szCs w:val="24"/>
                <w:lang w:val="sr-Cyrl-CS"/>
              </w:rPr>
            </w:pPr>
            <w:r w:rsidRPr="00221978">
              <w:rPr>
                <w:rFonts w:ascii="Times New Roman" w:hAnsi="Times New Roman" w:cs="Times New Roman"/>
                <w:sz w:val="24"/>
                <w:szCs w:val="24"/>
                <w:lang w:val="sr-Cyrl-CS"/>
              </w:rPr>
              <w:t>(2022): 57.9%</w:t>
            </w:r>
          </w:p>
          <w:p w14:paraId="0BC62632" w14:textId="77777777" w:rsidR="00845897" w:rsidRPr="00221978" w:rsidRDefault="00845897" w:rsidP="00D37E18">
            <w:pPr>
              <w:spacing w:before="60"/>
              <w:rPr>
                <w:rFonts w:ascii="Times New Roman" w:hAnsi="Times New Roman" w:cs="Times New Roman"/>
                <w:sz w:val="24"/>
                <w:szCs w:val="24"/>
                <w:lang w:val="sr-Cyrl-CS"/>
              </w:rPr>
            </w:pPr>
            <w:r w:rsidRPr="00221978">
              <w:rPr>
                <w:rFonts w:ascii="Times New Roman" w:hAnsi="Times New Roman" w:cs="Times New Roman"/>
                <w:sz w:val="24"/>
                <w:szCs w:val="24"/>
                <w:lang w:val="sr-Cyrl-CS"/>
              </w:rPr>
              <w:t>(2023): 56%</w:t>
            </w:r>
          </w:p>
          <w:p w14:paraId="4BB40CC0" w14:textId="77777777" w:rsidR="00845897" w:rsidRPr="00221978" w:rsidRDefault="00845897" w:rsidP="00D37E18">
            <w:pPr>
              <w:spacing w:before="60"/>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(2024): </w:t>
            </w:r>
          </w:p>
          <w:p w14:paraId="555A119E" w14:textId="77777777" w:rsidR="00845897" w:rsidRPr="00221978" w:rsidRDefault="00845897" w:rsidP="00D37E18">
            <w:pPr>
              <w:spacing w:before="60"/>
              <w:rPr>
                <w:rFonts w:ascii="Times New Roman" w:hAnsi="Times New Roman" w:cs="Times New Roman"/>
                <w:sz w:val="24"/>
                <w:szCs w:val="24"/>
                <w:lang w:val="sr-Cyrl-CS"/>
              </w:rPr>
            </w:pPr>
            <w:r w:rsidRPr="00221978">
              <w:rPr>
                <w:rFonts w:ascii="Times New Roman" w:hAnsi="Times New Roman" w:cs="Times New Roman"/>
                <w:sz w:val="24"/>
                <w:szCs w:val="24"/>
                <w:lang w:val="sr-Cyrl-CS"/>
              </w:rPr>
              <w:t>(2025): -</w:t>
            </w:r>
          </w:p>
          <w:p w14:paraId="7B62BB81" w14:textId="77777777" w:rsidR="00845897" w:rsidRPr="00221978" w:rsidRDefault="00845897" w:rsidP="00D37E18">
            <w:pPr>
              <w:spacing w:before="60"/>
              <w:rPr>
                <w:rFonts w:ascii="Times New Roman" w:hAnsi="Times New Roman" w:cs="Times New Roman"/>
                <w:sz w:val="24"/>
                <w:szCs w:val="24"/>
                <w:lang w:val="sr-Cyrl-CS"/>
              </w:rPr>
            </w:pPr>
            <w:r w:rsidRPr="00221978">
              <w:rPr>
                <w:rFonts w:ascii="Times New Roman" w:hAnsi="Times New Roman" w:cs="Times New Roman"/>
                <w:sz w:val="24"/>
                <w:szCs w:val="24"/>
                <w:lang w:val="sr-Cyrl-CS"/>
              </w:rPr>
              <w:t>(2027): -</w:t>
            </w:r>
          </w:p>
          <w:p w14:paraId="15C02D4A" w14:textId="77777777" w:rsidR="00845897" w:rsidRPr="00221978" w:rsidRDefault="00845897" w:rsidP="00D37E18">
            <w:pPr>
              <w:spacing w:before="60"/>
              <w:rPr>
                <w:rFonts w:ascii="Times New Roman" w:hAnsi="Times New Roman" w:cs="Times New Roman"/>
                <w:sz w:val="24"/>
                <w:szCs w:val="24"/>
                <w:lang w:val="sr-Cyrl-CS"/>
              </w:rPr>
            </w:pPr>
            <w:r w:rsidRPr="00221978">
              <w:rPr>
                <w:rFonts w:ascii="Times New Roman" w:hAnsi="Times New Roman" w:cs="Times New Roman"/>
                <w:sz w:val="24"/>
                <w:szCs w:val="24"/>
                <w:lang w:val="sr-Cyrl-CS"/>
              </w:rPr>
              <w:t>(2030): -</w:t>
            </w:r>
          </w:p>
        </w:tc>
      </w:tr>
    </w:tbl>
    <w:p w14:paraId="061EAC56" w14:textId="079BB49D" w:rsidR="00845897" w:rsidRPr="00221978" w:rsidRDefault="002A07C0" w:rsidP="002A07C0">
      <w:pPr>
        <w:jc w:val="right"/>
        <w:rPr>
          <w:rFonts w:ascii="Times New Roman" w:hAnsi="Times New Roman" w:cs="Times New Roman"/>
          <w:sz w:val="24"/>
          <w:szCs w:val="24"/>
          <w:lang w:val="sr-Cyrl-CS"/>
        </w:rPr>
      </w:pPr>
      <w:r w:rsidRPr="00221978">
        <w:rPr>
          <w:rFonts w:ascii="Times New Roman" w:hAnsi="Times New Roman" w:cs="Times New Roman"/>
          <w:lang w:val="sr-Cyrl-CS"/>
        </w:rPr>
        <w:lastRenderedPageBreak/>
        <w:t>”.</w:t>
      </w:r>
    </w:p>
    <w:p w14:paraId="61C6042E" w14:textId="407CFEE2" w:rsidR="00845897" w:rsidRPr="00221978" w:rsidRDefault="00845897" w:rsidP="00845897">
      <w:pPr>
        <w:pStyle w:val="Heading3"/>
        <w:numPr>
          <w:ilvl w:val="0"/>
          <w:numId w:val="2"/>
        </w:numPr>
        <w:spacing w:before="0" w:line="240" w:lineRule="auto"/>
        <w:jc w:val="both"/>
        <w:rPr>
          <w:rFonts w:ascii="Times New Roman" w:hAnsi="Times New Roman" w:cs="Times New Roman"/>
          <w:color w:val="auto"/>
          <w:lang w:val="sr-Cyrl-CS"/>
        </w:rPr>
      </w:pPr>
      <w:r w:rsidRPr="00221978">
        <w:rPr>
          <w:rFonts w:ascii="Times New Roman" w:hAnsi="Times New Roman" w:cs="Times New Roman"/>
          <w:color w:val="auto"/>
          <w:lang w:val="sr-Cyrl-CS"/>
        </w:rPr>
        <w:t>У области Управљања јавним финансијама, Посебан циљ, мења се став 4. и гласи:</w:t>
      </w:r>
    </w:p>
    <w:p w14:paraId="049B479C" w14:textId="7B45FDEE" w:rsidR="00845897" w:rsidRPr="00221978" w:rsidRDefault="00845897" w:rsidP="00007AEC">
      <w:pPr>
        <w:spacing w:after="0"/>
        <w:ind w:left="720"/>
        <w:jc w:val="both"/>
        <w:rPr>
          <w:rFonts w:ascii="Times New Roman" w:hAnsi="Times New Roman" w:cs="Times New Roman"/>
          <w:sz w:val="24"/>
          <w:szCs w:val="24"/>
          <w:lang w:val="sr-Cyrl-CS" w:eastAsia="de-DE"/>
        </w:rPr>
      </w:pPr>
      <w:r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eastAsia="de-DE"/>
        </w:rPr>
        <w:t xml:space="preserve">Како би се остварио </w:t>
      </w:r>
      <w:r w:rsidRPr="00221978">
        <w:rPr>
          <w:rFonts w:ascii="Times New Roman" w:hAnsi="Times New Roman" w:cs="Times New Roman"/>
          <w:b/>
          <w:sz w:val="24"/>
          <w:szCs w:val="24"/>
          <w:lang w:val="sr-Cyrl-CS" w:eastAsia="de-DE"/>
        </w:rPr>
        <w:t>Посебан циљ 7.</w:t>
      </w:r>
      <w:r w:rsidRPr="00221978">
        <w:rPr>
          <w:rFonts w:ascii="Times New Roman" w:hAnsi="Times New Roman" w:cs="Times New Roman"/>
          <w:sz w:val="24"/>
          <w:szCs w:val="24"/>
          <w:lang w:val="sr-Cyrl-CS" w:eastAsia="de-DE"/>
        </w:rPr>
        <w:t xml:space="preserve"> Стратегије РЈУ, дефинисани </w:t>
      </w:r>
      <w:r w:rsidR="00F00B42" w:rsidRPr="00221978">
        <w:rPr>
          <w:rFonts w:ascii="Times New Roman" w:hAnsi="Times New Roman" w:cs="Times New Roman"/>
          <w:sz w:val="24"/>
          <w:szCs w:val="24"/>
          <w:lang w:val="sr-Cyrl-CS" w:eastAsia="de-DE"/>
        </w:rPr>
        <w:t>су следећи посебни циљеви ПРЈУФ</w:t>
      </w:r>
      <w:r w:rsidRPr="00221978">
        <w:rPr>
          <w:rFonts w:ascii="Times New Roman" w:hAnsi="Times New Roman" w:cs="Times New Roman"/>
          <w:sz w:val="24"/>
          <w:szCs w:val="24"/>
          <w:lang w:val="sr-Cyrl-CS" w:eastAsia="de-DE"/>
        </w:rPr>
        <w:t>:</w:t>
      </w:r>
    </w:p>
    <w:p w14:paraId="5416D88E" w14:textId="77777777" w:rsidR="00845897" w:rsidRPr="00221978" w:rsidRDefault="00845897" w:rsidP="00845897">
      <w:pPr>
        <w:numPr>
          <w:ilvl w:val="0"/>
          <w:numId w:val="4"/>
        </w:numPr>
        <w:suppressAutoHyphens/>
        <w:autoSpaceDN w:val="0"/>
        <w:spacing w:after="0" w:line="240" w:lineRule="auto"/>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Унапређени капацитети </w:t>
      </w:r>
      <w:r w:rsidRPr="00221978">
        <w:rPr>
          <w:rFonts w:ascii="Times New Roman" w:eastAsia="Calibri" w:hAnsi="Times New Roman" w:cs="Times New Roman"/>
          <w:sz w:val="24"/>
          <w:szCs w:val="24"/>
          <w:lang w:val="sr-Cyrl-CS"/>
        </w:rPr>
        <w:t>за буџетско планирање и управљање јавним инвестицијама и праћење фискалних ризика</w:t>
      </w:r>
      <w:r w:rsidRPr="00221978">
        <w:rPr>
          <w:rFonts w:ascii="Times New Roman" w:hAnsi="Times New Roman" w:cs="Times New Roman"/>
          <w:sz w:val="24"/>
          <w:szCs w:val="24"/>
          <w:lang w:val="sr-Cyrl-CS"/>
        </w:rPr>
        <w:t>;</w:t>
      </w:r>
    </w:p>
    <w:p w14:paraId="0B7E91DC" w14:textId="77777777" w:rsidR="00845897" w:rsidRPr="00221978" w:rsidRDefault="00845897" w:rsidP="00845897">
      <w:pPr>
        <w:numPr>
          <w:ilvl w:val="0"/>
          <w:numId w:val="4"/>
        </w:numPr>
        <w:suppressAutoHyphens/>
        <w:autoSpaceDN w:val="0"/>
        <w:spacing w:after="0" w:line="240" w:lineRule="auto"/>
        <w:jc w:val="both"/>
        <w:textAlignment w:val="baseline"/>
        <w:rPr>
          <w:rFonts w:ascii="Times New Roman" w:hAnsi="Times New Roman" w:cs="Times New Roman"/>
          <w:bCs/>
          <w:sz w:val="24"/>
          <w:szCs w:val="24"/>
          <w:lang w:val="sr-Cyrl-CS"/>
        </w:rPr>
      </w:pPr>
      <w:r w:rsidRPr="00221978">
        <w:rPr>
          <w:rFonts w:ascii="Times New Roman" w:hAnsi="Times New Roman" w:cs="Times New Roman"/>
          <w:sz w:val="24"/>
          <w:szCs w:val="24"/>
          <w:lang w:val="sr-Cyrl-CS"/>
        </w:rPr>
        <w:t>Ефикасно прикупљање и управљање буџетским средствима;</w:t>
      </w:r>
    </w:p>
    <w:p w14:paraId="11AE6956" w14:textId="77777777" w:rsidR="00845897" w:rsidRPr="00221978" w:rsidRDefault="00845897" w:rsidP="00845897">
      <w:pPr>
        <w:numPr>
          <w:ilvl w:val="0"/>
          <w:numId w:val="4"/>
        </w:numPr>
        <w:suppressAutoHyphens/>
        <w:autoSpaceDN w:val="0"/>
        <w:spacing w:after="0" w:line="240" w:lineRule="auto"/>
        <w:jc w:val="both"/>
        <w:textAlignment w:val="baseline"/>
        <w:rPr>
          <w:rFonts w:ascii="Times New Roman" w:hAnsi="Times New Roman" w:cs="Times New Roman"/>
          <w:sz w:val="24"/>
          <w:szCs w:val="24"/>
          <w:lang w:val="sr-Cyrl-CS"/>
        </w:rPr>
      </w:pPr>
      <w:r w:rsidRPr="00221978">
        <w:rPr>
          <w:rFonts w:ascii="Times New Roman" w:hAnsi="Times New Roman" w:cs="Times New Roman"/>
          <w:bCs/>
          <w:sz w:val="24"/>
          <w:szCs w:val="24"/>
          <w:lang w:val="sr-Cyrl-CS"/>
        </w:rPr>
        <w:t>Унапређење буџетске дисциплине и транспарентније коришћење јавних средстава;</w:t>
      </w:r>
    </w:p>
    <w:p w14:paraId="6B0BB57F" w14:textId="77777777" w:rsidR="00845897" w:rsidRPr="00221978" w:rsidRDefault="00845897" w:rsidP="00845897">
      <w:pPr>
        <w:numPr>
          <w:ilvl w:val="0"/>
          <w:numId w:val="4"/>
        </w:numPr>
        <w:suppressAutoHyphens/>
        <w:autoSpaceDN w:val="0"/>
        <w:spacing w:after="0" w:line="240" w:lineRule="auto"/>
        <w:jc w:val="both"/>
        <w:textAlignment w:val="baseline"/>
        <w:rPr>
          <w:rFonts w:ascii="Times New Roman" w:hAnsi="Times New Roman" w:cs="Times New Roman"/>
          <w:bCs/>
          <w:sz w:val="24"/>
          <w:szCs w:val="24"/>
          <w:lang w:val="sr-Cyrl-CS"/>
        </w:rPr>
      </w:pPr>
      <w:r w:rsidRPr="00221978">
        <w:rPr>
          <w:rFonts w:ascii="Times New Roman" w:hAnsi="Times New Roman" w:cs="Times New Roman"/>
          <w:bCs/>
          <w:sz w:val="24"/>
          <w:szCs w:val="24"/>
          <w:lang w:val="sr-Cyrl-CS"/>
        </w:rPr>
        <w:t>Унапређење примене система интерне финансијске контроле у јавном сектору;</w:t>
      </w:r>
    </w:p>
    <w:p w14:paraId="3B3EBE40" w14:textId="77777777" w:rsidR="00845897" w:rsidRPr="00221978" w:rsidRDefault="00845897" w:rsidP="00845897">
      <w:pPr>
        <w:numPr>
          <w:ilvl w:val="0"/>
          <w:numId w:val="4"/>
        </w:numPr>
        <w:suppressAutoHyphens/>
        <w:autoSpaceDN w:val="0"/>
        <w:spacing w:after="0" w:line="240" w:lineRule="auto"/>
        <w:jc w:val="both"/>
        <w:textAlignment w:val="baseline"/>
        <w:rPr>
          <w:rFonts w:ascii="Times New Roman" w:hAnsi="Times New Roman" w:cs="Times New Roman"/>
          <w:bCs/>
          <w:sz w:val="24"/>
          <w:szCs w:val="24"/>
          <w:lang w:val="sr-Cyrl-CS"/>
        </w:rPr>
      </w:pPr>
      <w:r w:rsidRPr="00221978">
        <w:rPr>
          <w:rFonts w:ascii="Times New Roman" w:hAnsi="Times New Roman" w:cs="Times New Roman"/>
          <w:bCs/>
          <w:sz w:val="24"/>
          <w:szCs w:val="24"/>
          <w:lang w:val="sr-Cyrl-CS"/>
        </w:rPr>
        <w:t>Унапређено рачуноводство у јавном сектору применом међународних   рачуноводствених стандарда</w:t>
      </w:r>
      <w:r w:rsidRPr="00221978">
        <w:rPr>
          <w:rFonts w:ascii="Times New Roman" w:eastAsia="Calibri" w:hAnsi="Times New Roman" w:cs="Times New Roman"/>
          <w:sz w:val="24"/>
          <w:szCs w:val="24"/>
          <w:lang w:val="sr-Cyrl-CS"/>
        </w:rPr>
        <w:t xml:space="preserve"> за јавни сектор (</w:t>
      </w:r>
      <w:r w:rsidRPr="00221978">
        <w:rPr>
          <w:rFonts w:ascii="Times New Roman" w:eastAsia="Calibri" w:hAnsi="Times New Roman" w:cs="Times New Roman"/>
          <w:i/>
          <w:iCs/>
          <w:sz w:val="24"/>
          <w:szCs w:val="24"/>
          <w:lang w:val="sr-Cyrl-CS"/>
        </w:rPr>
        <w:t>IPSAS</w:t>
      </w:r>
      <w:r w:rsidRPr="00221978">
        <w:rPr>
          <w:rFonts w:ascii="Times New Roman" w:eastAsia="Calibri" w:hAnsi="Times New Roman" w:cs="Times New Roman"/>
          <w:sz w:val="24"/>
          <w:szCs w:val="24"/>
          <w:lang w:val="sr-Cyrl-CS"/>
        </w:rPr>
        <w:t>)</w:t>
      </w:r>
      <w:r w:rsidRPr="00221978">
        <w:rPr>
          <w:rFonts w:ascii="Times New Roman" w:hAnsi="Times New Roman" w:cs="Times New Roman"/>
          <w:bCs/>
          <w:sz w:val="24"/>
          <w:szCs w:val="24"/>
          <w:lang w:val="sr-Cyrl-CS"/>
        </w:rPr>
        <w:t>;</w:t>
      </w:r>
    </w:p>
    <w:p w14:paraId="24B992C9" w14:textId="4CF76E65" w:rsidR="00845897" w:rsidRPr="00221978" w:rsidRDefault="00845897" w:rsidP="00845897">
      <w:pPr>
        <w:numPr>
          <w:ilvl w:val="0"/>
          <w:numId w:val="4"/>
        </w:numPr>
        <w:suppressAutoHyphens/>
        <w:autoSpaceDN w:val="0"/>
        <w:spacing w:after="0" w:line="240" w:lineRule="auto"/>
        <w:jc w:val="both"/>
        <w:textAlignment w:val="baseline"/>
        <w:rPr>
          <w:rFonts w:ascii="Times New Roman" w:hAnsi="Times New Roman" w:cs="Times New Roman"/>
          <w:sz w:val="24"/>
          <w:szCs w:val="24"/>
          <w:lang w:val="sr-Cyrl-CS" w:eastAsia="de-DE"/>
        </w:rPr>
      </w:pPr>
      <w:r w:rsidRPr="00221978">
        <w:rPr>
          <w:rFonts w:ascii="Times New Roman" w:hAnsi="Times New Roman" w:cs="Times New Roman"/>
          <w:bCs/>
          <w:sz w:val="24"/>
          <w:szCs w:val="24"/>
          <w:lang w:val="sr-Cyrl-CS"/>
        </w:rPr>
        <w:t>Јачање спољног надзора над јавним финансијама.</w:t>
      </w:r>
      <w:r w:rsidR="009B73BA"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 xml:space="preserve"> </w:t>
      </w:r>
    </w:p>
    <w:p w14:paraId="6030FCAF" w14:textId="77777777" w:rsidR="005077BE" w:rsidRPr="00221978" w:rsidRDefault="005077BE" w:rsidP="0001141D">
      <w:pPr>
        <w:pStyle w:val="ListParagraph"/>
        <w:suppressAutoHyphens/>
        <w:autoSpaceDN w:val="0"/>
        <w:spacing w:after="0" w:line="240" w:lineRule="auto"/>
        <w:ind w:left="1080"/>
        <w:jc w:val="both"/>
        <w:textAlignment w:val="baseline"/>
        <w:rPr>
          <w:rFonts w:ascii="Times New Roman" w:hAnsi="Times New Roman" w:cs="Times New Roman"/>
          <w:sz w:val="24"/>
          <w:szCs w:val="24"/>
          <w:lang w:val="sr-Cyrl-CS"/>
        </w:rPr>
      </w:pPr>
    </w:p>
    <w:p w14:paraId="50FDE869" w14:textId="43682CBE" w:rsidR="00A24545" w:rsidRPr="00221978" w:rsidRDefault="00A24545" w:rsidP="008811E9">
      <w:pPr>
        <w:pStyle w:val="ListParagraph"/>
        <w:numPr>
          <w:ilvl w:val="0"/>
          <w:numId w:val="2"/>
        </w:numPr>
        <w:rPr>
          <w:rFonts w:ascii="Times New Roman" w:eastAsiaTheme="majorEastAsia" w:hAnsi="Times New Roman" w:cs="Times New Roman"/>
          <w:sz w:val="24"/>
          <w:szCs w:val="24"/>
          <w:lang w:val="sr-Cyrl-CS"/>
        </w:rPr>
      </w:pPr>
      <w:r w:rsidRPr="00221978">
        <w:rPr>
          <w:rFonts w:ascii="Times New Roman" w:eastAsiaTheme="majorEastAsia" w:hAnsi="Times New Roman" w:cs="Times New Roman"/>
          <w:sz w:val="24"/>
          <w:szCs w:val="24"/>
          <w:lang w:val="sr-Cyrl-CS"/>
        </w:rPr>
        <w:t xml:space="preserve">У делу IX. Трошкови спровођења АП Стратегије РЈУ </w:t>
      </w:r>
      <w:r w:rsidR="003C0F4E" w:rsidRPr="00221978">
        <w:rPr>
          <w:rFonts w:ascii="Times New Roman" w:eastAsiaTheme="majorEastAsia" w:hAnsi="Times New Roman" w:cs="Times New Roman"/>
          <w:sz w:val="24"/>
          <w:szCs w:val="24"/>
          <w:lang w:val="sr-Cyrl-CS"/>
        </w:rPr>
        <w:t>ст</w:t>
      </w:r>
      <w:r w:rsidR="00F00B42" w:rsidRPr="00221978">
        <w:rPr>
          <w:rFonts w:ascii="Times New Roman" w:eastAsiaTheme="majorEastAsia" w:hAnsi="Times New Roman" w:cs="Times New Roman"/>
          <w:sz w:val="24"/>
          <w:szCs w:val="24"/>
          <w:lang w:val="sr-Cyrl-CS"/>
        </w:rPr>
        <w:t>.</w:t>
      </w:r>
      <w:r w:rsidR="003C0F4E" w:rsidRPr="00221978">
        <w:rPr>
          <w:rFonts w:ascii="Times New Roman" w:eastAsiaTheme="majorEastAsia" w:hAnsi="Times New Roman" w:cs="Times New Roman"/>
          <w:sz w:val="24"/>
          <w:szCs w:val="24"/>
          <w:lang w:val="sr-Cyrl-CS"/>
        </w:rPr>
        <w:t xml:space="preserve"> 4</w:t>
      </w:r>
      <w:r w:rsidR="009270E5" w:rsidRPr="00221978">
        <w:rPr>
          <w:rFonts w:ascii="Times New Roman" w:eastAsiaTheme="majorEastAsia" w:hAnsi="Times New Roman" w:cs="Times New Roman"/>
          <w:sz w:val="24"/>
          <w:szCs w:val="24"/>
          <w:lang w:val="sr-Cyrl-CS"/>
        </w:rPr>
        <w:t>.</w:t>
      </w:r>
      <w:r w:rsidR="003C0F4E" w:rsidRPr="00221978">
        <w:rPr>
          <w:rFonts w:ascii="Times New Roman" w:eastAsiaTheme="majorEastAsia" w:hAnsi="Times New Roman" w:cs="Times New Roman"/>
          <w:sz w:val="24"/>
          <w:szCs w:val="24"/>
          <w:lang w:val="sr-Cyrl-CS"/>
        </w:rPr>
        <w:t xml:space="preserve"> и 5</w:t>
      </w:r>
      <w:r w:rsidR="00E14E9D" w:rsidRPr="00221978">
        <w:rPr>
          <w:rFonts w:ascii="Times New Roman" w:eastAsiaTheme="majorEastAsia" w:hAnsi="Times New Roman" w:cs="Times New Roman"/>
          <w:sz w:val="24"/>
          <w:szCs w:val="24"/>
          <w:lang w:val="sr-Cyrl-CS"/>
        </w:rPr>
        <w:t>. бришу се</w:t>
      </w:r>
      <w:r w:rsidR="008811E9" w:rsidRPr="00221978">
        <w:rPr>
          <w:rFonts w:ascii="Times New Roman" w:eastAsiaTheme="majorEastAsia" w:hAnsi="Times New Roman" w:cs="Times New Roman"/>
          <w:sz w:val="24"/>
          <w:szCs w:val="24"/>
          <w:lang w:val="sr-Cyrl-CS"/>
        </w:rPr>
        <w:t>.</w:t>
      </w:r>
      <w:r w:rsidRPr="00221978">
        <w:rPr>
          <w:rFonts w:ascii="Times New Roman" w:eastAsiaTheme="majorEastAsia" w:hAnsi="Times New Roman" w:cs="Times New Roman"/>
          <w:sz w:val="24"/>
          <w:szCs w:val="24"/>
          <w:lang w:val="sr-Cyrl-CS"/>
        </w:rPr>
        <w:t xml:space="preserve"> </w:t>
      </w:r>
    </w:p>
    <w:p w14:paraId="4DCF40C9" w14:textId="18291CC2" w:rsidR="005077BE" w:rsidRPr="00221978" w:rsidRDefault="003E4C28" w:rsidP="0001141D">
      <w:pPr>
        <w:pStyle w:val="Heading3"/>
        <w:numPr>
          <w:ilvl w:val="0"/>
          <w:numId w:val="2"/>
        </w:numPr>
        <w:spacing w:before="0" w:line="240" w:lineRule="auto"/>
        <w:jc w:val="both"/>
        <w:rPr>
          <w:rFonts w:ascii="Times New Roman" w:hAnsi="Times New Roman" w:cs="Times New Roman"/>
          <w:color w:val="auto"/>
          <w:lang w:val="sr-Cyrl-CS"/>
        </w:rPr>
      </w:pPr>
      <w:r w:rsidRPr="00221978">
        <w:rPr>
          <w:rFonts w:ascii="Times New Roman" w:hAnsi="Times New Roman" w:cs="Times New Roman"/>
          <w:bCs/>
          <w:color w:val="auto"/>
          <w:lang w:val="sr-Cyrl-CS" w:eastAsia="de-DE"/>
        </w:rPr>
        <w:t xml:space="preserve">У делу IX. Трошкови спровођења АП </w:t>
      </w:r>
      <w:r w:rsidR="007B6A71" w:rsidRPr="00221978">
        <w:rPr>
          <w:rFonts w:ascii="Times New Roman" w:hAnsi="Times New Roman" w:cs="Times New Roman"/>
          <w:bCs/>
          <w:color w:val="auto"/>
          <w:lang w:val="sr-Cyrl-CS" w:eastAsia="de-DE"/>
        </w:rPr>
        <w:t>С</w:t>
      </w:r>
      <w:r w:rsidRPr="00221978">
        <w:rPr>
          <w:rFonts w:ascii="Times New Roman" w:hAnsi="Times New Roman" w:cs="Times New Roman"/>
          <w:bCs/>
          <w:color w:val="auto"/>
          <w:lang w:val="sr-Cyrl-CS" w:eastAsia="de-DE"/>
        </w:rPr>
        <w:t>тратегије РЈУ</w:t>
      </w:r>
      <w:r w:rsidR="00B0171F" w:rsidRPr="00221978">
        <w:rPr>
          <w:rFonts w:ascii="Times New Roman" w:hAnsi="Times New Roman" w:cs="Times New Roman"/>
          <w:bCs/>
          <w:color w:val="auto"/>
          <w:lang w:val="sr-Cyrl-CS" w:eastAsia="de-DE"/>
        </w:rPr>
        <w:t xml:space="preserve">, </w:t>
      </w:r>
      <w:r w:rsidR="00824E47" w:rsidRPr="00221978">
        <w:rPr>
          <w:rFonts w:ascii="Times New Roman" w:hAnsi="Times New Roman" w:cs="Times New Roman"/>
          <w:bCs/>
          <w:color w:val="auto"/>
          <w:lang w:val="sr-Cyrl-CS" w:eastAsia="de-DE"/>
        </w:rPr>
        <w:t>после</w:t>
      </w:r>
      <w:r w:rsidR="00B0171F" w:rsidRPr="00221978">
        <w:rPr>
          <w:rFonts w:ascii="Times New Roman" w:hAnsi="Times New Roman" w:cs="Times New Roman"/>
          <w:bCs/>
          <w:color w:val="auto"/>
          <w:lang w:val="sr-Cyrl-CS" w:eastAsia="de-DE"/>
        </w:rPr>
        <w:t xml:space="preserve"> става 3</w:t>
      </w:r>
      <w:r w:rsidR="009270E5" w:rsidRPr="00221978">
        <w:rPr>
          <w:rFonts w:ascii="Times New Roman" w:hAnsi="Times New Roman" w:cs="Times New Roman"/>
          <w:bCs/>
          <w:color w:val="auto"/>
          <w:lang w:val="sr-Cyrl-CS" w:eastAsia="de-DE"/>
        </w:rPr>
        <w:t>.</w:t>
      </w:r>
      <w:r w:rsidRPr="00221978">
        <w:rPr>
          <w:rFonts w:ascii="Times New Roman" w:hAnsi="Times New Roman" w:cs="Times New Roman"/>
          <w:bCs/>
          <w:color w:val="auto"/>
          <w:lang w:val="sr-Cyrl-CS" w:eastAsia="de-DE"/>
        </w:rPr>
        <w:t xml:space="preserve"> дода</w:t>
      </w:r>
      <w:r w:rsidR="003F4BEE" w:rsidRPr="00221978">
        <w:rPr>
          <w:rFonts w:ascii="Times New Roman" w:hAnsi="Times New Roman" w:cs="Times New Roman"/>
          <w:bCs/>
          <w:color w:val="auto"/>
          <w:lang w:val="sr-Cyrl-CS" w:eastAsia="de-DE"/>
        </w:rPr>
        <w:t>ју</w:t>
      </w:r>
      <w:r w:rsidRPr="00221978">
        <w:rPr>
          <w:rFonts w:ascii="Times New Roman" w:hAnsi="Times New Roman" w:cs="Times New Roman"/>
          <w:bCs/>
          <w:color w:val="auto"/>
          <w:lang w:val="sr-Cyrl-CS" w:eastAsia="de-DE"/>
        </w:rPr>
        <w:t xml:space="preserve"> с</w:t>
      </w:r>
      <w:r w:rsidR="003F4BEE" w:rsidRPr="00221978">
        <w:rPr>
          <w:rFonts w:ascii="Times New Roman" w:hAnsi="Times New Roman" w:cs="Times New Roman"/>
          <w:bCs/>
          <w:color w:val="auto"/>
          <w:lang w:val="sr-Cyrl-CS" w:eastAsia="de-DE"/>
        </w:rPr>
        <w:t>е</w:t>
      </w:r>
      <w:r w:rsidRPr="00221978">
        <w:rPr>
          <w:rFonts w:ascii="Times New Roman" w:hAnsi="Times New Roman" w:cs="Times New Roman"/>
          <w:bCs/>
          <w:color w:val="auto"/>
          <w:lang w:val="sr-Cyrl-CS" w:eastAsia="de-DE"/>
        </w:rPr>
        <w:t xml:space="preserve"> </w:t>
      </w:r>
      <w:r w:rsidR="003C0F4E" w:rsidRPr="00221978">
        <w:rPr>
          <w:rFonts w:ascii="Times New Roman" w:hAnsi="Times New Roman" w:cs="Times New Roman"/>
          <w:bCs/>
          <w:color w:val="auto"/>
          <w:lang w:val="sr-Cyrl-CS" w:eastAsia="de-DE"/>
        </w:rPr>
        <w:t>ст</w:t>
      </w:r>
      <w:r w:rsidR="003F4BEE" w:rsidRPr="00221978">
        <w:rPr>
          <w:rFonts w:ascii="Times New Roman" w:hAnsi="Times New Roman" w:cs="Times New Roman"/>
          <w:bCs/>
          <w:color w:val="auto"/>
          <w:lang w:val="sr-Cyrl-CS" w:eastAsia="de-DE"/>
        </w:rPr>
        <w:t>.</w:t>
      </w:r>
      <w:r w:rsidR="003C0F4E" w:rsidRPr="00221978">
        <w:rPr>
          <w:rFonts w:ascii="Times New Roman" w:hAnsi="Times New Roman" w:cs="Times New Roman"/>
          <w:bCs/>
          <w:color w:val="auto"/>
          <w:lang w:val="sr-Cyrl-CS" w:eastAsia="de-DE"/>
        </w:rPr>
        <w:t xml:space="preserve"> 4</w:t>
      </w:r>
      <w:r w:rsidR="003F4BEE" w:rsidRPr="00221978">
        <w:rPr>
          <w:rFonts w:ascii="Times New Roman" w:hAnsi="Times New Roman" w:cs="Times New Roman"/>
          <w:bCs/>
          <w:color w:val="auto"/>
          <w:lang w:val="sr-Cyrl-CS" w:eastAsia="de-DE"/>
        </w:rPr>
        <w:t>,</w:t>
      </w:r>
      <w:r w:rsidR="003C0F4E" w:rsidRPr="00221978">
        <w:rPr>
          <w:rFonts w:ascii="Times New Roman" w:hAnsi="Times New Roman" w:cs="Times New Roman"/>
          <w:bCs/>
          <w:color w:val="auto"/>
          <w:lang w:val="sr-Cyrl-CS" w:eastAsia="de-DE"/>
        </w:rPr>
        <w:t xml:space="preserve"> 5</w:t>
      </w:r>
      <w:r w:rsidR="003F4BEE" w:rsidRPr="00221978">
        <w:rPr>
          <w:rFonts w:ascii="Times New Roman" w:hAnsi="Times New Roman" w:cs="Times New Roman"/>
          <w:bCs/>
          <w:color w:val="auto"/>
          <w:lang w:val="sr-Cyrl-CS" w:eastAsia="de-DE"/>
        </w:rPr>
        <w:t>,</w:t>
      </w:r>
      <w:r w:rsidR="003C0F4E" w:rsidRPr="00221978">
        <w:rPr>
          <w:rFonts w:ascii="Times New Roman" w:hAnsi="Times New Roman" w:cs="Times New Roman"/>
          <w:bCs/>
          <w:color w:val="auto"/>
          <w:lang w:val="sr-Cyrl-CS" w:eastAsia="de-DE"/>
        </w:rPr>
        <w:t xml:space="preserve"> 6</w:t>
      </w:r>
      <w:r w:rsidR="003F4BEE" w:rsidRPr="00221978">
        <w:rPr>
          <w:rFonts w:ascii="Times New Roman" w:hAnsi="Times New Roman" w:cs="Times New Roman"/>
          <w:bCs/>
          <w:color w:val="auto"/>
          <w:lang w:val="sr-Cyrl-CS" w:eastAsia="de-DE"/>
        </w:rPr>
        <w:t>,</w:t>
      </w:r>
      <w:r w:rsidR="00B0171F" w:rsidRPr="00221978">
        <w:rPr>
          <w:rFonts w:ascii="Times New Roman" w:hAnsi="Times New Roman" w:cs="Times New Roman"/>
          <w:bCs/>
          <w:color w:val="auto"/>
          <w:lang w:val="sr-Cyrl-CS" w:eastAsia="de-DE"/>
        </w:rPr>
        <w:t xml:space="preserve"> 7</w:t>
      </w:r>
      <w:r w:rsidR="008811E9" w:rsidRPr="00221978">
        <w:rPr>
          <w:rFonts w:ascii="Times New Roman" w:hAnsi="Times New Roman" w:cs="Times New Roman"/>
          <w:bCs/>
          <w:color w:val="auto"/>
          <w:lang w:val="sr-Cyrl-CS" w:eastAsia="de-DE"/>
        </w:rPr>
        <w:t>,</w:t>
      </w:r>
      <w:r w:rsidR="00B0171F" w:rsidRPr="00221978">
        <w:rPr>
          <w:rFonts w:ascii="Times New Roman" w:hAnsi="Times New Roman" w:cs="Times New Roman"/>
          <w:bCs/>
          <w:color w:val="auto"/>
          <w:lang w:val="sr-Cyrl-CS" w:eastAsia="de-DE"/>
        </w:rPr>
        <w:t xml:space="preserve"> 8</w:t>
      </w:r>
      <w:r w:rsidR="009270E5" w:rsidRPr="00221978">
        <w:rPr>
          <w:rFonts w:ascii="Times New Roman" w:hAnsi="Times New Roman" w:cs="Times New Roman"/>
          <w:bCs/>
          <w:color w:val="auto"/>
          <w:lang w:val="sr-Cyrl-CS" w:eastAsia="de-DE"/>
        </w:rPr>
        <w:t>.</w:t>
      </w:r>
      <w:r w:rsidR="008811E9" w:rsidRPr="00221978">
        <w:rPr>
          <w:rFonts w:ascii="Times New Roman" w:hAnsi="Times New Roman" w:cs="Times New Roman"/>
          <w:bCs/>
          <w:color w:val="auto"/>
          <w:lang w:val="sr-Cyrl-CS" w:eastAsia="de-DE"/>
        </w:rPr>
        <w:t xml:space="preserve"> и 9.</w:t>
      </w:r>
      <w:r w:rsidR="00B0171F" w:rsidRPr="00221978">
        <w:rPr>
          <w:rFonts w:ascii="Times New Roman" w:hAnsi="Times New Roman" w:cs="Times New Roman"/>
          <w:bCs/>
          <w:color w:val="auto"/>
          <w:lang w:val="sr-Cyrl-CS" w:eastAsia="de-DE"/>
        </w:rPr>
        <w:t xml:space="preserve"> </w:t>
      </w:r>
      <w:r w:rsidR="004866E2" w:rsidRPr="00221978">
        <w:rPr>
          <w:rFonts w:ascii="Times New Roman" w:hAnsi="Times New Roman" w:cs="Times New Roman"/>
          <w:bCs/>
          <w:color w:val="auto"/>
          <w:lang w:val="sr-Cyrl-CS" w:eastAsia="de-DE"/>
        </w:rPr>
        <w:t>кој</w:t>
      </w:r>
      <w:r w:rsidRPr="00221978">
        <w:rPr>
          <w:rFonts w:ascii="Times New Roman" w:hAnsi="Times New Roman" w:cs="Times New Roman"/>
          <w:color w:val="auto"/>
          <w:lang w:val="sr-Cyrl-CS"/>
        </w:rPr>
        <w:t>и глас</w:t>
      </w:r>
      <w:r w:rsidR="00B0171F" w:rsidRPr="00221978">
        <w:rPr>
          <w:rFonts w:ascii="Times New Roman" w:hAnsi="Times New Roman" w:cs="Times New Roman"/>
          <w:color w:val="auto"/>
          <w:lang w:val="sr-Cyrl-CS"/>
        </w:rPr>
        <w:t>е</w:t>
      </w:r>
      <w:r w:rsidRPr="00221978">
        <w:rPr>
          <w:rFonts w:ascii="Times New Roman" w:hAnsi="Times New Roman" w:cs="Times New Roman"/>
          <w:color w:val="auto"/>
          <w:lang w:val="sr-Cyrl-CS"/>
        </w:rPr>
        <w:t xml:space="preserve">: </w:t>
      </w:r>
    </w:p>
    <w:p w14:paraId="251F58B0" w14:textId="77777777" w:rsidR="003E4C28" w:rsidRPr="00221978" w:rsidRDefault="003E4C28" w:rsidP="0001141D">
      <w:pPr>
        <w:spacing w:after="0" w:line="240" w:lineRule="auto"/>
        <w:rPr>
          <w:lang w:val="sr-Cyrl-CS"/>
        </w:rPr>
      </w:pPr>
    </w:p>
    <w:p w14:paraId="54538988" w14:textId="207D567A" w:rsidR="00163548" w:rsidRPr="00221978" w:rsidRDefault="00163548" w:rsidP="007D76EB">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„За имплементацију Програма за реформу система локалне самоуправе у периоду од 2021. до 2025. године, припремљен је Акциони план за период од 2021. до 2023. године, и за тај период утврђене су процене трошкова за планиране активности и остваривање планираних мера и циљева. Приликом обрачуна трошкова нису планирани трошкови у вези са  редовним активностима органа, већ само трошкови за додатне активности</w:t>
      </w:r>
      <w:r w:rsidR="006A31F1"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За спровођење планираних активности у периоду 2021–2023. године укупно је потребно 812,032,125.00 динара.</w:t>
      </w:r>
    </w:p>
    <w:p w14:paraId="7ED414FA" w14:textId="59DD95CD" w:rsidR="00163548" w:rsidRPr="00221978" w:rsidRDefault="00163548" w:rsidP="007D76EB">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Од укупног износа процењених средстава, 29,200,000.00 динара односно око 3,5% укупних планираних средстава, обезбеђено је у оквиру лимита расхода и издатака исказаних у Закону о буџету Републике Србије за 2021. годину са пројекцијама за 2022. и 2023. годину. Процењена средства у износу од 702,507,125.00 динара, односно близу 87% укупних средстава, обезбеђена су из међународних развојних средстава (укључујући ту и условно обезбеђена средства – пројекте и програме који су у процесу одобрења). Коначно, процењена додатна средства у износу од 80,325,000.00 динара нису обезбеђена (скоро 10% укупних средстава), те ће њихово планирање бити извршено у складу са расположивим међународним развојним средствима. Кад је реч о активностима за које нису обезбеђена средства, извори средстава за њихово спровођење ће се утврдити током спровођења Акционог плана и њихово извршење ће бити могуће у складу са обезбеђеним средствима.</w:t>
      </w:r>
    </w:p>
    <w:p w14:paraId="73386989" w14:textId="77777777" w:rsidR="008811E9" w:rsidRPr="00221978" w:rsidRDefault="00163548" w:rsidP="007D76EB">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Укупни трошкови за реализацију ПРУЈФ 2021-2025</w:t>
      </w:r>
      <w:r w:rsidR="006A3496"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 xml:space="preserve"> процењени су на 7,749,477,700.00 динара, од чега је из Буџета планирано 1,609,662,400.00 динара и 6,139,815,300.00 </w:t>
      </w:r>
      <w:r w:rsidR="00D06BDD" w:rsidRPr="00221978">
        <w:rPr>
          <w:rFonts w:ascii="Times New Roman" w:hAnsi="Times New Roman" w:cs="Times New Roman"/>
          <w:sz w:val="24"/>
          <w:szCs w:val="24"/>
          <w:lang w:val="sr-Cyrl-CS"/>
        </w:rPr>
        <w:t xml:space="preserve">динара </w:t>
      </w:r>
      <w:r w:rsidRPr="00221978">
        <w:rPr>
          <w:rFonts w:ascii="Times New Roman" w:hAnsi="Times New Roman" w:cs="Times New Roman"/>
          <w:sz w:val="24"/>
          <w:szCs w:val="24"/>
          <w:lang w:val="sr-Cyrl-CS"/>
        </w:rPr>
        <w:t>развојне помоћи (донација и кредита).</w:t>
      </w:r>
    </w:p>
    <w:p w14:paraId="549BF09E" w14:textId="5EFEE231" w:rsidR="00163548" w:rsidRPr="00221978" w:rsidRDefault="00163548" w:rsidP="007D76EB">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Укупна финансијска средства за реализацију активности из Програма унапређења управљања јавним политикама и регулаторном реформом у периоду 2021-2025. процењена су на 538,946,000.00 РСД.</w:t>
      </w:r>
    </w:p>
    <w:p w14:paraId="7D6AB848" w14:textId="79B46836" w:rsidR="00163548" w:rsidRPr="00221978" w:rsidRDefault="00163548" w:rsidP="007D76EB">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lastRenderedPageBreak/>
        <w:t xml:space="preserve">У укупним додатним финансијским средствима потребним за реализацију активности из Програма, из </w:t>
      </w:r>
      <w:r w:rsidR="008811E9" w:rsidRPr="00221978">
        <w:rPr>
          <w:rFonts w:ascii="Times New Roman" w:hAnsi="Times New Roman" w:cs="Times New Roman"/>
          <w:sz w:val="24"/>
          <w:szCs w:val="24"/>
          <w:lang w:val="sr-Cyrl-CS"/>
        </w:rPr>
        <w:t xml:space="preserve">буџета </w:t>
      </w:r>
      <w:r w:rsidRPr="00221978">
        <w:rPr>
          <w:rFonts w:ascii="Times New Roman" w:hAnsi="Times New Roman" w:cs="Times New Roman"/>
          <w:sz w:val="24"/>
          <w:szCs w:val="24"/>
          <w:lang w:val="sr-Cyrl-CS"/>
        </w:rPr>
        <w:t>Републике планирана су издвајања у висини од 20,858,000.00 РСД, а из средстава донаторске подршке 518,088,000.00 РСД.</w:t>
      </w:r>
    </w:p>
    <w:p w14:paraId="022CAF07" w14:textId="3EE23699" w:rsidR="00163548" w:rsidRPr="00221978" w:rsidRDefault="00163548" w:rsidP="007D76EB">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Од укупних средстава обезбеђено је 465,557,000.00 РСД, док је условно обезбеђено 73,389,000.00 РСД. Активности за које нису обезбеђена средства, извори средстава за њихово спровођење ће се утврдити у току спровођења Акционог плана и њихово извршење ће бити могуће у складу са обезбеђеним средствима.</w:t>
      </w:r>
      <w:r w:rsidR="009B73BA" w:rsidRPr="00221978">
        <w:rPr>
          <w:rFonts w:ascii="Times New Roman" w:hAnsi="Times New Roman" w:cs="Times New Roman"/>
          <w:sz w:val="24"/>
          <w:szCs w:val="24"/>
          <w:lang w:val="sr-Cyrl-CS"/>
        </w:rPr>
        <w:t xml:space="preserve">”    </w:t>
      </w:r>
    </w:p>
    <w:p w14:paraId="05EB8D7F" w14:textId="77777777" w:rsidR="00163548" w:rsidRPr="00221978" w:rsidRDefault="00163548" w:rsidP="00163548">
      <w:pPr>
        <w:pStyle w:val="ListParagraph"/>
        <w:spacing w:after="0" w:line="240" w:lineRule="auto"/>
        <w:jc w:val="both"/>
        <w:rPr>
          <w:rFonts w:ascii="Times New Roman" w:hAnsi="Times New Roman" w:cs="Times New Roman"/>
          <w:sz w:val="24"/>
          <w:szCs w:val="24"/>
          <w:lang w:val="sr-Cyrl-CS"/>
        </w:rPr>
      </w:pPr>
    </w:p>
    <w:p w14:paraId="043E0CFE" w14:textId="1E7C64B3" w:rsidR="00D31394" w:rsidRPr="00221978" w:rsidRDefault="007E1F17" w:rsidP="00D31394">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bCs/>
          <w:sz w:val="24"/>
          <w:szCs w:val="24"/>
          <w:lang w:val="sr-Cyrl-CS" w:eastAsia="de-DE"/>
        </w:rPr>
        <w:t xml:space="preserve">У делу IX. Трошкови спровођења АП Стратегије РЈУ додата је </w:t>
      </w:r>
      <w:bookmarkStart w:id="7" w:name="_Hlk88810009"/>
      <w:r w:rsidRPr="00221978">
        <w:rPr>
          <w:rFonts w:ascii="Times New Roman" w:hAnsi="Times New Roman" w:cs="Times New Roman"/>
          <w:bCs/>
          <w:sz w:val="24"/>
          <w:szCs w:val="24"/>
          <w:lang w:val="sr-Cyrl-CS" w:eastAsia="de-DE"/>
        </w:rPr>
        <w:t>Збирна табела трошкова Акционог плана за период од 2021. до 2025. године за спровођење Стратегије реформе јавне управе у Републици Србији за период од 2021. до 2030. године и три програма</w:t>
      </w:r>
      <w:r w:rsidR="00D31394" w:rsidRPr="00221978">
        <w:rPr>
          <w:rFonts w:ascii="Times New Roman" w:hAnsi="Times New Roman" w:cs="Times New Roman"/>
          <w:bCs/>
          <w:sz w:val="24"/>
          <w:szCs w:val="24"/>
          <w:lang w:val="sr-Cyrl-CS" w:eastAsia="de-DE"/>
        </w:rPr>
        <w:t xml:space="preserve"> </w:t>
      </w:r>
      <w:r w:rsidR="00AB0000" w:rsidRPr="00221978">
        <w:rPr>
          <w:rFonts w:ascii="Times New Roman" w:hAnsi="Times New Roman" w:cs="Times New Roman"/>
          <w:bCs/>
          <w:sz w:val="24"/>
          <w:szCs w:val="24"/>
          <w:lang w:val="sr-Cyrl-CS" w:eastAsia="de-DE"/>
        </w:rPr>
        <w:t>и</w:t>
      </w:r>
      <w:r w:rsidR="00D31394" w:rsidRPr="00221978">
        <w:rPr>
          <w:rFonts w:ascii="Times New Roman" w:hAnsi="Times New Roman" w:cs="Times New Roman"/>
          <w:bCs/>
          <w:sz w:val="24"/>
          <w:szCs w:val="24"/>
          <w:lang w:val="sr-Cyrl-CS" w:eastAsia="de-DE"/>
        </w:rPr>
        <w:t xml:space="preserve"> глас</w:t>
      </w:r>
      <w:r w:rsidR="007D76EB" w:rsidRPr="00221978">
        <w:rPr>
          <w:rFonts w:ascii="Times New Roman" w:hAnsi="Times New Roman" w:cs="Times New Roman"/>
          <w:bCs/>
          <w:sz w:val="24"/>
          <w:szCs w:val="24"/>
          <w:lang w:val="sr-Cyrl-CS" w:eastAsia="de-DE"/>
        </w:rPr>
        <w:t>е</w:t>
      </w:r>
      <w:r w:rsidR="00D31394" w:rsidRPr="00221978">
        <w:rPr>
          <w:rFonts w:ascii="Times New Roman" w:hAnsi="Times New Roman" w:cs="Times New Roman"/>
          <w:bCs/>
          <w:sz w:val="24"/>
          <w:szCs w:val="24"/>
          <w:lang w:val="sr-Cyrl-CS" w:eastAsia="de-DE"/>
        </w:rPr>
        <w:t>:</w:t>
      </w:r>
      <w:bookmarkStart w:id="8" w:name="_Hlk89758603"/>
    </w:p>
    <w:p w14:paraId="67984200" w14:textId="77777777" w:rsidR="00D31394" w:rsidRPr="00221978" w:rsidRDefault="00D31394" w:rsidP="00D31394">
      <w:pPr>
        <w:pStyle w:val="ListParagraph"/>
        <w:spacing w:after="0" w:line="240" w:lineRule="auto"/>
        <w:jc w:val="both"/>
        <w:rPr>
          <w:rFonts w:ascii="Times New Roman" w:hAnsi="Times New Roman" w:cs="Times New Roman"/>
          <w:sz w:val="24"/>
          <w:szCs w:val="24"/>
          <w:lang w:val="sr-Cyrl-CS"/>
        </w:rPr>
      </w:pPr>
    </w:p>
    <w:p w14:paraId="7743D180" w14:textId="3E130F0D" w:rsidR="00D31394" w:rsidRPr="00221978" w:rsidRDefault="002F23FA" w:rsidP="007D76EB">
      <w:pPr>
        <w:spacing w:after="0" w:line="240" w:lineRule="auto"/>
        <w:ind w:left="720"/>
        <w:jc w:val="both"/>
        <w:rPr>
          <w:rFonts w:ascii="Times New Roman" w:hAnsi="Times New Roman" w:cs="Times New Roman"/>
          <w:sz w:val="24"/>
          <w:szCs w:val="24"/>
          <w:shd w:val="clear" w:color="auto" w:fill="FFFFFF"/>
          <w:lang w:val="sr-Cyrl-CS"/>
        </w:rPr>
      </w:pPr>
      <w:r w:rsidRPr="00221978">
        <w:rPr>
          <w:rFonts w:ascii="Times New Roman" w:hAnsi="Times New Roman" w:cs="Times New Roman"/>
          <w:sz w:val="24"/>
          <w:szCs w:val="24"/>
          <w:lang w:val="sr-Cyrl-CS"/>
        </w:rPr>
        <w:t>„</w:t>
      </w:r>
      <w:r w:rsidR="00D31394" w:rsidRPr="00221978">
        <w:rPr>
          <w:rFonts w:ascii="Times New Roman" w:hAnsi="Times New Roman" w:cs="Times New Roman"/>
          <w:sz w:val="24"/>
          <w:szCs w:val="24"/>
          <w:lang w:val="sr-Cyrl-CS" w:eastAsia="en-GB"/>
        </w:rPr>
        <w:t xml:space="preserve">Збирне табеле трошкова Акционог плана за период </w:t>
      </w:r>
      <w:r w:rsidR="00D31394" w:rsidRPr="00221978">
        <w:rPr>
          <w:rFonts w:ascii="Times New Roman" w:hAnsi="Times New Roman" w:cs="Times New Roman"/>
          <w:sz w:val="24"/>
          <w:szCs w:val="24"/>
          <w:shd w:val="clear" w:color="auto" w:fill="FFFFFF"/>
          <w:lang w:val="sr-Cyrl-CS"/>
        </w:rPr>
        <w:t>од 2021. до 2025. године за спровођење Стратегије реформе јавне управе у Републици Србији за период од 2021.</w:t>
      </w:r>
      <w:r w:rsidR="003C0F4E" w:rsidRPr="00221978">
        <w:rPr>
          <w:rFonts w:ascii="Times New Roman" w:hAnsi="Times New Roman" w:cs="Times New Roman"/>
          <w:sz w:val="24"/>
          <w:szCs w:val="24"/>
          <w:shd w:val="clear" w:color="auto" w:fill="FFFFFF"/>
          <w:lang w:val="sr-Cyrl-CS"/>
        </w:rPr>
        <w:t xml:space="preserve"> до 2030. године и три програма</w:t>
      </w:r>
      <w:r w:rsidR="00824E47" w:rsidRPr="00221978">
        <w:rPr>
          <w:rFonts w:ascii="Times New Roman" w:hAnsi="Times New Roman" w:cs="Times New Roman"/>
          <w:sz w:val="24"/>
          <w:szCs w:val="24"/>
          <w:shd w:val="clear" w:color="auto" w:fill="FFFFFF"/>
          <w:lang w:val="sr-Cyrl-CS"/>
        </w:rPr>
        <w:t>:</w:t>
      </w:r>
      <w:r w:rsidR="009B73BA" w:rsidRPr="00221978">
        <w:rPr>
          <w:rFonts w:ascii="Times New Roman" w:hAnsi="Times New Roman" w:cs="Times New Roman"/>
          <w:sz w:val="24"/>
          <w:szCs w:val="24"/>
          <w:shd w:val="clear" w:color="auto" w:fill="FFFFFF"/>
          <w:lang w:val="sr-Cyrl-CS"/>
        </w:rPr>
        <w:t xml:space="preserve">   </w:t>
      </w:r>
    </w:p>
    <w:p w14:paraId="651769EB" w14:textId="77777777" w:rsidR="00EF2CB2" w:rsidRPr="00221978" w:rsidRDefault="00EF2CB2" w:rsidP="00D31394">
      <w:pPr>
        <w:spacing w:after="0" w:line="240" w:lineRule="auto"/>
        <w:jc w:val="both"/>
        <w:rPr>
          <w:rFonts w:ascii="Times New Roman" w:hAnsi="Times New Roman" w:cs="Times New Roman"/>
          <w:sz w:val="24"/>
          <w:szCs w:val="24"/>
          <w:lang w:val="sr-Cyrl-CS"/>
        </w:rPr>
      </w:pPr>
    </w:p>
    <w:tbl>
      <w:tblPr>
        <w:tblW w:w="5000" w:type="pct"/>
        <w:tblLayout w:type="fixed"/>
        <w:tblLook w:val="04A0" w:firstRow="1" w:lastRow="0" w:firstColumn="1" w:lastColumn="0" w:noHBand="0" w:noVBand="1"/>
      </w:tblPr>
      <w:tblGrid>
        <w:gridCol w:w="4459"/>
        <w:gridCol w:w="816"/>
        <w:gridCol w:w="816"/>
        <w:gridCol w:w="816"/>
        <w:gridCol w:w="816"/>
        <w:gridCol w:w="816"/>
        <w:gridCol w:w="816"/>
      </w:tblGrid>
      <w:tr w:rsidR="00D31394" w:rsidRPr="00221978" w14:paraId="04B779AF" w14:textId="77777777" w:rsidTr="00856EFB">
        <w:trPr>
          <w:trHeight w:val="288"/>
        </w:trPr>
        <w:tc>
          <w:tcPr>
            <w:tcW w:w="2383" w:type="pct"/>
            <w:tcBorders>
              <w:top w:val="nil"/>
              <w:left w:val="nil"/>
              <w:bottom w:val="nil"/>
              <w:right w:val="nil"/>
            </w:tcBorders>
            <w:shd w:val="clear" w:color="auto" w:fill="auto"/>
            <w:noWrap/>
            <w:vAlign w:val="bottom"/>
            <w:hideMark/>
          </w:tcPr>
          <w:p w14:paraId="7FC92630" w14:textId="77777777" w:rsidR="00D31394" w:rsidRPr="00221978" w:rsidRDefault="00D31394" w:rsidP="00856EFB">
            <w:pPr>
              <w:spacing w:after="0"/>
              <w:jc w:val="right"/>
              <w:rPr>
                <w:rFonts w:ascii="Times New Roman" w:eastAsia="Times New Roman" w:hAnsi="Times New Roman" w:cs="Times New Roman"/>
                <w:b/>
                <w:color w:val="000000"/>
                <w:sz w:val="20"/>
                <w:szCs w:val="20"/>
                <w:lang w:val="sr-Cyrl-CS" w:eastAsia="en-GB"/>
              </w:rPr>
            </w:pPr>
            <w:r w:rsidRPr="00221978">
              <w:rPr>
                <w:rFonts w:ascii="Times New Roman" w:eastAsia="Times New Roman" w:hAnsi="Times New Roman" w:cs="Times New Roman"/>
                <w:b/>
                <w:color w:val="000000"/>
                <w:sz w:val="20"/>
                <w:szCs w:val="20"/>
                <w:lang w:val="sr-Cyrl-CS" w:eastAsia="en-GB"/>
              </w:rPr>
              <w:t>Документи јавних политика, укупно процењена средства по годинама</w:t>
            </w:r>
          </w:p>
          <w:p w14:paraId="62CB0808" w14:textId="77777777" w:rsidR="00D31394" w:rsidRPr="00221978" w:rsidRDefault="00D31394" w:rsidP="00856EFB">
            <w:pPr>
              <w:spacing w:after="0"/>
              <w:jc w:val="right"/>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color w:val="000000"/>
                <w:sz w:val="20"/>
                <w:szCs w:val="20"/>
                <w:lang w:val="sr-Cyrl-CS" w:eastAsia="en-GB"/>
              </w:rPr>
              <w:t xml:space="preserve"> </w:t>
            </w:r>
            <w:r w:rsidRPr="00221978">
              <w:rPr>
                <w:rFonts w:ascii="Times New Roman" w:eastAsia="Times New Roman" w:hAnsi="Times New Roman" w:cs="Times New Roman"/>
                <w:b/>
                <w:bCs/>
                <w:color w:val="000000"/>
                <w:sz w:val="20"/>
                <w:szCs w:val="20"/>
                <w:lang w:val="sr-Cyrl-CS" w:eastAsia="en-GB"/>
              </w:rPr>
              <w:t>у хиљадама РСД</w:t>
            </w:r>
            <w:r w:rsidRPr="00221978">
              <w:rPr>
                <w:rFonts w:ascii="Times New Roman" w:eastAsia="Times New Roman" w:hAnsi="Times New Roman" w:cs="Times New Roman"/>
                <w:b/>
                <w:color w:val="000000"/>
                <w:sz w:val="20"/>
                <w:szCs w:val="20"/>
                <w:lang w:val="sr-Cyrl-CS" w:eastAsia="en-GB"/>
              </w:rPr>
              <w:t xml:space="preserve"> </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FF9D8" w14:textId="77777777" w:rsidR="00D31394" w:rsidRPr="00221978" w:rsidRDefault="00D31394" w:rsidP="00856EFB">
            <w:pPr>
              <w:spacing w:after="0"/>
              <w:jc w:val="center"/>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2021.</w:t>
            </w:r>
          </w:p>
        </w:tc>
        <w:tc>
          <w:tcPr>
            <w:tcW w:w="436" w:type="pct"/>
            <w:tcBorders>
              <w:top w:val="single" w:sz="4" w:space="0" w:color="auto"/>
              <w:left w:val="nil"/>
              <w:bottom w:val="single" w:sz="4" w:space="0" w:color="auto"/>
              <w:right w:val="single" w:sz="4" w:space="0" w:color="auto"/>
            </w:tcBorders>
            <w:shd w:val="clear" w:color="auto" w:fill="auto"/>
            <w:noWrap/>
            <w:vAlign w:val="bottom"/>
            <w:hideMark/>
          </w:tcPr>
          <w:p w14:paraId="74208C43" w14:textId="77777777" w:rsidR="00D31394" w:rsidRPr="00221978" w:rsidRDefault="00D31394" w:rsidP="00856EFB">
            <w:pPr>
              <w:spacing w:after="0"/>
              <w:jc w:val="center"/>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2022.</w:t>
            </w:r>
          </w:p>
        </w:tc>
        <w:tc>
          <w:tcPr>
            <w:tcW w:w="436" w:type="pct"/>
            <w:tcBorders>
              <w:top w:val="single" w:sz="4" w:space="0" w:color="auto"/>
              <w:left w:val="nil"/>
              <w:bottom w:val="single" w:sz="4" w:space="0" w:color="auto"/>
              <w:right w:val="single" w:sz="4" w:space="0" w:color="auto"/>
            </w:tcBorders>
            <w:shd w:val="clear" w:color="auto" w:fill="auto"/>
            <w:noWrap/>
            <w:vAlign w:val="bottom"/>
            <w:hideMark/>
          </w:tcPr>
          <w:p w14:paraId="1FB1DA68" w14:textId="77777777" w:rsidR="00D31394" w:rsidRPr="00221978" w:rsidRDefault="00D31394" w:rsidP="00856EFB">
            <w:pPr>
              <w:spacing w:after="0"/>
              <w:jc w:val="center"/>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2023.</w:t>
            </w:r>
          </w:p>
        </w:tc>
        <w:tc>
          <w:tcPr>
            <w:tcW w:w="436" w:type="pct"/>
            <w:tcBorders>
              <w:top w:val="single" w:sz="4" w:space="0" w:color="auto"/>
              <w:left w:val="nil"/>
              <w:bottom w:val="single" w:sz="4" w:space="0" w:color="auto"/>
              <w:right w:val="single" w:sz="4" w:space="0" w:color="auto"/>
            </w:tcBorders>
            <w:shd w:val="clear" w:color="auto" w:fill="auto"/>
            <w:noWrap/>
            <w:vAlign w:val="bottom"/>
            <w:hideMark/>
          </w:tcPr>
          <w:p w14:paraId="05148933" w14:textId="77777777" w:rsidR="00D31394" w:rsidRPr="00221978" w:rsidRDefault="00D31394" w:rsidP="00856EFB">
            <w:pPr>
              <w:spacing w:after="0"/>
              <w:jc w:val="center"/>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2024.</w:t>
            </w:r>
          </w:p>
        </w:tc>
        <w:tc>
          <w:tcPr>
            <w:tcW w:w="436" w:type="pct"/>
            <w:tcBorders>
              <w:top w:val="single" w:sz="4" w:space="0" w:color="auto"/>
              <w:left w:val="nil"/>
              <w:bottom w:val="single" w:sz="4" w:space="0" w:color="auto"/>
              <w:right w:val="single" w:sz="4" w:space="0" w:color="auto"/>
            </w:tcBorders>
            <w:shd w:val="clear" w:color="auto" w:fill="auto"/>
            <w:noWrap/>
            <w:vAlign w:val="bottom"/>
            <w:hideMark/>
          </w:tcPr>
          <w:p w14:paraId="7FE00C97" w14:textId="77777777" w:rsidR="00D31394" w:rsidRPr="00221978" w:rsidRDefault="00D31394" w:rsidP="00856EFB">
            <w:pPr>
              <w:spacing w:after="0"/>
              <w:jc w:val="center"/>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2025.</w:t>
            </w:r>
          </w:p>
        </w:tc>
        <w:tc>
          <w:tcPr>
            <w:tcW w:w="436" w:type="pct"/>
            <w:tcBorders>
              <w:top w:val="single" w:sz="4" w:space="0" w:color="auto"/>
              <w:left w:val="nil"/>
              <w:bottom w:val="single" w:sz="4" w:space="0" w:color="auto"/>
              <w:right w:val="single" w:sz="4" w:space="0" w:color="auto"/>
            </w:tcBorders>
            <w:shd w:val="clear" w:color="auto" w:fill="auto"/>
            <w:noWrap/>
            <w:vAlign w:val="bottom"/>
            <w:hideMark/>
          </w:tcPr>
          <w:p w14:paraId="514FFD5B" w14:textId="77777777" w:rsidR="00D31394" w:rsidRPr="00221978" w:rsidRDefault="00D31394" w:rsidP="00856EFB">
            <w:pPr>
              <w:spacing w:after="0"/>
              <w:jc w:val="center"/>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ТОТАЛ</w:t>
            </w:r>
          </w:p>
        </w:tc>
      </w:tr>
      <w:tr w:rsidR="00D31394" w:rsidRPr="00221978" w14:paraId="0A1EE4B4" w14:textId="77777777" w:rsidTr="00856EFB">
        <w:trPr>
          <w:trHeight w:val="553"/>
        </w:trPr>
        <w:tc>
          <w:tcPr>
            <w:tcW w:w="2383" w:type="pct"/>
            <w:tcBorders>
              <w:top w:val="single" w:sz="4" w:space="0" w:color="auto"/>
              <w:left w:val="single" w:sz="4" w:space="0" w:color="auto"/>
              <w:bottom w:val="single" w:sz="4" w:space="0" w:color="auto"/>
              <w:right w:val="single" w:sz="4" w:space="0" w:color="auto"/>
            </w:tcBorders>
            <w:shd w:val="clear" w:color="auto" w:fill="E7E6E6"/>
            <w:hideMark/>
          </w:tcPr>
          <w:p w14:paraId="0DC3D816" w14:textId="6CE0A3D8" w:rsidR="00D31394" w:rsidRPr="00221978" w:rsidRDefault="00D31394" w:rsidP="00856EFB">
            <w:pPr>
              <w:spacing w:after="0"/>
              <w:jc w:val="both"/>
              <w:rPr>
                <w:rFonts w:ascii="Times New Roman" w:eastAsia="Times New Roman" w:hAnsi="Times New Roman" w:cs="Times New Roman"/>
                <w:b/>
                <w:bCs/>
                <w:color w:val="000000"/>
                <w:sz w:val="20"/>
                <w:szCs w:val="20"/>
                <w:lang w:val="sr-Cyrl-CS" w:eastAsia="en-GB"/>
              </w:rPr>
            </w:pPr>
            <w:r w:rsidRPr="00221978">
              <w:rPr>
                <w:rFonts w:ascii="Times New Roman" w:hAnsi="Times New Roman" w:cs="Times New Roman"/>
                <w:sz w:val="20"/>
                <w:szCs w:val="20"/>
                <w:lang w:val="sr-Cyrl-CS" w:eastAsia="en-GB"/>
              </w:rPr>
              <w:t xml:space="preserve">Акциони план за период од 2021. до 2025. године за спровођење Стратегије реформе јавне управе у Републици Србији за период од 2021. до 2030. </w:t>
            </w:r>
            <w:r w:rsidR="004620A9" w:rsidRPr="00221978">
              <w:rPr>
                <w:rFonts w:ascii="Times New Roman" w:hAnsi="Times New Roman" w:cs="Times New Roman"/>
                <w:sz w:val="20"/>
                <w:szCs w:val="20"/>
                <w:lang w:val="sr-Cyrl-CS" w:eastAsia="en-GB"/>
              </w:rPr>
              <w:t>године</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2D458F99" w14:textId="77777777" w:rsidR="00D31394" w:rsidRPr="00221978" w:rsidRDefault="00D31394" w:rsidP="00856EFB">
            <w:pPr>
              <w:spacing w:after="0"/>
              <w:jc w:val="right"/>
              <w:rPr>
                <w:rFonts w:ascii="Times New Roman" w:eastAsia="Times New Roman" w:hAnsi="Times New Roman" w:cs="Times New Roman"/>
                <w:bCs/>
                <w:color w:val="000000"/>
                <w:sz w:val="20"/>
                <w:szCs w:val="20"/>
                <w:lang w:val="sr-Cyrl-CS" w:eastAsia="en-GB"/>
              </w:rPr>
            </w:pPr>
            <w:r w:rsidRPr="00221978">
              <w:rPr>
                <w:rFonts w:ascii="Times New Roman" w:eastAsia="Times New Roman" w:hAnsi="Times New Roman" w:cs="Times New Roman"/>
                <w:bCs/>
                <w:color w:val="000000"/>
                <w:sz w:val="20"/>
                <w:szCs w:val="20"/>
                <w:lang w:val="sr-Cyrl-CS" w:eastAsia="en-GB"/>
              </w:rPr>
              <w:t>303,438.07</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60A29E9F" w14:textId="77777777" w:rsidR="00D31394" w:rsidRPr="00221978" w:rsidRDefault="00D31394" w:rsidP="00856EFB">
            <w:pPr>
              <w:spacing w:after="0"/>
              <w:jc w:val="right"/>
              <w:rPr>
                <w:rFonts w:ascii="Times New Roman" w:eastAsia="Times New Roman" w:hAnsi="Times New Roman" w:cs="Times New Roman"/>
                <w:bCs/>
                <w:color w:val="000000"/>
                <w:sz w:val="20"/>
                <w:szCs w:val="20"/>
                <w:lang w:val="sr-Cyrl-CS" w:eastAsia="en-GB"/>
              </w:rPr>
            </w:pPr>
            <w:r w:rsidRPr="00221978">
              <w:rPr>
                <w:rFonts w:ascii="Times New Roman" w:eastAsia="Times New Roman" w:hAnsi="Times New Roman" w:cs="Times New Roman"/>
                <w:bCs/>
                <w:color w:val="000000"/>
                <w:sz w:val="20"/>
                <w:szCs w:val="20"/>
                <w:lang w:val="sr-Cyrl-CS" w:eastAsia="en-GB"/>
              </w:rPr>
              <w:t>538,435.02</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59AC22E3" w14:textId="77777777" w:rsidR="00D31394" w:rsidRPr="00221978" w:rsidRDefault="00D31394" w:rsidP="00856EFB">
            <w:pPr>
              <w:spacing w:after="0"/>
              <w:jc w:val="right"/>
              <w:rPr>
                <w:rFonts w:ascii="Times New Roman" w:eastAsia="Times New Roman" w:hAnsi="Times New Roman" w:cs="Times New Roman"/>
                <w:bCs/>
                <w:color w:val="000000"/>
                <w:sz w:val="20"/>
                <w:szCs w:val="20"/>
                <w:lang w:val="sr-Cyrl-CS" w:eastAsia="en-GB"/>
              </w:rPr>
            </w:pPr>
            <w:r w:rsidRPr="00221978">
              <w:rPr>
                <w:rFonts w:ascii="Times New Roman" w:eastAsia="Times New Roman" w:hAnsi="Times New Roman" w:cs="Times New Roman"/>
                <w:bCs/>
                <w:color w:val="000000"/>
                <w:sz w:val="20"/>
                <w:szCs w:val="20"/>
                <w:lang w:val="sr-Cyrl-CS" w:eastAsia="en-GB"/>
              </w:rPr>
              <w:t>416,739.86</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3BC3323C" w14:textId="77777777" w:rsidR="00D31394" w:rsidRPr="00221978" w:rsidRDefault="00D31394" w:rsidP="00856EFB">
            <w:pPr>
              <w:spacing w:after="0"/>
              <w:jc w:val="right"/>
              <w:rPr>
                <w:rFonts w:ascii="Times New Roman" w:eastAsia="Times New Roman" w:hAnsi="Times New Roman" w:cs="Times New Roman"/>
                <w:bCs/>
                <w:color w:val="000000"/>
                <w:sz w:val="20"/>
                <w:szCs w:val="20"/>
                <w:lang w:val="sr-Cyrl-CS" w:eastAsia="en-GB"/>
              </w:rPr>
            </w:pPr>
            <w:r w:rsidRPr="00221978">
              <w:rPr>
                <w:rFonts w:ascii="Times New Roman" w:eastAsia="Times New Roman" w:hAnsi="Times New Roman" w:cs="Times New Roman"/>
                <w:bCs/>
                <w:color w:val="000000"/>
                <w:sz w:val="20"/>
                <w:szCs w:val="20"/>
                <w:lang w:val="sr-Cyrl-CS" w:eastAsia="en-GB"/>
              </w:rPr>
              <w:t>258,146.68</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4A6B047C" w14:textId="77777777" w:rsidR="00D31394" w:rsidRPr="00221978" w:rsidRDefault="00D31394" w:rsidP="00856EFB">
            <w:pPr>
              <w:spacing w:after="0"/>
              <w:jc w:val="right"/>
              <w:rPr>
                <w:rFonts w:ascii="Times New Roman" w:eastAsia="Times New Roman" w:hAnsi="Times New Roman" w:cs="Times New Roman"/>
                <w:bCs/>
                <w:color w:val="000000"/>
                <w:sz w:val="20"/>
                <w:szCs w:val="20"/>
                <w:lang w:val="sr-Cyrl-CS" w:eastAsia="en-GB"/>
              </w:rPr>
            </w:pPr>
            <w:r w:rsidRPr="00221978">
              <w:rPr>
                <w:rFonts w:ascii="Times New Roman" w:eastAsia="Times New Roman" w:hAnsi="Times New Roman" w:cs="Times New Roman"/>
                <w:bCs/>
                <w:color w:val="000000"/>
                <w:sz w:val="20"/>
                <w:szCs w:val="20"/>
                <w:lang w:val="sr-Cyrl-CS" w:eastAsia="en-GB"/>
              </w:rPr>
              <w:t>583,923.02</w:t>
            </w:r>
          </w:p>
        </w:tc>
        <w:tc>
          <w:tcPr>
            <w:tcW w:w="436" w:type="pct"/>
            <w:tcBorders>
              <w:top w:val="nil"/>
              <w:left w:val="nil"/>
              <w:bottom w:val="single" w:sz="4" w:space="0" w:color="auto"/>
              <w:right w:val="single" w:sz="4" w:space="0" w:color="auto"/>
            </w:tcBorders>
            <w:shd w:val="clear" w:color="auto" w:fill="auto"/>
            <w:noWrap/>
            <w:vAlign w:val="bottom"/>
          </w:tcPr>
          <w:p w14:paraId="0697D6FA" w14:textId="77777777" w:rsidR="00D31394" w:rsidRPr="00221978" w:rsidRDefault="00D31394" w:rsidP="00856EFB">
            <w:pPr>
              <w:spacing w:after="0"/>
              <w:jc w:val="right"/>
              <w:rPr>
                <w:rFonts w:ascii="Times New Roman" w:eastAsia="Times New Roman" w:hAnsi="Times New Roman" w:cs="Times New Roman"/>
                <w:bCs/>
                <w:color w:val="000000"/>
                <w:sz w:val="20"/>
                <w:szCs w:val="20"/>
                <w:lang w:val="sr-Cyrl-CS" w:eastAsia="en-GB"/>
              </w:rPr>
            </w:pPr>
            <w:r w:rsidRPr="00221978">
              <w:rPr>
                <w:rFonts w:ascii="Times New Roman" w:eastAsia="Times New Roman" w:hAnsi="Times New Roman" w:cs="Times New Roman"/>
                <w:bCs/>
                <w:color w:val="000000"/>
                <w:sz w:val="20"/>
                <w:szCs w:val="20"/>
                <w:lang w:val="sr-Cyrl-CS" w:eastAsia="en-GB"/>
              </w:rPr>
              <w:t>2,100,682.66</w:t>
            </w:r>
          </w:p>
        </w:tc>
      </w:tr>
      <w:tr w:rsidR="00D31394" w:rsidRPr="00221978" w14:paraId="447BE5ED" w14:textId="77777777" w:rsidTr="00856EFB">
        <w:trPr>
          <w:trHeight w:val="482"/>
        </w:trPr>
        <w:tc>
          <w:tcPr>
            <w:tcW w:w="2383" w:type="pct"/>
            <w:tcBorders>
              <w:top w:val="nil"/>
              <w:left w:val="single" w:sz="4" w:space="0" w:color="auto"/>
              <w:bottom w:val="single" w:sz="4" w:space="0" w:color="auto"/>
              <w:right w:val="single" w:sz="4" w:space="0" w:color="auto"/>
            </w:tcBorders>
            <w:shd w:val="clear" w:color="auto" w:fill="E7E6E6"/>
            <w:hideMark/>
          </w:tcPr>
          <w:p w14:paraId="5E38837D" w14:textId="189E3577" w:rsidR="00D31394" w:rsidRPr="00221978" w:rsidRDefault="00D31394" w:rsidP="004620A9">
            <w:pPr>
              <w:spacing w:after="0"/>
              <w:jc w:val="both"/>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Програм реформе управљања јавним финансијама за период 2021-2025. годин</w:t>
            </w:r>
            <w:r w:rsidR="004620A9" w:rsidRPr="00221978">
              <w:rPr>
                <w:rFonts w:ascii="Times New Roman" w:eastAsia="Times New Roman" w:hAnsi="Times New Roman" w:cs="Times New Roman"/>
                <w:color w:val="000000"/>
                <w:sz w:val="20"/>
                <w:szCs w:val="20"/>
                <w:lang w:val="sr-Cyrl-CS" w:eastAsia="en-GB"/>
              </w:rPr>
              <w:t>е</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391931CB"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1,643,827.8</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16981B5B"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1,646,658.2</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645E2708"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1,874,336.2</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0B0C47DC"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1,694,122.6</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712D7040"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890,532.9</w:t>
            </w:r>
          </w:p>
        </w:tc>
        <w:tc>
          <w:tcPr>
            <w:tcW w:w="436" w:type="pct"/>
            <w:tcBorders>
              <w:top w:val="nil"/>
              <w:left w:val="nil"/>
              <w:bottom w:val="single" w:sz="4" w:space="0" w:color="auto"/>
              <w:right w:val="single" w:sz="4" w:space="0" w:color="auto"/>
            </w:tcBorders>
            <w:shd w:val="clear" w:color="auto" w:fill="auto"/>
            <w:noWrap/>
            <w:vAlign w:val="bottom"/>
          </w:tcPr>
          <w:p w14:paraId="77384354"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7,749,477.7</w:t>
            </w:r>
          </w:p>
        </w:tc>
      </w:tr>
      <w:tr w:rsidR="00D31394" w:rsidRPr="00221978" w14:paraId="62D8D72A" w14:textId="77777777" w:rsidTr="00856EFB">
        <w:trPr>
          <w:trHeight w:val="408"/>
        </w:trPr>
        <w:tc>
          <w:tcPr>
            <w:tcW w:w="2383" w:type="pct"/>
            <w:tcBorders>
              <w:top w:val="nil"/>
              <w:left w:val="single" w:sz="4" w:space="0" w:color="auto"/>
              <w:bottom w:val="single" w:sz="4" w:space="0" w:color="auto"/>
              <w:right w:val="single" w:sz="4" w:space="0" w:color="auto"/>
            </w:tcBorders>
            <w:shd w:val="clear" w:color="auto" w:fill="E7E6E6"/>
            <w:hideMark/>
          </w:tcPr>
          <w:p w14:paraId="60308B0A" w14:textId="218E37BA" w:rsidR="00D31394" w:rsidRPr="00221978" w:rsidRDefault="00D31394" w:rsidP="00856EFB">
            <w:pPr>
              <w:spacing w:after="0"/>
              <w:jc w:val="both"/>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 xml:space="preserve">Програм унапређења управљања јавним политикама и регулаторном реформом за период 2021-2025. </w:t>
            </w:r>
            <w:r w:rsidR="004620A9" w:rsidRPr="00221978">
              <w:rPr>
                <w:rFonts w:ascii="Times New Roman" w:eastAsia="Times New Roman" w:hAnsi="Times New Roman" w:cs="Times New Roman"/>
                <w:color w:val="000000"/>
                <w:sz w:val="20"/>
                <w:szCs w:val="20"/>
                <w:lang w:val="sr-Cyrl-CS" w:eastAsia="en-GB"/>
              </w:rPr>
              <w:t>године</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4152E596"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29,323.00</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243E7500"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145,981.3</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0B1B3BBF"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127,039.02</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2ECFD173"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115,212.02</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75A2F20E"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121,390.66</w:t>
            </w:r>
          </w:p>
        </w:tc>
        <w:tc>
          <w:tcPr>
            <w:tcW w:w="436" w:type="pct"/>
            <w:tcBorders>
              <w:top w:val="nil"/>
              <w:left w:val="nil"/>
              <w:bottom w:val="single" w:sz="4" w:space="0" w:color="auto"/>
              <w:right w:val="single" w:sz="4" w:space="0" w:color="auto"/>
            </w:tcBorders>
            <w:shd w:val="clear" w:color="auto" w:fill="auto"/>
            <w:noWrap/>
            <w:vAlign w:val="bottom"/>
          </w:tcPr>
          <w:p w14:paraId="072CF5A8"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538,946.00</w:t>
            </w:r>
          </w:p>
        </w:tc>
      </w:tr>
      <w:tr w:rsidR="00D31394" w:rsidRPr="00221978" w14:paraId="18D4673C" w14:textId="77777777" w:rsidTr="00856EFB">
        <w:trPr>
          <w:trHeight w:val="408"/>
        </w:trPr>
        <w:tc>
          <w:tcPr>
            <w:tcW w:w="2383" w:type="pct"/>
            <w:tcBorders>
              <w:top w:val="nil"/>
              <w:left w:val="single" w:sz="4" w:space="0" w:color="auto"/>
              <w:bottom w:val="single" w:sz="4" w:space="0" w:color="auto"/>
              <w:right w:val="single" w:sz="4" w:space="0" w:color="auto"/>
            </w:tcBorders>
            <w:shd w:val="clear" w:color="auto" w:fill="E7E6E6"/>
          </w:tcPr>
          <w:p w14:paraId="33C35BBF" w14:textId="5D1052EC" w:rsidR="00D31394" w:rsidRPr="00221978" w:rsidRDefault="00D31394" w:rsidP="00856EFB">
            <w:pPr>
              <w:spacing w:after="0"/>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 xml:space="preserve">Акциони план за период 2021. до 2023. година Програма за реформу система локалне самоуправе за период 2021-2025. </w:t>
            </w:r>
            <w:r w:rsidR="004620A9" w:rsidRPr="00221978">
              <w:rPr>
                <w:rFonts w:ascii="Times New Roman" w:eastAsia="Times New Roman" w:hAnsi="Times New Roman" w:cs="Times New Roman"/>
                <w:color w:val="000000"/>
                <w:sz w:val="20"/>
                <w:szCs w:val="20"/>
                <w:lang w:val="sr-Cyrl-CS" w:eastAsia="en-GB"/>
              </w:rPr>
              <w:t>године</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68A38108"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276,884.31</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6399F728"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269,579.92</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24AB9EE9"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265,567.89</w:t>
            </w: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66FC2144" w14:textId="77777777" w:rsidR="00D31394" w:rsidRPr="00221978" w:rsidRDefault="00D31394" w:rsidP="00856EFB">
            <w:pPr>
              <w:spacing w:after="0"/>
              <w:jc w:val="center"/>
              <w:rPr>
                <w:rFonts w:ascii="Times New Roman" w:eastAsia="Times New Roman" w:hAnsi="Times New Roman" w:cs="Times New Roman"/>
                <w:color w:val="000000"/>
                <w:sz w:val="20"/>
                <w:szCs w:val="20"/>
                <w:lang w:val="sr-Cyrl-CS" w:eastAsia="en-GB"/>
              </w:rPr>
            </w:pPr>
          </w:p>
        </w:tc>
        <w:tc>
          <w:tcPr>
            <w:tcW w:w="436" w:type="pct"/>
            <w:tcBorders>
              <w:top w:val="single" w:sz="4" w:space="0" w:color="auto"/>
              <w:left w:val="nil"/>
              <w:bottom w:val="single" w:sz="4" w:space="0" w:color="auto"/>
              <w:right w:val="single" w:sz="4" w:space="0" w:color="auto"/>
            </w:tcBorders>
            <w:shd w:val="clear" w:color="auto" w:fill="auto"/>
            <w:noWrap/>
            <w:vAlign w:val="bottom"/>
          </w:tcPr>
          <w:p w14:paraId="719518A0" w14:textId="77777777" w:rsidR="00D31394" w:rsidRPr="00221978" w:rsidRDefault="00D31394" w:rsidP="00856EFB">
            <w:pPr>
              <w:spacing w:after="0"/>
              <w:jc w:val="center"/>
              <w:rPr>
                <w:rFonts w:ascii="Times New Roman" w:eastAsia="Times New Roman" w:hAnsi="Times New Roman" w:cs="Times New Roman"/>
                <w:color w:val="000000"/>
                <w:sz w:val="20"/>
                <w:szCs w:val="20"/>
                <w:lang w:val="sr-Cyrl-CS" w:eastAsia="en-GB"/>
              </w:rPr>
            </w:pPr>
          </w:p>
        </w:tc>
        <w:tc>
          <w:tcPr>
            <w:tcW w:w="436" w:type="pct"/>
            <w:tcBorders>
              <w:top w:val="nil"/>
              <w:left w:val="nil"/>
              <w:bottom w:val="single" w:sz="4" w:space="0" w:color="auto"/>
              <w:right w:val="single" w:sz="4" w:space="0" w:color="auto"/>
            </w:tcBorders>
            <w:shd w:val="clear" w:color="auto" w:fill="auto"/>
            <w:noWrap/>
            <w:vAlign w:val="bottom"/>
          </w:tcPr>
          <w:p w14:paraId="7FDE93AE"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812,032.13</w:t>
            </w:r>
          </w:p>
        </w:tc>
      </w:tr>
      <w:tr w:rsidR="00D31394" w:rsidRPr="00221978" w14:paraId="25F911C5" w14:textId="77777777" w:rsidTr="00856EFB">
        <w:trPr>
          <w:trHeight w:val="312"/>
        </w:trPr>
        <w:tc>
          <w:tcPr>
            <w:tcW w:w="2383" w:type="pct"/>
            <w:tcBorders>
              <w:top w:val="nil"/>
              <w:left w:val="single" w:sz="4" w:space="0" w:color="auto"/>
              <w:bottom w:val="single" w:sz="4" w:space="0" w:color="auto"/>
              <w:right w:val="single" w:sz="4" w:space="0" w:color="auto"/>
            </w:tcBorders>
            <w:shd w:val="clear" w:color="F7C3AA" w:fill="D9D9D9"/>
            <w:hideMark/>
          </w:tcPr>
          <w:p w14:paraId="2789275D" w14:textId="77777777" w:rsidR="00D31394" w:rsidRPr="00221978" w:rsidRDefault="00D31394" w:rsidP="00856EFB">
            <w:pPr>
              <w:spacing w:after="0"/>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ТОТАЛ ПО ГОДИНАМА (у хиљадама РСД)</w:t>
            </w:r>
          </w:p>
        </w:tc>
        <w:tc>
          <w:tcPr>
            <w:tcW w:w="436" w:type="pct"/>
            <w:tcBorders>
              <w:top w:val="single" w:sz="4" w:space="0" w:color="auto"/>
              <w:left w:val="nil"/>
              <w:bottom w:val="single" w:sz="4" w:space="0" w:color="auto"/>
              <w:right w:val="single" w:sz="4" w:space="0" w:color="auto"/>
            </w:tcBorders>
            <w:shd w:val="clear" w:color="000000" w:fill="D9D9D9"/>
            <w:noWrap/>
            <w:vAlign w:val="bottom"/>
          </w:tcPr>
          <w:p w14:paraId="53B7E7F6" w14:textId="77777777" w:rsidR="00D31394" w:rsidRPr="00221978" w:rsidRDefault="00D31394" w:rsidP="00856EFB">
            <w:pPr>
              <w:spacing w:after="0"/>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2,253,473.18</w:t>
            </w:r>
          </w:p>
        </w:tc>
        <w:tc>
          <w:tcPr>
            <w:tcW w:w="436" w:type="pct"/>
            <w:tcBorders>
              <w:top w:val="single" w:sz="4" w:space="0" w:color="auto"/>
              <w:left w:val="nil"/>
              <w:bottom w:val="single" w:sz="4" w:space="0" w:color="auto"/>
              <w:right w:val="single" w:sz="4" w:space="0" w:color="auto"/>
            </w:tcBorders>
            <w:shd w:val="clear" w:color="000000" w:fill="D9D9D9"/>
            <w:noWrap/>
            <w:vAlign w:val="bottom"/>
          </w:tcPr>
          <w:p w14:paraId="514AA5A7" w14:textId="77777777" w:rsidR="00D31394" w:rsidRPr="00221978" w:rsidRDefault="00D31394" w:rsidP="00856EFB">
            <w:pPr>
              <w:spacing w:after="0"/>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2,600,654.44</w:t>
            </w:r>
          </w:p>
        </w:tc>
        <w:tc>
          <w:tcPr>
            <w:tcW w:w="436" w:type="pct"/>
            <w:tcBorders>
              <w:top w:val="single" w:sz="4" w:space="0" w:color="auto"/>
              <w:left w:val="nil"/>
              <w:bottom w:val="single" w:sz="4" w:space="0" w:color="auto"/>
              <w:right w:val="single" w:sz="4" w:space="0" w:color="auto"/>
            </w:tcBorders>
            <w:shd w:val="clear" w:color="000000" w:fill="D9D9D9"/>
            <w:noWrap/>
            <w:vAlign w:val="bottom"/>
          </w:tcPr>
          <w:p w14:paraId="37C1D6FA" w14:textId="77777777" w:rsidR="00D31394" w:rsidRPr="00221978" w:rsidRDefault="00D31394" w:rsidP="00856EFB">
            <w:pPr>
              <w:spacing w:after="0"/>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2,683,682.97</w:t>
            </w:r>
          </w:p>
        </w:tc>
        <w:tc>
          <w:tcPr>
            <w:tcW w:w="436" w:type="pct"/>
            <w:tcBorders>
              <w:top w:val="single" w:sz="4" w:space="0" w:color="auto"/>
              <w:left w:val="nil"/>
              <w:bottom w:val="single" w:sz="4" w:space="0" w:color="auto"/>
              <w:right w:val="single" w:sz="4" w:space="0" w:color="auto"/>
            </w:tcBorders>
            <w:shd w:val="clear" w:color="000000" w:fill="D9D9D9"/>
            <w:noWrap/>
            <w:vAlign w:val="bottom"/>
          </w:tcPr>
          <w:p w14:paraId="22611076" w14:textId="77777777" w:rsidR="00D31394" w:rsidRPr="00221978" w:rsidRDefault="00D31394" w:rsidP="00856EFB">
            <w:pPr>
              <w:spacing w:after="0"/>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2,067,481.3</w:t>
            </w:r>
          </w:p>
        </w:tc>
        <w:tc>
          <w:tcPr>
            <w:tcW w:w="436" w:type="pct"/>
            <w:tcBorders>
              <w:top w:val="single" w:sz="4" w:space="0" w:color="auto"/>
              <w:left w:val="nil"/>
              <w:bottom w:val="single" w:sz="4" w:space="0" w:color="auto"/>
              <w:right w:val="single" w:sz="4" w:space="0" w:color="auto"/>
            </w:tcBorders>
            <w:shd w:val="clear" w:color="000000" w:fill="D9D9D9"/>
            <w:noWrap/>
            <w:vAlign w:val="bottom"/>
          </w:tcPr>
          <w:p w14:paraId="00C137F7" w14:textId="77777777" w:rsidR="00D31394" w:rsidRPr="00221978" w:rsidRDefault="00D31394" w:rsidP="00856EFB">
            <w:pPr>
              <w:spacing w:after="0"/>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1,595,846.58</w:t>
            </w:r>
          </w:p>
        </w:tc>
        <w:tc>
          <w:tcPr>
            <w:tcW w:w="436" w:type="pct"/>
            <w:tcBorders>
              <w:top w:val="nil"/>
              <w:left w:val="nil"/>
              <w:bottom w:val="single" w:sz="4" w:space="0" w:color="auto"/>
              <w:right w:val="single" w:sz="4" w:space="0" w:color="auto"/>
            </w:tcBorders>
            <w:shd w:val="clear" w:color="000000" w:fill="D9D9D9"/>
            <w:noWrap/>
            <w:vAlign w:val="bottom"/>
          </w:tcPr>
          <w:p w14:paraId="0F8CC1F2" w14:textId="77777777" w:rsidR="00D31394" w:rsidRPr="00221978" w:rsidRDefault="00D31394" w:rsidP="00856EFB">
            <w:pPr>
              <w:spacing w:after="0"/>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11,201,138.48</w:t>
            </w:r>
          </w:p>
        </w:tc>
      </w:tr>
    </w:tbl>
    <w:p w14:paraId="5F2B8207" w14:textId="77777777" w:rsidR="00D31394" w:rsidRPr="00221978" w:rsidRDefault="00D31394" w:rsidP="00D31394">
      <w:pPr>
        <w:pStyle w:val="ListParagraph"/>
        <w:rPr>
          <w:rFonts w:ascii="Times New Roman" w:hAnsi="Times New Roman" w:cs="Times New Roman"/>
          <w:sz w:val="12"/>
          <w:szCs w:val="12"/>
          <w:lang w:val="sr-Cyrl-CS"/>
        </w:rPr>
      </w:pPr>
    </w:p>
    <w:tbl>
      <w:tblPr>
        <w:tblW w:w="5000" w:type="pct"/>
        <w:tblLayout w:type="fixed"/>
        <w:tblLook w:val="04A0" w:firstRow="1" w:lastRow="0" w:firstColumn="1" w:lastColumn="0" w:noHBand="0" w:noVBand="1"/>
      </w:tblPr>
      <w:tblGrid>
        <w:gridCol w:w="4478"/>
        <w:gridCol w:w="939"/>
        <w:gridCol w:w="1220"/>
        <w:gridCol w:w="7"/>
        <w:gridCol w:w="1293"/>
        <w:gridCol w:w="1418"/>
      </w:tblGrid>
      <w:tr w:rsidR="00D31394" w:rsidRPr="00221978" w14:paraId="0C380E0E" w14:textId="77777777" w:rsidTr="00824E47">
        <w:trPr>
          <w:trHeight w:val="288"/>
        </w:trPr>
        <w:tc>
          <w:tcPr>
            <w:tcW w:w="2393" w:type="pct"/>
            <w:tcBorders>
              <w:bottom w:val="single" w:sz="4" w:space="0" w:color="auto"/>
              <w:right w:val="single" w:sz="4" w:space="0" w:color="auto"/>
            </w:tcBorders>
            <w:shd w:val="clear" w:color="auto" w:fill="auto"/>
            <w:noWrap/>
            <w:vAlign w:val="bottom"/>
            <w:hideMark/>
          </w:tcPr>
          <w:p w14:paraId="2328255E" w14:textId="77777777" w:rsidR="00D31394" w:rsidRPr="00221978" w:rsidRDefault="00D31394" w:rsidP="00856EFB">
            <w:pPr>
              <w:spacing w:after="0"/>
              <w:jc w:val="right"/>
              <w:rPr>
                <w:rFonts w:ascii="Times New Roman" w:eastAsia="Times New Roman" w:hAnsi="Times New Roman" w:cs="Times New Roman"/>
                <w:b/>
                <w:color w:val="000000"/>
                <w:sz w:val="20"/>
                <w:szCs w:val="20"/>
                <w:lang w:val="sr-Cyrl-CS" w:eastAsia="en-GB"/>
              </w:rPr>
            </w:pPr>
            <w:r w:rsidRPr="00221978">
              <w:rPr>
                <w:rFonts w:ascii="Times New Roman" w:eastAsia="Times New Roman" w:hAnsi="Times New Roman" w:cs="Times New Roman"/>
                <w:b/>
                <w:color w:val="000000"/>
                <w:sz w:val="20"/>
                <w:szCs w:val="20"/>
                <w:lang w:val="sr-Cyrl-CS" w:eastAsia="en-GB"/>
              </w:rPr>
              <w:t xml:space="preserve"> Документи јавних политика, процењена средства по изворима финансирања, </w:t>
            </w:r>
            <w:r w:rsidRPr="00221978">
              <w:rPr>
                <w:rFonts w:ascii="Times New Roman" w:eastAsia="Times New Roman" w:hAnsi="Times New Roman" w:cs="Times New Roman"/>
                <w:b/>
                <w:bCs/>
                <w:color w:val="000000"/>
                <w:sz w:val="20"/>
                <w:szCs w:val="20"/>
                <w:lang w:val="sr-Cyrl-CS" w:eastAsia="en-GB"/>
              </w:rPr>
              <w:t>у хиљадама РСД</w:t>
            </w:r>
            <w:r w:rsidRPr="00221978">
              <w:rPr>
                <w:rFonts w:ascii="Times New Roman" w:eastAsia="Times New Roman" w:hAnsi="Times New Roman" w:cs="Times New Roman"/>
                <w:b/>
                <w:color w:val="000000"/>
                <w:sz w:val="20"/>
                <w:szCs w:val="20"/>
                <w:lang w:val="sr-Cyrl-CS" w:eastAsia="en-GB"/>
              </w:rPr>
              <w:t xml:space="preserve"> </w:t>
            </w:r>
          </w:p>
        </w:tc>
        <w:tc>
          <w:tcPr>
            <w:tcW w:w="1158" w:type="pct"/>
            <w:gridSpan w:val="3"/>
            <w:tcBorders>
              <w:top w:val="single" w:sz="4" w:space="0" w:color="auto"/>
              <w:left w:val="nil"/>
              <w:bottom w:val="single" w:sz="4" w:space="0" w:color="auto"/>
              <w:right w:val="single" w:sz="4" w:space="0" w:color="auto"/>
            </w:tcBorders>
            <w:shd w:val="clear" w:color="auto" w:fill="auto"/>
            <w:noWrap/>
            <w:vAlign w:val="bottom"/>
            <w:hideMark/>
          </w:tcPr>
          <w:p w14:paraId="562E48A2" w14:textId="77777777" w:rsidR="00D31394" w:rsidRPr="00221978" w:rsidRDefault="00D31394" w:rsidP="00856EFB">
            <w:pPr>
              <w:spacing w:after="0"/>
              <w:jc w:val="center"/>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Буџет РС</w:t>
            </w:r>
          </w:p>
        </w:tc>
        <w:tc>
          <w:tcPr>
            <w:tcW w:w="1449" w:type="pct"/>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8A5659D" w14:textId="77777777" w:rsidR="00D31394" w:rsidRPr="00221978" w:rsidRDefault="00D31394" w:rsidP="00856EFB">
            <w:pPr>
              <w:spacing w:after="0"/>
              <w:jc w:val="center"/>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Донаторска подршка</w:t>
            </w:r>
          </w:p>
        </w:tc>
      </w:tr>
      <w:tr w:rsidR="00D31394" w:rsidRPr="00221978" w14:paraId="30107F3F" w14:textId="77777777" w:rsidTr="0032052B">
        <w:trPr>
          <w:trHeight w:val="885"/>
        </w:trPr>
        <w:tc>
          <w:tcPr>
            <w:tcW w:w="23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FF6A4" w14:textId="77777777" w:rsidR="00D31394" w:rsidRPr="00221978" w:rsidRDefault="00D31394" w:rsidP="00856EFB">
            <w:pPr>
              <w:spacing w:after="0"/>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 </w:t>
            </w:r>
          </w:p>
        </w:tc>
        <w:tc>
          <w:tcPr>
            <w:tcW w:w="5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5DD54" w14:textId="77777777" w:rsidR="00D31394" w:rsidRPr="00221978" w:rsidRDefault="00D31394" w:rsidP="00856EFB">
            <w:pPr>
              <w:spacing w:after="0"/>
              <w:jc w:val="center"/>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Обезбеђено</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A89AA2" w14:textId="77777777" w:rsidR="00D31394" w:rsidRPr="00221978" w:rsidRDefault="00D31394" w:rsidP="00856EFB">
            <w:pPr>
              <w:spacing w:after="0"/>
              <w:jc w:val="center"/>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Условно обезбеђено</w:t>
            </w:r>
          </w:p>
        </w:tc>
        <w:tc>
          <w:tcPr>
            <w:tcW w:w="69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11EC2" w14:textId="77777777" w:rsidR="00D31394" w:rsidRPr="00221978" w:rsidRDefault="00D31394" w:rsidP="00856EFB">
            <w:pPr>
              <w:spacing w:after="0"/>
              <w:jc w:val="center"/>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Обезбеђено</w:t>
            </w:r>
          </w:p>
        </w:tc>
        <w:tc>
          <w:tcPr>
            <w:tcW w:w="7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45AD26" w14:textId="77777777" w:rsidR="00D31394" w:rsidRPr="00221978" w:rsidRDefault="00D31394" w:rsidP="00856EFB">
            <w:pPr>
              <w:spacing w:after="0"/>
              <w:jc w:val="center"/>
              <w:rPr>
                <w:rFonts w:ascii="Times New Roman" w:eastAsia="Times New Roman" w:hAnsi="Times New Roman" w:cs="Times New Roman"/>
                <w:b/>
                <w:bCs/>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Условно обезбеђено</w:t>
            </w:r>
          </w:p>
        </w:tc>
      </w:tr>
      <w:tr w:rsidR="00D31394" w:rsidRPr="00221978" w14:paraId="48DD6529" w14:textId="77777777" w:rsidTr="0032052B">
        <w:trPr>
          <w:trHeight w:val="465"/>
        </w:trPr>
        <w:tc>
          <w:tcPr>
            <w:tcW w:w="2393" w:type="pct"/>
            <w:tcBorders>
              <w:top w:val="single" w:sz="4" w:space="0" w:color="auto"/>
              <w:left w:val="single" w:sz="4" w:space="0" w:color="auto"/>
              <w:bottom w:val="single" w:sz="4" w:space="0" w:color="auto"/>
              <w:right w:val="single" w:sz="4" w:space="0" w:color="auto"/>
            </w:tcBorders>
            <w:shd w:val="clear" w:color="auto" w:fill="F2F2F2"/>
            <w:noWrap/>
            <w:hideMark/>
          </w:tcPr>
          <w:p w14:paraId="03EE68C9" w14:textId="7D1CE350" w:rsidR="00D31394" w:rsidRPr="00221978" w:rsidRDefault="00D31394" w:rsidP="00856EFB">
            <w:pPr>
              <w:spacing w:after="0"/>
              <w:jc w:val="both"/>
              <w:rPr>
                <w:rFonts w:ascii="Times New Roman" w:eastAsia="Times New Roman" w:hAnsi="Times New Roman" w:cs="Times New Roman"/>
                <w:b/>
                <w:bCs/>
                <w:color w:val="000000"/>
                <w:sz w:val="20"/>
                <w:szCs w:val="20"/>
                <w:lang w:val="sr-Cyrl-CS" w:eastAsia="en-GB"/>
              </w:rPr>
            </w:pPr>
            <w:r w:rsidRPr="00221978">
              <w:rPr>
                <w:rFonts w:ascii="Times New Roman" w:hAnsi="Times New Roman" w:cs="Times New Roman"/>
                <w:sz w:val="20"/>
                <w:szCs w:val="20"/>
                <w:lang w:val="sr-Cyrl-CS" w:eastAsia="en-GB"/>
              </w:rPr>
              <w:t xml:space="preserve">Акциони план за период од 2021. до 2025. године за спровођење Стратегије РЈУ за период од 2021. до 2030. </w:t>
            </w:r>
            <w:r w:rsidR="004620A9" w:rsidRPr="00221978">
              <w:rPr>
                <w:rFonts w:ascii="Times New Roman" w:hAnsi="Times New Roman" w:cs="Times New Roman"/>
                <w:sz w:val="20"/>
                <w:szCs w:val="20"/>
                <w:lang w:val="sr-Cyrl-CS" w:eastAsia="en-GB"/>
              </w:rPr>
              <w:t>године</w:t>
            </w:r>
          </w:p>
        </w:tc>
        <w:tc>
          <w:tcPr>
            <w:tcW w:w="502" w:type="pct"/>
            <w:tcBorders>
              <w:top w:val="single" w:sz="4" w:space="0" w:color="auto"/>
              <w:left w:val="single" w:sz="4" w:space="0" w:color="auto"/>
              <w:bottom w:val="single" w:sz="4" w:space="0" w:color="auto"/>
              <w:right w:val="single" w:sz="4" w:space="0" w:color="auto"/>
            </w:tcBorders>
            <w:shd w:val="clear" w:color="auto" w:fill="F2F2F2"/>
            <w:noWrap/>
            <w:vAlign w:val="bottom"/>
          </w:tcPr>
          <w:p w14:paraId="6C3692C6" w14:textId="77777777" w:rsidR="00D31394" w:rsidRPr="00221978" w:rsidRDefault="00D31394" w:rsidP="00856EFB">
            <w:pPr>
              <w:spacing w:after="0"/>
              <w:jc w:val="right"/>
              <w:rPr>
                <w:rFonts w:ascii="Times New Roman" w:eastAsia="Times New Roman" w:hAnsi="Times New Roman" w:cs="Times New Roman"/>
                <w:bCs/>
                <w:color w:val="000000"/>
                <w:sz w:val="20"/>
                <w:szCs w:val="20"/>
                <w:lang w:val="sr-Cyrl-CS" w:eastAsia="en-GB"/>
              </w:rPr>
            </w:pPr>
            <w:r w:rsidRPr="00221978">
              <w:rPr>
                <w:rFonts w:ascii="Times New Roman" w:eastAsia="Times New Roman" w:hAnsi="Times New Roman" w:cs="Times New Roman"/>
                <w:bCs/>
                <w:color w:val="000000"/>
                <w:sz w:val="20"/>
                <w:szCs w:val="20"/>
                <w:lang w:val="sr-Cyrl-CS" w:eastAsia="en-GB"/>
              </w:rPr>
              <w:t>133,685.00</w:t>
            </w:r>
          </w:p>
        </w:tc>
        <w:tc>
          <w:tcPr>
            <w:tcW w:w="652" w:type="pct"/>
            <w:tcBorders>
              <w:top w:val="single" w:sz="4" w:space="0" w:color="auto"/>
              <w:left w:val="single" w:sz="4" w:space="0" w:color="auto"/>
              <w:bottom w:val="single" w:sz="4" w:space="0" w:color="auto"/>
              <w:right w:val="single" w:sz="4" w:space="0" w:color="auto"/>
            </w:tcBorders>
            <w:shd w:val="clear" w:color="auto" w:fill="F2F2F2"/>
            <w:noWrap/>
            <w:vAlign w:val="bottom"/>
          </w:tcPr>
          <w:p w14:paraId="04A9B922" w14:textId="77777777" w:rsidR="00D31394" w:rsidRPr="00221978" w:rsidRDefault="00D31394" w:rsidP="00856EFB">
            <w:pPr>
              <w:spacing w:after="0"/>
              <w:jc w:val="right"/>
              <w:rPr>
                <w:rFonts w:ascii="Times New Roman" w:eastAsia="Times New Roman" w:hAnsi="Times New Roman" w:cs="Times New Roman"/>
                <w:bCs/>
                <w:color w:val="000000"/>
                <w:sz w:val="20"/>
                <w:szCs w:val="20"/>
                <w:lang w:val="sr-Cyrl-CS" w:eastAsia="en-GB"/>
              </w:rPr>
            </w:pPr>
            <w:r w:rsidRPr="00221978">
              <w:rPr>
                <w:rFonts w:ascii="Times New Roman" w:eastAsia="Times New Roman" w:hAnsi="Times New Roman" w:cs="Times New Roman"/>
                <w:bCs/>
                <w:color w:val="000000"/>
                <w:sz w:val="20"/>
                <w:szCs w:val="20"/>
                <w:lang w:val="sr-Cyrl-CS" w:eastAsia="en-GB"/>
              </w:rPr>
              <w:t>973,653.07</w:t>
            </w:r>
          </w:p>
        </w:tc>
        <w:tc>
          <w:tcPr>
            <w:tcW w:w="695" w:type="pct"/>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7E3002EC" w14:textId="77777777" w:rsidR="00D31394" w:rsidRPr="00221978" w:rsidRDefault="00D31394" w:rsidP="00856EFB">
            <w:pPr>
              <w:spacing w:after="0"/>
              <w:jc w:val="right"/>
              <w:rPr>
                <w:rFonts w:ascii="Times New Roman" w:eastAsia="Times New Roman" w:hAnsi="Times New Roman" w:cs="Times New Roman"/>
                <w:bCs/>
                <w:color w:val="000000"/>
                <w:sz w:val="20"/>
                <w:szCs w:val="20"/>
                <w:lang w:val="sr-Cyrl-CS" w:eastAsia="en-GB"/>
              </w:rPr>
            </w:pPr>
            <w:r w:rsidRPr="00221978">
              <w:rPr>
                <w:rFonts w:ascii="Times New Roman" w:eastAsia="Times New Roman" w:hAnsi="Times New Roman" w:cs="Times New Roman"/>
                <w:bCs/>
                <w:color w:val="000000"/>
                <w:sz w:val="20"/>
                <w:szCs w:val="20"/>
                <w:lang w:val="sr-Cyrl-CS" w:eastAsia="en-GB"/>
              </w:rPr>
              <w:t>838,255.54</w:t>
            </w:r>
          </w:p>
        </w:tc>
        <w:tc>
          <w:tcPr>
            <w:tcW w:w="757" w:type="pct"/>
            <w:tcBorders>
              <w:top w:val="single" w:sz="4" w:space="0" w:color="auto"/>
              <w:left w:val="single" w:sz="4" w:space="0" w:color="auto"/>
              <w:bottom w:val="single" w:sz="4" w:space="0" w:color="auto"/>
              <w:right w:val="single" w:sz="4" w:space="0" w:color="auto"/>
            </w:tcBorders>
            <w:shd w:val="clear" w:color="auto" w:fill="F2F2F2"/>
            <w:noWrap/>
            <w:vAlign w:val="bottom"/>
          </w:tcPr>
          <w:p w14:paraId="12ED1312" w14:textId="77777777" w:rsidR="00D31394" w:rsidRPr="00221978" w:rsidRDefault="00D31394" w:rsidP="00856EFB">
            <w:pPr>
              <w:spacing w:after="0"/>
              <w:jc w:val="right"/>
              <w:rPr>
                <w:rFonts w:ascii="Times New Roman" w:eastAsia="Times New Roman" w:hAnsi="Times New Roman" w:cs="Times New Roman"/>
                <w:bCs/>
                <w:color w:val="000000"/>
                <w:sz w:val="20"/>
                <w:szCs w:val="20"/>
                <w:lang w:val="sr-Cyrl-CS" w:eastAsia="en-GB"/>
              </w:rPr>
            </w:pPr>
            <w:r w:rsidRPr="00221978">
              <w:rPr>
                <w:rFonts w:ascii="Times New Roman" w:eastAsia="Times New Roman" w:hAnsi="Times New Roman" w:cs="Times New Roman"/>
                <w:bCs/>
                <w:color w:val="000000"/>
                <w:sz w:val="20"/>
                <w:szCs w:val="20"/>
                <w:lang w:val="sr-Cyrl-CS" w:eastAsia="en-GB"/>
              </w:rPr>
              <w:t>155,089.05</w:t>
            </w:r>
          </w:p>
          <w:p w14:paraId="2C014C6B" w14:textId="77777777" w:rsidR="00D31394" w:rsidRPr="00221978" w:rsidRDefault="00D31394" w:rsidP="00856EFB">
            <w:pPr>
              <w:spacing w:after="0"/>
              <w:jc w:val="right"/>
              <w:rPr>
                <w:rFonts w:ascii="Times New Roman" w:eastAsia="Times New Roman" w:hAnsi="Times New Roman" w:cs="Times New Roman"/>
                <w:bCs/>
                <w:color w:val="000000"/>
                <w:sz w:val="20"/>
                <w:szCs w:val="20"/>
                <w:lang w:val="sr-Cyrl-CS" w:eastAsia="en-GB"/>
              </w:rPr>
            </w:pPr>
          </w:p>
        </w:tc>
      </w:tr>
      <w:tr w:rsidR="00D31394" w:rsidRPr="00221978" w14:paraId="2A52535A" w14:textId="77777777" w:rsidTr="0032052B">
        <w:trPr>
          <w:trHeight w:val="288"/>
        </w:trPr>
        <w:tc>
          <w:tcPr>
            <w:tcW w:w="2393" w:type="pct"/>
            <w:tcBorders>
              <w:top w:val="single" w:sz="4" w:space="0" w:color="auto"/>
              <w:left w:val="single" w:sz="4" w:space="0" w:color="auto"/>
              <w:bottom w:val="single" w:sz="4" w:space="0" w:color="auto"/>
              <w:right w:val="single" w:sz="4" w:space="0" w:color="auto"/>
            </w:tcBorders>
            <w:shd w:val="clear" w:color="auto" w:fill="F2F2F2"/>
            <w:noWrap/>
            <w:hideMark/>
          </w:tcPr>
          <w:p w14:paraId="707EA9E3" w14:textId="7733879C" w:rsidR="00D31394" w:rsidRPr="00221978" w:rsidRDefault="00D31394" w:rsidP="00856EFB">
            <w:pPr>
              <w:spacing w:after="0"/>
              <w:jc w:val="both"/>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Програм реформе управљања јавним финансијама</w:t>
            </w:r>
            <w:r w:rsidR="004620A9" w:rsidRPr="00221978">
              <w:rPr>
                <w:rFonts w:ascii="Times New Roman" w:eastAsia="Times New Roman" w:hAnsi="Times New Roman" w:cs="Times New Roman"/>
                <w:color w:val="000000"/>
                <w:sz w:val="20"/>
                <w:szCs w:val="20"/>
                <w:lang w:val="sr-Cyrl-CS" w:eastAsia="en-GB"/>
              </w:rPr>
              <w:t xml:space="preserve"> за период 2021-2025. године</w:t>
            </w:r>
          </w:p>
        </w:tc>
        <w:tc>
          <w:tcPr>
            <w:tcW w:w="502" w:type="pct"/>
            <w:tcBorders>
              <w:top w:val="single" w:sz="4" w:space="0" w:color="auto"/>
              <w:left w:val="single" w:sz="4" w:space="0" w:color="auto"/>
              <w:bottom w:val="single" w:sz="4" w:space="0" w:color="auto"/>
              <w:right w:val="single" w:sz="4" w:space="0" w:color="auto"/>
            </w:tcBorders>
            <w:shd w:val="clear" w:color="auto" w:fill="F2F2F2"/>
            <w:noWrap/>
            <w:vAlign w:val="bottom"/>
          </w:tcPr>
          <w:p w14:paraId="46485B0E"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1,572,997.5</w:t>
            </w:r>
          </w:p>
        </w:tc>
        <w:tc>
          <w:tcPr>
            <w:tcW w:w="652" w:type="pct"/>
            <w:tcBorders>
              <w:top w:val="single" w:sz="4" w:space="0" w:color="auto"/>
              <w:left w:val="single" w:sz="4" w:space="0" w:color="auto"/>
              <w:bottom w:val="single" w:sz="4" w:space="0" w:color="auto"/>
              <w:right w:val="single" w:sz="4" w:space="0" w:color="auto"/>
            </w:tcBorders>
            <w:shd w:val="clear" w:color="auto" w:fill="F2F2F2"/>
            <w:noWrap/>
            <w:vAlign w:val="bottom"/>
          </w:tcPr>
          <w:p w14:paraId="60DA1003"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36,664.9</w:t>
            </w:r>
          </w:p>
        </w:tc>
        <w:tc>
          <w:tcPr>
            <w:tcW w:w="695" w:type="pct"/>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28A51A75"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3,973,548.6</w:t>
            </w:r>
          </w:p>
        </w:tc>
        <w:tc>
          <w:tcPr>
            <w:tcW w:w="757" w:type="pct"/>
            <w:tcBorders>
              <w:top w:val="single" w:sz="4" w:space="0" w:color="auto"/>
              <w:left w:val="single" w:sz="4" w:space="0" w:color="auto"/>
              <w:bottom w:val="single" w:sz="4" w:space="0" w:color="auto"/>
              <w:right w:val="single" w:sz="4" w:space="0" w:color="auto"/>
            </w:tcBorders>
            <w:shd w:val="clear" w:color="auto" w:fill="F2F2F2"/>
            <w:noWrap/>
            <w:vAlign w:val="bottom"/>
          </w:tcPr>
          <w:p w14:paraId="60F4CC66"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2,166,266.7</w:t>
            </w:r>
          </w:p>
        </w:tc>
      </w:tr>
      <w:tr w:rsidR="00D31394" w:rsidRPr="00221978" w14:paraId="0B0F3DC8" w14:textId="77777777" w:rsidTr="0032052B">
        <w:trPr>
          <w:trHeight w:val="288"/>
        </w:trPr>
        <w:tc>
          <w:tcPr>
            <w:tcW w:w="2393" w:type="pct"/>
            <w:tcBorders>
              <w:top w:val="single" w:sz="4" w:space="0" w:color="auto"/>
              <w:left w:val="single" w:sz="4" w:space="0" w:color="auto"/>
              <w:bottom w:val="single" w:sz="4" w:space="0" w:color="auto"/>
              <w:right w:val="single" w:sz="4" w:space="0" w:color="auto"/>
            </w:tcBorders>
            <w:shd w:val="clear" w:color="auto" w:fill="F2F2F2"/>
            <w:noWrap/>
            <w:hideMark/>
          </w:tcPr>
          <w:p w14:paraId="3354658F" w14:textId="784131CC" w:rsidR="00D31394" w:rsidRPr="00221978" w:rsidRDefault="00D31394" w:rsidP="00856EFB">
            <w:pPr>
              <w:spacing w:after="0"/>
              <w:jc w:val="both"/>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lastRenderedPageBreak/>
              <w:t xml:space="preserve">Програм унапређења управљања јавним политикама и регулаторном реформом за период 2021-2025. </w:t>
            </w:r>
            <w:r w:rsidR="004620A9" w:rsidRPr="00221978">
              <w:rPr>
                <w:rFonts w:ascii="Times New Roman" w:eastAsia="Times New Roman" w:hAnsi="Times New Roman" w:cs="Times New Roman"/>
                <w:color w:val="000000"/>
                <w:sz w:val="20"/>
                <w:szCs w:val="20"/>
                <w:lang w:val="sr-Cyrl-CS" w:eastAsia="en-GB"/>
              </w:rPr>
              <w:t>године</w:t>
            </w:r>
          </w:p>
        </w:tc>
        <w:tc>
          <w:tcPr>
            <w:tcW w:w="502" w:type="pct"/>
            <w:tcBorders>
              <w:top w:val="single" w:sz="4" w:space="0" w:color="auto"/>
              <w:left w:val="single" w:sz="4" w:space="0" w:color="auto"/>
              <w:bottom w:val="single" w:sz="4" w:space="0" w:color="auto"/>
              <w:right w:val="single" w:sz="4" w:space="0" w:color="auto"/>
            </w:tcBorders>
            <w:shd w:val="clear" w:color="auto" w:fill="F2F2F2"/>
            <w:noWrap/>
            <w:vAlign w:val="bottom"/>
          </w:tcPr>
          <w:p w14:paraId="47C8EBD3"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20,858.00</w:t>
            </w:r>
          </w:p>
        </w:tc>
        <w:tc>
          <w:tcPr>
            <w:tcW w:w="652" w:type="pct"/>
            <w:tcBorders>
              <w:top w:val="single" w:sz="4" w:space="0" w:color="auto"/>
              <w:left w:val="single" w:sz="4" w:space="0" w:color="auto"/>
              <w:bottom w:val="single" w:sz="4" w:space="0" w:color="auto"/>
              <w:right w:val="single" w:sz="4" w:space="0" w:color="auto"/>
            </w:tcBorders>
            <w:shd w:val="clear" w:color="auto" w:fill="F2F2F2"/>
            <w:noWrap/>
            <w:vAlign w:val="bottom"/>
          </w:tcPr>
          <w:p w14:paraId="020BE56F"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0.00</w:t>
            </w:r>
          </w:p>
        </w:tc>
        <w:tc>
          <w:tcPr>
            <w:tcW w:w="695" w:type="pct"/>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1D6D7665"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444,699.00</w:t>
            </w:r>
          </w:p>
        </w:tc>
        <w:tc>
          <w:tcPr>
            <w:tcW w:w="757" w:type="pct"/>
            <w:tcBorders>
              <w:top w:val="single" w:sz="4" w:space="0" w:color="auto"/>
              <w:left w:val="single" w:sz="4" w:space="0" w:color="auto"/>
              <w:bottom w:val="single" w:sz="4" w:space="0" w:color="auto"/>
              <w:right w:val="single" w:sz="4" w:space="0" w:color="auto"/>
            </w:tcBorders>
            <w:shd w:val="clear" w:color="auto" w:fill="F2F2F2"/>
            <w:noWrap/>
            <w:vAlign w:val="bottom"/>
          </w:tcPr>
          <w:p w14:paraId="0B63B479"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73,389.00</w:t>
            </w:r>
          </w:p>
        </w:tc>
      </w:tr>
      <w:tr w:rsidR="00D31394" w:rsidRPr="00221978" w14:paraId="4C585D0B" w14:textId="77777777" w:rsidTr="0032052B">
        <w:trPr>
          <w:trHeight w:val="288"/>
        </w:trPr>
        <w:tc>
          <w:tcPr>
            <w:tcW w:w="2393" w:type="pct"/>
            <w:tcBorders>
              <w:top w:val="single" w:sz="4" w:space="0" w:color="auto"/>
              <w:left w:val="single" w:sz="4" w:space="0" w:color="auto"/>
              <w:bottom w:val="single" w:sz="4" w:space="0" w:color="auto"/>
              <w:right w:val="single" w:sz="4" w:space="0" w:color="auto"/>
            </w:tcBorders>
            <w:shd w:val="clear" w:color="auto" w:fill="F2F2F2"/>
            <w:noWrap/>
            <w:hideMark/>
          </w:tcPr>
          <w:p w14:paraId="62C1E17E" w14:textId="5BFA9D5C" w:rsidR="00D31394" w:rsidRPr="00221978" w:rsidRDefault="00D31394" w:rsidP="00856EFB">
            <w:pPr>
              <w:spacing w:after="0"/>
              <w:jc w:val="both"/>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 xml:space="preserve">Акциони план за период 2021. до 2023. година Програма за реформу система локалне самоуправе за период 2021-2025. </w:t>
            </w:r>
            <w:r w:rsidR="004620A9" w:rsidRPr="00221978">
              <w:rPr>
                <w:rFonts w:ascii="Times New Roman" w:eastAsia="Times New Roman" w:hAnsi="Times New Roman" w:cs="Times New Roman"/>
                <w:color w:val="000000"/>
                <w:sz w:val="20"/>
                <w:szCs w:val="20"/>
                <w:lang w:val="sr-Cyrl-CS" w:eastAsia="en-GB"/>
              </w:rPr>
              <w:t>године</w:t>
            </w:r>
          </w:p>
        </w:tc>
        <w:tc>
          <w:tcPr>
            <w:tcW w:w="502" w:type="pct"/>
            <w:tcBorders>
              <w:top w:val="single" w:sz="4" w:space="0" w:color="auto"/>
              <w:left w:val="single" w:sz="4" w:space="0" w:color="auto"/>
              <w:bottom w:val="single" w:sz="4" w:space="0" w:color="auto"/>
              <w:right w:val="single" w:sz="4" w:space="0" w:color="auto"/>
            </w:tcBorders>
            <w:shd w:val="clear" w:color="auto" w:fill="F2F2F2"/>
            <w:noWrap/>
            <w:vAlign w:val="bottom"/>
          </w:tcPr>
          <w:p w14:paraId="42F495AF"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9,200.00</w:t>
            </w:r>
          </w:p>
        </w:tc>
        <w:tc>
          <w:tcPr>
            <w:tcW w:w="652" w:type="pct"/>
            <w:tcBorders>
              <w:top w:val="single" w:sz="4" w:space="0" w:color="auto"/>
              <w:left w:val="single" w:sz="4" w:space="0" w:color="auto"/>
              <w:bottom w:val="single" w:sz="4" w:space="0" w:color="auto"/>
              <w:right w:val="single" w:sz="4" w:space="0" w:color="auto"/>
            </w:tcBorders>
            <w:shd w:val="clear" w:color="auto" w:fill="F2F2F2"/>
            <w:noWrap/>
            <w:vAlign w:val="bottom"/>
          </w:tcPr>
          <w:p w14:paraId="3C1F3E87"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20,000.00</w:t>
            </w:r>
          </w:p>
        </w:tc>
        <w:tc>
          <w:tcPr>
            <w:tcW w:w="695" w:type="pct"/>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15AEA6B9"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569,542.48</w:t>
            </w:r>
          </w:p>
        </w:tc>
        <w:tc>
          <w:tcPr>
            <w:tcW w:w="757" w:type="pct"/>
            <w:tcBorders>
              <w:top w:val="single" w:sz="4" w:space="0" w:color="auto"/>
              <w:left w:val="single" w:sz="4" w:space="0" w:color="auto"/>
              <w:bottom w:val="single" w:sz="4" w:space="0" w:color="auto"/>
              <w:right w:val="single" w:sz="4" w:space="0" w:color="auto"/>
            </w:tcBorders>
            <w:shd w:val="clear" w:color="auto" w:fill="F2F2F2"/>
            <w:noWrap/>
            <w:vAlign w:val="bottom"/>
          </w:tcPr>
          <w:p w14:paraId="683ECD56"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213,289.65</w:t>
            </w:r>
          </w:p>
        </w:tc>
      </w:tr>
      <w:tr w:rsidR="00D31394" w:rsidRPr="00221978" w14:paraId="26BD0C52" w14:textId="77777777" w:rsidTr="0032052B">
        <w:trPr>
          <w:trHeight w:val="288"/>
        </w:trPr>
        <w:tc>
          <w:tcPr>
            <w:tcW w:w="2393" w:type="pct"/>
            <w:tcBorders>
              <w:top w:val="single" w:sz="4" w:space="0" w:color="auto"/>
              <w:left w:val="single" w:sz="4" w:space="0" w:color="auto"/>
              <w:bottom w:val="single" w:sz="4" w:space="0" w:color="auto"/>
              <w:right w:val="single" w:sz="4" w:space="0" w:color="auto"/>
            </w:tcBorders>
            <w:shd w:val="clear" w:color="auto" w:fill="AEAAAA"/>
            <w:noWrap/>
          </w:tcPr>
          <w:p w14:paraId="74F6520C" w14:textId="77777777" w:rsidR="00D31394" w:rsidRPr="00221978" w:rsidRDefault="00D31394" w:rsidP="00856EFB">
            <w:pPr>
              <w:spacing w:after="0"/>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b/>
                <w:bCs/>
                <w:color w:val="000000"/>
                <w:sz w:val="20"/>
                <w:szCs w:val="20"/>
                <w:lang w:val="sr-Cyrl-CS" w:eastAsia="en-GB"/>
              </w:rPr>
              <w:t>ТОТАЛ (у хиљадама РСД)</w:t>
            </w:r>
          </w:p>
        </w:tc>
        <w:tc>
          <w:tcPr>
            <w:tcW w:w="502" w:type="pct"/>
            <w:tcBorders>
              <w:top w:val="single" w:sz="4" w:space="0" w:color="auto"/>
              <w:left w:val="single" w:sz="4" w:space="0" w:color="auto"/>
              <w:bottom w:val="single" w:sz="4" w:space="0" w:color="auto"/>
              <w:right w:val="single" w:sz="4" w:space="0" w:color="auto"/>
            </w:tcBorders>
            <w:shd w:val="clear" w:color="auto" w:fill="AEAAAA"/>
            <w:noWrap/>
            <w:vAlign w:val="bottom"/>
          </w:tcPr>
          <w:p w14:paraId="28B69B82"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1,736,740.5</w:t>
            </w:r>
          </w:p>
        </w:tc>
        <w:tc>
          <w:tcPr>
            <w:tcW w:w="652" w:type="pct"/>
            <w:tcBorders>
              <w:top w:val="single" w:sz="4" w:space="0" w:color="auto"/>
              <w:left w:val="single" w:sz="4" w:space="0" w:color="auto"/>
              <w:bottom w:val="single" w:sz="4" w:space="0" w:color="auto"/>
              <w:right w:val="single" w:sz="4" w:space="0" w:color="auto"/>
            </w:tcBorders>
            <w:shd w:val="clear" w:color="auto" w:fill="AEAAAA"/>
            <w:noWrap/>
            <w:vAlign w:val="bottom"/>
          </w:tcPr>
          <w:p w14:paraId="00789B87"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1,030,317.97</w:t>
            </w:r>
          </w:p>
        </w:tc>
        <w:tc>
          <w:tcPr>
            <w:tcW w:w="695" w:type="pct"/>
            <w:gridSpan w:val="2"/>
            <w:tcBorders>
              <w:top w:val="single" w:sz="4" w:space="0" w:color="auto"/>
              <w:left w:val="single" w:sz="4" w:space="0" w:color="auto"/>
              <w:bottom w:val="single" w:sz="4" w:space="0" w:color="auto"/>
              <w:right w:val="single" w:sz="4" w:space="0" w:color="auto"/>
            </w:tcBorders>
            <w:shd w:val="clear" w:color="auto" w:fill="AEAAAA"/>
            <w:noWrap/>
            <w:vAlign w:val="bottom"/>
          </w:tcPr>
          <w:p w14:paraId="2DF34098"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5,826,045.62</w:t>
            </w:r>
          </w:p>
        </w:tc>
        <w:tc>
          <w:tcPr>
            <w:tcW w:w="757" w:type="pct"/>
            <w:tcBorders>
              <w:top w:val="single" w:sz="4" w:space="0" w:color="auto"/>
              <w:left w:val="single" w:sz="4" w:space="0" w:color="auto"/>
              <w:bottom w:val="single" w:sz="4" w:space="0" w:color="auto"/>
              <w:right w:val="single" w:sz="4" w:space="0" w:color="auto"/>
            </w:tcBorders>
            <w:shd w:val="clear" w:color="auto" w:fill="AEAAAA"/>
            <w:noWrap/>
            <w:vAlign w:val="bottom"/>
          </w:tcPr>
          <w:p w14:paraId="6801C3AF" w14:textId="77777777" w:rsidR="00D31394" w:rsidRPr="00221978" w:rsidRDefault="00D31394" w:rsidP="00856EFB">
            <w:pPr>
              <w:spacing w:after="0"/>
              <w:jc w:val="right"/>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2,608,034.4</w:t>
            </w:r>
          </w:p>
        </w:tc>
      </w:tr>
    </w:tbl>
    <w:bookmarkEnd w:id="8"/>
    <w:p w14:paraId="2E3A3BF1" w14:textId="543722D3" w:rsidR="00D2428F" w:rsidRPr="00221978" w:rsidRDefault="00824E47" w:rsidP="00824E47">
      <w:pPr>
        <w:spacing w:after="0" w:line="240" w:lineRule="auto"/>
        <w:jc w:val="right"/>
        <w:rPr>
          <w:rFonts w:ascii="Times New Roman" w:hAnsi="Times New Roman" w:cs="Times New Roman"/>
          <w:sz w:val="18"/>
          <w:szCs w:val="18"/>
          <w:lang w:val="sr-Cyrl-CS"/>
        </w:rPr>
      </w:pPr>
      <w:r w:rsidRPr="00221978">
        <w:rPr>
          <w:rFonts w:ascii="Times New Roman" w:hAnsi="Times New Roman" w:cs="Times New Roman"/>
          <w:sz w:val="24"/>
          <w:szCs w:val="24"/>
          <w:shd w:val="clear" w:color="auto" w:fill="FFFFFF"/>
          <w:lang w:val="sr-Cyrl-CS"/>
        </w:rPr>
        <w:t>”.</w:t>
      </w:r>
    </w:p>
    <w:p w14:paraId="2846E79D" w14:textId="2AC6B80D" w:rsidR="00A93824" w:rsidRPr="00221978" w:rsidRDefault="007B6A71" w:rsidP="00EF2CB2">
      <w:pPr>
        <w:pStyle w:val="ListParagraph"/>
        <w:numPr>
          <w:ilvl w:val="0"/>
          <w:numId w:val="2"/>
        </w:numPr>
        <w:spacing w:after="0" w:line="240" w:lineRule="auto"/>
        <w:jc w:val="both"/>
        <w:rPr>
          <w:rFonts w:ascii="Times New Roman" w:hAnsi="Times New Roman" w:cs="Times New Roman"/>
          <w:sz w:val="24"/>
          <w:szCs w:val="24"/>
          <w:lang w:val="sr-Cyrl-CS"/>
        </w:rPr>
      </w:pPr>
      <w:bookmarkStart w:id="9" w:name="_Hlk88809764"/>
      <w:bookmarkEnd w:id="7"/>
      <w:r w:rsidRPr="00221978">
        <w:rPr>
          <w:rFonts w:ascii="Times New Roman" w:hAnsi="Times New Roman" w:cs="Times New Roman"/>
          <w:bCs/>
          <w:sz w:val="24"/>
          <w:szCs w:val="24"/>
          <w:lang w:val="sr-Cyrl-CS" w:eastAsia="de-DE"/>
        </w:rPr>
        <w:t>У делу IX. Трошкови спровођења АП Стратегије РЈУ</w:t>
      </w:r>
      <w:bookmarkEnd w:id="9"/>
      <w:r w:rsidR="002E7789" w:rsidRPr="00221978">
        <w:rPr>
          <w:rFonts w:ascii="Times New Roman" w:hAnsi="Times New Roman" w:cs="Times New Roman"/>
          <w:bCs/>
          <w:sz w:val="24"/>
          <w:szCs w:val="24"/>
          <w:lang w:val="sr-Cyrl-CS" w:eastAsia="de-DE"/>
        </w:rPr>
        <w:t xml:space="preserve"> мења се</w:t>
      </w:r>
      <w:r w:rsidRPr="00221978">
        <w:rPr>
          <w:rFonts w:ascii="Times New Roman" w:hAnsi="Times New Roman" w:cs="Times New Roman"/>
          <w:bCs/>
          <w:sz w:val="24"/>
          <w:szCs w:val="24"/>
          <w:lang w:val="sr-Cyrl-CS" w:eastAsia="de-DE"/>
        </w:rPr>
        <w:t xml:space="preserve"> назив </w:t>
      </w:r>
      <w:r w:rsidR="002E7789" w:rsidRPr="00221978">
        <w:rPr>
          <w:rFonts w:ascii="Times New Roman" w:hAnsi="Times New Roman" w:cs="Times New Roman"/>
          <w:bCs/>
          <w:sz w:val="24"/>
          <w:szCs w:val="24"/>
          <w:lang w:val="sr-Cyrl-CS" w:eastAsia="de-DE"/>
        </w:rPr>
        <w:t>„</w:t>
      </w:r>
      <w:r w:rsidRPr="00221978">
        <w:rPr>
          <w:rFonts w:ascii="Times New Roman" w:hAnsi="Times New Roman" w:cs="Times New Roman"/>
          <w:bCs/>
          <w:sz w:val="24"/>
          <w:szCs w:val="24"/>
          <w:lang w:val="sr-Cyrl-CS" w:eastAsia="de-DE"/>
        </w:rPr>
        <w:t>Збирне табеле трошкова по годинама, циљевима и мерама</w:t>
      </w:r>
      <w:r w:rsidR="004620A9" w:rsidRPr="00221978">
        <w:rPr>
          <w:rFonts w:ascii="Times New Roman" w:hAnsi="Times New Roman" w:cs="Times New Roman"/>
          <w:bCs/>
          <w:sz w:val="24"/>
          <w:szCs w:val="24"/>
          <w:lang w:val="sr-Cyrl-CS" w:eastAsia="de-DE"/>
        </w:rPr>
        <w:t xml:space="preserve">” </w:t>
      </w:r>
      <w:r w:rsidR="002E7789" w:rsidRPr="00221978">
        <w:rPr>
          <w:rFonts w:ascii="Times New Roman" w:hAnsi="Times New Roman" w:cs="Times New Roman"/>
          <w:bCs/>
          <w:sz w:val="24"/>
          <w:szCs w:val="24"/>
          <w:lang w:val="sr-Cyrl-CS" w:eastAsia="de-DE"/>
        </w:rPr>
        <w:t xml:space="preserve">и </w:t>
      </w:r>
      <w:r w:rsidRPr="00221978">
        <w:rPr>
          <w:rFonts w:ascii="Times New Roman" w:hAnsi="Times New Roman" w:cs="Times New Roman"/>
          <w:bCs/>
          <w:sz w:val="24"/>
          <w:szCs w:val="24"/>
          <w:lang w:val="sr-Cyrl-CS" w:eastAsia="de-DE"/>
        </w:rPr>
        <w:t>гласи</w:t>
      </w:r>
      <w:r w:rsidR="002E7789" w:rsidRPr="00221978">
        <w:rPr>
          <w:rFonts w:ascii="Times New Roman" w:hAnsi="Times New Roman" w:cs="Times New Roman"/>
          <w:bCs/>
          <w:sz w:val="24"/>
          <w:szCs w:val="24"/>
          <w:lang w:val="sr-Cyrl-CS" w:eastAsia="de-DE"/>
        </w:rPr>
        <w:t>:</w:t>
      </w:r>
      <w:r w:rsidRPr="00221978">
        <w:rPr>
          <w:rFonts w:ascii="Times New Roman" w:hAnsi="Times New Roman" w:cs="Times New Roman"/>
          <w:bCs/>
          <w:sz w:val="24"/>
          <w:szCs w:val="24"/>
          <w:lang w:val="sr-Cyrl-CS" w:eastAsia="de-DE"/>
        </w:rPr>
        <w:t xml:space="preserve"> </w:t>
      </w:r>
      <w:r w:rsidR="002E7789" w:rsidRPr="00221978">
        <w:rPr>
          <w:rFonts w:ascii="Times New Roman" w:hAnsi="Times New Roman" w:cs="Times New Roman"/>
          <w:bCs/>
          <w:sz w:val="24"/>
          <w:szCs w:val="24"/>
          <w:lang w:val="sr-Cyrl-CS" w:eastAsia="de-DE"/>
        </w:rPr>
        <w:t>„</w:t>
      </w:r>
      <w:r w:rsidRPr="00221978">
        <w:rPr>
          <w:rFonts w:ascii="Times New Roman" w:hAnsi="Times New Roman" w:cs="Times New Roman"/>
          <w:sz w:val="24"/>
          <w:szCs w:val="24"/>
          <w:lang w:val="sr-Cyrl-CS" w:eastAsia="en-GB"/>
        </w:rPr>
        <w:t xml:space="preserve">Збирна табела трошкова по годинама, циљевима и мерама Акционог плана за период </w:t>
      </w:r>
      <w:r w:rsidRPr="00221978">
        <w:rPr>
          <w:rFonts w:ascii="Times New Roman" w:hAnsi="Times New Roman" w:cs="Times New Roman"/>
          <w:sz w:val="24"/>
          <w:szCs w:val="24"/>
          <w:shd w:val="clear" w:color="auto" w:fill="FFFFFF"/>
          <w:lang w:val="sr-Cyrl-CS"/>
        </w:rPr>
        <w:t>од 2021. до 2025. године за спровођење Стратегије реформе јавне управе у Републици Србији за период од 2021. до 2030. године.</w:t>
      </w:r>
      <w:r w:rsidR="009B73BA" w:rsidRPr="00221978">
        <w:rPr>
          <w:rFonts w:ascii="Times New Roman" w:hAnsi="Times New Roman" w:cs="Times New Roman"/>
          <w:sz w:val="24"/>
          <w:szCs w:val="24"/>
          <w:shd w:val="clear" w:color="auto" w:fill="FFFFFF"/>
          <w:lang w:val="sr-Cyrl-CS"/>
        </w:rPr>
        <w:t xml:space="preserve">”    </w:t>
      </w:r>
    </w:p>
    <w:p w14:paraId="39A31CD7" w14:textId="77777777" w:rsidR="00EF2CB2" w:rsidRPr="00221978" w:rsidRDefault="00EF2CB2" w:rsidP="00EF2CB2">
      <w:pPr>
        <w:pStyle w:val="ListParagraph"/>
        <w:spacing w:after="0" w:line="240" w:lineRule="auto"/>
        <w:jc w:val="both"/>
        <w:rPr>
          <w:rFonts w:ascii="Times New Roman" w:hAnsi="Times New Roman" w:cs="Times New Roman"/>
          <w:sz w:val="18"/>
          <w:szCs w:val="18"/>
          <w:lang w:val="sr-Cyrl-CS"/>
        </w:rPr>
      </w:pPr>
    </w:p>
    <w:p w14:paraId="14C1E320" w14:textId="68466F1A" w:rsidR="003060DE" w:rsidRPr="00221978" w:rsidRDefault="003060DE" w:rsidP="003060DE">
      <w:pPr>
        <w:pStyle w:val="Heading3"/>
        <w:numPr>
          <w:ilvl w:val="0"/>
          <w:numId w:val="2"/>
        </w:numPr>
        <w:spacing w:before="0" w:line="240" w:lineRule="auto"/>
        <w:jc w:val="both"/>
        <w:rPr>
          <w:rFonts w:ascii="Times New Roman" w:hAnsi="Times New Roman" w:cs="Times New Roman"/>
          <w:color w:val="auto"/>
          <w:lang w:val="sr-Cyrl-CS"/>
        </w:rPr>
      </w:pPr>
      <w:r w:rsidRPr="00221978">
        <w:rPr>
          <w:rFonts w:ascii="Times New Roman" w:hAnsi="Times New Roman" w:cs="Times New Roman"/>
          <w:color w:val="auto"/>
          <w:lang w:val="sr-Cyrl-CS"/>
        </w:rPr>
        <w:t>У целом тексту Стратегије мења се назив система: „ИСИБ АП и ЈЛС” и гласи: „ИСИБ АП ЈЛС”.</w:t>
      </w:r>
    </w:p>
    <w:p w14:paraId="712126F6" w14:textId="77777777" w:rsidR="003060DE" w:rsidRPr="00221978" w:rsidRDefault="003060DE" w:rsidP="003060DE">
      <w:pPr>
        <w:spacing w:after="0"/>
        <w:rPr>
          <w:lang w:val="sr-Cyrl-CS"/>
        </w:rPr>
      </w:pPr>
    </w:p>
    <w:p w14:paraId="4827D4CA" w14:textId="77777777" w:rsidR="00A20C77" w:rsidRPr="00221978" w:rsidRDefault="00A20C77" w:rsidP="00A20C77">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Прилогу 2, </w:t>
      </w:r>
      <w:r w:rsidRPr="00221978">
        <w:rPr>
          <w:rFonts w:ascii="Times New Roman" w:eastAsia="Times New Roman" w:hAnsi="Times New Roman" w:cs="Times New Roman"/>
          <w:kern w:val="3"/>
          <w:sz w:val="24"/>
          <w:szCs w:val="24"/>
          <w:lang w:val="sr-Cyrl-CS" w:eastAsia="zh-CN" w:bidi="hi-IN"/>
        </w:rPr>
        <w:t>Анализа ситуације по тематским областима са извештајем о спроведеној анализи ефеката и описом мера</w:t>
      </w:r>
      <w:bookmarkStart w:id="10" w:name="_Toc69741122"/>
      <w:r w:rsidRPr="00221978">
        <w:rPr>
          <w:rFonts w:ascii="Times New Roman" w:eastAsia="Times New Roman" w:hAnsi="Times New Roman" w:cs="Times New Roman"/>
          <w:kern w:val="3"/>
          <w:sz w:val="24"/>
          <w:szCs w:val="24"/>
          <w:lang w:val="sr-Cyrl-CS" w:eastAsia="zh-CN" w:bidi="hi-IN"/>
        </w:rPr>
        <w:t xml:space="preserve">, </w:t>
      </w:r>
      <w:r w:rsidRPr="00221978">
        <w:rPr>
          <w:rFonts w:ascii="Times New Roman" w:hAnsi="Times New Roman" w:cs="Times New Roman"/>
          <w:sz w:val="24"/>
          <w:szCs w:val="24"/>
          <w:lang w:val="sr-Cyrl-CS"/>
        </w:rPr>
        <w:t>Показатељи исхода Стратегије РЈУ</w:t>
      </w:r>
      <w:bookmarkEnd w:id="10"/>
      <w:r w:rsidRPr="00221978">
        <w:rPr>
          <w:rFonts w:ascii="Times New Roman" w:hAnsi="Times New Roman" w:cs="Times New Roman"/>
          <w:sz w:val="24"/>
          <w:szCs w:val="24"/>
          <w:lang w:val="sr-Cyrl-CS"/>
        </w:rPr>
        <w:t>, извршено је усклађивање са наведеним променама, мења се табела и гласи:</w:t>
      </w:r>
    </w:p>
    <w:p w14:paraId="3B1B1DC1" w14:textId="123678DB" w:rsidR="00A20C77" w:rsidRPr="00221978" w:rsidRDefault="00A20C77" w:rsidP="00A20C77">
      <w:pPr>
        <w:pStyle w:val="Caption"/>
        <w:keepNext/>
        <w:spacing w:after="0"/>
        <w:ind w:firstLine="0"/>
        <w:rPr>
          <w:i w:val="0"/>
          <w:iCs w:val="0"/>
          <w:sz w:val="20"/>
          <w:szCs w:val="20"/>
          <w:lang w:val="sr-Cyrl-CS"/>
        </w:rPr>
      </w:pPr>
      <w:bookmarkStart w:id="11" w:name="_Toc69736639"/>
      <w:r w:rsidRPr="00221978">
        <w:rPr>
          <w:i w:val="0"/>
          <w:color w:val="auto"/>
          <w:sz w:val="24"/>
          <w:szCs w:val="24"/>
          <w:lang w:val="sr-Cyrl-CS"/>
        </w:rPr>
        <w:t>„</w:t>
      </w:r>
      <w:r w:rsidRPr="00221978">
        <w:rPr>
          <w:i w:val="0"/>
          <w:iCs w:val="0"/>
          <w:color w:val="auto"/>
          <w:sz w:val="20"/>
          <w:szCs w:val="20"/>
          <w:lang w:val="sr-Cyrl-CS"/>
        </w:rPr>
        <w:t xml:space="preserve">Табела </w:t>
      </w:r>
      <w:r w:rsidRPr="00221978">
        <w:rPr>
          <w:i w:val="0"/>
          <w:iCs w:val="0"/>
          <w:color w:val="auto"/>
          <w:sz w:val="20"/>
          <w:szCs w:val="20"/>
          <w:lang w:val="sr-Cyrl-CS"/>
        </w:rPr>
        <w:fldChar w:fldCharType="begin"/>
      </w:r>
      <w:r w:rsidRPr="00221978">
        <w:rPr>
          <w:i w:val="0"/>
          <w:iCs w:val="0"/>
          <w:color w:val="auto"/>
          <w:sz w:val="20"/>
          <w:szCs w:val="20"/>
          <w:lang w:val="sr-Cyrl-CS"/>
        </w:rPr>
        <w:instrText xml:space="preserve"> SEQ Табела \* ARABIC </w:instrText>
      </w:r>
      <w:r w:rsidRPr="00221978">
        <w:rPr>
          <w:i w:val="0"/>
          <w:iCs w:val="0"/>
          <w:color w:val="auto"/>
          <w:sz w:val="20"/>
          <w:szCs w:val="20"/>
          <w:lang w:val="sr-Cyrl-CS"/>
        </w:rPr>
        <w:fldChar w:fldCharType="separate"/>
      </w:r>
      <w:r w:rsidR="00A95B84" w:rsidRPr="00221978">
        <w:rPr>
          <w:i w:val="0"/>
          <w:iCs w:val="0"/>
          <w:noProof/>
          <w:color w:val="auto"/>
          <w:sz w:val="20"/>
          <w:szCs w:val="20"/>
          <w:lang w:val="sr-Cyrl-CS"/>
        </w:rPr>
        <w:t>1</w:t>
      </w:r>
      <w:r w:rsidRPr="00221978">
        <w:rPr>
          <w:i w:val="0"/>
          <w:iCs w:val="0"/>
          <w:color w:val="auto"/>
          <w:sz w:val="20"/>
          <w:szCs w:val="20"/>
          <w:lang w:val="sr-Cyrl-CS"/>
        </w:rPr>
        <w:fldChar w:fldCharType="end"/>
      </w:r>
      <w:r w:rsidRPr="00221978">
        <w:rPr>
          <w:i w:val="0"/>
          <w:iCs w:val="0"/>
          <w:color w:val="auto"/>
          <w:sz w:val="20"/>
          <w:szCs w:val="20"/>
          <w:lang w:val="sr-Cyrl-CS"/>
        </w:rPr>
        <w:t>. Показатељи исхода за Стратегију РЈУ</w:t>
      </w:r>
      <w:bookmarkEnd w:id="11"/>
    </w:p>
    <w:tbl>
      <w:tblPr>
        <w:tblW w:w="5022"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6A0" w:firstRow="1" w:lastRow="0" w:firstColumn="1" w:lastColumn="0" w:noHBand="1" w:noVBand="1"/>
      </w:tblPr>
      <w:tblGrid>
        <w:gridCol w:w="2916"/>
        <w:gridCol w:w="902"/>
        <w:gridCol w:w="804"/>
        <w:gridCol w:w="804"/>
        <w:gridCol w:w="804"/>
        <w:gridCol w:w="804"/>
        <w:gridCol w:w="804"/>
        <w:gridCol w:w="804"/>
        <w:gridCol w:w="749"/>
      </w:tblGrid>
      <w:tr w:rsidR="00A20C77" w:rsidRPr="00221978" w14:paraId="6933FC94" w14:textId="77777777" w:rsidTr="0001418E">
        <w:tc>
          <w:tcPr>
            <w:tcW w:w="1553" w:type="pct"/>
            <w:shd w:val="clear" w:color="auto" w:fill="auto"/>
          </w:tcPr>
          <w:p w14:paraId="1A513CD3" w14:textId="77777777" w:rsidR="00A20C77" w:rsidRPr="00221978" w:rsidRDefault="00A20C77" w:rsidP="0001418E">
            <w:pPr>
              <w:jc w:val="center"/>
              <w:rPr>
                <w:rFonts w:ascii="Times New Roman" w:eastAsia="Times New Roman" w:hAnsi="Times New Roman" w:cs="Times New Roman"/>
                <w:b/>
                <w:bCs/>
                <w:sz w:val="20"/>
                <w:szCs w:val="20"/>
                <w:lang w:val="sr-Cyrl-CS" w:eastAsia="de-DE"/>
              </w:rPr>
            </w:pPr>
            <w:bookmarkStart w:id="12" w:name="_Hlk56806777"/>
            <w:r w:rsidRPr="00221978">
              <w:rPr>
                <w:rFonts w:ascii="Times New Roman" w:eastAsia="Times New Roman" w:hAnsi="Times New Roman" w:cs="Times New Roman"/>
                <w:b/>
                <w:bCs/>
                <w:sz w:val="20"/>
                <w:szCs w:val="20"/>
                <w:lang w:val="sr-Cyrl-CS" w:eastAsia="de-DE"/>
              </w:rPr>
              <w:t>Показатељ исхода за СРЈУ</w:t>
            </w:r>
          </w:p>
        </w:tc>
        <w:tc>
          <w:tcPr>
            <w:tcW w:w="480" w:type="pct"/>
            <w:shd w:val="clear" w:color="auto" w:fill="auto"/>
          </w:tcPr>
          <w:p w14:paraId="3997179C" w14:textId="77777777" w:rsidR="00A20C77" w:rsidRPr="00221978" w:rsidRDefault="00A20C77" w:rsidP="0001418E">
            <w:pPr>
              <w:jc w:val="center"/>
              <w:rPr>
                <w:rFonts w:ascii="Times New Roman" w:eastAsia="Times New Roman" w:hAnsi="Times New Roman" w:cs="Times New Roman"/>
                <w:b/>
                <w:bCs/>
                <w:sz w:val="20"/>
                <w:szCs w:val="20"/>
                <w:lang w:val="sr-Cyrl-CS" w:eastAsia="de-DE"/>
              </w:rPr>
            </w:pPr>
            <w:r w:rsidRPr="00221978">
              <w:rPr>
                <w:rFonts w:ascii="Times New Roman" w:eastAsia="Times New Roman" w:hAnsi="Times New Roman" w:cs="Times New Roman"/>
                <w:b/>
                <w:bCs/>
                <w:sz w:val="20"/>
                <w:szCs w:val="20"/>
                <w:lang w:val="sr-Cyrl-CS" w:eastAsia="de-DE"/>
              </w:rPr>
              <w:t>ПВ</w:t>
            </w:r>
          </w:p>
        </w:tc>
        <w:tc>
          <w:tcPr>
            <w:tcW w:w="428" w:type="pct"/>
            <w:shd w:val="clear" w:color="auto" w:fill="auto"/>
          </w:tcPr>
          <w:p w14:paraId="747194E9" w14:textId="77777777" w:rsidR="00A20C77" w:rsidRPr="00221978" w:rsidRDefault="00A20C77" w:rsidP="0001418E">
            <w:pPr>
              <w:jc w:val="center"/>
              <w:rPr>
                <w:rFonts w:ascii="Times New Roman" w:eastAsia="Times New Roman" w:hAnsi="Times New Roman" w:cs="Times New Roman"/>
                <w:b/>
                <w:bCs/>
                <w:sz w:val="20"/>
                <w:szCs w:val="20"/>
                <w:lang w:val="sr-Cyrl-CS" w:eastAsia="de-DE"/>
              </w:rPr>
            </w:pPr>
            <w:r w:rsidRPr="00221978">
              <w:rPr>
                <w:rFonts w:ascii="Times New Roman" w:eastAsia="Times New Roman" w:hAnsi="Times New Roman" w:cs="Times New Roman"/>
                <w:b/>
                <w:bCs/>
                <w:sz w:val="20"/>
                <w:szCs w:val="20"/>
                <w:lang w:val="sr-Cyrl-CS" w:eastAsia="de-DE"/>
              </w:rPr>
              <w:t>2021</w:t>
            </w:r>
          </w:p>
        </w:tc>
        <w:tc>
          <w:tcPr>
            <w:tcW w:w="428" w:type="pct"/>
            <w:shd w:val="clear" w:color="auto" w:fill="auto"/>
          </w:tcPr>
          <w:p w14:paraId="446A954C" w14:textId="77777777" w:rsidR="00A20C77" w:rsidRPr="00221978" w:rsidRDefault="00A20C77" w:rsidP="0001418E">
            <w:pPr>
              <w:jc w:val="center"/>
              <w:rPr>
                <w:rFonts w:ascii="Times New Roman" w:eastAsia="Times New Roman" w:hAnsi="Times New Roman" w:cs="Times New Roman"/>
                <w:b/>
                <w:bCs/>
                <w:sz w:val="20"/>
                <w:szCs w:val="20"/>
                <w:lang w:val="sr-Cyrl-CS" w:eastAsia="de-DE"/>
              </w:rPr>
            </w:pPr>
            <w:r w:rsidRPr="00221978">
              <w:rPr>
                <w:rFonts w:ascii="Times New Roman" w:eastAsia="Times New Roman" w:hAnsi="Times New Roman" w:cs="Times New Roman"/>
                <w:b/>
                <w:bCs/>
                <w:sz w:val="20"/>
                <w:szCs w:val="20"/>
                <w:lang w:val="sr-Cyrl-CS" w:eastAsia="de-DE"/>
              </w:rPr>
              <w:t>2022</w:t>
            </w:r>
          </w:p>
        </w:tc>
        <w:tc>
          <w:tcPr>
            <w:tcW w:w="428" w:type="pct"/>
            <w:shd w:val="clear" w:color="auto" w:fill="auto"/>
          </w:tcPr>
          <w:p w14:paraId="47EE58C1" w14:textId="77777777" w:rsidR="00A20C77" w:rsidRPr="00221978" w:rsidRDefault="00A20C77" w:rsidP="0001418E">
            <w:pPr>
              <w:jc w:val="center"/>
              <w:rPr>
                <w:rFonts w:ascii="Times New Roman" w:eastAsia="Times New Roman" w:hAnsi="Times New Roman" w:cs="Times New Roman"/>
                <w:b/>
                <w:bCs/>
                <w:sz w:val="20"/>
                <w:szCs w:val="20"/>
                <w:lang w:val="sr-Cyrl-CS" w:eastAsia="de-DE"/>
              </w:rPr>
            </w:pPr>
            <w:r w:rsidRPr="00221978">
              <w:rPr>
                <w:rFonts w:ascii="Times New Roman" w:eastAsia="Times New Roman" w:hAnsi="Times New Roman" w:cs="Times New Roman"/>
                <w:b/>
                <w:bCs/>
                <w:sz w:val="20"/>
                <w:szCs w:val="20"/>
                <w:lang w:val="sr-Cyrl-CS" w:eastAsia="de-DE"/>
              </w:rPr>
              <w:t>2023</w:t>
            </w:r>
          </w:p>
        </w:tc>
        <w:tc>
          <w:tcPr>
            <w:tcW w:w="428" w:type="pct"/>
            <w:shd w:val="clear" w:color="auto" w:fill="auto"/>
          </w:tcPr>
          <w:p w14:paraId="1DCFBD48" w14:textId="77777777" w:rsidR="00A20C77" w:rsidRPr="00221978" w:rsidRDefault="00A20C77" w:rsidP="0001418E">
            <w:pPr>
              <w:jc w:val="center"/>
              <w:rPr>
                <w:rFonts w:ascii="Times New Roman" w:eastAsia="Times New Roman" w:hAnsi="Times New Roman" w:cs="Times New Roman"/>
                <w:b/>
                <w:bCs/>
                <w:sz w:val="20"/>
                <w:szCs w:val="20"/>
                <w:lang w:val="sr-Cyrl-CS" w:eastAsia="de-DE"/>
              </w:rPr>
            </w:pPr>
            <w:r w:rsidRPr="00221978">
              <w:rPr>
                <w:rFonts w:ascii="Times New Roman" w:eastAsia="Times New Roman" w:hAnsi="Times New Roman" w:cs="Times New Roman"/>
                <w:b/>
                <w:bCs/>
                <w:sz w:val="20"/>
                <w:szCs w:val="20"/>
                <w:lang w:val="sr-Cyrl-CS" w:eastAsia="de-DE"/>
              </w:rPr>
              <w:t>2024</w:t>
            </w:r>
          </w:p>
        </w:tc>
        <w:tc>
          <w:tcPr>
            <w:tcW w:w="428" w:type="pct"/>
            <w:shd w:val="clear" w:color="auto" w:fill="auto"/>
          </w:tcPr>
          <w:p w14:paraId="459D2C7A" w14:textId="77777777" w:rsidR="00A20C77" w:rsidRPr="00221978" w:rsidRDefault="00A20C77" w:rsidP="0001418E">
            <w:pPr>
              <w:jc w:val="center"/>
              <w:rPr>
                <w:rFonts w:ascii="Times New Roman" w:eastAsia="Times New Roman" w:hAnsi="Times New Roman" w:cs="Times New Roman"/>
                <w:b/>
                <w:bCs/>
                <w:sz w:val="20"/>
                <w:szCs w:val="20"/>
                <w:lang w:val="sr-Cyrl-CS" w:eastAsia="de-DE"/>
              </w:rPr>
            </w:pPr>
            <w:r w:rsidRPr="00221978">
              <w:rPr>
                <w:rFonts w:ascii="Times New Roman" w:eastAsia="Times New Roman" w:hAnsi="Times New Roman" w:cs="Times New Roman"/>
                <w:b/>
                <w:bCs/>
                <w:sz w:val="20"/>
                <w:szCs w:val="20"/>
                <w:lang w:val="sr-Cyrl-CS" w:eastAsia="de-DE"/>
              </w:rPr>
              <w:t>2025</w:t>
            </w:r>
          </w:p>
        </w:tc>
        <w:tc>
          <w:tcPr>
            <w:tcW w:w="428" w:type="pct"/>
            <w:shd w:val="clear" w:color="auto" w:fill="auto"/>
          </w:tcPr>
          <w:p w14:paraId="39C01C70" w14:textId="77777777" w:rsidR="00A20C77" w:rsidRPr="00221978" w:rsidRDefault="00A20C77" w:rsidP="0001418E">
            <w:pPr>
              <w:jc w:val="center"/>
              <w:rPr>
                <w:rFonts w:ascii="Times New Roman" w:eastAsia="Times New Roman" w:hAnsi="Times New Roman" w:cs="Times New Roman"/>
                <w:b/>
                <w:bCs/>
                <w:sz w:val="20"/>
                <w:szCs w:val="20"/>
                <w:lang w:val="sr-Cyrl-CS" w:eastAsia="de-DE"/>
              </w:rPr>
            </w:pPr>
            <w:r w:rsidRPr="00221978">
              <w:rPr>
                <w:rFonts w:ascii="Times New Roman" w:eastAsia="Times New Roman" w:hAnsi="Times New Roman" w:cs="Times New Roman"/>
                <w:b/>
                <w:bCs/>
                <w:sz w:val="20"/>
                <w:szCs w:val="20"/>
                <w:lang w:val="sr-Cyrl-CS" w:eastAsia="de-DE"/>
              </w:rPr>
              <w:t>2027</w:t>
            </w:r>
          </w:p>
        </w:tc>
        <w:tc>
          <w:tcPr>
            <w:tcW w:w="399" w:type="pct"/>
            <w:shd w:val="clear" w:color="auto" w:fill="auto"/>
          </w:tcPr>
          <w:p w14:paraId="1A0FBF8B" w14:textId="77777777" w:rsidR="00A20C77" w:rsidRPr="00221978" w:rsidRDefault="00A20C77" w:rsidP="0001418E">
            <w:pPr>
              <w:jc w:val="center"/>
              <w:rPr>
                <w:rFonts w:ascii="Times New Roman" w:eastAsia="Times New Roman" w:hAnsi="Times New Roman" w:cs="Times New Roman"/>
                <w:b/>
                <w:bCs/>
                <w:sz w:val="20"/>
                <w:szCs w:val="20"/>
                <w:lang w:val="sr-Cyrl-CS" w:eastAsia="de-DE"/>
              </w:rPr>
            </w:pPr>
            <w:r w:rsidRPr="00221978">
              <w:rPr>
                <w:rFonts w:ascii="Times New Roman" w:eastAsia="Times New Roman" w:hAnsi="Times New Roman" w:cs="Times New Roman"/>
                <w:b/>
                <w:bCs/>
                <w:sz w:val="20"/>
                <w:szCs w:val="20"/>
                <w:lang w:val="sr-Cyrl-CS" w:eastAsia="de-DE"/>
              </w:rPr>
              <w:t>2030</w:t>
            </w:r>
          </w:p>
        </w:tc>
      </w:tr>
      <w:tr w:rsidR="00A20C77" w:rsidRPr="00221978" w14:paraId="2B7C13AF" w14:textId="77777777" w:rsidTr="0001418E">
        <w:tc>
          <w:tcPr>
            <w:tcW w:w="5000" w:type="pct"/>
            <w:gridSpan w:val="9"/>
            <w:shd w:val="clear" w:color="auto" w:fill="auto"/>
          </w:tcPr>
          <w:p w14:paraId="0A6DA5BE" w14:textId="77777777" w:rsidR="00A20C77" w:rsidRPr="00221978" w:rsidRDefault="00A20C77" w:rsidP="0001418E">
            <w:pPr>
              <w:rPr>
                <w:rFonts w:ascii="Times New Roman" w:eastAsia="Calibri" w:hAnsi="Times New Roman" w:cs="Times New Roman"/>
                <w:b/>
                <w:bCs/>
                <w:sz w:val="20"/>
                <w:szCs w:val="20"/>
                <w:lang w:val="sr-Cyrl-CS"/>
              </w:rPr>
            </w:pPr>
            <w:r w:rsidRPr="00221978">
              <w:rPr>
                <w:rFonts w:ascii="Times New Roman" w:eastAsia="Calibri" w:hAnsi="Times New Roman" w:cs="Times New Roman"/>
                <w:b/>
                <w:bCs/>
                <w:sz w:val="20"/>
                <w:szCs w:val="20"/>
                <w:lang w:val="sr-Cyrl-CS"/>
              </w:rPr>
              <w:t>ПЛАНИРАЊЕ И КООРДИНАЦИЈА ПОЛИТИКА</w:t>
            </w:r>
          </w:p>
        </w:tc>
      </w:tr>
      <w:tr w:rsidR="00A20C77" w:rsidRPr="00221978" w14:paraId="3A623A4A" w14:textId="77777777" w:rsidTr="0001418E">
        <w:trPr>
          <w:trHeight w:val="496"/>
        </w:trPr>
        <w:tc>
          <w:tcPr>
            <w:tcW w:w="1553" w:type="pct"/>
            <w:shd w:val="clear" w:color="auto" w:fill="auto"/>
          </w:tcPr>
          <w:p w14:paraId="520BFA1D" w14:textId="77777777" w:rsidR="00A20C77" w:rsidRPr="00221978" w:rsidRDefault="00A20C77" w:rsidP="0001418E">
            <w:pP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Индикатор квалитета прописа (</w:t>
            </w:r>
            <w:r w:rsidRPr="00221978">
              <w:rPr>
                <w:rFonts w:ascii="Times New Roman" w:eastAsia="Times New Roman" w:hAnsi="Times New Roman" w:cs="Times New Roman"/>
                <w:i/>
                <w:iCs/>
                <w:sz w:val="20"/>
                <w:szCs w:val="20"/>
                <w:lang w:val="sr-Cyrl-CS" w:eastAsia="de-DE"/>
              </w:rPr>
              <w:t>Regulatory quality</w:t>
            </w:r>
            <w:r w:rsidRPr="00221978">
              <w:rPr>
                <w:rFonts w:ascii="Times New Roman" w:eastAsia="Times New Roman" w:hAnsi="Times New Roman" w:cs="Times New Roman"/>
                <w:sz w:val="20"/>
                <w:szCs w:val="20"/>
                <w:lang w:val="sr-Cyrl-CS" w:eastAsia="de-DE"/>
              </w:rPr>
              <w:t>) – ранг светске банке</w:t>
            </w:r>
          </w:p>
        </w:tc>
        <w:tc>
          <w:tcPr>
            <w:tcW w:w="480" w:type="pct"/>
            <w:shd w:val="clear" w:color="auto" w:fill="auto"/>
          </w:tcPr>
          <w:p w14:paraId="308706B3"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60.10</w:t>
            </w:r>
          </w:p>
          <w:p w14:paraId="4718C48A"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(2019)</w:t>
            </w:r>
          </w:p>
        </w:tc>
        <w:tc>
          <w:tcPr>
            <w:tcW w:w="428" w:type="pct"/>
            <w:shd w:val="clear" w:color="auto" w:fill="auto"/>
          </w:tcPr>
          <w:p w14:paraId="1C38AEDD"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61.00</w:t>
            </w:r>
          </w:p>
        </w:tc>
        <w:tc>
          <w:tcPr>
            <w:tcW w:w="428" w:type="pct"/>
            <w:shd w:val="clear" w:color="auto" w:fill="auto"/>
          </w:tcPr>
          <w:p w14:paraId="459907C3"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62.00</w:t>
            </w:r>
          </w:p>
        </w:tc>
        <w:tc>
          <w:tcPr>
            <w:tcW w:w="428" w:type="pct"/>
            <w:shd w:val="clear" w:color="auto" w:fill="auto"/>
          </w:tcPr>
          <w:p w14:paraId="1ACB9584"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63.00</w:t>
            </w:r>
          </w:p>
        </w:tc>
        <w:tc>
          <w:tcPr>
            <w:tcW w:w="428" w:type="pct"/>
            <w:shd w:val="clear" w:color="auto" w:fill="auto"/>
          </w:tcPr>
          <w:p w14:paraId="0F339BFC"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64.00</w:t>
            </w:r>
          </w:p>
        </w:tc>
        <w:tc>
          <w:tcPr>
            <w:tcW w:w="428" w:type="pct"/>
            <w:shd w:val="clear" w:color="auto" w:fill="auto"/>
          </w:tcPr>
          <w:p w14:paraId="49F3BA69"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65.00</w:t>
            </w:r>
          </w:p>
        </w:tc>
        <w:tc>
          <w:tcPr>
            <w:tcW w:w="428" w:type="pct"/>
            <w:shd w:val="clear" w:color="auto" w:fill="auto"/>
          </w:tcPr>
          <w:p w14:paraId="264319E6"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67.00</w:t>
            </w:r>
          </w:p>
        </w:tc>
        <w:tc>
          <w:tcPr>
            <w:tcW w:w="399" w:type="pct"/>
            <w:shd w:val="clear" w:color="auto" w:fill="auto"/>
          </w:tcPr>
          <w:p w14:paraId="77455887"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70.00</w:t>
            </w:r>
          </w:p>
        </w:tc>
      </w:tr>
      <w:tr w:rsidR="00A20C77" w:rsidRPr="00221978" w14:paraId="2976A738" w14:textId="77777777" w:rsidTr="0001418E">
        <w:trPr>
          <w:trHeight w:val="496"/>
        </w:trPr>
        <w:tc>
          <w:tcPr>
            <w:tcW w:w="1553" w:type="pct"/>
            <w:shd w:val="clear" w:color="auto" w:fill="auto"/>
          </w:tcPr>
          <w:tbl>
            <w:tblPr>
              <w:tblW w:w="5000" w:type="pct"/>
              <w:shd w:val="clear" w:color="auto" w:fill="E7E6E6"/>
              <w:tblLayout w:type="fixed"/>
              <w:tblLook w:val="00A0" w:firstRow="1" w:lastRow="0" w:firstColumn="1" w:lastColumn="0" w:noHBand="0" w:noVBand="0"/>
            </w:tblPr>
            <w:tblGrid>
              <w:gridCol w:w="1492"/>
              <w:gridCol w:w="604"/>
              <w:gridCol w:w="604"/>
            </w:tblGrid>
            <w:tr w:rsidR="00A20C77" w:rsidRPr="00221978" w14:paraId="2ED9E305" w14:textId="77777777" w:rsidTr="0001418E">
              <w:trPr>
                <w:trHeight w:val="340"/>
              </w:trPr>
              <w:tc>
                <w:tcPr>
                  <w:tcW w:w="2558" w:type="pct"/>
                  <w:tcBorders>
                    <w:bottom w:val="single" w:sz="18" w:space="0" w:color="C00000"/>
                  </w:tcBorders>
                  <w:shd w:val="clear" w:color="auto" w:fill="F2F2F2"/>
                </w:tcPr>
                <w:p w14:paraId="6562FD7A" w14:textId="77777777" w:rsidR="00A20C77" w:rsidRPr="00221978" w:rsidRDefault="00A20C77" w:rsidP="0001418E">
                  <w:pPr>
                    <w:rPr>
                      <w:rFonts w:ascii="Times New Roman" w:hAnsi="Times New Roman" w:cs="Times New Roman"/>
                      <w:sz w:val="20"/>
                      <w:szCs w:val="20"/>
                      <w:lang w:val="sr-Cyrl-CS"/>
                    </w:rPr>
                  </w:pPr>
                  <w:r w:rsidRPr="00221978">
                    <w:rPr>
                      <w:rFonts w:ascii="Times New Roman" w:eastAsia="Calibri" w:hAnsi="Times New Roman" w:cs="Times New Roman"/>
                      <w:bCs/>
                      <w:sz w:val="20"/>
                      <w:szCs w:val="20"/>
                      <w:lang w:val="sr-Cyrl-CS"/>
                    </w:rPr>
                    <w:t>Индикатор усклађености и квалитета планирања политика</w:t>
                  </w:r>
                </w:p>
              </w:tc>
              <w:tc>
                <w:tcPr>
                  <w:tcW w:w="1034" w:type="pct"/>
                  <w:tcBorders>
                    <w:bottom w:val="single" w:sz="18" w:space="0" w:color="C00000"/>
                  </w:tcBorders>
                  <w:shd w:val="clear" w:color="auto" w:fill="F2F2F2"/>
                </w:tcPr>
                <w:p w14:paraId="21A30DEF" w14:textId="77777777" w:rsidR="00A20C77" w:rsidRPr="00221978" w:rsidRDefault="00A20C77" w:rsidP="0001418E">
                  <w:pPr>
                    <w:rPr>
                      <w:rFonts w:ascii="Times New Roman" w:hAnsi="Times New Roman" w:cs="Times New Roman"/>
                      <w:sz w:val="20"/>
                      <w:szCs w:val="20"/>
                      <w:lang w:val="sr-Cyrl-CS"/>
                    </w:rPr>
                  </w:pPr>
                </w:p>
              </w:tc>
              <w:tc>
                <w:tcPr>
                  <w:tcW w:w="1034" w:type="pct"/>
                  <w:tcBorders>
                    <w:bottom w:val="single" w:sz="18" w:space="0" w:color="C00000"/>
                  </w:tcBorders>
                  <w:shd w:val="clear" w:color="auto" w:fill="F2F2F2"/>
                </w:tcPr>
                <w:p w14:paraId="075A50C9" w14:textId="77777777" w:rsidR="00A20C77" w:rsidRPr="00221978" w:rsidRDefault="00A20C77" w:rsidP="0001418E">
                  <w:pPr>
                    <w:rPr>
                      <w:rFonts w:ascii="Times New Roman" w:hAnsi="Times New Roman" w:cs="Times New Roman"/>
                      <w:sz w:val="20"/>
                      <w:szCs w:val="20"/>
                      <w:lang w:val="sr-Cyrl-CS"/>
                    </w:rPr>
                  </w:pPr>
                </w:p>
              </w:tc>
            </w:tr>
          </w:tbl>
          <w:p w14:paraId="77E712E6" w14:textId="77777777" w:rsidR="00A20C77" w:rsidRPr="00221978" w:rsidRDefault="00A20C77" w:rsidP="0001418E">
            <w:pPr>
              <w:rPr>
                <w:rFonts w:ascii="Times New Roman" w:eastAsia="Times New Roman" w:hAnsi="Times New Roman" w:cs="Times New Roman"/>
                <w:sz w:val="20"/>
                <w:szCs w:val="20"/>
                <w:lang w:val="sr-Cyrl-CS" w:eastAsia="de-DE"/>
              </w:rPr>
            </w:pPr>
          </w:p>
        </w:tc>
        <w:tc>
          <w:tcPr>
            <w:tcW w:w="480" w:type="pct"/>
            <w:shd w:val="clear" w:color="auto" w:fill="auto"/>
          </w:tcPr>
          <w:p w14:paraId="76CD0AD2"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w:t>
            </w:r>
          </w:p>
        </w:tc>
        <w:tc>
          <w:tcPr>
            <w:tcW w:w="428" w:type="pct"/>
            <w:shd w:val="clear" w:color="auto" w:fill="auto"/>
          </w:tcPr>
          <w:p w14:paraId="33251180"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w:t>
            </w:r>
          </w:p>
        </w:tc>
        <w:tc>
          <w:tcPr>
            <w:tcW w:w="428" w:type="pct"/>
            <w:shd w:val="clear" w:color="auto" w:fill="auto"/>
          </w:tcPr>
          <w:p w14:paraId="301D350A"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w:t>
            </w:r>
          </w:p>
        </w:tc>
        <w:tc>
          <w:tcPr>
            <w:tcW w:w="428" w:type="pct"/>
            <w:shd w:val="clear" w:color="auto" w:fill="auto"/>
          </w:tcPr>
          <w:p w14:paraId="6B889CCB"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72F4019E"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15EEFD91"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5</w:t>
            </w:r>
          </w:p>
        </w:tc>
        <w:tc>
          <w:tcPr>
            <w:tcW w:w="428" w:type="pct"/>
            <w:shd w:val="clear" w:color="auto" w:fill="auto"/>
          </w:tcPr>
          <w:p w14:paraId="0C825E33"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c>
          <w:tcPr>
            <w:tcW w:w="399" w:type="pct"/>
            <w:shd w:val="clear" w:color="auto" w:fill="auto"/>
          </w:tcPr>
          <w:p w14:paraId="006478B0"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r>
      <w:tr w:rsidR="00A20C77" w:rsidRPr="00221978" w14:paraId="573D499C" w14:textId="77777777" w:rsidTr="0001418E">
        <w:tc>
          <w:tcPr>
            <w:tcW w:w="5000" w:type="pct"/>
            <w:gridSpan w:val="9"/>
            <w:shd w:val="clear" w:color="auto" w:fill="auto"/>
          </w:tcPr>
          <w:p w14:paraId="47F9DA6C" w14:textId="77777777" w:rsidR="00A20C77" w:rsidRPr="00221978" w:rsidRDefault="00A20C77" w:rsidP="0001418E">
            <w:pPr>
              <w:rPr>
                <w:rFonts w:ascii="Times New Roman" w:eastAsia="Times New Roman" w:hAnsi="Times New Roman" w:cs="Times New Roman"/>
                <w:b/>
                <w:bCs/>
                <w:sz w:val="20"/>
                <w:szCs w:val="20"/>
                <w:lang w:val="sr-Cyrl-CS" w:eastAsia="de-DE"/>
              </w:rPr>
            </w:pPr>
            <w:r w:rsidRPr="00221978">
              <w:rPr>
                <w:rFonts w:ascii="Times New Roman" w:eastAsia="Times New Roman" w:hAnsi="Times New Roman" w:cs="Times New Roman"/>
                <w:b/>
                <w:bCs/>
                <w:sz w:val="20"/>
                <w:szCs w:val="20"/>
                <w:lang w:val="sr-Cyrl-CS" w:eastAsia="de-DE"/>
              </w:rPr>
              <w:t>УПРАВЉАЊЕ ЉУДСКИМ РЕСУРСИМА</w:t>
            </w:r>
          </w:p>
        </w:tc>
      </w:tr>
      <w:tr w:rsidR="00A20C77" w:rsidRPr="00221978" w14:paraId="696B44BA" w14:textId="77777777" w:rsidTr="0001418E">
        <w:tc>
          <w:tcPr>
            <w:tcW w:w="1553" w:type="pct"/>
            <w:shd w:val="clear" w:color="auto" w:fill="auto"/>
          </w:tcPr>
          <w:p w14:paraId="653DC07C" w14:textId="77777777" w:rsidR="00A20C77" w:rsidRPr="00221978" w:rsidRDefault="00A20C77" w:rsidP="0001418E">
            <w:pP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Меритократија и ефикасност запошљавања државних службеника (</w:t>
            </w:r>
            <w:r w:rsidRPr="00221978">
              <w:rPr>
                <w:rFonts w:ascii="Times New Roman" w:eastAsia="Times New Roman" w:hAnsi="Times New Roman" w:cs="Times New Roman"/>
                <w:i/>
                <w:sz w:val="20"/>
                <w:szCs w:val="20"/>
                <w:lang w:val="sr-Cyrl-CS" w:eastAsia="de-DE"/>
              </w:rPr>
              <w:t>SIGMA</w:t>
            </w:r>
            <w:r w:rsidRPr="00221978">
              <w:rPr>
                <w:rFonts w:ascii="Times New Roman" w:eastAsia="Times New Roman" w:hAnsi="Times New Roman" w:cs="Times New Roman"/>
                <w:sz w:val="20"/>
                <w:szCs w:val="20"/>
                <w:lang w:val="sr-Cyrl-CS" w:eastAsia="de-DE"/>
              </w:rPr>
              <w:t xml:space="preserve"> принцип)</w:t>
            </w:r>
          </w:p>
        </w:tc>
        <w:tc>
          <w:tcPr>
            <w:tcW w:w="480" w:type="pct"/>
            <w:shd w:val="clear" w:color="auto" w:fill="auto"/>
          </w:tcPr>
          <w:p w14:paraId="0D0E3495"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 (2019)</w:t>
            </w:r>
          </w:p>
        </w:tc>
        <w:tc>
          <w:tcPr>
            <w:tcW w:w="428" w:type="pct"/>
            <w:shd w:val="clear" w:color="auto" w:fill="auto"/>
          </w:tcPr>
          <w:p w14:paraId="7504024E"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w:t>
            </w:r>
          </w:p>
        </w:tc>
        <w:tc>
          <w:tcPr>
            <w:tcW w:w="428" w:type="pct"/>
            <w:shd w:val="clear" w:color="auto" w:fill="auto"/>
          </w:tcPr>
          <w:p w14:paraId="35D963CC"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6FD64D84"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0B68BAF1"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4BD857F0"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45B2685B"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5</w:t>
            </w:r>
          </w:p>
        </w:tc>
        <w:tc>
          <w:tcPr>
            <w:tcW w:w="399" w:type="pct"/>
            <w:shd w:val="clear" w:color="auto" w:fill="auto"/>
          </w:tcPr>
          <w:p w14:paraId="685A408D"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5</w:t>
            </w:r>
          </w:p>
        </w:tc>
      </w:tr>
      <w:tr w:rsidR="00A20C77" w:rsidRPr="00221978" w14:paraId="250EA532" w14:textId="77777777" w:rsidTr="0001418E">
        <w:tc>
          <w:tcPr>
            <w:tcW w:w="1553" w:type="pct"/>
            <w:shd w:val="clear" w:color="auto" w:fill="auto"/>
          </w:tcPr>
          <w:p w14:paraId="533875CD" w14:textId="77777777" w:rsidR="00A20C77" w:rsidRPr="00221978" w:rsidRDefault="00A20C77" w:rsidP="0001418E">
            <w:pP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Степен у ком је развијен систем за управљање каријером државних службеника</w:t>
            </w:r>
          </w:p>
        </w:tc>
        <w:tc>
          <w:tcPr>
            <w:tcW w:w="480" w:type="pct"/>
            <w:shd w:val="clear" w:color="auto" w:fill="auto"/>
          </w:tcPr>
          <w:p w14:paraId="380C1855"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1 (2020)</w:t>
            </w:r>
          </w:p>
        </w:tc>
        <w:tc>
          <w:tcPr>
            <w:tcW w:w="428" w:type="pct"/>
            <w:shd w:val="clear" w:color="auto" w:fill="auto"/>
          </w:tcPr>
          <w:p w14:paraId="430E4D12"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1</w:t>
            </w:r>
          </w:p>
        </w:tc>
        <w:tc>
          <w:tcPr>
            <w:tcW w:w="428" w:type="pct"/>
            <w:shd w:val="clear" w:color="auto" w:fill="auto"/>
          </w:tcPr>
          <w:p w14:paraId="16AF7D5D"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1</w:t>
            </w:r>
          </w:p>
        </w:tc>
        <w:tc>
          <w:tcPr>
            <w:tcW w:w="428" w:type="pct"/>
            <w:shd w:val="clear" w:color="auto" w:fill="auto"/>
          </w:tcPr>
          <w:p w14:paraId="656919BF"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2</w:t>
            </w:r>
          </w:p>
        </w:tc>
        <w:tc>
          <w:tcPr>
            <w:tcW w:w="428" w:type="pct"/>
            <w:shd w:val="clear" w:color="auto" w:fill="auto"/>
          </w:tcPr>
          <w:p w14:paraId="0C0DA0BD"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w:t>
            </w:r>
          </w:p>
        </w:tc>
        <w:tc>
          <w:tcPr>
            <w:tcW w:w="428" w:type="pct"/>
            <w:shd w:val="clear" w:color="auto" w:fill="auto"/>
          </w:tcPr>
          <w:p w14:paraId="01DC18CE"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73B03567"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399" w:type="pct"/>
            <w:shd w:val="clear" w:color="auto" w:fill="auto"/>
          </w:tcPr>
          <w:p w14:paraId="49FDB4D1"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r>
      <w:tr w:rsidR="00A20C77" w:rsidRPr="00221978" w14:paraId="6A34B044" w14:textId="77777777" w:rsidTr="0001418E">
        <w:tc>
          <w:tcPr>
            <w:tcW w:w="1553" w:type="pct"/>
            <w:shd w:val="clear" w:color="auto" w:fill="auto"/>
          </w:tcPr>
          <w:p w14:paraId="3DE43EE3" w14:textId="77777777" w:rsidR="00A20C77" w:rsidRPr="00221978" w:rsidRDefault="00A20C77" w:rsidP="0001418E">
            <w:pPr>
              <w:spacing w:after="0"/>
              <w:rPr>
                <w:rFonts w:ascii="Times New Roman" w:eastAsia="Times New Roman" w:hAnsi="Times New Roman" w:cs="Times New Roman"/>
                <w:sz w:val="20"/>
                <w:szCs w:val="20"/>
                <w:lang w:val="sr-Cyrl-CS" w:eastAsia="de-DE"/>
              </w:rPr>
            </w:pPr>
            <w:r w:rsidRPr="00221978">
              <w:rPr>
                <w:rFonts w:ascii="Times New Roman" w:hAnsi="Times New Roman" w:cs="Times New Roman"/>
                <w:sz w:val="20"/>
                <w:szCs w:val="20"/>
                <w:lang w:val="sr-Cyrl-CS"/>
              </w:rPr>
              <w:t xml:space="preserve"> </w:t>
            </w:r>
            <w:r w:rsidRPr="00221978">
              <w:rPr>
                <w:rFonts w:ascii="Times New Roman" w:eastAsia="Times New Roman" w:hAnsi="Times New Roman" w:cs="Times New Roman"/>
                <w:sz w:val="20"/>
                <w:szCs w:val="20"/>
                <w:lang w:val="sr-Cyrl-CS" w:eastAsia="de-DE"/>
              </w:rPr>
              <w:t xml:space="preserve">Степен у ком се систем стручног усавршавања у јавној управи нормативно и у пракси заснива на анализи потреба за унапређењем знања и вештина, </w:t>
            </w:r>
            <w:r w:rsidRPr="00221978">
              <w:rPr>
                <w:rFonts w:ascii="Times New Roman" w:eastAsia="Times New Roman" w:hAnsi="Times New Roman" w:cs="Times New Roman"/>
                <w:sz w:val="20"/>
                <w:szCs w:val="20"/>
                <w:lang w:val="sr-Cyrl-CS" w:eastAsia="de-DE"/>
              </w:rPr>
              <w:lastRenderedPageBreak/>
              <w:t>односно способности запослених у јавној управи</w:t>
            </w:r>
          </w:p>
          <w:p w14:paraId="784D6E7E" w14:textId="77777777" w:rsidR="00A20C77" w:rsidRPr="00221978" w:rsidRDefault="00A20C77" w:rsidP="0001418E">
            <w:pPr>
              <w:spacing w:after="0"/>
              <w:rPr>
                <w:rFonts w:ascii="Times New Roman" w:eastAsia="Times New Roman" w:hAnsi="Times New Roman" w:cs="Times New Roman"/>
                <w:sz w:val="20"/>
                <w:szCs w:val="20"/>
                <w:lang w:val="sr-Cyrl-CS" w:eastAsia="de-DE"/>
              </w:rPr>
            </w:pPr>
          </w:p>
        </w:tc>
        <w:tc>
          <w:tcPr>
            <w:tcW w:w="480" w:type="pct"/>
            <w:shd w:val="clear" w:color="auto" w:fill="auto"/>
          </w:tcPr>
          <w:p w14:paraId="4D94C46B" w14:textId="77777777" w:rsidR="00A20C77" w:rsidRPr="00221978" w:rsidRDefault="00A20C77" w:rsidP="0001418E">
            <w:pPr>
              <w:spacing w:after="0"/>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lastRenderedPageBreak/>
              <w:t>1 (2019)</w:t>
            </w:r>
          </w:p>
        </w:tc>
        <w:tc>
          <w:tcPr>
            <w:tcW w:w="428" w:type="pct"/>
            <w:shd w:val="clear" w:color="auto" w:fill="auto"/>
          </w:tcPr>
          <w:p w14:paraId="5F402565" w14:textId="77777777" w:rsidR="00A20C77" w:rsidRPr="00221978" w:rsidRDefault="00A20C77" w:rsidP="0001418E">
            <w:pPr>
              <w:spacing w:after="0"/>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w:t>
            </w:r>
          </w:p>
        </w:tc>
        <w:tc>
          <w:tcPr>
            <w:tcW w:w="428" w:type="pct"/>
            <w:shd w:val="clear" w:color="auto" w:fill="auto"/>
          </w:tcPr>
          <w:p w14:paraId="3AE77C71" w14:textId="77777777" w:rsidR="00A20C77" w:rsidRPr="00221978" w:rsidRDefault="00A20C77" w:rsidP="0001418E">
            <w:pPr>
              <w:spacing w:after="0"/>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w:t>
            </w:r>
          </w:p>
        </w:tc>
        <w:tc>
          <w:tcPr>
            <w:tcW w:w="428" w:type="pct"/>
            <w:shd w:val="clear" w:color="auto" w:fill="auto"/>
          </w:tcPr>
          <w:p w14:paraId="5D9DD257" w14:textId="77777777" w:rsidR="00A20C77" w:rsidRPr="00221978" w:rsidRDefault="00A20C77" w:rsidP="0001418E">
            <w:pPr>
              <w:spacing w:after="0"/>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w:t>
            </w:r>
          </w:p>
        </w:tc>
        <w:tc>
          <w:tcPr>
            <w:tcW w:w="428" w:type="pct"/>
            <w:shd w:val="clear" w:color="auto" w:fill="auto"/>
          </w:tcPr>
          <w:p w14:paraId="0A9B44E7" w14:textId="77777777" w:rsidR="00A20C77" w:rsidRPr="00221978" w:rsidRDefault="00A20C77" w:rsidP="0001418E">
            <w:pPr>
              <w:spacing w:after="0"/>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01AEF79C" w14:textId="77777777" w:rsidR="00A20C77" w:rsidRPr="00221978" w:rsidRDefault="00A20C77" w:rsidP="0001418E">
            <w:pPr>
              <w:spacing w:after="0"/>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305DDD29" w14:textId="77777777" w:rsidR="00A20C77" w:rsidRPr="00221978" w:rsidRDefault="00A20C77" w:rsidP="0001418E">
            <w:pPr>
              <w:spacing w:after="0"/>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5</w:t>
            </w:r>
          </w:p>
        </w:tc>
        <w:tc>
          <w:tcPr>
            <w:tcW w:w="399" w:type="pct"/>
            <w:shd w:val="clear" w:color="auto" w:fill="auto"/>
          </w:tcPr>
          <w:p w14:paraId="1BFA3E4C" w14:textId="77777777" w:rsidR="00A20C77" w:rsidRPr="00221978" w:rsidRDefault="00A20C77" w:rsidP="0001418E">
            <w:pPr>
              <w:spacing w:after="0"/>
              <w:jc w:val="center"/>
              <w:rPr>
                <w:rFonts w:ascii="Times New Roman" w:hAnsi="Times New Roman" w:cs="Times New Roman"/>
                <w:sz w:val="20"/>
                <w:szCs w:val="20"/>
                <w:lang w:val="sr-Cyrl-CS"/>
              </w:rPr>
            </w:pPr>
            <w:r w:rsidRPr="00221978">
              <w:rPr>
                <w:rFonts w:ascii="Times New Roman" w:hAnsi="Times New Roman" w:cs="Times New Roman"/>
                <w:sz w:val="20"/>
                <w:szCs w:val="20"/>
                <w:lang w:val="sr-Cyrl-CS" w:eastAsia="de-DE"/>
              </w:rPr>
              <w:t>5</w:t>
            </w:r>
          </w:p>
        </w:tc>
      </w:tr>
      <w:tr w:rsidR="00A20C77" w:rsidRPr="00221978" w14:paraId="78F10527" w14:textId="77777777" w:rsidTr="0001418E">
        <w:tc>
          <w:tcPr>
            <w:tcW w:w="5000" w:type="pct"/>
            <w:gridSpan w:val="9"/>
            <w:shd w:val="clear" w:color="auto" w:fill="auto"/>
          </w:tcPr>
          <w:p w14:paraId="025B0590" w14:textId="77777777" w:rsidR="00A20C77" w:rsidRPr="00221978" w:rsidRDefault="00A20C77" w:rsidP="0001418E">
            <w:pPr>
              <w:rPr>
                <w:rFonts w:ascii="Times New Roman" w:eastAsia="Times New Roman" w:hAnsi="Times New Roman" w:cs="Times New Roman"/>
                <w:b/>
                <w:bCs/>
                <w:sz w:val="20"/>
                <w:szCs w:val="20"/>
                <w:lang w:val="sr-Cyrl-CS" w:eastAsia="de-DE"/>
              </w:rPr>
            </w:pPr>
            <w:r w:rsidRPr="00221978">
              <w:rPr>
                <w:rFonts w:ascii="Times New Roman" w:eastAsia="Times New Roman" w:hAnsi="Times New Roman" w:cs="Times New Roman"/>
                <w:b/>
                <w:bCs/>
                <w:sz w:val="20"/>
                <w:szCs w:val="20"/>
                <w:lang w:val="sr-Cyrl-CS" w:eastAsia="de-DE"/>
              </w:rPr>
              <w:t>ПРУЖАЊЕ УСЛУГА</w:t>
            </w:r>
          </w:p>
        </w:tc>
      </w:tr>
      <w:tr w:rsidR="00A20C77" w:rsidRPr="00221978" w14:paraId="213595D0" w14:textId="77777777" w:rsidTr="0001418E">
        <w:tc>
          <w:tcPr>
            <w:tcW w:w="1553" w:type="pct"/>
            <w:shd w:val="clear" w:color="auto" w:fill="auto"/>
          </w:tcPr>
          <w:p w14:paraId="515FB0F1" w14:textId="77777777" w:rsidR="00A20C77" w:rsidRPr="00221978" w:rsidRDefault="00A20C77" w:rsidP="0001418E">
            <w:pP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 xml:space="preserve">Просечна оцена </w:t>
            </w:r>
            <w:r w:rsidRPr="00221978">
              <w:rPr>
                <w:rFonts w:ascii="Times New Roman" w:eastAsia="Times New Roman" w:hAnsi="Times New Roman" w:cs="Times New Roman"/>
                <w:i/>
                <w:sz w:val="20"/>
                <w:szCs w:val="20"/>
                <w:lang w:val="sr-Cyrl-CS" w:eastAsia="de-DE"/>
              </w:rPr>
              <w:t>SIGMA</w:t>
            </w:r>
            <w:r w:rsidRPr="00221978">
              <w:rPr>
                <w:rFonts w:ascii="Times New Roman" w:eastAsia="Times New Roman" w:hAnsi="Times New Roman" w:cs="Times New Roman"/>
                <w:sz w:val="20"/>
                <w:szCs w:val="20"/>
                <w:lang w:val="sr-Cyrl-CS" w:eastAsia="de-DE"/>
              </w:rPr>
              <w:t xml:space="preserve"> Извештаја о праћењу у области пружања услуга за сва четири стуба мерења</w:t>
            </w:r>
          </w:p>
        </w:tc>
        <w:tc>
          <w:tcPr>
            <w:tcW w:w="480" w:type="pct"/>
            <w:shd w:val="clear" w:color="auto" w:fill="auto"/>
          </w:tcPr>
          <w:p w14:paraId="5F13DD33"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 (2019)</w:t>
            </w:r>
          </w:p>
        </w:tc>
        <w:tc>
          <w:tcPr>
            <w:tcW w:w="428" w:type="pct"/>
            <w:shd w:val="clear" w:color="auto" w:fill="auto"/>
          </w:tcPr>
          <w:p w14:paraId="1819CA97"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307DCD43"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653844FA"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3ABB0928"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345B114F"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5</w:t>
            </w:r>
          </w:p>
        </w:tc>
        <w:tc>
          <w:tcPr>
            <w:tcW w:w="428" w:type="pct"/>
            <w:shd w:val="clear" w:color="auto" w:fill="auto"/>
          </w:tcPr>
          <w:p w14:paraId="24B3CC02"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5</w:t>
            </w:r>
          </w:p>
        </w:tc>
        <w:tc>
          <w:tcPr>
            <w:tcW w:w="399" w:type="pct"/>
            <w:shd w:val="clear" w:color="auto" w:fill="auto"/>
          </w:tcPr>
          <w:p w14:paraId="20A62712"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5</w:t>
            </w:r>
          </w:p>
        </w:tc>
      </w:tr>
      <w:tr w:rsidR="00A20C77" w:rsidRPr="00221978" w14:paraId="24BA809C" w14:textId="77777777" w:rsidTr="0001418E">
        <w:tc>
          <w:tcPr>
            <w:tcW w:w="1553" w:type="pct"/>
            <w:shd w:val="clear" w:color="auto" w:fill="auto"/>
          </w:tcPr>
          <w:p w14:paraId="1FC10FDA" w14:textId="77777777" w:rsidR="00A20C77" w:rsidRPr="00221978" w:rsidRDefault="00A20C77" w:rsidP="0001418E">
            <w:pPr>
              <w:rPr>
                <w:rFonts w:ascii="Times New Roman" w:eastAsia="Times New Roman" w:hAnsi="Times New Roman" w:cs="Times New Roman"/>
                <w:color w:val="000000"/>
                <w:sz w:val="20"/>
                <w:szCs w:val="20"/>
                <w:lang w:val="sr-Cyrl-CS" w:eastAsia="de-DE"/>
              </w:rPr>
            </w:pPr>
            <w:r w:rsidRPr="00221978">
              <w:rPr>
                <w:rFonts w:ascii="Times New Roman" w:eastAsia="Times New Roman" w:hAnsi="Times New Roman" w:cs="Times New Roman"/>
                <w:sz w:val="20"/>
                <w:szCs w:val="20"/>
                <w:lang w:val="sr-Cyrl-CS" w:eastAsia="de-DE"/>
              </w:rPr>
              <w:t>Удео административног оптерећења грађана и привреде у БДП-у</w:t>
            </w:r>
          </w:p>
        </w:tc>
        <w:tc>
          <w:tcPr>
            <w:tcW w:w="480" w:type="pct"/>
            <w:shd w:val="clear" w:color="auto" w:fill="auto"/>
          </w:tcPr>
          <w:p w14:paraId="4C89D604"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3,11% (2018)</w:t>
            </w:r>
          </w:p>
        </w:tc>
        <w:tc>
          <w:tcPr>
            <w:tcW w:w="428" w:type="pct"/>
            <w:shd w:val="clear" w:color="auto" w:fill="auto"/>
          </w:tcPr>
          <w:p w14:paraId="5EE43DA7"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3.00%</w:t>
            </w:r>
          </w:p>
        </w:tc>
        <w:tc>
          <w:tcPr>
            <w:tcW w:w="428" w:type="pct"/>
            <w:shd w:val="clear" w:color="auto" w:fill="auto"/>
          </w:tcPr>
          <w:p w14:paraId="751E2694"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2,90%</w:t>
            </w:r>
          </w:p>
        </w:tc>
        <w:tc>
          <w:tcPr>
            <w:tcW w:w="428" w:type="pct"/>
            <w:shd w:val="clear" w:color="auto" w:fill="auto"/>
          </w:tcPr>
          <w:p w14:paraId="20BADFB9"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2,85%</w:t>
            </w:r>
          </w:p>
        </w:tc>
        <w:tc>
          <w:tcPr>
            <w:tcW w:w="428" w:type="pct"/>
            <w:shd w:val="clear" w:color="auto" w:fill="auto"/>
          </w:tcPr>
          <w:p w14:paraId="3C257BAC"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2,80%</w:t>
            </w:r>
          </w:p>
        </w:tc>
        <w:tc>
          <w:tcPr>
            <w:tcW w:w="428" w:type="pct"/>
            <w:shd w:val="clear" w:color="auto" w:fill="auto"/>
          </w:tcPr>
          <w:p w14:paraId="0506498F"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2,75%</w:t>
            </w:r>
          </w:p>
        </w:tc>
        <w:tc>
          <w:tcPr>
            <w:tcW w:w="428" w:type="pct"/>
            <w:shd w:val="clear" w:color="auto" w:fill="auto"/>
          </w:tcPr>
          <w:p w14:paraId="5D409EC8"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2,55%</w:t>
            </w:r>
          </w:p>
        </w:tc>
        <w:tc>
          <w:tcPr>
            <w:tcW w:w="399" w:type="pct"/>
            <w:shd w:val="clear" w:color="auto" w:fill="auto"/>
          </w:tcPr>
          <w:p w14:paraId="13184277"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2,40%</w:t>
            </w:r>
          </w:p>
        </w:tc>
      </w:tr>
      <w:tr w:rsidR="00A20C77" w:rsidRPr="00221978" w14:paraId="5D1C390C" w14:textId="77777777" w:rsidTr="0001418E">
        <w:tc>
          <w:tcPr>
            <w:tcW w:w="5000" w:type="pct"/>
            <w:gridSpan w:val="9"/>
            <w:shd w:val="clear" w:color="auto" w:fill="auto"/>
          </w:tcPr>
          <w:p w14:paraId="21E4AF0D" w14:textId="77777777" w:rsidR="00A20C77" w:rsidRPr="00221978" w:rsidRDefault="00A20C77" w:rsidP="0001418E">
            <w:pPr>
              <w:rPr>
                <w:rFonts w:ascii="Times New Roman" w:eastAsia="Times New Roman" w:hAnsi="Times New Roman" w:cs="Times New Roman"/>
                <w:b/>
                <w:bCs/>
                <w:sz w:val="20"/>
                <w:szCs w:val="20"/>
                <w:lang w:val="sr-Cyrl-CS" w:eastAsia="de-DE"/>
              </w:rPr>
            </w:pPr>
            <w:r w:rsidRPr="00221978">
              <w:rPr>
                <w:rFonts w:ascii="Times New Roman" w:eastAsia="Times New Roman" w:hAnsi="Times New Roman" w:cs="Times New Roman"/>
                <w:b/>
                <w:bCs/>
                <w:sz w:val="20"/>
                <w:szCs w:val="20"/>
                <w:lang w:val="sr-Cyrl-CS" w:eastAsia="de-DE"/>
              </w:rPr>
              <w:t>ОДГОВОРНОСТ И ТРАНСПАРЕНТНОСТ</w:t>
            </w:r>
          </w:p>
        </w:tc>
      </w:tr>
      <w:tr w:rsidR="00A20C77" w:rsidRPr="00221978" w14:paraId="746377BD" w14:textId="77777777" w:rsidTr="0001418E">
        <w:tc>
          <w:tcPr>
            <w:tcW w:w="1553" w:type="pct"/>
            <w:shd w:val="clear" w:color="auto" w:fill="auto"/>
          </w:tcPr>
          <w:p w14:paraId="1EC56B76" w14:textId="77777777" w:rsidR="00A20C77" w:rsidRPr="00221978" w:rsidRDefault="00A20C77" w:rsidP="0001418E">
            <w:pP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 xml:space="preserve">Годишња процена ЕК о напретку у области одговорности   </w:t>
            </w:r>
          </w:p>
        </w:tc>
        <w:tc>
          <w:tcPr>
            <w:tcW w:w="480" w:type="pct"/>
            <w:shd w:val="clear" w:color="auto" w:fill="auto"/>
          </w:tcPr>
          <w:p w14:paraId="16B84923"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Не</w:t>
            </w:r>
          </w:p>
        </w:tc>
        <w:tc>
          <w:tcPr>
            <w:tcW w:w="428" w:type="pct"/>
            <w:shd w:val="clear" w:color="auto" w:fill="auto"/>
          </w:tcPr>
          <w:p w14:paraId="36DA9131"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не</w:t>
            </w:r>
          </w:p>
        </w:tc>
        <w:tc>
          <w:tcPr>
            <w:tcW w:w="428" w:type="pct"/>
            <w:shd w:val="clear" w:color="auto" w:fill="auto"/>
          </w:tcPr>
          <w:p w14:paraId="7A00D798"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да</w:t>
            </w:r>
          </w:p>
        </w:tc>
        <w:tc>
          <w:tcPr>
            <w:tcW w:w="428" w:type="pct"/>
            <w:shd w:val="clear" w:color="auto" w:fill="auto"/>
          </w:tcPr>
          <w:p w14:paraId="0D5BD769"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Да</w:t>
            </w:r>
          </w:p>
        </w:tc>
        <w:tc>
          <w:tcPr>
            <w:tcW w:w="428" w:type="pct"/>
            <w:shd w:val="clear" w:color="auto" w:fill="auto"/>
          </w:tcPr>
          <w:p w14:paraId="17638DEB"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да</w:t>
            </w:r>
          </w:p>
        </w:tc>
        <w:tc>
          <w:tcPr>
            <w:tcW w:w="428" w:type="pct"/>
            <w:shd w:val="clear" w:color="auto" w:fill="auto"/>
          </w:tcPr>
          <w:p w14:paraId="614841BE"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да</w:t>
            </w:r>
          </w:p>
        </w:tc>
        <w:tc>
          <w:tcPr>
            <w:tcW w:w="428" w:type="pct"/>
            <w:shd w:val="clear" w:color="auto" w:fill="auto"/>
          </w:tcPr>
          <w:p w14:paraId="2C0EF9E8"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c>
          <w:tcPr>
            <w:tcW w:w="399" w:type="pct"/>
            <w:shd w:val="clear" w:color="auto" w:fill="auto"/>
          </w:tcPr>
          <w:p w14:paraId="5595F1A0"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r>
      <w:tr w:rsidR="00A20C77" w:rsidRPr="00221978" w14:paraId="608CE573" w14:textId="77777777" w:rsidTr="0001418E">
        <w:tc>
          <w:tcPr>
            <w:tcW w:w="1553" w:type="pct"/>
            <w:shd w:val="clear" w:color="auto" w:fill="auto"/>
          </w:tcPr>
          <w:p w14:paraId="26F58E17" w14:textId="77777777" w:rsidR="00A20C77" w:rsidRPr="00221978" w:rsidRDefault="00A20C77" w:rsidP="0001418E">
            <w:pP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bCs/>
                <w:i/>
                <w:iCs/>
                <w:sz w:val="20"/>
                <w:szCs w:val="20"/>
                <w:lang w:val="sr-Cyrl-CS" w:eastAsia="de-DE"/>
              </w:rPr>
              <w:t>SIGMA</w:t>
            </w:r>
            <w:r w:rsidRPr="00221978">
              <w:rPr>
                <w:rFonts w:ascii="Times New Roman" w:eastAsia="Times New Roman" w:hAnsi="Times New Roman" w:cs="Times New Roman"/>
                <w:bCs/>
                <w:iCs/>
                <w:sz w:val="20"/>
                <w:szCs w:val="20"/>
                <w:lang w:val="sr-Cyrl-CS" w:eastAsia="de-DE"/>
              </w:rPr>
              <w:t xml:space="preserve"> показатељ: </w:t>
            </w:r>
            <w:r w:rsidRPr="00221978">
              <w:rPr>
                <w:rFonts w:ascii="Times New Roman" w:eastAsia="Times New Roman" w:hAnsi="Times New Roman" w:cs="Times New Roman"/>
                <w:sz w:val="20"/>
                <w:szCs w:val="20"/>
                <w:lang w:val="sr-Cyrl-CS" w:eastAsia="de-DE"/>
              </w:rPr>
              <w:t>Приступ информацијама од јавног значаја</w:t>
            </w:r>
          </w:p>
        </w:tc>
        <w:tc>
          <w:tcPr>
            <w:tcW w:w="480" w:type="pct"/>
            <w:shd w:val="clear" w:color="auto" w:fill="auto"/>
          </w:tcPr>
          <w:p w14:paraId="3558C8B8"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 xml:space="preserve">21/30 </w:t>
            </w:r>
          </w:p>
          <w:p w14:paraId="2A1915CF"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(2017)</w:t>
            </w:r>
          </w:p>
        </w:tc>
        <w:tc>
          <w:tcPr>
            <w:tcW w:w="428" w:type="pct"/>
            <w:shd w:val="clear" w:color="auto" w:fill="auto"/>
          </w:tcPr>
          <w:p w14:paraId="1F666D4F"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22/30</w:t>
            </w:r>
          </w:p>
        </w:tc>
        <w:tc>
          <w:tcPr>
            <w:tcW w:w="428" w:type="pct"/>
            <w:shd w:val="clear" w:color="auto" w:fill="auto"/>
          </w:tcPr>
          <w:p w14:paraId="377C31A3"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c>
          <w:tcPr>
            <w:tcW w:w="428" w:type="pct"/>
            <w:shd w:val="clear" w:color="auto" w:fill="auto"/>
          </w:tcPr>
          <w:p w14:paraId="32890E10"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24/30</w:t>
            </w:r>
          </w:p>
        </w:tc>
        <w:tc>
          <w:tcPr>
            <w:tcW w:w="428" w:type="pct"/>
            <w:shd w:val="clear" w:color="auto" w:fill="auto"/>
          </w:tcPr>
          <w:p w14:paraId="4EED391A"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c>
          <w:tcPr>
            <w:tcW w:w="428" w:type="pct"/>
            <w:shd w:val="clear" w:color="auto" w:fill="auto"/>
          </w:tcPr>
          <w:p w14:paraId="7DB48A9C"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30/30 (5)</w:t>
            </w:r>
          </w:p>
        </w:tc>
        <w:tc>
          <w:tcPr>
            <w:tcW w:w="428" w:type="pct"/>
            <w:shd w:val="clear" w:color="auto" w:fill="auto"/>
          </w:tcPr>
          <w:p w14:paraId="12367FA8"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c>
          <w:tcPr>
            <w:tcW w:w="399" w:type="pct"/>
            <w:shd w:val="clear" w:color="auto" w:fill="auto"/>
          </w:tcPr>
          <w:p w14:paraId="4FCC029B"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r>
      <w:tr w:rsidR="00A20C77" w:rsidRPr="00221978" w14:paraId="1C791AB5" w14:textId="77777777" w:rsidTr="0001418E">
        <w:tc>
          <w:tcPr>
            <w:tcW w:w="5000" w:type="pct"/>
            <w:gridSpan w:val="9"/>
            <w:shd w:val="clear" w:color="auto" w:fill="auto"/>
          </w:tcPr>
          <w:p w14:paraId="184B5142" w14:textId="77777777" w:rsidR="00A20C77" w:rsidRPr="00221978" w:rsidRDefault="00A20C77" w:rsidP="0001418E">
            <w:pPr>
              <w:rPr>
                <w:rFonts w:ascii="Times New Roman" w:eastAsia="Calibri" w:hAnsi="Times New Roman" w:cs="Times New Roman"/>
                <w:b/>
                <w:bCs/>
                <w:color w:val="FFFFFF"/>
                <w:sz w:val="20"/>
                <w:szCs w:val="20"/>
                <w:lang w:val="sr-Cyrl-CS"/>
              </w:rPr>
            </w:pPr>
            <w:r w:rsidRPr="00221978">
              <w:rPr>
                <w:rFonts w:ascii="Times New Roman" w:eastAsia="Calibri" w:hAnsi="Times New Roman" w:cs="Times New Roman"/>
                <w:b/>
                <w:bCs/>
                <w:sz w:val="20"/>
                <w:szCs w:val="20"/>
                <w:lang w:val="sr-Cyrl-CS"/>
              </w:rPr>
              <w:t>УПРАВЉАЊЕ ЈАВНИМ ФИНАНСИЈАМА</w:t>
            </w:r>
          </w:p>
        </w:tc>
      </w:tr>
      <w:tr w:rsidR="00A20C77" w:rsidRPr="00221978" w14:paraId="0B1796D4" w14:textId="77777777" w:rsidTr="0001418E">
        <w:tc>
          <w:tcPr>
            <w:tcW w:w="1553" w:type="pct"/>
            <w:shd w:val="clear" w:color="auto" w:fill="auto"/>
          </w:tcPr>
          <w:p w14:paraId="6D026166" w14:textId="77777777" w:rsidR="00A20C77" w:rsidRPr="00221978" w:rsidRDefault="00A20C77" w:rsidP="0001418E">
            <w:pP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Реални раст бруто домаћег производа (БДП)</w:t>
            </w:r>
          </w:p>
        </w:tc>
        <w:tc>
          <w:tcPr>
            <w:tcW w:w="480" w:type="pct"/>
            <w:shd w:val="clear" w:color="auto" w:fill="auto"/>
          </w:tcPr>
          <w:p w14:paraId="0F5F897B"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-1%% (2020)</w:t>
            </w:r>
          </w:p>
        </w:tc>
        <w:tc>
          <w:tcPr>
            <w:tcW w:w="428" w:type="pct"/>
            <w:shd w:val="clear" w:color="auto" w:fill="auto"/>
          </w:tcPr>
          <w:p w14:paraId="5F29FE3C"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6.0%</w:t>
            </w:r>
          </w:p>
        </w:tc>
        <w:tc>
          <w:tcPr>
            <w:tcW w:w="428" w:type="pct"/>
            <w:shd w:val="clear" w:color="auto" w:fill="auto"/>
          </w:tcPr>
          <w:p w14:paraId="690B39BB"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4.0%</w:t>
            </w:r>
          </w:p>
        </w:tc>
        <w:tc>
          <w:tcPr>
            <w:tcW w:w="428" w:type="pct"/>
            <w:shd w:val="clear" w:color="auto" w:fill="auto"/>
          </w:tcPr>
          <w:p w14:paraId="6EB2B763"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4.0%</w:t>
            </w:r>
          </w:p>
        </w:tc>
        <w:tc>
          <w:tcPr>
            <w:tcW w:w="428" w:type="pct"/>
            <w:shd w:val="clear" w:color="auto" w:fill="auto"/>
          </w:tcPr>
          <w:p w14:paraId="593245DA"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c>
          <w:tcPr>
            <w:tcW w:w="428" w:type="pct"/>
            <w:shd w:val="clear" w:color="auto" w:fill="auto"/>
          </w:tcPr>
          <w:p w14:paraId="78AEA3D1"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c>
          <w:tcPr>
            <w:tcW w:w="428" w:type="pct"/>
            <w:shd w:val="clear" w:color="auto" w:fill="auto"/>
          </w:tcPr>
          <w:p w14:paraId="5ECF9125"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c>
          <w:tcPr>
            <w:tcW w:w="399" w:type="pct"/>
            <w:shd w:val="clear" w:color="auto" w:fill="auto"/>
          </w:tcPr>
          <w:p w14:paraId="5C001AF9"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r>
      <w:tr w:rsidR="00A20C77" w:rsidRPr="00221978" w14:paraId="56F6AE72" w14:textId="77777777" w:rsidTr="0001418E">
        <w:tc>
          <w:tcPr>
            <w:tcW w:w="1553" w:type="pct"/>
            <w:shd w:val="clear" w:color="auto" w:fill="auto"/>
          </w:tcPr>
          <w:p w14:paraId="23020AB9" w14:textId="77777777" w:rsidR="00A20C77" w:rsidRPr="00221978" w:rsidRDefault="00A20C77" w:rsidP="0001418E">
            <w:pP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Ниво дуга опште државе у БДП-у</w:t>
            </w:r>
          </w:p>
        </w:tc>
        <w:tc>
          <w:tcPr>
            <w:tcW w:w="480" w:type="pct"/>
            <w:shd w:val="clear" w:color="auto" w:fill="auto"/>
          </w:tcPr>
          <w:p w14:paraId="20622E88"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bCs/>
                <w:sz w:val="20"/>
                <w:szCs w:val="20"/>
                <w:lang w:val="sr-Cyrl-CS" w:eastAsia="de-DE"/>
              </w:rPr>
              <w:t xml:space="preserve">59% </w:t>
            </w:r>
            <w:r w:rsidRPr="00221978">
              <w:rPr>
                <w:rFonts w:ascii="Times New Roman" w:eastAsia="Times New Roman" w:hAnsi="Times New Roman" w:cs="Times New Roman"/>
                <w:sz w:val="20"/>
                <w:szCs w:val="20"/>
                <w:lang w:val="sr-Cyrl-CS" w:eastAsia="de-DE"/>
              </w:rPr>
              <w:t>(2020)</w:t>
            </w:r>
          </w:p>
        </w:tc>
        <w:tc>
          <w:tcPr>
            <w:tcW w:w="428" w:type="pct"/>
            <w:shd w:val="clear" w:color="auto" w:fill="auto"/>
          </w:tcPr>
          <w:p w14:paraId="719FCA48"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58.7%</w:t>
            </w:r>
          </w:p>
        </w:tc>
        <w:tc>
          <w:tcPr>
            <w:tcW w:w="428" w:type="pct"/>
            <w:shd w:val="clear" w:color="auto" w:fill="auto"/>
          </w:tcPr>
          <w:p w14:paraId="1A2012D0"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57.9%</w:t>
            </w:r>
          </w:p>
        </w:tc>
        <w:tc>
          <w:tcPr>
            <w:tcW w:w="428" w:type="pct"/>
            <w:shd w:val="clear" w:color="auto" w:fill="auto"/>
          </w:tcPr>
          <w:p w14:paraId="5B7E6358"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56%</w:t>
            </w:r>
          </w:p>
        </w:tc>
        <w:tc>
          <w:tcPr>
            <w:tcW w:w="428" w:type="pct"/>
            <w:shd w:val="clear" w:color="auto" w:fill="auto"/>
          </w:tcPr>
          <w:p w14:paraId="1AB60023"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c>
          <w:tcPr>
            <w:tcW w:w="428" w:type="pct"/>
            <w:shd w:val="clear" w:color="auto" w:fill="auto"/>
          </w:tcPr>
          <w:p w14:paraId="532FF809"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c>
          <w:tcPr>
            <w:tcW w:w="428" w:type="pct"/>
            <w:shd w:val="clear" w:color="auto" w:fill="auto"/>
          </w:tcPr>
          <w:p w14:paraId="724B4962"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c>
          <w:tcPr>
            <w:tcW w:w="399" w:type="pct"/>
            <w:shd w:val="clear" w:color="auto" w:fill="auto"/>
          </w:tcPr>
          <w:p w14:paraId="4D4B25D1"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r>
      <w:tr w:rsidR="00A20C77" w:rsidRPr="00221978" w14:paraId="2257F4F7" w14:textId="77777777" w:rsidTr="0001418E">
        <w:trPr>
          <w:trHeight w:val="147"/>
        </w:trPr>
        <w:tc>
          <w:tcPr>
            <w:tcW w:w="5000" w:type="pct"/>
            <w:gridSpan w:val="9"/>
            <w:shd w:val="clear" w:color="auto" w:fill="auto"/>
          </w:tcPr>
          <w:p w14:paraId="508F3E5A" w14:textId="77777777" w:rsidR="00A20C77" w:rsidRPr="00221978" w:rsidRDefault="00A20C77" w:rsidP="0001418E">
            <w:pPr>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СИСТЕМ ЛОКАЛНЕ САМОУПРАВЕ</w:t>
            </w:r>
          </w:p>
        </w:tc>
      </w:tr>
      <w:tr w:rsidR="00A20C77" w:rsidRPr="00221978" w14:paraId="24BE2208" w14:textId="77777777" w:rsidTr="0001418E">
        <w:tc>
          <w:tcPr>
            <w:tcW w:w="1553" w:type="pct"/>
            <w:shd w:val="clear" w:color="auto" w:fill="auto"/>
          </w:tcPr>
          <w:p w14:paraId="235D5B49" w14:textId="77777777" w:rsidR="00A20C77" w:rsidRPr="00221978" w:rsidRDefault="00A20C77" w:rsidP="0001418E">
            <w:pP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 xml:space="preserve">Усаглашеност система локалне самоуправе са кључним принципима Европске повеље о локалној самоуправи  </w:t>
            </w:r>
          </w:p>
        </w:tc>
        <w:tc>
          <w:tcPr>
            <w:tcW w:w="480" w:type="pct"/>
            <w:shd w:val="clear" w:color="auto" w:fill="auto"/>
          </w:tcPr>
          <w:p w14:paraId="4F83B1CC"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 (2020)</w:t>
            </w:r>
          </w:p>
        </w:tc>
        <w:tc>
          <w:tcPr>
            <w:tcW w:w="428" w:type="pct"/>
            <w:shd w:val="clear" w:color="auto" w:fill="auto"/>
          </w:tcPr>
          <w:p w14:paraId="0A48B462"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w:t>
            </w:r>
          </w:p>
        </w:tc>
        <w:tc>
          <w:tcPr>
            <w:tcW w:w="428" w:type="pct"/>
            <w:shd w:val="clear" w:color="auto" w:fill="auto"/>
          </w:tcPr>
          <w:p w14:paraId="223CBBD7"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w:t>
            </w:r>
          </w:p>
        </w:tc>
        <w:tc>
          <w:tcPr>
            <w:tcW w:w="428" w:type="pct"/>
            <w:shd w:val="clear" w:color="auto" w:fill="auto"/>
          </w:tcPr>
          <w:p w14:paraId="0EFEEF57"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w:t>
            </w:r>
          </w:p>
        </w:tc>
        <w:tc>
          <w:tcPr>
            <w:tcW w:w="428" w:type="pct"/>
            <w:shd w:val="clear" w:color="auto" w:fill="auto"/>
          </w:tcPr>
          <w:p w14:paraId="653093FA"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13A9C094"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724DB0AD"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5</w:t>
            </w:r>
          </w:p>
        </w:tc>
        <w:tc>
          <w:tcPr>
            <w:tcW w:w="399" w:type="pct"/>
            <w:shd w:val="clear" w:color="auto" w:fill="auto"/>
          </w:tcPr>
          <w:p w14:paraId="297FBE8E"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5</w:t>
            </w:r>
          </w:p>
        </w:tc>
      </w:tr>
      <w:tr w:rsidR="00A20C77" w:rsidRPr="00221978" w14:paraId="3B54E51A" w14:textId="77777777" w:rsidTr="0001418E">
        <w:trPr>
          <w:trHeight w:val="327"/>
        </w:trPr>
        <w:tc>
          <w:tcPr>
            <w:tcW w:w="1553" w:type="pct"/>
            <w:shd w:val="clear" w:color="auto" w:fill="auto"/>
          </w:tcPr>
          <w:p w14:paraId="2D2C5B95" w14:textId="77777777" w:rsidR="00A20C77" w:rsidRPr="00221978" w:rsidRDefault="00A20C77" w:rsidP="0001418E">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Удео расхода ЛС и консолидованим јавним расходима у РС</w:t>
            </w:r>
          </w:p>
        </w:tc>
        <w:tc>
          <w:tcPr>
            <w:tcW w:w="480" w:type="pct"/>
            <w:shd w:val="clear" w:color="auto" w:fill="auto"/>
          </w:tcPr>
          <w:p w14:paraId="19C23255"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14.75% (2019)</w:t>
            </w:r>
          </w:p>
        </w:tc>
        <w:tc>
          <w:tcPr>
            <w:tcW w:w="428" w:type="pct"/>
            <w:shd w:val="clear" w:color="auto" w:fill="auto"/>
          </w:tcPr>
          <w:p w14:paraId="4A119A21"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15.00%</w:t>
            </w:r>
          </w:p>
        </w:tc>
        <w:tc>
          <w:tcPr>
            <w:tcW w:w="428" w:type="pct"/>
            <w:shd w:val="clear" w:color="auto" w:fill="auto"/>
          </w:tcPr>
          <w:p w14:paraId="2052C71F"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15.50%</w:t>
            </w:r>
          </w:p>
        </w:tc>
        <w:tc>
          <w:tcPr>
            <w:tcW w:w="428" w:type="pct"/>
            <w:shd w:val="clear" w:color="auto" w:fill="auto"/>
          </w:tcPr>
          <w:p w14:paraId="22ADAFA7"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16.30%</w:t>
            </w:r>
          </w:p>
        </w:tc>
        <w:tc>
          <w:tcPr>
            <w:tcW w:w="428" w:type="pct"/>
            <w:shd w:val="clear" w:color="auto" w:fill="auto"/>
          </w:tcPr>
          <w:p w14:paraId="7C3866C4"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17.00%</w:t>
            </w:r>
          </w:p>
        </w:tc>
        <w:tc>
          <w:tcPr>
            <w:tcW w:w="428" w:type="pct"/>
            <w:shd w:val="clear" w:color="auto" w:fill="auto"/>
          </w:tcPr>
          <w:p w14:paraId="1ACB69E3"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18.00%</w:t>
            </w:r>
          </w:p>
        </w:tc>
        <w:tc>
          <w:tcPr>
            <w:tcW w:w="428" w:type="pct"/>
            <w:shd w:val="clear" w:color="auto" w:fill="auto"/>
          </w:tcPr>
          <w:p w14:paraId="08A9E689"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19.00%</w:t>
            </w:r>
          </w:p>
        </w:tc>
        <w:tc>
          <w:tcPr>
            <w:tcW w:w="399" w:type="pct"/>
            <w:shd w:val="clear" w:color="auto" w:fill="auto"/>
          </w:tcPr>
          <w:p w14:paraId="78FDCAAA"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22.00%</w:t>
            </w:r>
          </w:p>
        </w:tc>
      </w:tr>
      <w:tr w:rsidR="00A20C77" w:rsidRPr="00221978" w14:paraId="0C41137B" w14:textId="77777777" w:rsidTr="0001418E">
        <w:tc>
          <w:tcPr>
            <w:tcW w:w="1553" w:type="pct"/>
            <w:shd w:val="clear" w:color="auto" w:fill="auto"/>
          </w:tcPr>
          <w:p w14:paraId="42E5EE56" w14:textId="77777777" w:rsidR="00A20C77" w:rsidRPr="00221978" w:rsidRDefault="00A20C77" w:rsidP="0001418E">
            <w:pP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Капацитет ЈЛС за спровођење начела доброг управљања</w:t>
            </w:r>
          </w:p>
        </w:tc>
        <w:tc>
          <w:tcPr>
            <w:tcW w:w="480" w:type="pct"/>
            <w:shd w:val="clear" w:color="auto" w:fill="auto"/>
          </w:tcPr>
          <w:p w14:paraId="09F5358F"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39% (2018)</w:t>
            </w:r>
          </w:p>
        </w:tc>
        <w:tc>
          <w:tcPr>
            <w:tcW w:w="428" w:type="pct"/>
            <w:shd w:val="clear" w:color="auto" w:fill="auto"/>
          </w:tcPr>
          <w:p w14:paraId="1F145A09"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43%</w:t>
            </w:r>
          </w:p>
        </w:tc>
        <w:tc>
          <w:tcPr>
            <w:tcW w:w="428" w:type="pct"/>
            <w:shd w:val="clear" w:color="auto" w:fill="auto"/>
          </w:tcPr>
          <w:p w14:paraId="6ACECFC0"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c>
          <w:tcPr>
            <w:tcW w:w="428" w:type="pct"/>
            <w:shd w:val="clear" w:color="auto" w:fill="auto"/>
          </w:tcPr>
          <w:p w14:paraId="1B04F9B4"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50%</w:t>
            </w:r>
          </w:p>
        </w:tc>
        <w:tc>
          <w:tcPr>
            <w:tcW w:w="428" w:type="pct"/>
            <w:shd w:val="clear" w:color="auto" w:fill="auto"/>
          </w:tcPr>
          <w:p w14:paraId="28EC3919"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c>
          <w:tcPr>
            <w:tcW w:w="428" w:type="pct"/>
            <w:shd w:val="clear" w:color="auto" w:fill="auto"/>
          </w:tcPr>
          <w:p w14:paraId="09572B3C"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55%</w:t>
            </w:r>
          </w:p>
        </w:tc>
        <w:tc>
          <w:tcPr>
            <w:tcW w:w="428" w:type="pct"/>
            <w:shd w:val="clear" w:color="auto" w:fill="auto"/>
          </w:tcPr>
          <w:p w14:paraId="70224448"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60%</w:t>
            </w:r>
          </w:p>
        </w:tc>
        <w:tc>
          <w:tcPr>
            <w:tcW w:w="399" w:type="pct"/>
            <w:shd w:val="clear" w:color="auto" w:fill="auto"/>
          </w:tcPr>
          <w:p w14:paraId="6DA273CB"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70%</w:t>
            </w:r>
          </w:p>
        </w:tc>
      </w:tr>
      <w:tr w:rsidR="00A20C77" w:rsidRPr="00221978" w14:paraId="0AB85F8F" w14:textId="77777777" w:rsidTr="0001418E">
        <w:tc>
          <w:tcPr>
            <w:tcW w:w="1553" w:type="pct"/>
            <w:shd w:val="clear" w:color="auto" w:fill="auto"/>
          </w:tcPr>
          <w:p w14:paraId="37951C58" w14:textId="77777777" w:rsidR="00A20C77" w:rsidRPr="00221978" w:rsidRDefault="00A20C77" w:rsidP="0001418E">
            <w:pPr>
              <w:rPr>
                <w:rFonts w:ascii="Times New Roman" w:eastAsia="Times New Roman" w:hAnsi="Times New Roman" w:cs="Times New Roman"/>
                <w:bCs/>
                <w:sz w:val="20"/>
                <w:szCs w:val="20"/>
                <w:lang w:val="sr-Cyrl-CS" w:eastAsia="de-DE"/>
              </w:rPr>
            </w:pPr>
            <w:r w:rsidRPr="00221978">
              <w:rPr>
                <w:rFonts w:ascii="Times New Roman" w:eastAsia="Times New Roman" w:hAnsi="Times New Roman" w:cs="Times New Roman"/>
                <w:sz w:val="20"/>
                <w:szCs w:val="20"/>
                <w:lang w:val="sr-Cyrl-CS" w:eastAsia="de-DE"/>
              </w:rPr>
              <w:t>Доступност и квалитет спровођења приоритетних јавних услуга ЛС</w:t>
            </w:r>
          </w:p>
        </w:tc>
        <w:tc>
          <w:tcPr>
            <w:tcW w:w="480" w:type="pct"/>
            <w:shd w:val="clear" w:color="auto" w:fill="auto"/>
          </w:tcPr>
          <w:p w14:paraId="6E6D1A75"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c>
          <w:tcPr>
            <w:tcW w:w="428" w:type="pct"/>
            <w:shd w:val="clear" w:color="auto" w:fill="auto"/>
          </w:tcPr>
          <w:p w14:paraId="6A9CE713"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w:t>
            </w:r>
          </w:p>
        </w:tc>
        <w:tc>
          <w:tcPr>
            <w:tcW w:w="428" w:type="pct"/>
            <w:shd w:val="clear" w:color="auto" w:fill="auto"/>
          </w:tcPr>
          <w:p w14:paraId="2059A563" w14:textId="77777777" w:rsidR="00A20C77" w:rsidRPr="00221978" w:rsidRDefault="00A20C77" w:rsidP="0001418E">
            <w:pPr>
              <w:jc w:val="center"/>
              <w:rPr>
                <w:rFonts w:ascii="Times New Roman" w:eastAsia="Times New Roman" w:hAnsi="Times New Roman" w:cs="Times New Roman"/>
                <w:bCs/>
                <w:sz w:val="20"/>
                <w:szCs w:val="20"/>
                <w:lang w:val="sr-Cyrl-CS" w:eastAsia="de-DE"/>
              </w:rPr>
            </w:pPr>
            <w:r w:rsidRPr="00221978">
              <w:rPr>
                <w:rFonts w:ascii="Times New Roman" w:eastAsia="Times New Roman" w:hAnsi="Times New Roman" w:cs="Times New Roman"/>
                <w:sz w:val="20"/>
                <w:szCs w:val="20"/>
                <w:lang w:val="sr-Cyrl-CS" w:eastAsia="de-DE"/>
              </w:rPr>
              <w:t>-</w:t>
            </w:r>
          </w:p>
        </w:tc>
        <w:tc>
          <w:tcPr>
            <w:tcW w:w="428" w:type="pct"/>
            <w:shd w:val="clear" w:color="auto" w:fill="auto"/>
          </w:tcPr>
          <w:p w14:paraId="2A2A8681" w14:textId="77777777" w:rsidR="00A20C77" w:rsidRPr="00221978" w:rsidRDefault="00A20C77" w:rsidP="0001418E">
            <w:pPr>
              <w:jc w:val="center"/>
              <w:rPr>
                <w:rFonts w:ascii="Times New Roman" w:hAnsi="Times New Roman" w:cs="Times New Roman"/>
                <w:sz w:val="20"/>
                <w:szCs w:val="20"/>
                <w:lang w:val="sr-Cyrl-CS"/>
              </w:rPr>
            </w:pPr>
            <w:r w:rsidRPr="00221978">
              <w:rPr>
                <w:rFonts w:ascii="Times New Roman" w:hAnsi="Times New Roman" w:cs="Times New Roman"/>
                <w:sz w:val="20"/>
                <w:szCs w:val="20"/>
                <w:lang w:val="sr-Cyrl-CS"/>
              </w:rPr>
              <w:t>Израђен индекс</w:t>
            </w:r>
          </w:p>
        </w:tc>
        <w:tc>
          <w:tcPr>
            <w:tcW w:w="428" w:type="pct"/>
            <w:shd w:val="clear" w:color="auto" w:fill="auto"/>
          </w:tcPr>
          <w:p w14:paraId="3C76DDE7"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Биће утврђено 2023.</w:t>
            </w:r>
          </w:p>
        </w:tc>
        <w:tc>
          <w:tcPr>
            <w:tcW w:w="428" w:type="pct"/>
            <w:shd w:val="clear" w:color="auto" w:fill="auto"/>
          </w:tcPr>
          <w:p w14:paraId="372BB4FE"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Биће утврђено 2023.</w:t>
            </w:r>
          </w:p>
        </w:tc>
        <w:tc>
          <w:tcPr>
            <w:tcW w:w="428" w:type="pct"/>
            <w:shd w:val="clear" w:color="auto" w:fill="auto"/>
          </w:tcPr>
          <w:p w14:paraId="22CB5874" w14:textId="77777777" w:rsidR="00A20C77" w:rsidRPr="00221978" w:rsidRDefault="00A20C77" w:rsidP="0001418E">
            <w:pPr>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Биће утврђено 2023.</w:t>
            </w:r>
          </w:p>
        </w:tc>
        <w:tc>
          <w:tcPr>
            <w:tcW w:w="399" w:type="pct"/>
            <w:shd w:val="clear" w:color="auto" w:fill="auto"/>
          </w:tcPr>
          <w:p w14:paraId="6E0D2E5C" w14:textId="77777777" w:rsidR="00A20C77" w:rsidRPr="00221978" w:rsidRDefault="00A20C77" w:rsidP="0001418E">
            <w:pPr>
              <w:jc w:val="center"/>
              <w:rPr>
                <w:rFonts w:ascii="Times New Roman" w:eastAsia="Times New Roman" w:hAnsi="Times New Roman" w:cs="Times New Roman"/>
                <w:sz w:val="20"/>
                <w:szCs w:val="20"/>
                <w:lang w:val="sr-Cyrl-CS" w:eastAsia="de-DE"/>
              </w:rPr>
            </w:pPr>
          </w:p>
        </w:tc>
      </w:tr>
    </w:tbl>
    <w:bookmarkEnd w:id="12"/>
    <w:p w14:paraId="1AC4A32C" w14:textId="5E36A639" w:rsidR="00A20C77" w:rsidRPr="00221978" w:rsidRDefault="00A20C77" w:rsidP="00A20C77">
      <w:pPr>
        <w:pStyle w:val="Heading3"/>
        <w:spacing w:before="0" w:line="240" w:lineRule="auto"/>
        <w:ind w:left="720"/>
        <w:jc w:val="right"/>
        <w:rPr>
          <w:rFonts w:ascii="Times New Roman" w:hAnsi="Times New Roman" w:cs="Times New Roman"/>
          <w:color w:val="auto"/>
          <w:lang w:val="sr-Cyrl-CS" w:eastAsia="de-DE"/>
        </w:rPr>
      </w:pPr>
      <w:r w:rsidRPr="00221978">
        <w:rPr>
          <w:rFonts w:ascii="Times New Roman" w:hAnsi="Times New Roman" w:cs="Times New Roman"/>
          <w:color w:val="auto"/>
          <w:lang w:val="sr-Cyrl-CS"/>
        </w:rPr>
        <w:t>”</w:t>
      </w:r>
      <w:r w:rsidRPr="00221978">
        <w:rPr>
          <w:color w:val="auto"/>
          <w:sz w:val="20"/>
          <w:szCs w:val="20"/>
          <w:lang w:val="sr-Cyrl-CS"/>
        </w:rPr>
        <w:t>.</w:t>
      </w:r>
    </w:p>
    <w:p w14:paraId="774FCDB5" w14:textId="290925F8" w:rsidR="00D851BE" w:rsidRPr="00221978" w:rsidRDefault="007B6A71" w:rsidP="003060DE">
      <w:pPr>
        <w:pStyle w:val="Heading3"/>
        <w:numPr>
          <w:ilvl w:val="0"/>
          <w:numId w:val="2"/>
        </w:numPr>
        <w:spacing w:before="0" w:line="240" w:lineRule="auto"/>
        <w:jc w:val="both"/>
        <w:rPr>
          <w:rFonts w:ascii="Times New Roman" w:hAnsi="Times New Roman" w:cs="Times New Roman"/>
          <w:color w:val="auto"/>
          <w:lang w:val="sr-Cyrl-CS" w:eastAsia="de-DE"/>
        </w:rPr>
      </w:pPr>
      <w:r w:rsidRPr="00221978">
        <w:rPr>
          <w:rFonts w:ascii="Times New Roman" w:hAnsi="Times New Roman" w:cs="Times New Roman"/>
          <w:bCs/>
          <w:color w:val="auto"/>
          <w:lang w:val="sr-Cyrl-CS" w:eastAsia="de-DE"/>
        </w:rPr>
        <w:t>У Прилог</w:t>
      </w:r>
      <w:r w:rsidR="00E14E9D" w:rsidRPr="00221978">
        <w:rPr>
          <w:rFonts w:ascii="Times New Roman" w:hAnsi="Times New Roman" w:cs="Times New Roman"/>
          <w:bCs/>
          <w:color w:val="auto"/>
          <w:lang w:val="sr-Cyrl-CS" w:eastAsia="de-DE"/>
        </w:rPr>
        <w:t>у</w:t>
      </w:r>
      <w:r w:rsidRPr="00221978">
        <w:rPr>
          <w:rFonts w:ascii="Times New Roman" w:hAnsi="Times New Roman" w:cs="Times New Roman"/>
          <w:bCs/>
          <w:color w:val="auto"/>
          <w:lang w:val="sr-Cyrl-CS" w:eastAsia="de-DE"/>
        </w:rPr>
        <w:t xml:space="preserve"> 2</w:t>
      </w:r>
      <w:r w:rsidR="003060DE" w:rsidRPr="00221978">
        <w:rPr>
          <w:rFonts w:ascii="Times New Roman" w:hAnsi="Times New Roman" w:cs="Times New Roman"/>
          <w:bCs/>
          <w:color w:val="auto"/>
          <w:lang w:val="sr-Cyrl-CS" w:eastAsia="de-DE"/>
        </w:rPr>
        <w:t>.</w:t>
      </w:r>
      <w:r w:rsidRPr="00221978">
        <w:rPr>
          <w:rFonts w:ascii="Times New Roman" w:hAnsi="Times New Roman" w:cs="Times New Roman"/>
          <w:bCs/>
          <w:color w:val="auto"/>
          <w:lang w:val="sr-Cyrl-CS" w:eastAsia="de-DE"/>
        </w:rPr>
        <w:t xml:space="preserve"> </w:t>
      </w:r>
      <w:r w:rsidR="00E14E9D" w:rsidRPr="00221978">
        <w:rPr>
          <w:rFonts w:ascii="Times New Roman" w:hAnsi="Times New Roman" w:cs="Times New Roman"/>
          <w:color w:val="auto"/>
          <w:lang w:val="sr-Cyrl-CS" w:eastAsia="de-DE"/>
        </w:rPr>
        <w:t>у</w:t>
      </w:r>
      <w:r w:rsidR="00D851BE" w:rsidRPr="00221978">
        <w:rPr>
          <w:rFonts w:ascii="Times New Roman" w:hAnsi="Times New Roman" w:cs="Times New Roman"/>
          <w:color w:val="auto"/>
          <w:lang w:val="sr-Cyrl-CS" w:eastAsia="de-DE"/>
        </w:rPr>
        <w:t xml:space="preserve"> одељку Посебан циљ, у табели  Посебан циљ 1: Побољшан квалитет докумената јавних политика и прописа</w:t>
      </w:r>
      <w:r w:rsidR="00AB0000" w:rsidRPr="00221978">
        <w:rPr>
          <w:rFonts w:ascii="Times New Roman" w:hAnsi="Times New Roman" w:cs="Times New Roman"/>
          <w:color w:val="auto"/>
          <w:lang w:val="sr-Cyrl-CS" w:eastAsia="de-DE"/>
        </w:rPr>
        <w:t>, додаје</w:t>
      </w:r>
      <w:r w:rsidR="003F5B78" w:rsidRPr="00221978">
        <w:rPr>
          <w:rFonts w:ascii="Times New Roman" w:hAnsi="Times New Roman" w:cs="Times New Roman"/>
          <w:color w:val="auto"/>
          <w:lang w:val="sr-Cyrl-CS" w:eastAsia="de-DE"/>
        </w:rPr>
        <w:t xml:space="preserve"> </w:t>
      </w:r>
      <w:r w:rsidR="00AB0000" w:rsidRPr="00221978">
        <w:rPr>
          <w:rFonts w:ascii="Times New Roman" w:hAnsi="Times New Roman" w:cs="Times New Roman"/>
          <w:color w:val="auto"/>
          <w:lang w:val="sr-Cyrl-CS" w:eastAsia="de-DE"/>
        </w:rPr>
        <w:t xml:space="preserve">се </w:t>
      </w:r>
      <w:r w:rsidR="003F5B78" w:rsidRPr="00221978">
        <w:rPr>
          <w:rFonts w:ascii="Times New Roman" w:hAnsi="Times New Roman" w:cs="Times New Roman"/>
          <w:color w:val="auto"/>
          <w:lang w:val="sr-Cyrl-CS" w:eastAsia="de-DE"/>
        </w:rPr>
        <w:t>показатељ исхода</w:t>
      </w:r>
      <w:r w:rsidR="003D54B7" w:rsidRPr="00221978">
        <w:rPr>
          <w:rFonts w:ascii="Times New Roman" w:hAnsi="Times New Roman" w:cs="Times New Roman"/>
          <w:color w:val="auto"/>
          <w:lang w:val="sr-Cyrl-CS" w:eastAsia="de-DE"/>
        </w:rPr>
        <w:t>,</w:t>
      </w:r>
      <w:r w:rsidR="003F5B78" w:rsidRPr="00221978">
        <w:rPr>
          <w:rFonts w:ascii="Times New Roman" w:hAnsi="Times New Roman" w:cs="Times New Roman"/>
          <w:color w:val="auto"/>
          <w:lang w:val="sr-Cyrl-CS" w:eastAsia="de-DE"/>
        </w:rPr>
        <w:t xml:space="preserve"> </w:t>
      </w:r>
      <w:r w:rsidR="00824E47" w:rsidRPr="00221978">
        <w:rPr>
          <w:rFonts w:ascii="Times New Roman" w:hAnsi="Times New Roman" w:cs="Times New Roman"/>
          <w:color w:val="auto"/>
          <w:lang w:val="sr-Cyrl-CS" w:eastAsia="de-DE"/>
        </w:rPr>
        <w:t>кој</w:t>
      </w:r>
      <w:r w:rsidR="003F5B78" w:rsidRPr="00221978">
        <w:rPr>
          <w:rFonts w:ascii="Times New Roman" w:hAnsi="Times New Roman" w:cs="Times New Roman"/>
          <w:color w:val="auto"/>
          <w:lang w:val="sr-Cyrl-CS" w:eastAsia="de-DE"/>
        </w:rPr>
        <w:t>и гласи:</w:t>
      </w:r>
    </w:p>
    <w:p w14:paraId="5F0253F6" w14:textId="77777777" w:rsidR="00A95B84" w:rsidRPr="00221978" w:rsidRDefault="00A95B84" w:rsidP="00A95B84">
      <w:pPr>
        <w:rPr>
          <w:lang w:val="sr-Cyrl-CS" w:eastAsia="de-DE"/>
        </w:rPr>
      </w:pPr>
    </w:p>
    <w:p w14:paraId="408DDFC9" w14:textId="75DFA439" w:rsidR="007D76EB" w:rsidRPr="00221978" w:rsidRDefault="007D76EB" w:rsidP="004620A9">
      <w:pPr>
        <w:ind w:left="720"/>
        <w:jc w:val="both"/>
        <w:rPr>
          <w:rFonts w:ascii="Times New Roman" w:hAnsi="Times New Roman" w:cs="Times New Roman"/>
          <w:sz w:val="24"/>
          <w:szCs w:val="24"/>
          <w:lang w:val="sr-Cyrl-CS" w:eastAsia="de-DE"/>
        </w:rPr>
      </w:pPr>
      <w:r w:rsidRPr="00221978">
        <w:rPr>
          <w:rFonts w:ascii="Times New Roman" w:eastAsia="Times New Roman" w:hAnsi="Times New Roman" w:cs="Times New Roman"/>
          <w:lang w:val="sr-Cyrl-CS" w:eastAsia="ar-SA"/>
        </w:rPr>
        <w:lastRenderedPageBreak/>
        <w:t>„</w:t>
      </w:r>
    </w:p>
    <w:tbl>
      <w:tblPr>
        <w:tblW w:w="5000" w:type="pct"/>
        <w:shd w:val="clear" w:color="auto" w:fill="E7E6E6"/>
        <w:tblLook w:val="00A0" w:firstRow="1" w:lastRow="0" w:firstColumn="1" w:lastColumn="0" w:noHBand="0" w:noVBand="0"/>
      </w:tblPr>
      <w:tblGrid>
        <w:gridCol w:w="360"/>
        <w:gridCol w:w="4965"/>
        <w:gridCol w:w="2006"/>
        <w:gridCol w:w="2006"/>
      </w:tblGrid>
      <w:tr w:rsidR="003F5B78" w:rsidRPr="00221978" w14:paraId="6AFC1E90" w14:textId="77777777" w:rsidTr="007D76EB">
        <w:trPr>
          <w:trHeight w:val="340"/>
        </w:trPr>
        <w:tc>
          <w:tcPr>
            <w:tcW w:w="193" w:type="pct"/>
            <w:tcBorders>
              <w:left w:val="single" w:sz="18" w:space="0" w:color="C00000"/>
              <w:bottom w:val="single" w:sz="18" w:space="0" w:color="C00000"/>
            </w:tcBorders>
            <w:shd w:val="clear" w:color="auto" w:fill="F2F2F2"/>
          </w:tcPr>
          <w:p w14:paraId="0A090C0A" w14:textId="77777777" w:rsidR="003F5B78" w:rsidRPr="00221978" w:rsidRDefault="003F5B78" w:rsidP="003F4BEE">
            <w:pPr>
              <w:rPr>
                <w:sz w:val="16"/>
                <w:szCs w:val="16"/>
                <w:lang w:val="sr-Cyrl-CS"/>
              </w:rPr>
            </w:pPr>
          </w:p>
        </w:tc>
        <w:tc>
          <w:tcPr>
            <w:tcW w:w="2658" w:type="pct"/>
            <w:tcBorders>
              <w:bottom w:val="single" w:sz="18" w:space="0" w:color="C00000"/>
            </w:tcBorders>
            <w:shd w:val="clear" w:color="auto" w:fill="F2F2F2"/>
          </w:tcPr>
          <w:p w14:paraId="181F9182" w14:textId="77777777" w:rsidR="003F5B78" w:rsidRPr="00221978" w:rsidRDefault="003F5B78" w:rsidP="003F4BEE">
            <w:pPr>
              <w:rPr>
                <w:rFonts w:ascii="Times New Roman" w:hAnsi="Times New Roman" w:cs="Times New Roman"/>
                <w:sz w:val="20"/>
                <w:szCs w:val="20"/>
                <w:lang w:val="sr-Cyrl-CS"/>
              </w:rPr>
            </w:pPr>
            <w:r w:rsidRPr="00221978">
              <w:rPr>
                <w:rFonts w:ascii="Times New Roman" w:eastAsia="Calibri" w:hAnsi="Times New Roman" w:cs="Times New Roman"/>
                <w:bCs/>
                <w:sz w:val="20"/>
                <w:szCs w:val="20"/>
                <w:lang w:val="sr-Cyrl-CS"/>
              </w:rPr>
              <w:t>Индикатор усклађености и квалитета планирања политика</w:t>
            </w:r>
          </w:p>
        </w:tc>
        <w:tc>
          <w:tcPr>
            <w:tcW w:w="1074" w:type="pct"/>
            <w:tcBorders>
              <w:bottom w:val="single" w:sz="18" w:space="0" w:color="C00000"/>
            </w:tcBorders>
            <w:shd w:val="clear" w:color="auto" w:fill="F2F2F2"/>
          </w:tcPr>
          <w:p w14:paraId="0E1DF2B5" w14:textId="77777777" w:rsidR="003F5B78" w:rsidRPr="00221978" w:rsidRDefault="003F5B78" w:rsidP="003F4BEE">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(2021) /</w:t>
            </w:r>
          </w:p>
        </w:tc>
        <w:tc>
          <w:tcPr>
            <w:tcW w:w="1074" w:type="pct"/>
            <w:tcBorders>
              <w:bottom w:val="single" w:sz="18" w:space="0" w:color="C00000"/>
            </w:tcBorders>
            <w:shd w:val="clear" w:color="auto" w:fill="F2F2F2"/>
          </w:tcPr>
          <w:p w14:paraId="2DF4D25C" w14:textId="77777777" w:rsidR="003F5B78" w:rsidRPr="00221978" w:rsidRDefault="003F5B78" w:rsidP="003F4BEE">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(2021): /</w:t>
            </w:r>
          </w:p>
          <w:p w14:paraId="2436EDA3" w14:textId="77777777" w:rsidR="003F5B78" w:rsidRPr="00221978" w:rsidRDefault="003F5B78" w:rsidP="003F4BEE">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(2022): 3</w:t>
            </w:r>
          </w:p>
          <w:p w14:paraId="6A47545D" w14:textId="77777777" w:rsidR="003F5B78" w:rsidRPr="00221978" w:rsidRDefault="003F5B78" w:rsidP="003F4BEE">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(2023): 4</w:t>
            </w:r>
          </w:p>
          <w:p w14:paraId="4D7C5EEF" w14:textId="77777777" w:rsidR="003F5B78" w:rsidRPr="00221978" w:rsidRDefault="003F5B78" w:rsidP="003F4BEE">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(2024): 4</w:t>
            </w:r>
          </w:p>
          <w:p w14:paraId="3752C6EC" w14:textId="77777777" w:rsidR="003F5B78" w:rsidRPr="00221978" w:rsidRDefault="003F5B78" w:rsidP="003F4BEE">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(2025): 5</w:t>
            </w:r>
          </w:p>
          <w:p w14:paraId="7DA62C3D" w14:textId="77777777" w:rsidR="003F5B78" w:rsidRPr="00221978" w:rsidRDefault="003F5B78" w:rsidP="003F4BEE">
            <w:pPr>
              <w:rPr>
                <w:rFonts w:ascii="Times New Roman" w:hAnsi="Times New Roman" w:cs="Times New Roman"/>
                <w:sz w:val="20"/>
                <w:szCs w:val="20"/>
                <w:lang w:val="sr-Cyrl-CS"/>
              </w:rPr>
            </w:pPr>
          </w:p>
        </w:tc>
      </w:tr>
    </w:tbl>
    <w:p w14:paraId="1CFE439D" w14:textId="22A1DCC5" w:rsidR="003F5B78" w:rsidRPr="00221978" w:rsidRDefault="007D76EB" w:rsidP="007D76EB">
      <w:pPr>
        <w:jc w:val="right"/>
        <w:rPr>
          <w:rFonts w:ascii="Times New Roman" w:hAnsi="Times New Roman" w:cs="Times New Roman"/>
          <w:sz w:val="24"/>
          <w:szCs w:val="24"/>
          <w:lang w:val="sr-Cyrl-CS" w:eastAsia="de-DE"/>
        </w:rPr>
      </w:pPr>
      <w:r w:rsidRPr="00221978">
        <w:rPr>
          <w:rFonts w:ascii="Times New Roman" w:hAnsi="Times New Roman" w:cs="Times New Roman"/>
          <w:lang w:val="sr-Cyrl-CS"/>
        </w:rPr>
        <w:t>”.</w:t>
      </w:r>
    </w:p>
    <w:p w14:paraId="5863555A" w14:textId="2F050B48" w:rsidR="005077BE" w:rsidRPr="00221978" w:rsidRDefault="00B57173" w:rsidP="002E1B76">
      <w:pPr>
        <w:pStyle w:val="Heading3"/>
        <w:spacing w:before="0" w:line="240" w:lineRule="auto"/>
        <w:ind w:left="720"/>
        <w:jc w:val="both"/>
        <w:rPr>
          <w:rFonts w:ascii="Times New Roman" w:hAnsi="Times New Roman" w:cs="Times New Roman"/>
          <w:color w:val="auto"/>
          <w:lang w:val="sr-Cyrl-CS"/>
        </w:rPr>
      </w:pPr>
      <w:r w:rsidRPr="00221978">
        <w:rPr>
          <w:rFonts w:ascii="Times New Roman" w:hAnsi="Times New Roman" w:cs="Times New Roman"/>
          <w:bCs/>
          <w:color w:val="auto"/>
          <w:lang w:val="sr-Cyrl-CS" w:eastAsia="de-DE"/>
        </w:rPr>
        <w:t xml:space="preserve">У </w:t>
      </w:r>
      <w:r w:rsidR="00317B4E" w:rsidRPr="00221978">
        <w:rPr>
          <w:rFonts w:ascii="Times New Roman" w:hAnsi="Times New Roman" w:cs="Times New Roman"/>
          <w:bCs/>
          <w:color w:val="auto"/>
          <w:lang w:val="sr-Cyrl-CS" w:eastAsia="de-DE"/>
        </w:rPr>
        <w:t>Посеб</w:t>
      </w:r>
      <w:r w:rsidRPr="00221978">
        <w:rPr>
          <w:rFonts w:ascii="Times New Roman" w:hAnsi="Times New Roman" w:cs="Times New Roman"/>
          <w:bCs/>
          <w:color w:val="auto"/>
          <w:lang w:val="sr-Cyrl-CS" w:eastAsia="de-DE"/>
        </w:rPr>
        <w:t>но</w:t>
      </w:r>
      <w:r w:rsidR="003060DE" w:rsidRPr="00221978">
        <w:rPr>
          <w:rFonts w:ascii="Times New Roman" w:hAnsi="Times New Roman" w:cs="Times New Roman"/>
          <w:bCs/>
          <w:color w:val="auto"/>
          <w:lang w:val="sr-Cyrl-CS" w:eastAsia="de-DE"/>
        </w:rPr>
        <w:t>м</w:t>
      </w:r>
      <w:r w:rsidR="00317B4E" w:rsidRPr="00221978">
        <w:rPr>
          <w:rFonts w:ascii="Times New Roman" w:hAnsi="Times New Roman" w:cs="Times New Roman"/>
          <w:bCs/>
          <w:color w:val="auto"/>
          <w:lang w:val="sr-Cyrl-CS" w:eastAsia="de-DE"/>
        </w:rPr>
        <w:t xml:space="preserve"> циљ</w:t>
      </w:r>
      <w:r w:rsidR="003060DE" w:rsidRPr="00221978">
        <w:rPr>
          <w:rFonts w:ascii="Times New Roman" w:hAnsi="Times New Roman" w:cs="Times New Roman"/>
          <w:bCs/>
          <w:color w:val="auto"/>
          <w:lang w:val="sr-Cyrl-CS" w:eastAsia="de-DE"/>
        </w:rPr>
        <w:t>у</w:t>
      </w:r>
      <w:r w:rsidR="00317B4E" w:rsidRPr="00221978">
        <w:rPr>
          <w:rFonts w:ascii="Times New Roman" w:hAnsi="Times New Roman" w:cs="Times New Roman"/>
          <w:bCs/>
          <w:color w:val="auto"/>
          <w:lang w:val="sr-Cyrl-CS" w:eastAsia="de-DE"/>
        </w:rPr>
        <w:t xml:space="preserve"> 1: </w:t>
      </w:r>
      <w:r w:rsidRPr="00221978">
        <w:rPr>
          <w:rFonts w:ascii="Times New Roman" w:hAnsi="Times New Roman" w:cs="Times New Roman"/>
          <w:bCs/>
          <w:color w:val="auto"/>
          <w:lang w:val="sr-Cyrl-CS" w:eastAsia="de-DE"/>
        </w:rPr>
        <w:t>„</w:t>
      </w:r>
      <w:r w:rsidR="00317B4E" w:rsidRPr="00221978">
        <w:rPr>
          <w:rFonts w:ascii="Times New Roman" w:hAnsi="Times New Roman" w:cs="Times New Roman"/>
          <w:color w:val="auto"/>
          <w:lang w:val="sr-Cyrl-CS"/>
        </w:rPr>
        <w:t>Јачање капацитета и примена инструмената за квалитетно креирање и праћење спровођења јавних политика и прописа</w:t>
      </w:r>
      <w:r w:rsidR="00824E47" w:rsidRPr="00221978">
        <w:rPr>
          <w:rFonts w:ascii="Times New Roman" w:hAnsi="Times New Roman" w:cs="Times New Roman"/>
          <w:color w:val="auto"/>
          <w:lang w:val="sr-Cyrl-CS"/>
        </w:rPr>
        <w:t xml:space="preserve">” </w:t>
      </w:r>
      <w:r w:rsidR="00317B4E" w:rsidRPr="00221978">
        <w:rPr>
          <w:rFonts w:ascii="Times New Roman" w:hAnsi="Times New Roman" w:cs="Times New Roman"/>
          <w:color w:val="auto"/>
          <w:lang w:val="sr-Cyrl-CS"/>
        </w:rPr>
        <w:t>дода</w:t>
      </w:r>
      <w:r w:rsidR="00AB0000" w:rsidRPr="00221978">
        <w:rPr>
          <w:rFonts w:ascii="Times New Roman" w:hAnsi="Times New Roman" w:cs="Times New Roman"/>
          <w:color w:val="auto"/>
          <w:lang w:val="sr-Cyrl-CS"/>
        </w:rPr>
        <w:t>ју</w:t>
      </w:r>
      <w:r w:rsidR="00317B4E" w:rsidRPr="00221978">
        <w:rPr>
          <w:rFonts w:ascii="Times New Roman" w:hAnsi="Times New Roman" w:cs="Times New Roman"/>
          <w:color w:val="auto"/>
          <w:lang w:val="sr-Cyrl-CS"/>
        </w:rPr>
        <w:t xml:space="preserve"> с</w:t>
      </w:r>
      <w:r w:rsidR="00AB0000" w:rsidRPr="00221978">
        <w:rPr>
          <w:rFonts w:ascii="Times New Roman" w:hAnsi="Times New Roman" w:cs="Times New Roman"/>
          <w:color w:val="auto"/>
          <w:lang w:val="sr-Cyrl-CS"/>
        </w:rPr>
        <w:t>е</w:t>
      </w:r>
      <w:r w:rsidR="00317B4E" w:rsidRPr="00221978">
        <w:rPr>
          <w:rFonts w:ascii="Times New Roman" w:hAnsi="Times New Roman" w:cs="Times New Roman"/>
          <w:color w:val="auto"/>
          <w:lang w:val="sr-Cyrl-CS"/>
        </w:rPr>
        <w:t xml:space="preserve"> ци</w:t>
      </w:r>
      <w:r w:rsidR="000B0AB2" w:rsidRPr="00221978">
        <w:rPr>
          <w:rFonts w:ascii="Times New Roman" w:hAnsi="Times New Roman" w:cs="Times New Roman"/>
          <w:color w:val="auto"/>
          <w:lang w:val="sr-Cyrl-CS"/>
        </w:rPr>
        <w:t>љ</w:t>
      </w:r>
      <w:r w:rsidR="00317B4E" w:rsidRPr="00221978">
        <w:rPr>
          <w:rFonts w:ascii="Times New Roman" w:hAnsi="Times New Roman" w:cs="Times New Roman"/>
          <w:color w:val="auto"/>
          <w:lang w:val="sr-Cyrl-CS"/>
        </w:rPr>
        <w:t>не вредност</w:t>
      </w:r>
      <w:r w:rsidRPr="00221978">
        <w:rPr>
          <w:rFonts w:ascii="Times New Roman" w:hAnsi="Times New Roman" w:cs="Times New Roman"/>
          <w:color w:val="auto"/>
          <w:lang w:val="sr-Cyrl-CS"/>
        </w:rPr>
        <w:t xml:space="preserve">и </w:t>
      </w:r>
      <w:r w:rsidR="00824E47" w:rsidRPr="00221978">
        <w:rPr>
          <w:rFonts w:ascii="Times New Roman" w:hAnsi="Times New Roman" w:cs="Times New Roman"/>
          <w:color w:val="auto"/>
          <w:lang w:val="sr-Cyrl-CS"/>
        </w:rPr>
        <w:t>које</w:t>
      </w:r>
      <w:r w:rsidRPr="00221978">
        <w:rPr>
          <w:rFonts w:ascii="Times New Roman" w:hAnsi="Times New Roman" w:cs="Times New Roman"/>
          <w:color w:val="auto"/>
          <w:lang w:val="sr-Cyrl-CS"/>
        </w:rPr>
        <w:t xml:space="preserve"> гласе:</w:t>
      </w:r>
      <w:r w:rsidR="00317B4E" w:rsidRPr="00221978">
        <w:rPr>
          <w:rFonts w:ascii="Times New Roman" w:hAnsi="Times New Roman" w:cs="Times New Roman"/>
          <w:color w:val="auto"/>
          <w:lang w:val="sr-Cyrl-CS"/>
        </w:rPr>
        <w:t xml:space="preserve"> </w:t>
      </w:r>
      <w:r w:rsidRPr="00221978">
        <w:rPr>
          <w:rFonts w:ascii="Times New Roman" w:hAnsi="Times New Roman" w:cs="Times New Roman"/>
          <w:color w:val="auto"/>
          <w:lang w:val="sr-Cyrl-CS"/>
        </w:rPr>
        <w:t>„</w:t>
      </w:r>
      <w:r w:rsidR="00317B4E" w:rsidRPr="00221978">
        <w:rPr>
          <w:rFonts w:ascii="Times New Roman" w:hAnsi="Times New Roman" w:cs="Times New Roman"/>
          <w:color w:val="auto"/>
          <w:lang w:val="sr-Cyrl-CS"/>
        </w:rPr>
        <w:t>за 2024: 90% и за 2025: 100%.</w:t>
      </w:r>
      <w:r w:rsidR="009B73BA" w:rsidRPr="00221978">
        <w:rPr>
          <w:rFonts w:ascii="Times New Roman" w:hAnsi="Times New Roman" w:cs="Times New Roman"/>
          <w:color w:val="auto"/>
          <w:lang w:val="sr-Cyrl-CS"/>
        </w:rPr>
        <w:t xml:space="preserve">”    </w:t>
      </w:r>
    </w:p>
    <w:p w14:paraId="39290535" w14:textId="7D0C1AA2" w:rsidR="00B57173" w:rsidRPr="00221978" w:rsidRDefault="00317B4E" w:rsidP="00824E47">
      <w:pPr>
        <w:spacing w:after="0" w:line="240" w:lineRule="auto"/>
        <w:ind w:firstLine="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A95B84" w:rsidRPr="00221978">
        <w:rPr>
          <w:rFonts w:ascii="Times New Roman" w:hAnsi="Times New Roman" w:cs="Times New Roman"/>
          <w:sz w:val="24"/>
          <w:szCs w:val="24"/>
          <w:lang w:val="sr-Cyrl-CS"/>
        </w:rPr>
        <w:t>Посебном</w:t>
      </w:r>
      <w:r w:rsidRPr="00221978">
        <w:rPr>
          <w:rFonts w:ascii="Times New Roman" w:hAnsi="Times New Roman" w:cs="Times New Roman"/>
          <w:sz w:val="24"/>
          <w:szCs w:val="24"/>
          <w:lang w:val="sr-Cyrl-CS"/>
        </w:rPr>
        <w:t xml:space="preserve"> циљ</w:t>
      </w:r>
      <w:r w:rsidR="00A95B84"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4. </w:t>
      </w:r>
      <w:r w:rsidR="00B57173" w:rsidRPr="00221978">
        <w:rPr>
          <w:rFonts w:ascii="Times New Roman" w:hAnsi="Times New Roman" w:cs="Times New Roman"/>
          <w:sz w:val="24"/>
          <w:szCs w:val="24"/>
          <w:lang w:val="sr-Cyrl-CS"/>
        </w:rPr>
        <w:t>мењају се</w:t>
      </w:r>
      <w:r w:rsidRPr="00221978">
        <w:rPr>
          <w:rFonts w:ascii="Times New Roman" w:hAnsi="Times New Roman" w:cs="Times New Roman"/>
          <w:sz w:val="24"/>
          <w:szCs w:val="24"/>
          <w:lang w:val="sr-Cyrl-CS"/>
        </w:rPr>
        <w:t xml:space="preserve"> индикатори</w:t>
      </w:r>
      <w:r w:rsidR="00222422" w:rsidRPr="00221978">
        <w:rPr>
          <w:rFonts w:ascii="Times New Roman" w:hAnsi="Times New Roman" w:cs="Times New Roman"/>
          <w:sz w:val="24"/>
          <w:szCs w:val="24"/>
          <w:lang w:val="sr-Cyrl-CS"/>
        </w:rPr>
        <w:t xml:space="preserve"> </w:t>
      </w:r>
      <w:r w:rsidR="00AB0000" w:rsidRPr="00221978">
        <w:rPr>
          <w:rFonts w:ascii="Times New Roman" w:hAnsi="Times New Roman" w:cs="Times New Roman"/>
          <w:sz w:val="24"/>
          <w:szCs w:val="24"/>
          <w:lang w:val="sr-Cyrl-CS"/>
        </w:rPr>
        <w:t>и</w:t>
      </w:r>
      <w:r w:rsidR="00222422" w:rsidRPr="00221978">
        <w:rPr>
          <w:rFonts w:ascii="Times New Roman" w:hAnsi="Times New Roman" w:cs="Times New Roman"/>
          <w:sz w:val="24"/>
          <w:szCs w:val="24"/>
          <w:lang w:val="sr-Cyrl-CS"/>
        </w:rPr>
        <w:t xml:space="preserve"> гласе</w:t>
      </w:r>
      <w:r w:rsidRPr="00221978">
        <w:rPr>
          <w:rFonts w:ascii="Times New Roman" w:hAnsi="Times New Roman" w:cs="Times New Roman"/>
          <w:sz w:val="24"/>
          <w:szCs w:val="24"/>
          <w:lang w:val="sr-Cyrl-CS"/>
        </w:rPr>
        <w:t>:</w:t>
      </w:r>
    </w:p>
    <w:p w14:paraId="78547BE3" w14:textId="3C60C253" w:rsidR="00F51E7E" w:rsidRPr="00221978" w:rsidRDefault="00B57173" w:rsidP="002E1B76">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„Удео усвојених ДЈП </w:t>
      </w:r>
      <w:r w:rsidRPr="00221978">
        <w:rPr>
          <w:rFonts w:ascii="Times New Roman" w:hAnsi="Times New Roman" w:cs="Times New Roman"/>
          <w:bCs/>
          <w:sz w:val="24"/>
          <w:szCs w:val="24"/>
          <w:lang w:val="sr-Cyrl-CS"/>
        </w:rPr>
        <w:t>које садрже информације о спроведеним консултацијама</w:t>
      </w:r>
      <w:r w:rsidRPr="00221978">
        <w:rPr>
          <w:rFonts w:ascii="Times New Roman" w:hAnsi="Times New Roman" w:cs="Times New Roman"/>
          <w:sz w:val="24"/>
          <w:szCs w:val="24"/>
          <w:lang w:val="sr-Cyrl-CS"/>
        </w:rPr>
        <w:t xml:space="preserve">  у односу на укупан број усвојених </w:t>
      </w:r>
      <w:r w:rsidR="00BD2EA1" w:rsidRPr="00221978">
        <w:rPr>
          <w:rFonts w:ascii="Times New Roman" w:hAnsi="Times New Roman" w:cs="Times New Roman"/>
          <w:sz w:val="24"/>
          <w:szCs w:val="24"/>
          <w:lang w:val="sr-Cyrl-CS"/>
        </w:rPr>
        <w:t>ДЈП</w:t>
      </w:r>
      <w:r w:rsidRPr="00221978">
        <w:rPr>
          <w:rFonts w:ascii="Times New Roman" w:hAnsi="Times New Roman" w:cs="Times New Roman"/>
          <w:sz w:val="24"/>
          <w:szCs w:val="24"/>
          <w:lang w:val="sr-Cyrl-CS"/>
        </w:rPr>
        <w:t xml:space="preserve"> у току једне календарске године</w:t>
      </w:r>
      <w:r w:rsidR="003D54B7"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 xml:space="preserve"> мења се и гласи: „</w:t>
      </w:r>
      <w:r w:rsidR="00317B4E" w:rsidRPr="00221978">
        <w:rPr>
          <w:rFonts w:ascii="Times New Roman" w:hAnsi="Times New Roman" w:cs="Times New Roman"/>
          <w:sz w:val="24"/>
          <w:szCs w:val="24"/>
          <w:lang w:val="sr-Cyrl-CS"/>
        </w:rPr>
        <w:t>Удео усвојених ДЈП током чије припреме је спроведен консултативни процес у складу са ЗоПС у укупном броју усвојених ДЈП у календарској години</w:t>
      </w:r>
      <w:r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r w:rsidR="00317B4E" w:rsidRPr="00221978">
        <w:rPr>
          <w:rFonts w:ascii="Times New Roman" w:hAnsi="Times New Roman" w:cs="Times New Roman"/>
          <w:sz w:val="24"/>
          <w:szCs w:val="24"/>
          <w:lang w:val="sr-Cyrl-CS"/>
        </w:rPr>
        <w:t xml:space="preserve"> </w:t>
      </w:r>
    </w:p>
    <w:p w14:paraId="44210915" w14:textId="6CCADB67" w:rsidR="00F51E7E" w:rsidRPr="00221978" w:rsidRDefault="00B57173" w:rsidP="002E1B76">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„Удео усвојених закона за које је достављен извештај да су спроведене консултације у укупном броју усвојених закона за које је било потребно спровести консултације у календарској години</w:t>
      </w:r>
      <w:r w:rsidR="003D54B7"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 xml:space="preserve"> мења се и гласи:</w:t>
      </w:r>
      <w:r w:rsidR="003D54B7"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w:t>
      </w:r>
      <w:r w:rsidR="00317B4E" w:rsidRPr="00221978">
        <w:rPr>
          <w:rFonts w:ascii="Times New Roman" w:hAnsi="Times New Roman" w:cs="Times New Roman"/>
          <w:sz w:val="24"/>
          <w:szCs w:val="24"/>
          <w:lang w:val="sr-Cyrl-CS"/>
        </w:rPr>
        <w:t>Удео усвојених закона током чије припреме је спроведен консултативни процес у складу са ЗоПС у укупном броју усвојених</w:t>
      </w:r>
      <w:r w:rsidR="003D54B7" w:rsidRPr="00221978">
        <w:rPr>
          <w:rFonts w:ascii="Times New Roman" w:hAnsi="Times New Roman" w:cs="Times New Roman"/>
          <w:sz w:val="24"/>
          <w:szCs w:val="24"/>
          <w:lang w:val="sr-Cyrl-CS"/>
        </w:rPr>
        <w:t xml:space="preserve"> закона у календарској години (</w:t>
      </w:r>
      <w:r w:rsidR="00317B4E" w:rsidRPr="00221978">
        <w:rPr>
          <w:rFonts w:ascii="Times New Roman" w:hAnsi="Times New Roman" w:cs="Times New Roman"/>
          <w:sz w:val="24"/>
          <w:szCs w:val="24"/>
          <w:lang w:val="sr-Cyrl-CS"/>
        </w:rPr>
        <w:t xml:space="preserve">са измењеним циљним вредностима за </w:t>
      </w:r>
      <w:r w:rsidR="003D54B7" w:rsidRPr="00221978">
        <w:rPr>
          <w:rFonts w:ascii="Times New Roman" w:hAnsi="Times New Roman" w:cs="Times New Roman"/>
          <w:sz w:val="24"/>
          <w:szCs w:val="24"/>
          <w:lang w:val="sr-Cyrl-CS"/>
        </w:rPr>
        <w:t>2022: 60%, 2023: 70%, 2024: 75%, 2025:</w:t>
      </w:r>
      <w:r w:rsidR="00E40247" w:rsidRPr="00221978">
        <w:rPr>
          <w:rFonts w:ascii="Times New Roman" w:hAnsi="Times New Roman" w:cs="Times New Roman"/>
          <w:sz w:val="24"/>
          <w:szCs w:val="24"/>
          <w:lang w:val="sr-Cyrl-CS"/>
        </w:rPr>
        <w:t xml:space="preserve"> </w:t>
      </w:r>
      <w:r w:rsidR="00317B4E" w:rsidRPr="00221978">
        <w:rPr>
          <w:rFonts w:ascii="Times New Roman" w:hAnsi="Times New Roman" w:cs="Times New Roman"/>
          <w:sz w:val="24"/>
          <w:szCs w:val="24"/>
          <w:lang w:val="sr-Cyrl-CS"/>
        </w:rPr>
        <w:t>80%</w:t>
      </w:r>
      <w:r w:rsidR="00650DE6" w:rsidRPr="00221978">
        <w:rPr>
          <w:rFonts w:ascii="Times New Roman" w:hAnsi="Times New Roman" w:cs="Times New Roman"/>
          <w:sz w:val="24"/>
          <w:szCs w:val="24"/>
          <w:lang w:val="sr-Cyrl-CS"/>
        </w:rPr>
        <w:t>, 2027:</w:t>
      </w:r>
      <w:r w:rsidR="00E40247" w:rsidRPr="00221978">
        <w:rPr>
          <w:rFonts w:ascii="Times New Roman" w:hAnsi="Times New Roman" w:cs="Times New Roman"/>
          <w:sz w:val="24"/>
          <w:szCs w:val="24"/>
          <w:lang w:val="sr-Cyrl-CS"/>
        </w:rPr>
        <w:t xml:space="preserve"> </w:t>
      </w:r>
      <w:r w:rsidR="00650DE6" w:rsidRPr="00221978">
        <w:rPr>
          <w:rFonts w:ascii="Times New Roman" w:hAnsi="Times New Roman" w:cs="Times New Roman"/>
          <w:sz w:val="24"/>
          <w:szCs w:val="24"/>
          <w:lang w:val="sr-Cyrl-CS"/>
        </w:rPr>
        <w:t>80%</w:t>
      </w:r>
      <w:r w:rsidR="00F867F8" w:rsidRPr="00221978">
        <w:rPr>
          <w:rFonts w:ascii="Times New Roman" w:hAnsi="Times New Roman" w:cs="Times New Roman"/>
          <w:sz w:val="24"/>
          <w:szCs w:val="24"/>
          <w:lang w:val="sr-Cyrl-CS"/>
        </w:rPr>
        <w:t>, 2030:</w:t>
      </w:r>
      <w:r w:rsidR="00E40247" w:rsidRPr="00221978">
        <w:rPr>
          <w:rFonts w:ascii="Times New Roman" w:hAnsi="Times New Roman" w:cs="Times New Roman"/>
          <w:sz w:val="24"/>
          <w:szCs w:val="24"/>
          <w:lang w:val="sr-Cyrl-CS"/>
        </w:rPr>
        <w:t xml:space="preserve"> </w:t>
      </w:r>
      <w:r w:rsidR="00F867F8" w:rsidRPr="00221978">
        <w:rPr>
          <w:rFonts w:ascii="Times New Roman" w:hAnsi="Times New Roman" w:cs="Times New Roman"/>
          <w:sz w:val="24"/>
          <w:szCs w:val="24"/>
          <w:lang w:val="sr-Cyrl-CS"/>
        </w:rPr>
        <w:t>90%</w:t>
      </w:r>
      <w:r w:rsidR="00317B4E"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w:t>
      </w:r>
      <w:r w:rsidR="00E40247" w:rsidRPr="00221978">
        <w:rPr>
          <w:rFonts w:ascii="Times New Roman" w:hAnsi="Times New Roman" w:cs="Times New Roman"/>
          <w:sz w:val="24"/>
          <w:szCs w:val="24"/>
          <w:lang w:val="sr-Cyrl-CS"/>
        </w:rPr>
        <w:t xml:space="preserve">. </w:t>
      </w:r>
    </w:p>
    <w:p w14:paraId="459F1993" w14:textId="12569868" w:rsidR="00317B4E" w:rsidRPr="00221978" w:rsidRDefault="00B57173" w:rsidP="002E1B76">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„Удео донетих уредби за које је достављен извештај да су спроведене консултације у укупном броју донетих уредби за које је било потребно спровести консултације у календарској години</w:t>
      </w:r>
      <w:r w:rsidR="003D54B7"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 xml:space="preserve"> мења се и гласи:</w:t>
      </w:r>
      <w:r w:rsidR="003D54B7"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w:t>
      </w:r>
      <w:r w:rsidR="00317B4E" w:rsidRPr="00221978">
        <w:rPr>
          <w:rFonts w:ascii="Times New Roman" w:hAnsi="Times New Roman" w:cs="Times New Roman"/>
          <w:sz w:val="24"/>
          <w:szCs w:val="24"/>
          <w:lang w:val="sr-Cyrl-CS"/>
        </w:rPr>
        <w:t>Удео донетих уредби током чије припреме је спроведен консултативни процес у складу са ЗоПС у укупном броју усвојених уредби у календарској години</w:t>
      </w:r>
      <w:r w:rsidRPr="00221978">
        <w:rPr>
          <w:rFonts w:ascii="Times New Roman" w:hAnsi="Times New Roman" w:cs="Times New Roman"/>
          <w:sz w:val="24"/>
          <w:szCs w:val="24"/>
          <w:lang w:val="sr-Cyrl-CS"/>
        </w:rPr>
        <w:t>.</w:t>
      </w:r>
      <w:r w:rsidR="003D54B7"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p>
    <w:p w14:paraId="196EBD70" w14:textId="77777777" w:rsidR="003060DE" w:rsidRPr="00221978" w:rsidRDefault="003060DE" w:rsidP="003060DE">
      <w:pPr>
        <w:pStyle w:val="ListParagraph"/>
        <w:spacing w:after="0" w:line="240" w:lineRule="auto"/>
        <w:jc w:val="both"/>
        <w:rPr>
          <w:rFonts w:ascii="Times New Roman" w:hAnsi="Times New Roman" w:cs="Times New Roman"/>
          <w:sz w:val="24"/>
          <w:szCs w:val="24"/>
          <w:lang w:val="sr-Cyrl-CS"/>
        </w:rPr>
      </w:pPr>
    </w:p>
    <w:p w14:paraId="15649D3C" w14:textId="29749AE7" w:rsidR="001A3B04" w:rsidRPr="00221978" w:rsidRDefault="0061233E" w:rsidP="001A3B04">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Прилог</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2, Циљеви, анализе ефеката и мере, Посебан циљ 4: Развијен и имплементиран функционалан и иновативан систем стручног усавршавања и стручних испита у јавној управи заснован на анализи потреба за унапређењем компетенција, односно знања вештина и способности запослених у јавној управи, у </w:t>
      </w:r>
      <w:r w:rsidR="00E40247" w:rsidRPr="00221978">
        <w:rPr>
          <w:rFonts w:ascii="Times New Roman" w:hAnsi="Times New Roman" w:cs="Times New Roman"/>
          <w:sz w:val="24"/>
          <w:szCs w:val="24"/>
          <w:lang w:val="sr-Cyrl-CS"/>
        </w:rPr>
        <w:t>првој</w:t>
      </w:r>
      <w:r w:rsidRPr="00221978">
        <w:rPr>
          <w:rFonts w:ascii="Times New Roman" w:hAnsi="Times New Roman" w:cs="Times New Roman"/>
          <w:sz w:val="24"/>
          <w:szCs w:val="24"/>
          <w:lang w:val="sr-Cyrl-CS"/>
        </w:rPr>
        <w:t xml:space="preserve"> колони, </w:t>
      </w:r>
      <w:r w:rsidR="00E40247" w:rsidRPr="00221978">
        <w:rPr>
          <w:rFonts w:ascii="Times New Roman" w:hAnsi="Times New Roman" w:cs="Times New Roman"/>
          <w:sz w:val="24"/>
          <w:szCs w:val="24"/>
          <w:lang w:val="sr-Cyrl-CS"/>
        </w:rPr>
        <w:t>други ред</w:t>
      </w:r>
      <w:r w:rsidRPr="00221978">
        <w:rPr>
          <w:rFonts w:ascii="Times New Roman" w:hAnsi="Times New Roman" w:cs="Times New Roman"/>
          <w:sz w:val="24"/>
          <w:szCs w:val="24"/>
          <w:lang w:val="sr-Cyrl-CS"/>
        </w:rPr>
        <w:t xml:space="preserve"> мења се назив показатеља исхода и гласи:</w:t>
      </w:r>
    </w:p>
    <w:p w14:paraId="13C0B649" w14:textId="04697B08" w:rsidR="0061233E" w:rsidRPr="00221978" w:rsidRDefault="0061233E" w:rsidP="002E1B76">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„Степен у ком се систем стручног усавршавања у јавној управи нормативно и у пракси заснива на анализи потреба за унапређењем знања и вештина, односно способности запослених у јавној управи</w:t>
      </w:r>
      <w:r w:rsidR="00C17254"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p>
    <w:p w14:paraId="7715E96A" w14:textId="77777777" w:rsidR="009F2595" w:rsidRPr="00221978" w:rsidRDefault="009F2595" w:rsidP="0061233E">
      <w:pPr>
        <w:spacing w:after="0" w:line="240" w:lineRule="auto"/>
        <w:jc w:val="both"/>
        <w:rPr>
          <w:rFonts w:ascii="Times New Roman" w:hAnsi="Times New Roman" w:cs="Times New Roman"/>
          <w:sz w:val="24"/>
          <w:szCs w:val="24"/>
          <w:lang w:val="sr-Cyrl-CS"/>
        </w:rPr>
      </w:pPr>
    </w:p>
    <w:p w14:paraId="65D99E3C" w14:textId="1FD6C26A" w:rsidR="00F51E7E" w:rsidRPr="00221978" w:rsidRDefault="009F2595" w:rsidP="009F2595">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8034ED" w:rsidRPr="00221978">
        <w:rPr>
          <w:rFonts w:ascii="Times New Roman" w:hAnsi="Times New Roman" w:cs="Times New Roman"/>
          <w:sz w:val="24"/>
          <w:szCs w:val="24"/>
          <w:lang w:val="sr-Cyrl-CS"/>
        </w:rPr>
        <w:t>Прилогу</w:t>
      </w:r>
      <w:r w:rsidRPr="00221978">
        <w:rPr>
          <w:rFonts w:ascii="Times New Roman" w:hAnsi="Times New Roman" w:cs="Times New Roman"/>
          <w:sz w:val="24"/>
          <w:szCs w:val="24"/>
          <w:lang w:val="sr-Cyrl-CS"/>
        </w:rPr>
        <w:t xml:space="preserve"> 2, Циљеви, анализе ефеката и мере, Meрa 4.3: Унапређење нормативног оквира који уређује област стручног усавршавања у јавној управи у табели се мења </w:t>
      </w:r>
      <w:r w:rsidR="002C78AE" w:rsidRPr="00221978">
        <w:rPr>
          <w:rFonts w:ascii="Times New Roman" w:hAnsi="Times New Roman" w:cs="Times New Roman"/>
          <w:sz w:val="24"/>
          <w:szCs w:val="24"/>
          <w:lang w:val="sr-Cyrl-CS"/>
        </w:rPr>
        <w:t>трећа</w:t>
      </w:r>
      <w:r w:rsidRPr="00221978">
        <w:rPr>
          <w:rFonts w:ascii="Times New Roman" w:hAnsi="Times New Roman" w:cs="Times New Roman"/>
          <w:sz w:val="24"/>
          <w:szCs w:val="24"/>
          <w:lang w:val="sr-Cyrl-CS"/>
        </w:rPr>
        <w:t xml:space="preserve"> колона ЦВ и гласи: </w:t>
      </w:r>
    </w:p>
    <w:p w14:paraId="6FE0529B" w14:textId="7EF0FAEC" w:rsidR="009F2595" w:rsidRPr="00221978" w:rsidRDefault="009F2595" w:rsidP="002E1B76">
      <w:pPr>
        <w:ind w:firstLine="720"/>
        <w:rPr>
          <w:rFonts w:ascii="Times New Roman" w:eastAsia="DejaVu Sans Mono" w:hAnsi="Times New Roman" w:cs="Times New Roman"/>
          <w:kern w:val="3"/>
          <w:sz w:val="24"/>
          <w:szCs w:val="24"/>
          <w:lang w:val="sr-Cyrl-CS" w:eastAsia="de-DE" w:bidi="hi-IN"/>
        </w:rPr>
      </w:pPr>
      <w:r w:rsidRPr="00221978">
        <w:rPr>
          <w:rFonts w:ascii="Times New Roman" w:hAnsi="Times New Roman" w:cs="Times New Roman"/>
          <w:sz w:val="24"/>
          <w:szCs w:val="24"/>
          <w:lang w:val="sr-Cyrl-CS"/>
        </w:rPr>
        <w:t>„</w:t>
      </w:r>
      <w:r w:rsidRPr="00221978">
        <w:rPr>
          <w:rFonts w:ascii="Times New Roman" w:eastAsia="DejaVu Sans Mono" w:hAnsi="Times New Roman" w:cs="Times New Roman"/>
          <w:kern w:val="3"/>
          <w:sz w:val="24"/>
          <w:szCs w:val="24"/>
          <w:lang w:val="sr-Cyrl-CS" w:eastAsia="zh-CN" w:bidi="hi-IN"/>
        </w:rPr>
        <w:t>(2021): 50</w:t>
      </w:r>
      <w:r w:rsidRPr="00221978">
        <w:rPr>
          <w:rFonts w:ascii="Times New Roman" w:eastAsia="DejaVu Sans Mono" w:hAnsi="Times New Roman" w:cs="Times New Roman"/>
          <w:kern w:val="3"/>
          <w:sz w:val="24"/>
          <w:szCs w:val="24"/>
          <w:lang w:val="sr-Cyrl-CS" w:eastAsia="de-DE" w:bidi="hi-IN"/>
        </w:rPr>
        <w:t xml:space="preserve">%, </w:t>
      </w:r>
      <w:r w:rsidRPr="00221978">
        <w:rPr>
          <w:rFonts w:ascii="Times New Roman" w:eastAsia="DejaVu Sans Mono" w:hAnsi="Times New Roman" w:cs="Times New Roman"/>
          <w:kern w:val="3"/>
          <w:sz w:val="24"/>
          <w:szCs w:val="24"/>
          <w:lang w:val="sr-Cyrl-CS" w:eastAsia="zh-CN" w:bidi="hi-IN"/>
        </w:rPr>
        <w:t>(2022): 60%</w:t>
      </w:r>
      <w:r w:rsidRPr="00221978">
        <w:rPr>
          <w:rFonts w:ascii="Times New Roman" w:eastAsia="DejaVu Sans Mono" w:hAnsi="Times New Roman" w:cs="Times New Roman"/>
          <w:kern w:val="3"/>
          <w:sz w:val="24"/>
          <w:szCs w:val="24"/>
          <w:lang w:val="sr-Cyrl-CS" w:eastAsia="de-DE" w:bidi="hi-IN"/>
        </w:rPr>
        <w:t xml:space="preserve">, </w:t>
      </w:r>
      <w:r w:rsidRPr="00221978">
        <w:rPr>
          <w:rFonts w:ascii="Times New Roman" w:eastAsia="DejaVu Sans Mono" w:hAnsi="Times New Roman" w:cs="Times New Roman"/>
          <w:kern w:val="3"/>
          <w:sz w:val="24"/>
          <w:szCs w:val="24"/>
          <w:lang w:val="sr-Cyrl-CS" w:eastAsia="zh-CN" w:bidi="hi-IN"/>
        </w:rPr>
        <w:t>(2023): 70</w:t>
      </w:r>
      <w:r w:rsidRPr="00221978">
        <w:rPr>
          <w:rFonts w:ascii="Times New Roman" w:eastAsia="DejaVu Sans Mono" w:hAnsi="Times New Roman" w:cs="Times New Roman"/>
          <w:kern w:val="3"/>
          <w:sz w:val="24"/>
          <w:szCs w:val="24"/>
          <w:lang w:val="sr-Cyrl-CS" w:eastAsia="de-DE" w:bidi="hi-IN"/>
        </w:rPr>
        <w:t xml:space="preserve">%, </w:t>
      </w:r>
      <w:r w:rsidRPr="00221978">
        <w:rPr>
          <w:rFonts w:ascii="Times New Roman" w:eastAsia="DejaVu Sans Mono" w:hAnsi="Times New Roman" w:cs="Times New Roman"/>
          <w:kern w:val="3"/>
          <w:sz w:val="24"/>
          <w:szCs w:val="24"/>
          <w:lang w:val="sr-Cyrl-CS" w:eastAsia="zh-CN" w:bidi="hi-IN"/>
        </w:rPr>
        <w:t>(2024): 80</w:t>
      </w:r>
      <w:r w:rsidRPr="00221978">
        <w:rPr>
          <w:rFonts w:ascii="Times New Roman" w:eastAsia="DejaVu Sans Mono" w:hAnsi="Times New Roman" w:cs="Times New Roman"/>
          <w:kern w:val="3"/>
          <w:sz w:val="24"/>
          <w:szCs w:val="24"/>
          <w:lang w:val="sr-Cyrl-CS" w:eastAsia="de-DE" w:bidi="hi-IN"/>
        </w:rPr>
        <w:t xml:space="preserve">%, </w:t>
      </w:r>
      <w:r w:rsidRPr="00221978">
        <w:rPr>
          <w:rFonts w:ascii="Times New Roman" w:eastAsia="DejaVu Sans Mono" w:hAnsi="Times New Roman" w:cs="Times New Roman"/>
          <w:kern w:val="3"/>
          <w:sz w:val="24"/>
          <w:szCs w:val="24"/>
          <w:lang w:val="sr-Cyrl-CS" w:eastAsia="zh-CN" w:bidi="hi-IN"/>
        </w:rPr>
        <w:t>(2025): 90</w:t>
      </w:r>
      <w:r w:rsidRPr="00221978">
        <w:rPr>
          <w:rFonts w:ascii="Times New Roman" w:eastAsia="DejaVu Sans Mono" w:hAnsi="Times New Roman" w:cs="Times New Roman"/>
          <w:kern w:val="3"/>
          <w:sz w:val="24"/>
          <w:szCs w:val="24"/>
          <w:lang w:val="sr-Cyrl-CS" w:eastAsia="de-DE" w:bidi="hi-IN"/>
        </w:rPr>
        <w:t>%.</w:t>
      </w:r>
      <w:r w:rsidR="009B73BA" w:rsidRPr="00221978">
        <w:rPr>
          <w:rFonts w:ascii="Times New Roman" w:eastAsia="DejaVu Sans Mono" w:hAnsi="Times New Roman" w:cs="Times New Roman"/>
          <w:kern w:val="3"/>
          <w:sz w:val="24"/>
          <w:szCs w:val="24"/>
          <w:lang w:val="sr-Cyrl-CS" w:eastAsia="de-DE" w:bidi="hi-IN"/>
        </w:rPr>
        <w:t>”</w:t>
      </w:r>
      <w:r w:rsidR="003D54B7" w:rsidRPr="00221978">
        <w:rPr>
          <w:rFonts w:ascii="Times New Roman" w:eastAsia="DejaVu Sans Mono" w:hAnsi="Times New Roman" w:cs="Times New Roman"/>
          <w:kern w:val="3"/>
          <w:sz w:val="24"/>
          <w:szCs w:val="24"/>
          <w:lang w:val="sr-Cyrl-CS" w:eastAsia="de-DE" w:bidi="hi-IN"/>
        </w:rPr>
        <w:t>.</w:t>
      </w:r>
      <w:r w:rsidR="009B73BA" w:rsidRPr="00221978">
        <w:rPr>
          <w:rFonts w:ascii="Times New Roman" w:eastAsia="DejaVu Sans Mono" w:hAnsi="Times New Roman" w:cs="Times New Roman"/>
          <w:kern w:val="3"/>
          <w:sz w:val="24"/>
          <w:szCs w:val="24"/>
          <w:lang w:val="sr-Cyrl-CS" w:eastAsia="de-DE" w:bidi="hi-IN"/>
        </w:rPr>
        <w:t xml:space="preserve">    </w:t>
      </w:r>
    </w:p>
    <w:p w14:paraId="0161C64E" w14:textId="3B77BCE1" w:rsidR="001F7BA1" w:rsidRPr="00221978" w:rsidRDefault="001F7BA1" w:rsidP="00C13AB2">
      <w:pPr>
        <w:pStyle w:val="ListParagraph"/>
        <w:numPr>
          <w:ilvl w:val="0"/>
          <w:numId w:val="2"/>
        </w:numPr>
        <w:spacing w:after="0"/>
        <w:jc w:val="both"/>
        <w:rPr>
          <w:rFonts w:ascii="Times New Roman" w:eastAsia="DejaVu Sans Mono" w:hAnsi="Times New Roman" w:cs="Times New Roman"/>
          <w:kern w:val="3"/>
          <w:sz w:val="24"/>
          <w:szCs w:val="24"/>
          <w:lang w:val="sr-Cyrl-CS" w:eastAsia="de-DE" w:bidi="hi-IN"/>
        </w:rPr>
      </w:pPr>
      <w:r w:rsidRPr="00221978">
        <w:rPr>
          <w:rFonts w:ascii="Times New Roman" w:eastAsia="DejaVu Sans Mono" w:hAnsi="Times New Roman" w:cs="Times New Roman"/>
          <w:kern w:val="3"/>
          <w:sz w:val="24"/>
          <w:szCs w:val="24"/>
          <w:lang w:val="sr-Cyrl-CS" w:eastAsia="de-DE" w:bidi="hi-IN"/>
        </w:rPr>
        <w:lastRenderedPageBreak/>
        <w:t xml:space="preserve">У </w:t>
      </w:r>
      <w:r w:rsidR="008034ED" w:rsidRPr="00221978">
        <w:rPr>
          <w:rFonts w:ascii="Times New Roman" w:eastAsia="DejaVu Sans Mono" w:hAnsi="Times New Roman" w:cs="Times New Roman"/>
          <w:kern w:val="3"/>
          <w:sz w:val="24"/>
          <w:szCs w:val="24"/>
          <w:lang w:val="sr-Cyrl-CS" w:eastAsia="de-DE" w:bidi="hi-IN"/>
        </w:rPr>
        <w:t>Прилогу</w:t>
      </w:r>
      <w:r w:rsidRPr="00221978">
        <w:rPr>
          <w:rFonts w:ascii="Times New Roman" w:eastAsia="DejaVu Sans Mono" w:hAnsi="Times New Roman" w:cs="Times New Roman"/>
          <w:kern w:val="3"/>
          <w:sz w:val="24"/>
          <w:szCs w:val="24"/>
          <w:lang w:val="sr-Cyrl-CS" w:eastAsia="de-DE" w:bidi="hi-IN"/>
        </w:rPr>
        <w:t xml:space="preserve"> 2, Циљеви, анализе ефеката и мере, Meрa 4.4: Успостављање стандардизације процеса и система квалитета у области стручног усавршавања у јавној управи, уз пуну примену ИКТ,  у табели се мења </w:t>
      </w:r>
      <w:r w:rsidR="002C78AE" w:rsidRPr="00221978">
        <w:rPr>
          <w:rFonts w:ascii="Times New Roman" w:eastAsia="DejaVu Sans Mono" w:hAnsi="Times New Roman" w:cs="Times New Roman"/>
          <w:kern w:val="3"/>
          <w:sz w:val="24"/>
          <w:szCs w:val="24"/>
          <w:lang w:val="sr-Cyrl-CS" w:eastAsia="de-DE" w:bidi="hi-IN"/>
        </w:rPr>
        <w:t>прва</w:t>
      </w:r>
      <w:r w:rsidRPr="00221978">
        <w:rPr>
          <w:rFonts w:ascii="Times New Roman" w:eastAsia="DejaVu Sans Mono" w:hAnsi="Times New Roman" w:cs="Times New Roman"/>
          <w:kern w:val="3"/>
          <w:sz w:val="24"/>
          <w:szCs w:val="24"/>
          <w:lang w:val="sr-Cyrl-CS" w:eastAsia="de-DE" w:bidi="hi-IN"/>
        </w:rPr>
        <w:t xml:space="preserve"> колона, </w:t>
      </w:r>
      <w:r w:rsidR="002C78AE" w:rsidRPr="00221978">
        <w:rPr>
          <w:rFonts w:ascii="Times New Roman" w:eastAsia="DejaVu Sans Mono" w:hAnsi="Times New Roman" w:cs="Times New Roman"/>
          <w:kern w:val="3"/>
          <w:sz w:val="24"/>
          <w:szCs w:val="24"/>
          <w:lang w:val="sr-Cyrl-CS" w:eastAsia="de-DE" w:bidi="hi-IN"/>
        </w:rPr>
        <w:t>други</w:t>
      </w:r>
      <w:r w:rsidRPr="00221978">
        <w:rPr>
          <w:rFonts w:ascii="Times New Roman" w:eastAsia="DejaVu Sans Mono" w:hAnsi="Times New Roman" w:cs="Times New Roman"/>
          <w:kern w:val="3"/>
          <w:sz w:val="24"/>
          <w:szCs w:val="24"/>
          <w:lang w:val="sr-Cyrl-CS" w:eastAsia="de-DE" w:bidi="hi-IN"/>
        </w:rPr>
        <w:t xml:space="preserve"> ред</w:t>
      </w:r>
      <w:r w:rsidR="002C78AE" w:rsidRPr="00221978">
        <w:rPr>
          <w:rFonts w:ascii="Times New Roman" w:eastAsia="DejaVu Sans Mono" w:hAnsi="Times New Roman" w:cs="Times New Roman"/>
          <w:kern w:val="3"/>
          <w:sz w:val="24"/>
          <w:szCs w:val="24"/>
          <w:lang w:val="sr-Cyrl-CS" w:eastAsia="de-DE" w:bidi="hi-IN"/>
        </w:rPr>
        <w:t>,</w:t>
      </w:r>
      <w:r w:rsidRPr="00221978">
        <w:rPr>
          <w:rFonts w:ascii="Times New Roman" w:eastAsia="DejaVu Sans Mono" w:hAnsi="Times New Roman" w:cs="Times New Roman"/>
          <w:kern w:val="3"/>
          <w:sz w:val="24"/>
          <w:szCs w:val="24"/>
          <w:lang w:val="sr-Cyrl-CS" w:eastAsia="de-DE" w:bidi="hi-IN"/>
        </w:rPr>
        <w:t xml:space="preserve"> </w:t>
      </w:r>
      <w:r w:rsidR="00226CFC" w:rsidRPr="00221978">
        <w:rPr>
          <w:rFonts w:ascii="Times New Roman" w:eastAsia="DejaVu Sans Mono" w:hAnsi="Times New Roman" w:cs="Times New Roman"/>
          <w:kern w:val="3"/>
          <w:sz w:val="24"/>
          <w:szCs w:val="24"/>
          <w:lang w:val="sr-Cyrl-CS" w:eastAsia="de-DE" w:bidi="hi-IN"/>
        </w:rPr>
        <w:t>и гласи:</w:t>
      </w:r>
    </w:p>
    <w:p w14:paraId="2E063F88" w14:textId="6A7FB283" w:rsidR="00226CFC" w:rsidRPr="00221978" w:rsidRDefault="00226CFC" w:rsidP="002E1B76">
      <w:pPr>
        <w:spacing w:after="0"/>
        <w:ind w:left="720"/>
        <w:jc w:val="both"/>
        <w:rPr>
          <w:rFonts w:ascii="Times New Roman" w:eastAsia="DejaVu Sans Mono" w:hAnsi="Times New Roman" w:cs="Times New Roman"/>
          <w:kern w:val="3"/>
          <w:sz w:val="24"/>
          <w:szCs w:val="24"/>
          <w:lang w:val="sr-Cyrl-CS" w:eastAsia="de-DE" w:bidi="hi-IN"/>
        </w:rPr>
      </w:pPr>
      <w:r w:rsidRPr="00221978">
        <w:rPr>
          <w:rFonts w:ascii="Times New Roman" w:eastAsia="DejaVu Sans Mono" w:hAnsi="Times New Roman" w:cs="Times New Roman"/>
          <w:kern w:val="3"/>
          <w:sz w:val="24"/>
          <w:szCs w:val="24"/>
          <w:lang w:val="sr-Cyrl-CS" w:eastAsia="de-DE" w:bidi="hi-IN"/>
        </w:rPr>
        <w:t>„Број пословних процеса који се спроводе уз коришћење информационих технологија.</w:t>
      </w:r>
      <w:r w:rsidR="009B73BA" w:rsidRPr="00221978">
        <w:rPr>
          <w:rFonts w:ascii="Times New Roman" w:eastAsia="DejaVu Sans Mono" w:hAnsi="Times New Roman" w:cs="Times New Roman"/>
          <w:kern w:val="3"/>
          <w:sz w:val="24"/>
          <w:szCs w:val="24"/>
          <w:lang w:val="sr-Cyrl-CS" w:eastAsia="de-DE" w:bidi="hi-IN"/>
        </w:rPr>
        <w:t xml:space="preserve">”    </w:t>
      </w:r>
    </w:p>
    <w:p w14:paraId="4724F1E4" w14:textId="77777777" w:rsidR="00C13AB2" w:rsidRPr="00221978" w:rsidRDefault="00C13AB2" w:rsidP="00C13AB2">
      <w:pPr>
        <w:spacing w:after="0"/>
        <w:jc w:val="both"/>
        <w:rPr>
          <w:rFonts w:ascii="Times New Roman" w:eastAsia="DejaVu Sans Mono" w:hAnsi="Times New Roman" w:cs="Times New Roman"/>
          <w:kern w:val="3"/>
          <w:sz w:val="24"/>
          <w:szCs w:val="24"/>
          <w:lang w:val="sr-Cyrl-CS" w:eastAsia="de-DE" w:bidi="hi-IN"/>
        </w:rPr>
      </w:pPr>
    </w:p>
    <w:p w14:paraId="4487B5ED" w14:textId="7B09DDF1" w:rsidR="00C13AB2" w:rsidRPr="00221978" w:rsidRDefault="00C13AB2" w:rsidP="00C13AB2">
      <w:pPr>
        <w:pStyle w:val="ListParagraph"/>
        <w:numPr>
          <w:ilvl w:val="0"/>
          <w:numId w:val="2"/>
        </w:numPr>
        <w:spacing w:after="0"/>
        <w:jc w:val="both"/>
        <w:rPr>
          <w:rFonts w:ascii="Times New Roman" w:eastAsia="DejaVu Sans Mono" w:hAnsi="Times New Roman" w:cs="Times New Roman"/>
          <w:kern w:val="3"/>
          <w:sz w:val="24"/>
          <w:szCs w:val="24"/>
          <w:lang w:val="sr-Cyrl-CS" w:eastAsia="de-DE" w:bidi="hi-IN"/>
        </w:rPr>
      </w:pPr>
      <w:r w:rsidRPr="00221978">
        <w:rPr>
          <w:rFonts w:ascii="Times New Roman" w:eastAsia="DejaVu Sans Mono" w:hAnsi="Times New Roman" w:cs="Times New Roman"/>
          <w:kern w:val="3"/>
          <w:sz w:val="24"/>
          <w:szCs w:val="24"/>
          <w:lang w:val="sr-Cyrl-CS" w:eastAsia="de-DE" w:bidi="hi-IN"/>
        </w:rPr>
        <w:t>У Прилог</w:t>
      </w:r>
      <w:r w:rsidR="008034ED" w:rsidRPr="00221978">
        <w:rPr>
          <w:rFonts w:ascii="Times New Roman" w:eastAsia="DejaVu Sans Mono" w:hAnsi="Times New Roman" w:cs="Times New Roman"/>
          <w:kern w:val="3"/>
          <w:sz w:val="24"/>
          <w:szCs w:val="24"/>
          <w:lang w:val="sr-Cyrl-CS" w:eastAsia="de-DE" w:bidi="hi-IN"/>
        </w:rPr>
        <w:t>у</w:t>
      </w:r>
      <w:r w:rsidRPr="00221978">
        <w:rPr>
          <w:rFonts w:ascii="Times New Roman" w:eastAsia="DejaVu Sans Mono" w:hAnsi="Times New Roman" w:cs="Times New Roman"/>
          <w:kern w:val="3"/>
          <w:sz w:val="24"/>
          <w:szCs w:val="24"/>
          <w:lang w:val="sr-Cyrl-CS" w:eastAsia="de-DE" w:bidi="hi-IN"/>
        </w:rPr>
        <w:t xml:space="preserve"> 2, Циљеви, анализе ефеката и мере,</w:t>
      </w:r>
      <w:r w:rsidRPr="00221978">
        <w:rPr>
          <w:lang w:val="sr-Cyrl-CS"/>
        </w:rPr>
        <w:t xml:space="preserve"> </w:t>
      </w:r>
      <w:r w:rsidRPr="00221978">
        <w:rPr>
          <w:rFonts w:ascii="Times New Roman" w:eastAsia="DejaVu Sans Mono" w:hAnsi="Times New Roman" w:cs="Times New Roman"/>
          <w:kern w:val="3"/>
          <w:sz w:val="24"/>
          <w:szCs w:val="24"/>
          <w:lang w:val="sr-Cyrl-CS" w:eastAsia="de-DE" w:bidi="hi-IN"/>
        </w:rPr>
        <w:t xml:space="preserve">Meрa 4.8: Развој сарадње са високошколским установама ради подршке у школовању/додатном образовању кадрова за јавну управу, у табели се мења </w:t>
      </w:r>
      <w:r w:rsidR="00A30CFA" w:rsidRPr="00221978">
        <w:rPr>
          <w:rFonts w:ascii="Times New Roman" w:eastAsia="DejaVu Sans Mono" w:hAnsi="Times New Roman" w:cs="Times New Roman"/>
          <w:kern w:val="3"/>
          <w:sz w:val="24"/>
          <w:szCs w:val="24"/>
          <w:lang w:val="sr-Cyrl-CS" w:eastAsia="de-DE" w:bidi="hi-IN"/>
        </w:rPr>
        <w:t>прва</w:t>
      </w:r>
      <w:r w:rsidRPr="00221978">
        <w:rPr>
          <w:rFonts w:ascii="Times New Roman" w:eastAsia="DejaVu Sans Mono" w:hAnsi="Times New Roman" w:cs="Times New Roman"/>
          <w:kern w:val="3"/>
          <w:sz w:val="24"/>
          <w:szCs w:val="24"/>
          <w:lang w:val="sr-Cyrl-CS" w:eastAsia="de-DE" w:bidi="hi-IN"/>
        </w:rPr>
        <w:t xml:space="preserve"> колона, </w:t>
      </w:r>
      <w:r w:rsidR="00A30CFA" w:rsidRPr="00221978">
        <w:rPr>
          <w:rFonts w:ascii="Times New Roman" w:eastAsia="DejaVu Sans Mono" w:hAnsi="Times New Roman" w:cs="Times New Roman"/>
          <w:kern w:val="3"/>
          <w:sz w:val="24"/>
          <w:szCs w:val="24"/>
          <w:lang w:val="sr-Cyrl-CS" w:eastAsia="de-DE" w:bidi="hi-IN"/>
        </w:rPr>
        <w:t>други</w:t>
      </w:r>
      <w:r w:rsidRPr="00221978">
        <w:rPr>
          <w:rFonts w:ascii="Times New Roman" w:eastAsia="DejaVu Sans Mono" w:hAnsi="Times New Roman" w:cs="Times New Roman"/>
          <w:kern w:val="3"/>
          <w:sz w:val="24"/>
          <w:szCs w:val="24"/>
          <w:lang w:val="sr-Cyrl-CS" w:eastAsia="de-DE" w:bidi="hi-IN"/>
        </w:rPr>
        <w:t xml:space="preserve"> ред, и гласи:</w:t>
      </w:r>
    </w:p>
    <w:p w14:paraId="30D5D672" w14:textId="7EF4CF4C" w:rsidR="00C13AB2" w:rsidRPr="00221978" w:rsidRDefault="00C13AB2" w:rsidP="002E1B76">
      <w:pPr>
        <w:spacing w:after="0"/>
        <w:ind w:left="720"/>
        <w:jc w:val="both"/>
        <w:rPr>
          <w:rFonts w:ascii="Times New Roman" w:eastAsia="DejaVu Sans Mono" w:hAnsi="Times New Roman" w:cs="Times New Roman"/>
          <w:kern w:val="3"/>
          <w:sz w:val="24"/>
          <w:szCs w:val="24"/>
          <w:lang w:val="sr-Cyrl-CS" w:eastAsia="de-DE" w:bidi="hi-IN"/>
        </w:rPr>
      </w:pPr>
      <w:r w:rsidRPr="00221978">
        <w:rPr>
          <w:rFonts w:ascii="Times New Roman" w:eastAsia="DejaVu Sans Mono" w:hAnsi="Times New Roman" w:cs="Times New Roman"/>
          <w:kern w:val="3"/>
          <w:sz w:val="24"/>
          <w:szCs w:val="24"/>
          <w:lang w:val="sr-Cyrl-CS" w:eastAsia="de-DE" w:bidi="hi-IN"/>
        </w:rPr>
        <w:t>„Проценат државних органа и органа јединица локалне самоуправе који учествују у програму студентске стручне праксе.</w:t>
      </w:r>
      <w:r w:rsidR="009B73BA" w:rsidRPr="00221978">
        <w:rPr>
          <w:rFonts w:ascii="Times New Roman" w:eastAsia="DejaVu Sans Mono" w:hAnsi="Times New Roman" w:cs="Times New Roman"/>
          <w:kern w:val="3"/>
          <w:sz w:val="24"/>
          <w:szCs w:val="24"/>
          <w:lang w:val="sr-Cyrl-CS" w:eastAsia="de-DE" w:bidi="hi-IN"/>
        </w:rPr>
        <w:t xml:space="preserve">”    </w:t>
      </w:r>
    </w:p>
    <w:p w14:paraId="5A11096E" w14:textId="454C4C74" w:rsidR="00C13AB2" w:rsidRPr="00221978" w:rsidRDefault="00C13AB2" w:rsidP="00C13AB2">
      <w:pPr>
        <w:spacing w:after="0"/>
        <w:jc w:val="both"/>
        <w:rPr>
          <w:rFonts w:ascii="Times New Roman" w:eastAsia="DejaVu Sans Mono" w:hAnsi="Times New Roman" w:cs="Times New Roman"/>
          <w:kern w:val="3"/>
          <w:sz w:val="24"/>
          <w:szCs w:val="24"/>
          <w:lang w:val="sr-Cyrl-CS" w:eastAsia="de-DE" w:bidi="hi-IN"/>
        </w:rPr>
      </w:pPr>
    </w:p>
    <w:p w14:paraId="5F419879" w14:textId="6A5BAF4D" w:rsidR="00FC042B" w:rsidRPr="00221978" w:rsidRDefault="00FC042B" w:rsidP="0001141D">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8034ED" w:rsidRPr="00221978">
        <w:rPr>
          <w:rFonts w:ascii="Times New Roman" w:hAnsi="Times New Roman" w:cs="Times New Roman"/>
          <w:sz w:val="24"/>
          <w:szCs w:val="24"/>
          <w:lang w:val="sr-Cyrl-CS"/>
        </w:rPr>
        <w:t>Прилогу</w:t>
      </w:r>
      <w:r w:rsidRPr="00221978">
        <w:rPr>
          <w:rFonts w:ascii="Times New Roman" w:hAnsi="Times New Roman" w:cs="Times New Roman"/>
          <w:sz w:val="24"/>
          <w:szCs w:val="24"/>
          <w:lang w:val="sr-Cyrl-CS"/>
        </w:rPr>
        <w:t xml:space="preserve"> 2, Управљање јавним фина</w:t>
      </w:r>
      <w:r w:rsidR="004F1D4A" w:rsidRPr="00221978">
        <w:rPr>
          <w:rFonts w:ascii="Times New Roman" w:hAnsi="Times New Roman" w:cs="Times New Roman"/>
          <w:sz w:val="24"/>
          <w:szCs w:val="24"/>
          <w:lang w:val="sr-Cyrl-CS"/>
        </w:rPr>
        <w:t>н</w:t>
      </w:r>
      <w:r w:rsidRPr="00221978">
        <w:rPr>
          <w:rFonts w:ascii="Times New Roman" w:hAnsi="Times New Roman" w:cs="Times New Roman"/>
          <w:sz w:val="24"/>
          <w:szCs w:val="24"/>
          <w:lang w:val="sr-Cyrl-CS"/>
        </w:rPr>
        <w:t>сијама, Анализа стања, мења се став 3. и гласи:</w:t>
      </w:r>
    </w:p>
    <w:p w14:paraId="5651CC15" w14:textId="422138C8" w:rsidR="00FC042B" w:rsidRPr="00221978" w:rsidRDefault="00FC042B" w:rsidP="002E1B76">
      <w:pPr>
        <w:pStyle w:val="CommentText"/>
        <w:ind w:left="720" w:firstLine="0"/>
        <w:rPr>
          <w:sz w:val="24"/>
          <w:szCs w:val="24"/>
          <w:lang w:val="sr-Cyrl-CS"/>
        </w:rPr>
      </w:pPr>
      <w:r w:rsidRPr="00221978">
        <w:rPr>
          <w:sz w:val="24"/>
          <w:szCs w:val="24"/>
          <w:lang w:val="sr-Cyrl-CS"/>
        </w:rPr>
        <w:t>„Планирање буџета, управљање јавним набавкама и финансијска контрола представљају области УЈФ које су биле обухваћене и Стратегијом РЈУ из 2014, а значајно детаљније и ПРУЈФ 2016–2020, који поред тих области обухвата одрживи фискални и буџетски оквир, извршење буџета, финансијско извештавање и екс</w:t>
      </w:r>
      <w:r w:rsidR="004F1D4A" w:rsidRPr="00221978">
        <w:rPr>
          <w:sz w:val="24"/>
          <w:szCs w:val="24"/>
          <w:lang w:val="sr-Cyrl-CS"/>
        </w:rPr>
        <w:t>терни надзор над јавним средств</w:t>
      </w:r>
      <w:r w:rsidRPr="00221978">
        <w:rPr>
          <w:sz w:val="24"/>
          <w:szCs w:val="24"/>
          <w:lang w:val="sr-Cyrl-CS"/>
        </w:rPr>
        <w:t>има. Ова стратегија и нови ПРУЈФ су припремљени паралелно, у складу са Законом о планском систему</w:t>
      </w:r>
      <w:r w:rsidR="00311BA1" w:rsidRPr="00221978">
        <w:rPr>
          <w:sz w:val="24"/>
          <w:szCs w:val="24"/>
          <w:lang w:val="sr-Cyrl-CS"/>
        </w:rPr>
        <w:t xml:space="preserve"> Републике Србије</w:t>
      </w:r>
      <w:r w:rsidRPr="00221978">
        <w:rPr>
          <w:sz w:val="24"/>
          <w:szCs w:val="24"/>
          <w:lang w:val="sr-Cyrl-CS"/>
        </w:rPr>
        <w:t xml:space="preserve">. Да се не би дуплирале и преклапале активности и извештавања, ова стратегија успоставља стратешки оквир УЈФ, док је детаљна анализа у области УЈФ и одговарајући акциони план припремљен у оквиру новог ПРУЈФ. Како би се осигурала потпуна интегрисаност у оквиру планског система, документ јавних политика који се односи на интерну финансијску контролу у јавном сектору биће посебан циљ новог ПРУЈФ, како је договорено са релевантним заинтересованим странама (ЕК – Генерални директорат за суседство и проширење – </w:t>
      </w:r>
      <w:r w:rsidRPr="00221978">
        <w:rPr>
          <w:i/>
          <w:iCs/>
          <w:sz w:val="24"/>
          <w:szCs w:val="24"/>
          <w:lang w:val="sr-Cyrl-CS"/>
        </w:rPr>
        <w:t>DG NEAR</w:t>
      </w:r>
      <w:r w:rsidRPr="00221978">
        <w:rPr>
          <w:sz w:val="24"/>
          <w:szCs w:val="24"/>
          <w:lang w:val="sr-Cyrl-CS"/>
        </w:rPr>
        <w:t xml:space="preserve">, Генерални директорат за буџет – </w:t>
      </w:r>
      <w:r w:rsidRPr="00221978">
        <w:rPr>
          <w:i/>
          <w:iCs/>
          <w:sz w:val="24"/>
          <w:szCs w:val="24"/>
          <w:lang w:val="sr-Cyrl-CS"/>
        </w:rPr>
        <w:t>DG BUDGET</w:t>
      </w:r>
      <w:r w:rsidRPr="00221978">
        <w:rPr>
          <w:sz w:val="24"/>
          <w:szCs w:val="24"/>
          <w:lang w:val="sr-Cyrl-CS"/>
        </w:rPr>
        <w:t xml:space="preserve">, </w:t>
      </w:r>
      <w:r w:rsidRPr="00221978">
        <w:rPr>
          <w:i/>
          <w:sz w:val="24"/>
          <w:szCs w:val="24"/>
          <w:lang w:val="sr-Cyrl-CS"/>
        </w:rPr>
        <w:t>SIGMA</w:t>
      </w:r>
      <w:r w:rsidRPr="00221978">
        <w:rPr>
          <w:sz w:val="24"/>
          <w:szCs w:val="24"/>
          <w:lang w:val="sr-Cyrl-CS"/>
        </w:rPr>
        <w:t xml:space="preserve"> и ЕУД). Област управљачке одговорности, која је била саставни део Стратегије развоја интерне финансијске контроле у јавном сектору у Републици Србији за период 2017–2020. године („Службени гласник РС, број 51/17), предвиђена је у тематској области ове стратегије која се односи на транспарентност и одговорност како би се осигурала посвећеност и већи учинак спровођења.</w:t>
      </w:r>
      <w:r w:rsidR="009B73BA" w:rsidRPr="00221978">
        <w:rPr>
          <w:sz w:val="24"/>
          <w:szCs w:val="24"/>
          <w:lang w:val="sr-Cyrl-CS"/>
        </w:rPr>
        <w:t xml:space="preserve">”    </w:t>
      </w:r>
    </w:p>
    <w:p w14:paraId="0F8A1639" w14:textId="75F1385E" w:rsidR="00256B98" w:rsidRPr="00221978" w:rsidRDefault="00256B98" w:rsidP="00256B98">
      <w:pPr>
        <w:pStyle w:val="CommentText"/>
        <w:numPr>
          <w:ilvl w:val="0"/>
          <w:numId w:val="2"/>
        </w:numPr>
        <w:rPr>
          <w:sz w:val="24"/>
          <w:szCs w:val="24"/>
          <w:lang w:val="sr-Cyrl-CS"/>
        </w:rPr>
      </w:pPr>
      <w:bookmarkStart w:id="13" w:name="_Hlk92704420"/>
      <w:r w:rsidRPr="00221978">
        <w:rPr>
          <w:sz w:val="24"/>
          <w:szCs w:val="24"/>
          <w:lang w:val="sr-Cyrl-CS"/>
        </w:rPr>
        <w:t>У Прилог</w:t>
      </w:r>
      <w:r w:rsidR="008034ED" w:rsidRPr="00221978">
        <w:rPr>
          <w:sz w:val="24"/>
          <w:szCs w:val="24"/>
          <w:lang w:val="sr-Cyrl-CS"/>
        </w:rPr>
        <w:t>у</w:t>
      </w:r>
      <w:r w:rsidRPr="00221978">
        <w:rPr>
          <w:sz w:val="24"/>
          <w:szCs w:val="24"/>
          <w:lang w:val="sr-Cyrl-CS"/>
        </w:rPr>
        <w:t xml:space="preserve"> 2, Управљање јавним фина</w:t>
      </w:r>
      <w:r w:rsidR="004D1D81" w:rsidRPr="00221978">
        <w:rPr>
          <w:sz w:val="24"/>
          <w:szCs w:val="24"/>
          <w:lang w:val="sr-Cyrl-CS"/>
        </w:rPr>
        <w:t>н</w:t>
      </w:r>
      <w:r w:rsidRPr="00221978">
        <w:rPr>
          <w:sz w:val="24"/>
          <w:szCs w:val="24"/>
          <w:lang w:val="sr-Cyrl-CS"/>
        </w:rPr>
        <w:t xml:space="preserve">сијама, </w:t>
      </w:r>
      <w:bookmarkEnd w:id="13"/>
      <w:r w:rsidRPr="00221978">
        <w:rPr>
          <w:sz w:val="24"/>
          <w:szCs w:val="24"/>
          <w:lang w:val="sr-Cyrl-CS"/>
        </w:rPr>
        <w:t>Резултат</w:t>
      </w:r>
      <w:r w:rsidR="00FE7A31" w:rsidRPr="00221978">
        <w:rPr>
          <w:sz w:val="24"/>
          <w:szCs w:val="24"/>
          <w:lang w:val="sr-Cyrl-CS"/>
        </w:rPr>
        <w:t xml:space="preserve">и и изазови, мења се став 21. </w:t>
      </w:r>
      <w:r w:rsidRPr="00221978">
        <w:rPr>
          <w:sz w:val="24"/>
          <w:szCs w:val="24"/>
          <w:lang w:val="sr-Cyrl-CS"/>
        </w:rPr>
        <w:t>и гласи:</w:t>
      </w:r>
    </w:p>
    <w:p w14:paraId="49268FFC" w14:textId="396975A4" w:rsidR="00256B98" w:rsidRPr="00221978" w:rsidRDefault="00256B98" w:rsidP="004620A9">
      <w:pPr>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„Доношењем новог ПРУЈФ реформски процеси су настављени и редовним извештавањем које ће омогућити да се на време утврде кључни реформски приоритети, највећи изазови и стратегијски одговори.</w:t>
      </w:r>
      <w:r w:rsidR="009B73BA" w:rsidRPr="00221978">
        <w:rPr>
          <w:rFonts w:ascii="Times New Roman" w:hAnsi="Times New Roman" w:cs="Times New Roman"/>
          <w:sz w:val="24"/>
          <w:szCs w:val="24"/>
          <w:lang w:val="sr-Cyrl-CS"/>
        </w:rPr>
        <w:t xml:space="preserve">”    </w:t>
      </w:r>
    </w:p>
    <w:p w14:paraId="38E5BA76" w14:textId="18DC9D1B" w:rsidR="006B3741" w:rsidRPr="00221978" w:rsidRDefault="006B3741" w:rsidP="0001141D">
      <w:pPr>
        <w:pStyle w:val="ListParagraph"/>
        <w:numPr>
          <w:ilvl w:val="0"/>
          <w:numId w:val="2"/>
        </w:numPr>
        <w:spacing w:after="0" w:line="240" w:lineRule="auto"/>
        <w:jc w:val="both"/>
        <w:rPr>
          <w:rFonts w:ascii="Times New Roman" w:hAnsi="Times New Roman" w:cs="Times New Roman"/>
          <w:sz w:val="24"/>
          <w:szCs w:val="24"/>
          <w:lang w:val="sr-Cyrl-CS"/>
        </w:rPr>
      </w:pPr>
      <w:bookmarkStart w:id="14" w:name="_Hlk92704549"/>
      <w:bookmarkStart w:id="15" w:name="_Hlk92704067"/>
      <w:r w:rsidRPr="00221978">
        <w:rPr>
          <w:rFonts w:ascii="Times New Roman" w:hAnsi="Times New Roman" w:cs="Times New Roman"/>
          <w:sz w:val="24"/>
          <w:szCs w:val="24"/>
          <w:lang w:val="sr-Cyrl-CS"/>
        </w:rPr>
        <w:t>У Прилог</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2, Управљање јавним фина</w:t>
      </w:r>
      <w:r w:rsidR="00481917" w:rsidRPr="00221978">
        <w:rPr>
          <w:rFonts w:ascii="Times New Roman" w:hAnsi="Times New Roman" w:cs="Times New Roman"/>
          <w:sz w:val="24"/>
          <w:szCs w:val="24"/>
          <w:lang w:val="sr-Cyrl-CS"/>
        </w:rPr>
        <w:t>н</w:t>
      </w:r>
      <w:r w:rsidRPr="00221978">
        <w:rPr>
          <w:rFonts w:ascii="Times New Roman" w:hAnsi="Times New Roman" w:cs="Times New Roman"/>
          <w:sz w:val="24"/>
          <w:szCs w:val="24"/>
          <w:lang w:val="sr-Cyrl-CS"/>
        </w:rPr>
        <w:t xml:space="preserve">сијама, Посебан циљ, мења се </w:t>
      </w:r>
      <w:bookmarkEnd w:id="14"/>
      <w:r w:rsidRPr="00221978">
        <w:rPr>
          <w:rFonts w:ascii="Times New Roman" w:hAnsi="Times New Roman" w:cs="Times New Roman"/>
          <w:sz w:val="24"/>
          <w:szCs w:val="24"/>
          <w:lang w:val="sr-Cyrl-CS"/>
        </w:rPr>
        <w:t>табела и гласи:</w:t>
      </w:r>
    </w:p>
    <w:p w14:paraId="17A97175" w14:textId="77777777" w:rsidR="003D54B7" w:rsidRPr="00221978" w:rsidRDefault="00265656" w:rsidP="004620A9">
      <w:pPr>
        <w:ind w:left="720"/>
        <w:jc w:val="both"/>
        <w:rPr>
          <w:rFonts w:ascii="Times New Roman" w:hAnsi="Times New Roman" w:cs="Times New Roman"/>
          <w:bCs/>
          <w:iCs/>
          <w:sz w:val="24"/>
          <w:szCs w:val="24"/>
          <w:lang w:val="sr-Cyrl-CS" w:eastAsia="de-DE"/>
        </w:rPr>
      </w:pPr>
      <w:r w:rsidRPr="00221978">
        <w:rPr>
          <w:rFonts w:ascii="Times New Roman" w:hAnsi="Times New Roman" w:cs="Times New Roman"/>
          <w:iCs/>
          <w:sz w:val="24"/>
          <w:szCs w:val="24"/>
          <w:lang w:val="sr-Cyrl-CS" w:eastAsia="de-DE"/>
        </w:rPr>
        <w:t>„</w:t>
      </w:r>
      <w:r w:rsidR="006B3741" w:rsidRPr="00221978">
        <w:rPr>
          <w:rFonts w:ascii="Times New Roman" w:hAnsi="Times New Roman" w:cs="Times New Roman"/>
          <w:iCs/>
          <w:sz w:val="24"/>
          <w:szCs w:val="24"/>
          <w:lang w:val="sr-Cyrl-CS" w:eastAsia="de-DE"/>
        </w:rPr>
        <w:t>Посебан циљ 7</w:t>
      </w:r>
      <w:r w:rsidR="006B3741" w:rsidRPr="00221978">
        <w:rPr>
          <w:rFonts w:ascii="Times New Roman" w:hAnsi="Times New Roman" w:cs="Times New Roman"/>
          <w:bCs/>
          <w:iCs/>
          <w:sz w:val="24"/>
          <w:szCs w:val="24"/>
          <w:lang w:val="sr-Cyrl-CS" w:eastAsia="de-DE"/>
        </w:rPr>
        <w:t>: Остваривање одрживог буџета са стабилним јавним дугом у односу на БДП уз помоћ бољег финансијског управљања и контроле, процеса ревизије и повезивања буџетског планирања са политикама Владе</w:t>
      </w:r>
      <w:r w:rsidRPr="00221978">
        <w:rPr>
          <w:rFonts w:ascii="Times New Roman" w:hAnsi="Times New Roman" w:cs="Times New Roman"/>
          <w:bCs/>
          <w:iCs/>
          <w:sz w:val="24"/>
          <w:szCs w:val="24"/>
          <w:lang w:val="sr-Cyrl-CS" w:eastAsia="de-DE"/>
        </w:rPr>
        <w:t>.</w:t>
      </w:r>
    </w:p>
    <w:p w14:paraId="224D4884" w14:textId="77777777" w:rsidR="003D54B7" w:rsidRPr="00221978" w:rsidRDefault="003D54B7" w:rsidP="003D54B7">
      <w:pPr>
        <w:ind w:firstLine="360"/>
        <w:jc w:val="both"/>
        <w:rPr>
          <w:rFonts w:ascii="Times New Roman" w:hAnsi="Times New Roman" w:cs="Times New Roman"/>
          <w:bCs/>
          <w:iCs/>
          <w:sz w:val="24"/>
          <w:szCs w:val="24"/>
          <w:lang w:val="sr-Cyrl-CS" w:eastAsia="de-DE"/>
        </w:rPr>
      </w:pPr>
    </w:p>
    <w:tbl>
      <w:tblPr>
        <w:tblW w:w="5000" w:type="pct"/>
        <w:shd w:val="clear" w:color="auto" w:fill="E7E6E6"/>
        <w:tblLook w:val="00A0" w:firstRow="1" w:lastRow="0" w:firstColumn="1" w:lastColumn="0" w:noHBand="0" w:noVBand="0"/>
      </w:tblPr>
      <w:tblGrid>
        <w:gridCol w:w="349"/>
        <w:gridCol w:w="4834"/>
        <w:gridCol w:w="1896"/>
        <w:gridCol w:w="1896"/>
        <w:gridCol w:w="339"/>
      </w:tblGrid>
      <w:tr w:rsidR="006B3741" w:rsidRPr="00221978" w14:paraId="5DA23D74" w14:textId="77777777" w:rsidTr="003D54B7">
        <w:trPr>
          <w:trHeight w:val="20"/>
        </w:trPr>
        <w:tc>
          <w:tcPr>
            <w:tcW w:w="187" w:type="pct"/>
            <w:tcBorders>
              <w:top w:val="single" w:sz="18" w:space="0" w:color="C00000"/>
              <w:left w:val="single" w:sz="18" w:space="0" w:color="C00000"/>
            </w:tcBorders>
            <w:shd w:val="clear" w:color="auto" w:fill="F2F2F2"/>
          </w:tcPr>
          <w:p w14:paraId="5163CF9B" w14:textId="77777777" w:rsidR="006B3741" w:rsidRPr="00221978" w:rsidRDefault="006B3741" w:rsidP="00D37E18">
            <w:pPr>
              <w:spacing w:before="60"/>
              <w:rPr>
                <w:rFonts w:ascii="Times New Roman" w:hAnsi="Times New Roman" w:cs="Times New Roman"/>
                <w:b/>
                <w:bCs/>
                <w:sz w:val="24"/>
                <w:szCs w:val="24"/>
                <w:lang w:val="sr-Cyrl-CS"/>
              </w:rPr>
            </w:pPr>
          </w:p>
        </w:tc>
        <w:tc>
          <w:tcPr>
            <w:tcW w:w="2595" w:type="pct"/>
            <w:tcBorders>
              <w:top w:val="single" w:sz="18" w:space="0" w:color="C00000"/>
            </w:tcBorders>
            <w:shd w:val="clear" w:color="auto" w:fill="F2F2F2"/>
          </w:tcPr>
          <w:p w14:paraId="7D2047BE" w14:textId="77777777" w:rsidR="006B3741" w:rsidRPr="00221978" w:rsidRDefault="006B3741" w:rsidP="00D37E18">
            <w:pPr>
              <w:spacing w:before="60"/>
              <w:rPr>
                <w:rFonts w:ascii="Times New Roman" w:hAnsi="Times New Roman" w:cs="Times New Roman"/>
                <w:b/>
                <w:bCs/>
                <w:sz w:val="20"/>
                <w:szCs w:val="20"/>
                <w:lang w:val="sr-Cyrl-CS"/>
              </w:rPr>
            </w:pPr>
          </w:p>
        </w:tc>
        <w:tc>
          <w:tcPr>
            <w:tcW w:w="1018" w:type="pct"/>
            <w:tcBorders>
              <w:top w:val="single" w:sz="18" w:space="0" w:color="C00000"/>
            </w:tcBorders>
            <w:shd w:val="clear" w:color="auto" w:fill="F2F2F2"/>
            <w:vAlign w:val="center"/>
          </w:tcPr>
          <w:p w14:paraId="5A6D4D71" w14:textId="77777777" w:rsidR="006B3741" w:rsidRPr="00221978" w:rsidRDefault="006B3741" w:rsidP="00D37E18">
            <w:pPr>
              <w:spacing w:before="60"/>
              <w:jc w:val="center"/>
              <w:rPr>
                <w:rFonts w:ascii="Times New Roman" w:hAnsi="Times New Roman" w:cs="Times New Roman"/>
                <w:b/>
                <w:bCs/>
                <w:sz w:val="20"/>
                <w:szCs w:val="20"/>
                <w:lang w:val="sr-Cyrl-CS"/>
              </w:rPr>
            </w:pPr>
          </w:p>
        </w:tc>
        <w:tc>
          <w:tcPr>
            <w:tcW w:w="1018" w:type="pct"/>
            <w:tcBorders>
              <w:top w:val="single" w:sz="18" w:space="0" w:color="C00000"/>
            </w:tcBorders>
            <w:shd w:val="clear" w:color="auto" w:fill="F2F2F2"/>
            <w:vAlign w:val="center"/>
          </w:tcPr>
          <w:p w14:paraId="2E40C6FD" w14:textId="77777777" w:rsidR="006B3741" w:rsidRPr="00221978" w:rsidRDefault="006B3741" w:rsidP="00D37E18">
            <w:pPr>
              <w:spacing w:before="60"/>
              <w:jc w:val="center"/>
              <w:rPr>
                <w:rFonts w:ascii="Times New Roman" w:hAnsi="Times New Roman" w:cs="Times New Roman"/>
                <w:b/>
                <w:bCs/>
                <w:sz w:val="20"/>
                <w:szCs w:val="20"/>
                <w:lang w:val="sr-Cyrl-CS"/>
              </w:rPr>
            </w:pPr>
          </w:p>
        </w:tc>
        <w:tc>
          <w:tcPr>
            <w:tcW w:w="182" w:type="pct"/>
            <w:tcBorders>
              <w:top w:val="single" w:sz="18" w:space="0" w:color="C00000"/>
              <w:right w:val="single" w:sz="18" w:space="0" w:color="C00000"/>
            </w:tcBorders>
            <w:shd w:val="clear" w:color="auto" w:fill="F2F2F2"/>
          </w:tcPr>
          <w:p w14:paraId="061E90B6" w14:textId="77777777" w:rsidR="006B3741" w:rsidRPr="00221978" w:rsidRDefault="006B3741" w:rsidP="00D37E18">
            <w:pPr>
              <w:spacing w:before="60"/>
              <w:jc w:val="center"/>
              <w:rPr>
                <w:rFonts w:ascii="Times New Roman" w:hAnsi="Times New Roman" w:cs="Times New Roman"/>
                <w:b/>
                <w:bCs/>
                <w:sz w:val="20"/>
                <w:szCs w:val="20"/>
                <w:lang w:val="sr-Cyrl-CS"/>
              </w:rPr>
            </w:pPr>
          </w:p>
        </w:tc>
      </w:tr>
      <w:tr w:rsidR="006B3741" w:rsidRPr="00221978" w14:paraId="254E1F12" w14:textId="77777777" w:rsidTr="003D54B7">
        <w:trPr>
          <w:trHeight w:val="490"/>
        </w:trPr>
        <w:tc>
          <w:tcPr>
            <w:tcW w:w="187" w:type="pct"/>
            <w:tcBorders>
              <w:left w:val="single" w:sz="18" w:space="0" w:color="C00000"/>
            </w:tcBorders>
            <w:shd w:val="clear" w:color="auto" w:fill="F2F2F2"/>
          </w:tcPr>
          <w:p w14:paraId="341C72D8" w14:textId="77777777" w:rsidR="006B3741" w:rsidRPr="00221978" w:rsidRDefault="006B3741" w:rsidP="00D37E18">
            <w:pPr>
              <w:spacing w:before="60"/>
              <w:rPr>
                <w:rFonts w:ascii="Times New Roman" w:hAnsi="Times New Roman" w:cs="Times New Roman"/>
                <w:b/>
                <w:bCs/>
                <w:sz w:val="24"/>
                <w:szCs w:val="24"/>
                <w:lang w:val="sr-Cyrl-CS"/>
              </w:rPr>
            </w:pPr>
          </w:p>
        </w:tc>
        <w:tc>
          <w:tcPr>
            <w:tcW w:w="2595" w:type="pct"/>
            <w:tcBorders>
              <w:left w:val="nil"/>
              <w:bottom w:val="single" w:sz="18" w:space="0" w:color="C00000"/>
              <w:right w:val="single" w:sz="18" w:space="0" w:color="FFFFFF"/>
            </w:tcBorders>
            <w:shd w:val="clear" w:color="auto" w:fill="F2F2F2"/>
          </w:tcPr>
          <w:p w14:paraId="426E8AEE" w14:textId="77777777" w:rsidR="006B3741" w:rsidRPr="00221978" w:rsidRDefault="006B3741" w:rsidP="00D37E18">
            <w:pPr>
              <w:spacing w:before="60"/>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Показатељ исхода</w:t>
            </w:r>
          </w:p>
        </w:tc>
        <w:tc>
          <w:tcPr>
            <w:tcW w:w="1018" w:type="pct"/>
            <w:tcBorders>
              <w:left w:val="single" w:sz="18" w:space="0" w:color="FFFFFF"/>
              <w:bottom w:val="single" w:sz="18" w:space="0" w:color="C00000"/>
              <w:right w:val="single" w:sz="18" w:space="0" w:color="FFFFFF"/>
            </w:tcBorders>
            <w:shd w:val="clear" w:color="auto" w:fill="F2F2F2"/>
            <w:vAlign w:val="center"/>
          </w:tcPr>
          <w:p w14:paraId="25D4AAB9" w14:textId="77777777" w:rsidR="006B3741" w:rsidRPr="00221978" w:rsidRDefault="006B3741" w:rsidP="00D37E18">
            <w:pPr>
              <w:spacing w:before="60"/>
              <w:jc w:val="center"/>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ПВ</w:t>
            </w:r>
          </w:p>
        </w:tc>
        <w:tc>
          <w:tcPr>
            <w:tcW w:w="1018" w:type="pct"/>
            <w:tcBorders>
              <w:left w:val="single" w:sz="18" w:space="0" w:color="FFFFFF"/>
              <w:bottom w:val="single" w:sz="18" w:space="0" w:color="C00000"/>
            </w:tcBorders>
            <w:shd w:val="clear" w:color="auto" w:fill="F2F2F2"/>
            <w:vAlign w:val="center"/>
          </w:tcPr>
          <w:p w14:paraId="6AA64203" w14:textId="77777777" w:rsidR="006B3741" w:rsidRPr="00221978" w:rsidRDefault="006B3741" w:rsidP="00D37E18">
            <w:pPr>
              <w:spacing w:before="60"/>
              <w:jc w:val="center"/>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ЦВ</w:t>
            </w:r>
          </w:p>
        </w:tc>
        <w:tc>
          <w:tcPr>
            <w:tcW w:w="182" w:type="pct"/>
            <w:tcBorders>
              <w:right w:val="single" w:sz="18" w:space="0" w:color="C00000"/>
            </w:tcBorders>
            <w:shd w:val="clear" w:color="auto" w:fill="F2F2F2"/>
          </w:tcPr>
          <w:p w14:paraId="073F5FE2" w14:textId="77777777" w:rsidR="006B3741" w:rsidRPr="00221978" w:rsidRDefault="006B3741" w:rsidP="00D37E18">
            <w:pPr>
              <w:spacing w:before="60"/>
              <w:jc w:val="center"/>
              <w:rPr>
                <w:rFonts w:ascii="Times New Roman" w:hAnsi="Times New Roman" w:cs="Times New Roman"/>
                <w:b/>
                <w:bCs/>
                <w:sz w:val="20"/>
                <w:szCs w:val="20"/>
                <w:lang w:val="sr-Cyrl-CS"/>
              </w:rPr>
            </w:pPr>
          </w:p>
        </w:tc>
      </w:tr>
      <w:tr w:rsidR="006B3741" w:rsidRPr="00221978" w14:paraId="66DA4F25" w14:textId="77777777" w:rsidTr="003D54B7">
        <w:trPr>
          <w:trHeight w:val="1082"/>
        </w:trPr>
        <w:tc>
          <w:tcPr>
            <w:tcW w:w="187" w:type="pct"/>
            <w:tcBorders>
              <w:left w:val="single" w:sz="18" w:space="0" w:color="C00000"/>
            </w:tcBorders>
            <w:shd w:val="clear" w:color="auto" w:fill="F2F2F2"/>
          </w:tcPr>
          <w:p w14:paraId="410AB155" w14:textId="77777777" w:rsidR="006B3741" w:rsidRPr="00221978" w:rsidRDefault="006B3741" w:rsidP="00D37E18">
            <w:pPr>
              <w:spacing w:before="60"/>
              <w:rPr>
                <w:rFonts w:ascii="Times New Roman" w:hAnsi="Times New Roman" w:cs="Times New Roman"/>
                <w:sz w:val="24"/>
                <w:szCs w:val="24"/>
                <w:lang w:val="sr-Cyrl-CS"/>
              </w:rPr>
            </w:pPr>
          </w:p>
        </w:tc>
        <w:tc>
          <w:tcPr>
            <w:tcW w:w="2595" w:type="pct"/>
            <w:tcBorders>
              <w:top w:val="single" w:sz="18" w:space="0" w:color="C00000"/>
              <w:left w:val="nil"/>
              <w:bottom w:val="single" w:sz="18" w:space="0" w:color="FFFFFF"/>
              <w:right w:val="single" w:sz="18" w:space="0" w:color="FFFFFF"/>
            </w:tcBorders>
            <w:shd w:val="clear" w:color="auto" w:fill="F2F2F2"/>
          </w:tcPr>
          <w:p w14:paraId="5241E1C5"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Реални раст бруто домаћег производа (БДП)</w:t>
            </w:r>
          </w:p>
        </w:tc>
        <w:tc>
          <w:tcPr>
            <w:tcW w:w="1018" w:type="pct"/>
            <w:tcBorders>
              <w:top w:val="single" w:sz="18" w:space="0" w:color="C00000"/>
              <w:left w:val="single" w:sz="18" w:space="0" w:color="FFFFFF"/>
              <w:bottom w:val="single" w:sz="18" w:space="0" w:color="FFFFFF"/>
              <w:right w:val="single" w:sz="18" w:space="0" w:color="FFFFFF"/>
            </w:tcBorders>
            <w:shd w:val="clear" w:color="auto" w:fill="F2F2F2"/>
          </w:tcPr>
          <w:p w14:paraId="447F1EE1"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(2020): -1%</w:t>
            </w:r>
          </w:p>
        </w:tc>
        <w:tc>
          <w:tcPr>
            <w:tcW w:w="1018" w:type="pct"/>
            <w:tcBorders>
              <w:top w:val="single" w:sz="18" w:space="0" w:color="C00000"/>
              <w:left w:val="single" w:sz="18" w:space="0" w:color="FFFFFF"/>
              <w:bottom w:val="single" w:sz="18" w:space="0" w:color="FFFFFF"/>
            </w:tcBorders>
            <w:shd w:val="clear" w:color="auto" w:fill="F2F2F2"/>
          </w:tcPr>
          <w:p w14:paraId="5BD06F2F"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(2021): 6.0%</w:t>
            </w:r>
          </w:p>
          <w:p w14:paraId="664648EC"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(2022): 4.0%</w:t>
            </w:r>
          </w:p>
          <w:p w14:paraId="31686053"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(2023): 4.0%</w:t>
            </w:r>
          </w:p>
          <w:p w14:paraId="0C441AC9"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(2024): -</w:t>
            </w:r>
          </w:p>
          <w:p w14:paraId="2BC44133"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(2025): -</w:t>
            </w:r>
          </w:p>
          <w:p w14:paraId="23061380"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(2027): -</w:t>
            </w:r>
          </w:p>
          <w:p w14:paraId="3B26E466"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(2030): -</w:t>
            </w:r>
          </w:p>
        </w:tc>
        <w:tc>
          <w:tcPr>
            <w:tcW w:w="182" w:type="pct"/>
            <w:tcBorders>
              <w:right w:val="single" w:sz="18" w:space="0" w:color="C00000"/>
            </w:tcBorders>
            <w:shd w:val="clear" w:color="auto" w:fill="F2F2F2"/>
          </w:tcPr>
          <w:p w14:paraId="5E150128" w14:textId="77777777" w:rsidR="006B3741" w:rsidRPr="00221978" w:rsidRDefault="006B3741" w:rsidP="00D37E18">
            <w:pPr>
              <w:spacing w:before="60"/>
              <w:rPr>
                <w:rFonts w:ascii="Times New Roman" w:hAnsi="Times New Roman" w:cs="Times New Roman"/>
                <w:sz w:val="20"/>
                <w:szCs w:val="20"/>
                <w:lang w:val="sr-Cyrl-CS"/>
              </w:rPr>
            </w:pPr>
          </w:p>
        </w:tc>
      </w:tr>
      <w:tr w:rsidR="006B3741" w:rsidRPr="00221978" w14:paraId="330C14DC" w14:textId="77777777" w:rsidTr="003D54B7">
        <w:trPr>
          <w:trHeight w:val="381"/>
        </w:trPr>
        <w:tc>
          <w:tcPr>
            <w:tcW w:w="187" w:type="pct"/>
            <w:tcBorders>
              <w:left w:val="single" w:sz="18" w:space="0" w:color="C00000"/>
            </w:tcBorders>
            <w:shd w:val="clear" w:color="auto" w:fill="F2F2F2"/>
          </w:tcPr>
          <w:p w14:paraId="601B22B2" w14:textId="77777777" w:rsidR="006B3741" w:rsidRPr="00221978" w:rsidRDefault="006B3741" w:rsidP="00D37E18">
            <w:pPr>
              <w:spacing w:before="60"/>
              <w:rPr>
                <w:rFonts w:ascii="Times New Roman" w:hAnsi="Times New Roman" w:cs="Times New Roman"/>
                <w:sz w:val="24"/>
                <w:szCs w:val="24"/>
                <w:lang w:val="sr-Cyrl-CS"/>
              </w:rPr>
            </w:pPr>
          </w:p>
        </w:tc>
        <w:tc>
          <w:tcPr>
            <w:tcW w:w="2595" w:type="pct"/>
            <w:tcBorders>
              <w:top w:val="single" w:sz="18" w:space="0" w:color="FFFFFF"/>
              <w:left w:val="nil"/>
              <w:bottom w:val="single" w:sz="18" w:space="0" w:color="FFFFFF"/>
              <w:right w:val="single" w:sz="18" w:space="0" w:color="FFFFFF"/>
            </w:tcBorders>
            <w:shd w:val="clear" w:color="auto" w:fill="F2F2F2"/>
          </w:tcPr>
          <w:p w14:paraId="0C0EE1DB" w14:textId="3E12BF70"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Ниво</w:t>
            </w:r>
            <w:r w:rsidR="00265656" w:rsidRPr="00221978">
              <w:rPr>
                <w:rFonts w:ascii="Times New Roman" w:hAnsi="Times New Roman" w:cs="Times New Roman"/>
                <w:sz w:val="20"/>
                <w:szCs w:val="20"/>
                <w:lang w:val="sr-Cyrl-CS"/>
              </w:rPr>
              <w:t xml:space="preserve"> </w:t>
            </w:r>
            <w:r w:rsidRPr="00221978">
              <w:rPr>
                <w:rFonts w:ascii="Times New Roman" w:hAnsi="Times New Roman" w:cs="Times New Roman"/>
                <w:sz w:val="20"/>
                <w:szCs w:val="20"/>
                <w:lang w:val="sr-Cyrl-CS"/>
              </w:rPr>
              <w:t>дуга опште државе у БДП-у</w:t>
            </w:r>
          </w:p>
        </w:tc>
        <w:tc>
          <w:tcPr>
            <w:tcW w:w="1018" w:type="pct"/>
            <w:tcBorders>
              <w:top w:val="single" w:sz="18" w:space="0" w:color="FFFFFF"/>
              <w:left w:val="single" w:sz="18" w:space="0" w:color="FFFFFF"/>
              <w:bottom w:val="single" w:sz="18" w:space="0" w:color="FFFFFF"/>
              <w:right w:val="single" w:sz="18" w:space="0" w:color="FFFFFF"/>
            </w:tcBorders>
            <w:shd w:val="clear" w:color="auto" w:fill="F2F2F2"/>
          </w:tcPr>
          <w:p w14:paraId="31FB4435"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(2020): 59%</w:t>
            </w:r>
          </w:p>
        </w:tc>
        <w:tc>
          <w:tcPr>
            <w:tcW w:w="1018" w:type="pct"/>
            <w:tcBorders>
              <w:top w:val="single" w:sz="18" w:space="0" w:color="FFFFFF"/>
              <w:left w:val="single" w:sz="18" w:space="0" w:color="FFFFFF"/>
              <w:bottom w:val="single" w:sz="18" w:space="0" w:color="FFFFFF"/>
            </w:tcBorders>
            <w:shd w:val="clear" w:color="auto" w:fill="F2F2F2"/>
          </w:tcPr>
          <w:p w14:paraId="0F748132"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(2021): 58.7%</w:t>
            </w:r>
          </w:p>
          <w:p w14:paraId="038D09C6"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(2022): 57.9%</w:t>
            </w:r>
          </w:p>
          <w:p w14:paraId="54BCA3A8"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(2023): 56%</w:t>
            </w:r>
          </w:p>
          <w:p w14:paraId="63DF3CBF"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(2024): -</w:t>
            </w:r>
          </w:p>
          <w:p w14:paraId="062A47A1"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(2025): -</w:t>
            </w:r>
          </w:p>
          <w:p w14:paraId="1F0A8F9B"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(2027): -</w:t>
            </w:r>
          </w:p>
          <w:p w14:paraId="7333F5E9" w14:textId="77777777" w:rsidR="006B3741" w:rsidRPr="00221978" w:rsidRDefault="006B3741" w:rsidP="00D37E18">
            <w:pPr>
              <w:spacing w:before="60"/>
              <w:rPr>
                <w:rFonts w:ascii="Times New Roman" w:hAnsi="Times New Roman" w:cs="Times New Roman"/>
                <w:sz w:val="20"/>
                <w:szCs w:val="20"/>
                <w:lang w:val="sr-Cyrl-CS"/>
              </w:rPr>
            </w:pPr>
            <w:r w:rsidRPr="00221978">
              <w:rPr>
                <w:rFonts w:ascii="Times New Roman" w:hAnsi="Times New Roman" w:cs="Times New Roman"/>
                <w:sz w:val="20"/>
                <w:szCs w:val="20"/>
                <w:lang w:val="sr-Cyrl-CS"/>
              </w:rPr>
              <w:t>(2030): -</w:t>
            </w:r>
          </w:p>
        </w:tc>
        <w:tc>
          <w:tcPr>
            <w:tcW w:w="182" w:type="pct"/>
            <w:tcBorders>
              <w:right w:val="single" w:sz="18" w:space="0" w:color="C00000"/>
            </w:tcBorders>
            <w:shd w:val="clear" w:color="auto" w:fill="F2F2F2"/>
          </w:tcPr>
          <w:p w14:paraId="2B6DEC39" w14:textId="77777777" w:rsidR="006B3741" w:rsidRPr="00221978" w:rsidRDefault="006B3741" w:rsidP="00D37E18">
            <w:pPr>
              <w:spacing w:before="60"/>
              <w:rPr>
                <w:rFonts w:ascii="Times New Roman" w:hAnsi="Times New Roman" w:cs="Times New Roman"/>
                <w:sz w:val="20"/>
                <w:szCs w:val="20"/>
                <w:lang w:val="sr-Cyrl-CS"/>
              </w:rPr>
            </w:pPr>
          </w:p>
        </w:tc>
      </w:tr>
      <w:tr w:rsidR="006B3741" w:rsidRPr="00221978" w14:paraId="7DD72E05" w14:textId="77777777" w:rsidTr="003D54B7">
        <w:trPr>
          <w:trHeight w:val="340"/>
        </w:trPr>
        <w:tc>
          <w:tcPr>
            <w:tcW w:w="187" w:type="pct"/>
            <w:tcBorders>
              <w:left w:val="single" w:sz="18" w:space="0" w:color="C00000"/>
              <w:bottom w:val="single" w:sz="18" w:space="0" w:color="C00000"/>
            </w:tcBorders>
            <w:shd w:val="clear" w:color="auto" w:fill="F2F2F2"/>
          </w:tcPr>
          <w:p w14:paraId="718900B4" w14:textId="77777777" w:rsidR="006B3741" w:rsidRPr="00221978" w:rsidRDefault="006B3741" w:rsidP="00D37E18">
            <w:pPr>
              <w:spacing w:before="60"/>
              <w:rPr>
                <w:sz w:val="16"/>
                <w:szCs w:val="16"/>
                <w:lang w:val="sr-Cyrl-CS"/>
              </w:rPr>
            </w:pPr>
          </w:p>
        </w:tc>
        <w:tc>
          <w:tcPr>
            <w:tcW w:w="2595" w:type="pct"/>
            <w:tcBorders>
              <w:bottom w:val="single" w:sz="18" w:space="0" w:color="C00000"/>
            </w:tcBorders>
            <w:shd w:val="clear" w:color="auto" w:fill="F2F2F2"/>
          </w:tcPr>
          <w:p w14:paraId="2FECEFDB" w14:textId="77777777" w:rsidR="006B3741" w:rsidRPr="00221978" w:rsidRDefault="006B3741" w:rsidP="00D37E18">
            <w:pPr>
              <w:spacing w:before="60"/>
              <w:rPr>
                <w:sz w:val="20"/>
                <w:szCs w:val="20"/>
                <w:lang w:val="sr-Cyrl-CS"/>
              </w:rPr>
            </w:pPr>
          </w:p>
        </w:tc>
        <w:tc>
          <w:tcPr>
            <w:tcW w:w="1018" w:type="pct"/>
            <w:tcBorders>
              <w:bottom w:val="single" w:sz="18" w:space="0" w:color="C00000"/>
            </w:tcBorders>
            <w:shd w:val="clear" w:color="auto" w:fill="F2F2F2"/>
          </w:tcPr>
          <w:p w14:paraId="2FBA5EC7" w14:textId="77777777" w:rsidR="006B3741" w:rsidRPr="00221978" w:rsidRDefault="006B3741" w:rsidP="00D37E18">
            <w:pPr>
              <w:spacing w:before="60"/>
              <w:rPr>
                <w:sz w:val="20"/>
                <w:szCs w:val="20"/>
                <w:lang w:val="sr-Cyrl-CS"/>
              </w:rPr>
            </w:pPr>
          </w:p>
        </w:tc>
        <w:tc>
          <w:tcPr>
            <w:tcW w:w="1018" w:type="pct"/>
            <w:tcBorders>
              <w:bottom w:val="single" w:sz="18" w:space="0" w:color="C00000"/>
            </w:tcBorders>
            <w:shd w:val="clear" w:color="auto" w:fill="F2F2F2"/>
          </w:tcPr>
          <w:p w14:paraId="1BD2D74E" w14:textId="77777777" w:rsidR="006B3741" w:rsidRPr="00221978" w:rsidRDefault="006B3741" w:rsidP="00D37E18">
            <w:pPr>
              <w:spacing w:before="60"/>
              <w:rPr>
                <w:sz w:val="20"/>
                <w:szCs w:val="20"/>
                <w:lang w:val="sr-Cyrl-CS"/>
              </w:rPr>
            </w:pPr>
          </w:p>
        </w:tc>
        <w:tc>
          <w:tcPr>
            <w:tcW w:w="182" w:type="pct"/>
            <w:tcBorders>
              <w:bottom w:val="single" w:sz="18" w:space="0" w:color="C00000"/>
              <w:right w:val="single" w:sz="18" w:space="0" w:color="C00000"/>
            </w:tcBorders>
            <w:shd w:val="clear" w:color="auto" w:fill="F2F2F2"/>
          </w:tcPr>
          <w:p w14:paraId="029A8B1B" w14:textId="77777777" w:rsidR="006B3741" w:rsidRPr="00221978" w:rsidRDefault="006B3741" w:rsidP="00D37E18">
            <w:pPr>
              <w:spacing w:before="60"/>
              <w:rPr>
                <w:sz w:val="20"/>
                <w:szCs w:val="20"/>
                <w:lang w:val="sr-Cyrl-CS"/>
              </w:rPr>
            </w:pPr>
          </w:p>
        </w:tc>
      </w:tr>
    </w:tbl>
    <w:p w14:paraId="15182A99" w14:textId="00AA59C6" w:rsidR="006B3741" w:rsidRPr="00221978" w:rsidRDefault="003D54B7" w:rsidP="003D54B7">
      <w:pPr>
        <w:spacing w:after="0" w:line="240" w:lineRule="auto"/>
        <w:ind w:left="360"/>
        <w:jc w:val="right"/>
        <w:rPr>
          <w:rFonts w:ascii="Times New Roman" w:hAnsi="Times New Roman" w:cs="Times New Roman"/>
          <w:sz w:val="24"/>
          <w:szCs w:val="24"/>
          <w:lang w:val="sr-Cyrl-CS"/>
        </w:rPr>
      </w:pPr>
      <w:r w:rsidRPr="00221978">
        <w:rPr>
          <w:rFonts w:ascii="Times New Roman" w:hAnsi="Times New Roman" w:cs="Times New Roman"/>
          <w:bCs/>
          <w:iCs/>
          <w:sz w:val="24"/>
          <w:szCs w:val="24"/>
          <w:lang w:val="sr-Cyrl-CS" w:eastAsia="de-DE"/>
        </w:rPr>
        <w:t>”.</w:t>
      </w:r>
    </w:p>
    <w:p w14:paraId="4C676D0A" w14:textId="523707FF" w:rsidR="006B3741" w:rsidRPr="00221978" w:rsidRDefault="006B3741" w:rsidP="00150EE5">
      <w:pPr>
        <w:pStyle w:val="ListParagraph"/>
        <w:numPr>
          <w:ilvl w:val="0"/>
          <w:numId w:val="2"/>
        </w:numPr>
        <w:spacing w:after="0" w:line="240" w:lineRule="auto"/>
        <w:jc w:val="both"/>
        <w:rPr>
          <w:rFonts w:ascii="Times New Roman" w:hAnsi="Times New Roman" w:cs="Times New Roman"/>
          <w:sz w:val="24"/>
          <w:szCs w:val="24"/>
          <w:lang w:val="sr-Cyrl-CS"/>
        </w:rPr>
      </w:pPr>
      <w:bookmarkStart w:id="16" w:name="_Hlk92704699"/>
      <w:r w:rsidRPr="00221978">
        <w:rPr>
          <w:rFonts w:ascii="Times New Roman" w:hAnsi="Times New Roman" w:cs="Times New Roman"/>
          <w:sz w:val="24"/>
          <w:szCs w:val="24"/>
          <w:lang w:val="sr-Cyrl-CS"/>
        </w:rPr>
        <w:t>У Прилог</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2, Управљање јавним фина</w:t>
      </w:r>
      <w:r w:rsidR="00C00AA5" w:rsidRPr="00221978">
        <w:rPr>
          <w:rFonts w:ascii="Times New Roman" w:hAnsi="Times New Roman" w:cs="Times New Roman"/>
          <w:sz w:val="24"/>
          <w:szCs w:val="24"/>
          <w:lang w:val="sr-Cyrl-CS"/>
        </w:rPr>
        <w:t>н</w:t>
      </w:r>
      <w:r w:rsidRPr="00221978">
        <w:rPr>
          <w:rFonts w:ascii="Times New Roman" w:hAnsi="Times New Roman" w:cs="Times New Roman"/>
          <w:sz w:val="24"/>
          <w:szCs w:val="24"/>
          <w:lang w:val="sr-Cyrl-CS"/>
        </w:rPr>
        <w:t xml:space="preserve">сијама, Посебан циљ, мења се став 4. </w:t>
      </w:r>
      <w:r w:rsidR="00AB0000" w:rsidRPr="00221978">
        <w:rPr>
          <w:rFonts w:ascii="Times New Roman" w:hAnsi="Times New Roman" w:cs="Times New Roman"/>
          <w:sz w:val="24"/>
          <w:szCs w:val="24"/>
          <w:lang w:val="sr-Cyrl-CS"/>
        </w:rPr>
        <w:t>и</w:t>
      </w:r>
      <w:r w:rsidRPr="00221978">
        <w:rPr>
          <w:rFonts w:ascii="Times New Roman" w:hAnsi="Times New Roman" w:cs="Times New Roman"/>
          <w:sz w:val="24"/>
          <w:szCs w:val="24"/>
          <w:lang w:val="sr-Cyrl-CS"/>
        </w:rPr>
        <w:t xml:space="preserve"> гласи:</w:t>
      </w:r>
    </w:p>
    <w:bookmarkEnd w:id="16"/>
    <w:p w14:paraId="3A97D552" w14:textId="37756449" w:rsidR="006B3741" w:rsidRPr="00221978" w:rsidRDefault="006B3741" w:rsidP="004620A9">
      <w:pPr>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„Посебан циљ 7. преузет je као Општи циљ ПРУЈФ 2021–2025 и прецизира се кроз шест посебних циљева ПРУЈФ 2021-2025:</w:t>
      </w:r>
      <w:r w:rsidR="009B73BA" w:rsidRPr="00221978">
        <w:rPr>
          <w:rFonts w:ascii="Times New Roman" w:hAnsi="Times New Roman" w:cs="Times New Roman"/>
          <w:sz w:val="24"/>
          <w:szCs w:val="24"/>
          <w:lang w:val="sr-Cyrl-CS"/>
        </w:rPr>
        <w:t>”</w:t>
      </w:r>
      <w:r w:rsidR="003D54B7"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p>
    <w:p w14:paraId="3734CF57" w14:textId="7F6D02D9" w:rsidR="00265656" w:rsidRPr="00221978" w:rsidRDefault="006B3741" w:rsidP="00150EE5">
      <w:pPr>
        <w:pStyle w:val="ListParagraph"/>
        <w:numPr>
          <w:ilvl w:val="0"/>
          <w:numId w:val="2"/>
        </w:numPr>
        <w:spacing w:after="0"/>
        <w:jc w:val="both"/>
        <w:rPr>
          <w:rFonts w:ascii="Times New Roman" w:hAnsi="Times New Roman" w:cs="Times New Roman"/>
          <w:sz w:val="24"/>
          <w:szCs w:val="24"/>
          <w:lang w:val="sr-Cyrl-CS"/>
        </w:rPr>
      </w:pPr>
      <w:bookmarkStart w:id="17" w:name="_Hlk92704775"/>
      <w:r w:rsidRPr="00221978">
        <w:rPr>
          <w:rFonts w:ascii="Times New Roman" w:hAnsi="Times New Roman" w:cs="Times New Roman"/>
          <w:sz w:val="24"/>
          <w:szCs w:val="24"/>
          <w:lang w:val="sr-Cyrl-CS"/>
        </w:rPr>
        <w:t>У Прилог</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2, Управљање јавним фина</w:t>
      </w:r>
      <w:r w:rsidR="00441F47" w:rsidRPr="00221978">
        <w:rPr>
          <w:rFonts w:ascii="Times New Roman" w:hAnsi="Times New Roman" w:cs="Times New Roman"/>
          <w:sz w:val="24"/>
          <w:szCs w:val="24"/>
          <w:lang w:val="sr-Cyrl-CS"/>
        </w:rPr>
        <w:t>н</w:t>
      </w:r>
      <w:r w:rsidRPr="00221978">
        <w:rPr>
          <w:rFonts w:ascii="Times New Roman" w:hAnsi="Times New Roman" w:cs="Times New Roman"/>
          <w:sz w:val="24"/>
          <w:szCs w:val="24"/>
          <w:lang w:val="sr-Cyrl-CS"/>
        </w:rPr>
        <w:t xml:space="preserve">сијама, Посебан циљ, мења се став 5. </w:t>
      </w:r>
      <w:r w:rsidR="00AB0000" w:rsidRPr="00221978">
        <w:rPr>
          <w:rFonts w:ascii="Times New Roman" w:hAnsi="Times New Roman" w:cs="Times New Roman"/>
          <w:sz w:val="24"/>
          <w:szCs w:val="24"/>
          <w:lang w:val="sr-Cyrl-CS"/>
        </w:rPr>
        <w:t>и</w:t>
      </w:r>
      <w:r w:rsidRPr="00221978">
        <w:rPr>
          <w:rFonts w:ascii="Times New Roman" w:hAnsi="Times New Roman" w:cs="Times New Roman"/>
          <w:sz w:val="24"/>
          <w:szCs w:val="24"/>
          <w:lang w:val="sr-Cyrl-CS"/>
        </w:rPr>
        <w:t xml:space="preserve"> гласи:</w:t>
      </w:r>
      <w:bookmarkEnd w:id="17"/>
    </w:p>
    <w:p w14:paraId="60D455DB" w14:textId="7C711EEA" w:rsidR="006B3741" w:rsidRPr="00221978" w:rsidRDefault="006B3741" w:rsidP="004620A9">
      <w:pPr>
        <w:spacing w:after="0"/>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„Посебан циљ 1:</w:t>
      </w:r>
      <w:bookmarkStart w:id="18" w:name="_Hlk88651791"/>
      <w:r w:rsidRPr="00221978">
        <w:rPr>
          <w:rFonts w:ascii="Times New Roman" w:eastAsia="Calibri" w:hAnsi="Times New Roman" w:cs="Times New Roman"/>
          <w:sz w:val="24"/>
          <w:szCs w:val="24"/>
          <w:lang w:val="sr-Cyrl-CS"/>
        </w:rPr>
        <w:t>Унапређени капацитети за буџетско планирање и управљање јавним инвестицијама и праћење фискалних ризика</w:t>
      </w:r>
      <w:bookmarkEnd w:id="18"/>
      <w:r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w:t>
      </w:r>
      <w:r w:rsidR="003D54B7"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p>
    <w:p w14:paraId="052EE32C" w14:textId="77777777" w:rsidR="00265656" w:rsidRPr="00221978" w:rsidRDefault="00265656" w:rsidP="00265656">
      <w:pPr>
        <w:spacing w:after="0"/>
        <w:rPr>
          <w:rFonts w:ascii="Times New Roman" w:hAnsi="Times New Roman" w:cs="Times New Roman"/>
          <w:sz w:val="24"/>
          <w:szCs w:val="24"/>
          <w:lang w:val="sr-Cyrl-CS"/>
        </w:rPr>
      </w:pPr>
    </w:p>
    <w:p w14:paraId="455E6D47" w14:textId="09B6784F" w:rsidR="006B3741" w:rsidRPr="00221978" w:rsidRDefault="006B3741" w:rsidP="006B3741">
      <w:pPr>
        <w:pStyle w:val="ListParagraph"/>
        <w:numPr>
          <w:ilvl w:val="0"/>
          <w:numId w:val="2"/>
        </w:numPr>
        <w:spacing w:after="0"/>
        <w:jc w:val="both"/>
        <w:rPr>
          <w:rFonts w:ascii="Times New Roman" w:hAnsi="Times New Roman" w:cs="Times New Roman"/>
          <w:sz w:val="24"/>
          <w:szCs w:val="24"/>
          <w:lang w:val="sr-Cyrl-CS"/>
        </w:rPr>
      </w:pPr>
      <w:bookmarkStart w:id="19" w:name="_Hlk92704903"/>
      <w:r w:rsidRPr="00221978">
        <w:rPr>
          <w:rFonts w:ascii="Times New Roman" w:hAnsi="Times New Roman" w:cs="Times New Roman"/>
          <w:sz w:val="24"/>
          <w:szCs w:val="24"/>
          <w:lang w:val="sr-Cyrl-CS"/>
        </w:rPr>
        <w:t>У Прилог</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2, Управљање јавним фина</w:t>
      </w:r>
      <w:r w:rsidR="001774BD" w:rsidRPr="00221978">
        <w:rPr>
          <w:rFonts w:ascii="Times New Roman" w:hAnsi="Times New Roman" w:cs="Times New Roman"/>
          <w:sz w:val="24"/>
          <w:szCs w:val="24"/>
          <w:lang w:val="sr-Cyrl-CS"/>
        </w:rPr>
        <w:t>н</w:t>
      </w:r>
      <w:r w:rsidRPr="00221978">
        <w:rPr>
          <w:rFonts w:ascii="Times New Roman" w:hAnsi="Times New Roman" w:cs="Times New Roman"/>
          <w:sz w:val="24"/>
          <w:szCs w:val="24"/>
          <w:lang w:val="sr-Cyrl-CS"/>
        </w:rPr>
        <w:t xml:space="preserve">сијама, Посебан циљ, мења се став 8. </w:t>
      </w:r>
      <w:r w:rsidR="00AB0000" w:rsidRPr="00221978">
        <w:rPr>
          <w:rFonts w:ascii="Times New Roman" w:hAnsi="Times New Roman" w:cs="Times New Roman"/>
          <w:sz w:val="24"/>
          <w:szCs w:val="24"/>
          <w:lang w:val="sr-Cyrl-CS"/>
        </w:rPr>
        <w:t>и</w:t>
      </w:r>
      <w:r w:rsidRPr="00221978">
        <w:rPr>
          <w:rFonts w:ascii="Times New Roman" w:hAnsi="Times New Roman" w:cs="Times New Roman"/>
          <w:sz w:val="24"/>
          <w:szCs w:val="24"/>
          <w:lang w:val="sr-Cyrl-CS"/>
        </w:rPr>
        <w:t xml:space="preserve"> гласи:</w:t>
      </w:r>
    </w:p>
    <w:bookmarkEnd w:id="19"/>
    <w:p w14:paraId="317B9DE8" w14:textId="1C500A24" w:rsidR="006B3741" w:rsidRPr="00221978" w:rsidRDefault="006B3741" w:rsidP="004620A9">
      <w:pPr>
        <w:spacing w:after="0"/>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„Посебан циљ 4: Унапређење примене система интерне финансијске контроле у јавном сектору;</w:t>
      </w:r>
      <w:r w:rsidR="009B73BA" w:rsidRPr="00221978">
        <w:rPr>
          <w:rFonts w:ascii="Times New Roman" w:hAnsi="Times New Roman" w:cs="Times New Roman"/>
          <w:sz w:val="24"/>
          <w:szCs w:val="24"/>
          <w:lang w:val="sr-Cyrl-CS"/>
        </w:rPr>
        <w:t>”</w:t>
      </w:r>
      <w:r w:rsidR="003D54B7"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p>
    <w:p w14:paraId="5DFB2F73" w14:textId="08583BCD" w:rsidR="006B3741" w:rsidRPr="00221978" w:rsidRDefault="006B3741" w:rsidP="006B3741">
      <w:pPr>
        <w:spacing w:after="0"/>
        <w:jc w:val="both"/>
        <w:rPr>
          <w:rFonts w:ascii="Times New Roman" w:hAnsi="Times New Roman" w:cs="Times New Roman"/>
          <w:sz w:val="24"/>
          <w:szCs w:val="24"/>
          <w:lang w:val="sr-Cyrl-CS"/>
        </w:rPr>
      </w:pPr>
    </w:p>
    <w:p w14:paraId="360F8C34" w14:textId="1B3F12EF" w:rsidR="006B3741" w:rsidRPr="00221978" w:rsidRDefault="006B3741" w:rsidP="006B3741">
      <w:pPr>
        <w:pStyle w:val="ListParagraph"/>
        <w:numPr>
          <w:ilvl w:val="0"/>
          <w:numId w:val="2"/>
        </w:numPr>
        <w:spacing w:after="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8034ED" w:rsidRPr="00221978">
        <w:rPr>
          <w:rFonts w:ascii="Times New Roman" w:hAnsi="Times New Roman" w:cs="Times New Roman"/>
          <w:sz w:val="24"/>
          <w:szCs w:val="24"/>
          <w:lang w:val="sr-Cyrl-CS"/>
        </w:rPr>
        <w:t>Прилогу</w:t>
      </w:r>
      <w:r w:rsidRPr="00221978">
        <w:rPr>
          <w:rFonts w:ascii="Times New Roman" w:hAnsi="Times New Roman" w:cs="Times New Roman"/>
          <w:sz w:val="24"/>
          <w:szCs w:val="24"/>
          <w:lang w:val="sr-Cyrl-CS"/>
        </w:rPr>
        <w:t xml:space="preserve"> 2, Управљање јавним фина</w:t>
      </w:r>
      <w:r w:rsidR="00597216" w:rsidRPr="00221978">
        <w:rPr>
          <w:rFonts w:ascii="Times New Roman" w:hAnsi="Times New Roman" w:cs="Times New Roman"/>
          <w:sz w:val="24"/>
          <w:szCs w:val="24"/>
          <w:lang w:val="sr-Cyrl-CS"/>
        </w:rPr>
        <w:t>н</w:t>
      </w:r>
      <w:r w:rsidRPr="00221978">
        <w:rPr>
          <w:rFonts w:ascii="Times New Roman" w:hAnsi="Times New Roman" w:cs="Times New Roman"/>
          <w:sz w:val="24"/>
          <w:szCs w:val="24"/>
          <w:lang w:val="sr-Cyrl-CS"/>
        </w:rPr>
        <w:t xml:space="preserve">сијама, Посебан циљ, мења се став 9. </w:t>
      </w:r>
      <w:r w:rsidR="00AB0000" w:rsidRPr="00221978">
        <w:rPr>
          <w:rFonts w:ascii="Times New Roman" w:hAnsi="Times New Roman" w:cs="Times New Roman"/>
          <w:sz w:val="24"/>
          <w:szCs w:val="24"/>
          <w:lang w:val="sr-Cyrl-CS"/>
        </w:rPr>
        <w:t xml:space="preserve">и </w:t>
      </w:r>
      <w:r w:rsidRPr="00221978">
        <w:rPr>
          <w:rFonts w:ascii="Times New Roman" w:hAnsi="Times New Roman" w:cs="Times New Roman"/>
          <w:sz w:val="24"/>
          <w:szCs w:val="24"/>
          <w:lang w:val="sr-Cyrl-CS"/>
        </w:rPr>
        <w:t>гласи:</w:t>
      </w:r>
    </w:p>
    <w:p w14:paraId="34C18A58" w14:textId="2C6B1D23" w:rsidR="009915AE" w:rsidRPr="00221978" w:rsidRDefault="006B3741" w:rsidP="004620A9">
      <w:pPr>
        <w:spacing w:after="0"/>
        <w:ind w:left="720"/>
        <w:jc w:val="both"/>
        <w:rPr>
          <w:rFonts w:ascii="Times New Roman" w:eastAsia="Calibri" w:hAnsi="Times New Roman" w:cs="Times New Roman"/>
          <w:sz w:val="24"/>
          <w:szCs w:val="24"/>
          <w:lang w:val="sr-Cyrl-CS"/>
        </w:rPr>
      </w:pPr>
      <w:r w:rsidRPr="00221978">
        <w:rPr>
          <w:rFonts w:ascii="Times New Roman" w:hAnsi="Times New Roman" w:cs="Times New Roman"/>
          <w:sz w:val="24"/>
          <w:szCs w:val="24"/>
          <w:lang w:val="sr-Cyrl-CS"/>
        </w:rPr>
        <w:t>„Посебан циљ 5:</w:t>
      </w:r>
      <w:bookmarkStart w:id="20" w:name="_Hlk88651899"/>
      <w:r w:rsidR="008034ED" w:rsidRPr="00221978">
        <w:rPr>
          <w:rFonts w:ascii="Times New Roman" w:hAnsi="Times New Roman" w:cs="Times New Roman"/>
          <w:sz w:val="24"/>
          <w:szCs w:val="24"/>
          <w:lang w:val="sr-Cyrl-CS"/>
        </w:rPr>
        <w:t xml:space="preserve"> </w:t>
      </w:r>
      <w:r w:rsidRPr="00221978">
        <w:rPr>
          <w:rFonts w:ascii="Times New Roman" w:eastAsia="Calibri" w:hAnsi="Times New Roman" w:cs="Times New Roman"/>
          <w:sz w:val="24"/>
          <w:szCs w:val="24"/>
          <w:lang w:val="sr-Cyrl-CS"/>
        </w:rPr>
        <w:t>Унапређено рачуноводство у јавном сектору применом међународних рачуноводствених стандарда за јавни сектор (</w:t>
      </w:r>
      <w:r w:rsidRPr="00221978">
        <w:rPr>
          <w:rFonts w:ascii="Times New Roman" w:eastAsia="Calibri" w:hAnsi="Times New Roman" w:cs="Times New Roman"/>
          <w:i/>
          <w:iCs/>
          <w:sz w:val="24"/>
          <w:szCs w:val="24"/>
          <w:lang w:val="sr-Cyrl-CS"/>
        </w:rPr>
        <w:t>IPSAS</w:t>
      </w:r>
      <w:r w:rsidRPr="00221978">
        <w:rPr>
          <w:rFonts w:ascii="Times New Roman" w:eastAsia="Calibri" w:hAnsi="Times New Roman" w:cs="Times New Roman"/>
          <w:sz w:val="24"/>
          <w:szCs w:val="24"/>
          <w:lang w:val="sr-Cyrl-CS"/>
        </w:rPr>
        <w:t>)</w:t>
      </w:r>
      <w:bookmarkEnd w:id="20"/>
      <w:r w:rsidRPr="00221978">
        <w:rPr>
          <w:rFonts w:ascii="Times New Roman" w:eastAsia="Calibri" w:hAnsi="Times New Roman" w:cs="Times New Roman"/>
          <w:sz w:val="24"/>
          <w:szCs w:val="24"/>
          <w:lang w:val="sr-Cyrl-CS"/>
        </w:rPr>
        <w:t>.</w:t>
      </w:r>
      <w:r w:rsidR="009B73BA" w:rsidRPr="00221978">
        <w:rPr>
          <w:rFonts w:ascii="Times New Roman" w:eastAsia="Calibri" w:hAnsi="Times New Roman" w:cs="Times New Roman"/>
          <w:sz w:val="24"/>
          <w:szCs w:val="24"/>
          <w:lang w:val="sr-Cyrl-CS"/>
        </w:rPr>
        <w:t xml:space="preserve">”   </w:t>
      </w:r>
    </w:p>
    <w:p w14:paraId="1C4A59B5" w14:textId="53104724" w:rsidR="002D41CF" w:rsidRPr="00221978" w:rsidRDefault="009B73BA" w:rsidP="004620A9">
      <w:pPr>
        <w:spacing w:after="0"/>
        <w:ind w:left="720"/>
        <w:jc w:val="both"/>
        <w:rPr>
          <w:rFonts w:ascii="Times New Roman" w:eastAsia="Calibri" w:hAnsi="Times New Roman" w:cs="Times New Roman"/>
          <w:sz w:val="24"/>
          <w:szCs w:val="24"/>
          <w:lang w:val="sr-Cyrl-CS"/>
        </w:rPr>
      </w:pPr>
      <w:r w:rsidRPr="00221978">
        <w:rPr>
          <w:rFonts w:ascii="Times New Roman" w:eastAsia="Calibri" w:hAnsi="Times New Roman" w:cs="Times New Roman"/>
          <w:sz w:val="24"/>
          <w:szCs w:val="24"/>
          <w:lang w:val="sr-Cyrl-CS"/>
        </w:rPr>
        <w:t xml:space="preserve"> </w:t>
      </w:r>
    </w:p>
    <w:p w14:paraId="328614EF" w14:textId="77777777" w:rsidR="008034ED" w:rsidRPr="00221978" w:rsidRDefault="008034ED" w:rsidP="004620A9">
      <w:pPr>
        <w:spacing w:after="0"/>
        <w:ind w:left="720"/>
        <w:jc w:val="both"/>
        <w:rPr>
          <w:rFonts w:ascii="Times New Roman" w:eastAsia="Calibri" w:hAnsi="Times New Roman" w:cs="Times New Roman"/>
          <w:sz w:val="24"/>
          <w:szCs w:val="24"/>
          <w:lang w:val="sr-Cyrl-CS"/>
        </w:rPr>
      </w:pPr>
    </w:p>
    <w:p w14:paraId="210C3F5B" w14:textId="294D3A64" w:rsidR="002D41CF" w:rsidRPr="00221978" w:rsidRDefault="002D41CF" w:rsidP="002D41CF">
      <w:pPr>
        <w:pStyle w:val="ListParagraph"/>
        <w:numPr>
          <w:ilvl w:val="0"/>
          <w:numId w:val="2"/>
        </w:numPr>
        <w:spacing w:after="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Прилог</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2, Управљање јавним фина</w:t>
      </w:r>
      <w:r w:rsidR="00173976" w:rsidRPr="00221978">
        <w:rPr>
          <w:rFonts w:ascii="Times New Roman" w:hAnsi="Times New Roman" w:cs="Times New Roman"/>
          <w:sz w:val="24"/>
          <w:szCs w:val="24"/>
          <w:lang w:val="sr-Cyrl-CS"/>
        </w:rPr>
        <w:t>н</w:t>
      </w:r>
      <w:r w:rsidRPr="00221978">
        <w:rPr>
          <w:rFonts w:ascii="Times New Roman" w:hAnsi="Times New Roman" w:cs="Times New Roman"/>
          <w:sz w:val="24"/>
          <w:szCs w:val="24"/>
          <w:lang w:val="sr-Cyrl-CS"/>
        </w:rPr>
        <w:t>сијама, Посебан циљ, мења се табела и  гласи:</w:t>
      </w:r>
    </w:p>
    <w:p w14:paraId="55E5759F" w14:textId="046D09AC" w:rsidR="003D54B7" w:rsidRPr="00221978" w:rsidRDefault="003D54B7" w:rsidP="003D54B7">
      <w:pPr>
        <w:pStyle w:val="ListParagraph"/>
        <w:spacing w:after="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w:t>
      </w:r>
    </w:p>
    <w:tbl>
      <w:tblPr>
        <w:tblW w:w="0" w:type="auto"/>
        <w:shd w:val="clear" w:color="auto" w:fill="E7E6E6"/>
        <w:tblLook w:val="00A0" w:firstRow="1" w:lastRow="0" w:firstColumn="1" w:lastColumn="0" w:noHBand="0" w:noVBand="0"/>
      </w:tblPr>
      <w:tblGrid>
        <w:gridCol w:w="2732"/>
        <w:gridCol w:w="2740"/>
        <w:gridCol w:w="1776"/>
        <w:gridCol w:w="2112"/>
      </w:tblGrid>
      <w:tr w:rsidR="002D41CF" w:rsidRPr="00221978" w14:paraId="1ED19AB2" w14:textId="77777777" w:rsidTr="007C1EC4">
        <w:trPr>
          <w:trHeight w:val="20"/>
        </w:trPr>
        <w:tc>
          <w:tcPr>
            <w:tcW w:w="0" w:type="auto"/>
            <w:tcBorders>
              <w:top w:val="single" w:sz="18" w:space="0" w:color="C00000"/>
            </w:tcBorders>
            <w:shd w:val="clear" w:color="auto" w:fill="F2F2F2"/>
          </w:tcPr>
          <w:p w14:paraId="119DCCB0" w14:textId="77777777" w:rsidR="002D41CF" w:rsidRPr="00221978" w:rsidRDefault="002D41CF" w:rsidP="00D37E18">
            <w:pPr>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Посебан циљ Програма реформе управљања јавним финансијама</w:t>
            </w:r>
          </w:p>
        </w:tc>
        <w:tc>
          <w:tcPr>
            <w:tcW w:w="0" w:type="auto"/>
            <w:tcBorders>
              <w:top w:val="single" w:sz="18" w:space="0" w:color="C00000"/>
            </w:tcBorders>
            <w:shd w:val="clear" w:color="auto" w:fill="F2F2F2"/>
          </w:tcPr>
          <w:p w14:paraId="6DC236C1" w14:textId="77777777" w:rsidR="002D41CF" w:rsidRPr="00221978" w:rsidRDefault="002D41CF" w:rsidP="00D37E18">
            <w:pPr>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Показатељ</w:t>
            </w:r>
          </w:p>
        </w:tc>
        <w:tc>
          <w:tcPr>
            <w:tcW w:w="0" w:type="auto"/>
            <w:tcBorders>
              <w:top w:val="single" w:sz="18" w:space="0" w:color="C00000"/>
            </w:tcBorders>
            <w:shd w:val="clear" w:color="auto" w:fill="F2F2F2"/>
            <w:vAlign w:val="center"/>
          </w:tcPr>
          <w:p w14:paraId="4EBB8602" w14:textId="77777777" w:rsidR="002D41CF" w:rsidRPr="00221978" w:rsidRDefault="002D41CF" w:rsidP="00D37E18">
            <w:pPr>
              <w:jc w:val="center"/>
              <w:rPr>
                <w:rFonts w:ascii="Times New Roman" w:hAnsi="Times New Roman" w:cs="Times New Roman"/>
                <w:b/>
                <w:bCs/>
                <w:sz w:val="20"/>
                <w:szCs w:val="20"/>
                <w:lang w:val="sr-Cyrl-CS"/>
              </w:rPr>
            </w:pPr>
          </w:p>
        </w:tc>
        <w:tc>
          <w:tcPr>
            <w:tcW w:w="0" w:type="auto"/>
            <w:tcBorders>
              <w:top w:val="single" w:sz="18" w:space="0" w:color="C00000"/>
            </w:tcBorders>
            <w:shd w:val="clear" w:color="auto" w:fill="F2F2F2"/>
            <w:vAlign w:val="center"/>
          </w:tcPr>
          <w:p w14:paraId="0B10CE93" w14:textId="77777777" w:rsidR="002D41CF" w:rsidRPr="00221978" w:rsidRDefault="002D41CF" w:rsidP="00D37E18">
            <w:pPr>
              <w:jc w:val="center"/>
              <w:rPr>
                <w:rFonts w:ascii="Times New Roman" w:hAnsi="Times New Roman" w:cs="Times New Roman"/>
                <w:b/>
                <w:bCs/>
                <w:sz w:val="20"/>
                <w:szCs w:val="20"/>
                <w:lang w:val="sr-Cyrl-CS"/>
              </w:rPr>
            </w:pPr>
          </w:p>
        </w:tc>
      </w:tr>
      <w:tr w:rsidR="002D41CF" w:rsidRPr="00221978" w14:paraId="72068E0C" w14:textId="77777777" w:rsidTr="007C1EC4">
        <w:trPr>
          <w:trHeight w:val="70"/>
        </w:trPr>
        <w:tc>
          <w:tcPr>
            <w:tcW w:w="0" w:type="auto"/>
            <w:tcBorders>
              <w:bottom w:val="single" w:sz="18" w:space="0" w:color="C00000"/>
            </w:tcBorders>
            <w:shd w:val="clear" w:color="auto" w:fill="F2F2F2"/>
          </w:tcPr>
          <w:p w14:paraId="6A286877" w14:textId="77777777" w:rsidR="002D41CF" w:rsidRPr="00221978" w:rsidRDefault="002D41CF" w:rsidP="00D37E18">
            <w:pPr>
              <w:rPr>
                <w:rFonts w:ascii="Times New Roman" w:hAnsi="Times New Roman" w:cs="Times New Roman"/>
                <w:b/>
                <w:bCs/>
                <w:sz w:val="20"/>
                <w:szCs w:val="20"/>
                <w:lang w:val="sr-Cyrl-CS"/>
              </w:rPr>
            </w:pPr>
          </w:p>
        </w:tc>
        <w:tc>
          <w:tcPr>
            <w:tcW w:w="0" w:type="auto"/>
            <w:tcBorders>
              <w:bottom w:val="single" w:sz="18" w:space="0" w:color="C00000"/>
            </w:tcBorders>
            <w:shd w:val="clear" w:color="auto" w:fill="F2F2F2"/>
          </w:tcPr>
          <w:p w14:paraId="2B3C9A36" w14:textId="77777777" w:rsidR="002D41CF" w:rsidRPr="00221978" w:rsidRDefault="002D41CF" w:rsidP="00D37E18">
            <w:pPr>
              <w:rPr>
                <w:rFonts w:ascii="Times New Roman" w:hAnsi="Times New Roman" w:cs="Times New Roman"/>
                <w:b/>
                <w:bCs/>
                <w:sz w:val="20"/>
                <w:szCs w:val="20"/>
                <w:lang w:val="sr-Cyrl-CS"/>
              </w:rPr>
            </w:pPr>
          </w:p>
        </w:tc>
        <w:tc>
          <w:tcPr>
            <w:tcW w:w="0" w:type="auto"/>
            <w:tcBorders>
              <w:bottom w:val="single" w:sz="18" w:space="0" w:color="C00000"/>
              <w:right w:val="single" w:sz="18" w:space="0" w:color="FFFFFF"/>
            </w:tcBorders>
            <w:shd w:val="clear" w:color="auto" w:fill="F2F2F2"/>
            <w:vAlign w:val="center"/>
          </w:tcPr>
          <w:p w14:paraId="4EF4E28E" w14:textId="77777777" w:rsidR="002D41CF" w:rsidRPr="00221978" w:rsidRDefault="002D41CF" w:rsidP="00D37E18">
            <w:pPr>
              <w:jc w:val="center"/>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ПВ</w:t>
            </w:r>
          </w:p>
        </w:tc>
        <w:tc>
          <w:tcPr>
            <w:tcW w:w="0" w:type="auto"/>
            <w:tcBorders>
              <w:left w:val="single" w:sz="18" w:space="0" w:color="FFFFFF"/>
              <w:bottom w:val="single" w:sz="18" w:space="0" w:color="C00000"/>
            </w:tcBorders>
            <w:shd w:val="clear" w:color="auto" w:fill="F2F2F2"/>
            <w:vAlign w:val="center"/>
          </w:tcPr>
          <w:p w14:paraId="23A452BB" w14:textId="77777777" w:rsidR="002D41CF" w:rsidRPr="00221978" w:rsidRDefault="002D41CF" w:rsidP="00D37E18">
            <w:pPr>
              <w:jc w:val="center"/>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ЦВ</w:t>
            </w:r>
          </w:p>
        </w:tc>
      </w:tr>
      <w:tr w:rsidR="002D41CF" w:rsidRPr="00221978" w14:paraId="469E2273" w14:textId="77777777" w:rsidTr="007C1EC4">
        <w:trPr>
          <w:trHeight w:val="1082"/>
        </w:trPr>
        <w:tc>
          <w:tcPr>
            <w:tcW w:w="0" w:type="auto"/>
            <w:tcBorders>
              <w:top w:val="single" w:sz="18" w:space="0" w:color="C00000"/>
              <w:bottom w:val="single" w:sz="18" w:space="0" w:color="C00000"/>
            </w:tcBorders>
            <w:shd w:val="clear" w:color="auto" w:fill="F2F2F2"/>
          </w:tcPr>
          <w:p w14:paraId="00845275"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 xml:space="preserve">Даље унапређење програмског буџета, управљање јавним инвестицијама и праћење фискалних ризика </w:t>
            </w:r>
          </w:p>
        </w:tc>
        <w:tc>
          <w:tcPr>
            <w:tcW w:w="0" w:type="auto"/>
            <w:tcBorders>
              <w:top w:val="single" w:sz="18" w:space="0" w:color="C00000"/>
              <w:bottom w:val="single" w:sz="18" w:space="0" w:color="C00000"/>
            </w:tcBorders>
            <w:shd w:val="clear" w:color="auto" w:fill="F2F2F2"/>
          </w:tcPr>
          <w:p w14:paraId="6F5BFBC9"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Информације о учинку за пружање јавних услуга</w:t>
            </w:r>
          </w:p>
        </w:tc>
        <w:tc>
          <w:tcPr>
            <w:tcW w:w="0" w:type="auto"/>
            <w:tcBorders>
              <w:top w:val="single" w:sz="18" w:space="0" w:color="C00000"/>
              <w:bottom w:val="single" w:sz="18" w:space="0" w:color="FFFFFF"/>
              <w:right w:val="single" w:sz="18" w:space="0" w:color="FFFFFF"/>
            </w:tcBorders>
            <w:shd w:val="clear" w:color="auto" w:fill="F2F2F2"/>
          </w:tcPr>
          <w:p w14:paraId="36D75172"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Ц</w:t>
            </w:r>
            <w:r w:rsidRPr="00221978">
              <w:rPr>
                <w:rFonts w:ascii="Times New Roman" w:hAnsi="Times New Roman" w:cs="Times New Roman"/>
                <w:sz w:val="20"/>
                <w:szCs w:val="20"/>
                <w:vertAlign w:val="superscript"/>
                <w:lang w:val="sr-Cyrl-CS"/>
              </w:rPr>
              <w:t xml:space="preserve">+ </w:t>
            </w:r>
            <w:r w:rsidRPr="00221978">
              <w:rPr>
                <w:rFonts w:ascii="Times New Roman" w:hAnsi="Times New Roman" w:cs="Times New Roman"/>
                <w:sz w:val="20"/>
                <w:szCs w:val="20"/>
                <w:lang w:val="sr-Cyrl-CS"/>
              </w:rPr>
              <w:t>(2020)</w:t>
            </w:r>
          </w:p>
        </w:tc>
        <w:tc>
          <w:tcPr>
            <w:tcW w:w="0" w:type="auto"/>
            <w:tcBorders>
              <w:top w:val="single" w:sz="18" w:space="0" w:color="C00000"/>
              <w:left w:val="single" w:sz="18" w:space="0" w:color="FFFFFF"/>
              <w:bottom w:val="single" w:sz="18" w:space="0" w:color="FFFFFF"/>
            </w:tcBorders>
            <w:shd w:val="clear" w:color="auto" w:fill="F2F2F2"/>
          </w:tcPr>
          <w:p w14:paraId="7D5C585A"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 xml:space="preserve">(2021): </w:t>
            </w:r>
          </w:p>
          <w:p w14:paraId="5AB68202"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 xml:space="preserve">(2022): </w:t>
            </w:r>
          </w:p>
          <w:p w14:paraId="26A676BF"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 xml:space="preserve">(2023): </w:t>
            </w:r>
          </w:p>
          <w:p w14:paraId="5B264611"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 xml:space="preserve">(2024): </w:t>
            </w:r>
          </w:p>
          <w:p w14:paraId="665ADB5B"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(2025):  Б</w:t>
            </w:r>
          </w:p>
        </w:tc>
      </w:tr>
      <w:tr w:rsidR="002D41CF" w:rsidRPr="00221978" w14:paraId="2DEEC665" w14:textId="77777777" w:rsidTr="007C1EC4">
        <w:trPr>
          <w:trHeight w:val="1082"/>
        </w:trPr>
        <w:tc>
          <w:tcPr>
            <w:tcW w:w="0" w:type="auto"/>
            <w:vMerge w:val="restart"/>
            <w:tcBorders>
              <w:left w:val="single" w:sz="18" w:space="0" w:color="C00000"/>
            </w:tcBorders>
            <w:shd w:val="clear" w:color="auto" w:fill="F2F2F2"/>
          </w:tcPr>
          <w:p w14:paraId="3B9C814D"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Ефикасно прикупљање и управљање буџетским средствима</w:t>
            </w:r>
          </w:p>
        </w:tc>
        <w:tc>
          <w:tcPr>
            <w:tcW w:w="0" w:type="auto"/>
            <w:tcBorders>
              <w:top w:val="single" w:sz="18" w:space="0" w:color="C00000"/>
              <w:bottom w:val="single" w:sz="18" w:space="0" w:color="C00000"/>
            </w:tcBorders>
            <w:shd w:val="clear" w:color="auto" w:fill="F2F2F2"/>
          </w:tcPr>
          <w:p w14:paraId="7E19338C"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Стварни приходи и расходи буџета опште државе на годишњем нивоу су у опсегу 5% од пројектованих у фискалној стратегији.</w:t>
            </w:r>
          </w:p>
          <w:p w14:paraId="27DB7420" w14:textId="77777777" w:rsidR="002D41CF" w:rsidRPr="00221978" w:rsidRDefault="002D41CF" w:rsidP="00D37E18">
            <w:pPr>
              <w:rPr>
                <w:rFonts w:ascii="Times New Roman" w:hAnsi="Times New Roman" w:cs="Times New Roman"/>
                <w:sz w:val="20"/>
                <w:szCs w:val="20"/>
                <w:lang w:val="sr-Cyrl-CS"/>
              </w:rPr>
            </w:pPr>
          </w:p>
          <w:p w14:paraId="2902C99E" w14:textId="77777777" w:rsidR="002D41CF" w:rsidRPr="00221978" w:rsidRDefault="002D41CF" w:rsidP="00D37E18">
            <w:pPr>
              <w:rPr>
                <w:rFonts w:ascii="Times New Roman" w:hAnsi="Times New Roman" w:cs="Times New Roman"/>
                <w:sz w:val="20"/>
                <w:szCs w:val="20"/>
                <w:lang w:val="sr-Cyrl-CS"/>
              </w:rPr>
            </w:pPr>
          </w:p>
          <w:p w14:paraId="6AFD6BA4" w14:textId="77777777" w:rsidR="002D41CF" w:rsidRPr="00221978" w:rsidRDefault="002D41CF" w:rsidP="00D37E18">
            <w:pPr>
              <w:rPr>
                <w:rFonts w:ascii="Times New Roman" w:hAnsi="Times New Roman" w:cs="Times New Roman"/>
                <w:sz w:val="20"/>
                <w:szCs w:val="20"/>
                <w:lang w:val="sr-Cyrl-CS"/>
              </w:rPr>
            </w:pPr>
          </w:p>
          <w:p w14:paraId="17176A17" w14:textId="77777777" w:rsidR="002D41CF" w:rsidRPr="00221978" w:rsidRDefault="002D41CF" w:rsidP="00D37E18">
            <w:pPr>
              <w:rPr>
                <w:rFonts w:ascii="Times New Roman" w:hAnsi="Times New Roman" w:cs="Times New Roman"/>
                <w:sz w:val="20"/>
                <w:szCs w:val="20"/>
                <w:lang w:val="sr-Cyrl-CS"/>
              </w:rPr>
            </w:pPr>
          </w:p>
        </w:tc>
        <w:tc>
          <w:tcPr>
            <w:tcW w:w="0" w:type="auto"/>
            <w:tcBorders>
              <w:top w:val="single" w:sz="18" w:space="0" w:color="C00000"/>
              <w:bottom w:val="single" w:sz="18" w:space="0" w:color="FFFFFF"/>
              <w:right w:val="single" w:sz="18" w:space="0" w:color="FFFFFF"/>
            </w:tcBorders>
            <w:shd w:val="clear" w:color="auto" w:fill="F2F2F2"/>
          </w:tcPr>
          <w:p w14:paraId="784DC367"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 xml:space="preserve">у опсегу од 5% </w:t>
            </w:r>
          </w:p>
          <w:p w14:paraId="5A4E3875"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(2019)</w:t>
            </w:r>
          </w:p>
        </w:tc>
        <w:tc>
          <w:tcPr>
            <w:tcW w:w="0" w:type="auto"/>
            <w:tcBorders>
              <w:top w:val="single" w:sz="18" w:space="0" w:color="C00000"/>
              <w:left w:val="single" w:sz="18" w:space="0" w:color="FFFFFF"/>
              <w:bottom w:val="single" w:sz="18" w:space="0" w:color="FFFFFF"/>
            </w:tcBorders>
            <w:shd w:val="clear" w:color="auto" w:fill="F2F2F2"/>
          </w:tcPr>
          <w:p w14:paraId="05D8CC08"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 xml:space="preserve">(2021): у опсегу од 5% </w:t>
            </w:r>
          </w:p>
          <w:p w14:paraId="6917F51E"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 xml:space="preserve">(2022): у опсегу од 5% </w:t>
            </w:r>
          </w:p>
          <w:p w14:paraId="5723722A"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 xml:space="preserve">(2023): у опсегу од 5% </w:t>
            </w:r>
          </w:p>
          <w:p w14:paraId="05DF8F2D"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 xml:space="preserve">(2024): у опсегу од 5% </w:t>
            </w:r>
          </w:p>
          <w:p w14:paraId="6C84639F"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 xml:space="preserve">(2025): у опсегу од 5% </w:t>
            </w:r>
          </w:p>
        </w:tc>
      </w:tr>
      <w:tr w:rsidR="002D41CF" w:rsidRPr="00221978" w14:paraId="7A7129E0" w14:textId="77777777" w:rsidTr="007C1EC4">
        <w:trPr>
          <w:trHeight w:val="1082"/>
        </w:trPr>
        <w:tc>
          <w:tcPr>
            <w:tcW w:w="0" w:type="auto"/>
            <w:vMerge/>
            <w:tcBorders>
              <w:left w:val="single" w:sz="18" w:space="0" w:color="C00000"/>
            </w:tcBorders>
            <w:shd w:val="clear" w:color="auto" w:fill="F2F2F2"/>
          </w:tcPr>
          <w:p w14:paraId="3C3DDF71" w14:textId="77777777" w:rsidR="002D41CF" w:rsidRPr="00221978" w:rsidRDefault="002D41CF" w:rsidP="00D37E18">
            <w:pPr>
              <w:rPr>
                <w:rFonts w:ascii="Times New Roman" w:hAnsi="Times New Roman" w:cs="Times New Roman"/>
                <w:sz w:val="20"/>
                <w:szCs w:val="20"/>
                <w:lang w:val="sr-Cyrl-CS"/>
              </w:rPr>
            </w:pPr>
          </w:p>
        </w:tc>
        <w:tc>
          <w:tcPr>
            <w:tcW w:w="0" w:type="auto"/>
            <w:tcBorders>
              <w:top w:val="single" w:sz="18" w:space="0" w:color="C00000"/>
              <w:bottom w:val="single" w:sz="18" w:space="0" w:color="C00000"/>
            </w:tcBorders>
            <w:shd w:val="clear" w:color="auto" w:fill="F2F2F2"/>
          </w:tcPr>
          <w:p w14:paraId="2CB1C838" w14:textId="77777777" w:rsidR="002D41CF" w:rsidRPr="00221978" w:rsidRDefault="002D41CF" w:rsidP="00D37E18">
            <w:pPr>
              <w:rPr>
                <w:rFonts w:ascii="Times New Roman" w:hAnsi="Times New Roman" w:cs="Times New Roman"/>
                <w:sz w:val="20"/>
                <w:szCs w:val="20"/>
                <w:lang w:val="sr-Cyrl-CS"/>
              </w:rPr>
            </w:pPr>
            <w:r w:rsidRPr="00221978">
              <w:rPr>
                <w:rFonts w:ascii="Times New Roman" w:eastAsia="Times New Roman" w:hAnsi="Times New Roman" w:cs="Times New Roman"/>
                <w:color w:val="000000"/>
                <w:sz w:val="20"/>
                <w:szCs w:val="20"/>
                <w:lang w:val="sr-Cyrl-CS" w:eastAsia="en-GB"/>
              </w:rPr>
              <w:t>Годишњи трошкови сервисирања јавног дуга (плаћања камата – нето износ) као % БДП</w:t>
            </w:r>
          </w:p>
        </w:tc>
        <w:tc>
          <w:tcPr>
            <w:tcW w:w="0" w:type="auto"/>
            <w:tcBorders>
              <w:top w:val="single" w:sz="18" w:space="0" w:color="C00000"/>
              <w:bottom w:val="single" w:sz="18" w:space="0" w:color="FFFFFF"/>
              <w:right w:val="single" w:sz="18" w:space="0" w:color="FFFFFF"/>
            </w:tcBorders>
            <w:shd w:val="clear" w:color="auto" w:fill="F2F2F2"/>
          </w:tcPr>
          <w:p w14:paraId="3B5AE1D6"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1.9% (2020)</w:t>
            </w:r>
          </w:p>
        </w:tc>
        <w:tc>
          <w:tcPr>
            <w:tcW w:w="0" w:type="auto"/>
            <w:tcBorders>
              <w:top w:val="single" w:sz="18" w:space="0" w:color="C00000"/>
              <w:left w:val="single" w:sz="18" w:space="0" w:color="FFFFFF"/>
              <w:bottom w:val="single" w:sz="18" w:space="0" w:color="FFFFFF"/>
            </w:tcBorders>
            <w:shd w:val="clear" w:color="auto" w:fill="F2F2F2"/>
          </w:tcPr>
          <w:p w14:paraId="2896B240"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(2021): 1.9%</w:t>
            </w:r>
          </w:p>
          <w:p w14:paraId="3840FD1E"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(2022): 1.9%</w:t>
            </w:r>
          </w:p>
          <w:p w14:paraId="303B46C2"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(2023):</w:t>
            </w:r>
          </w:p>
          <w:p w14:paraId="6D1658AA"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(2024):</w:t>
            </w:r>
          </w:p>
          <w:p w14:paraId="0D5469F2"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(2025): 1.7%</w:t>
            </w:r>
          </w:p>
        </w:tc>
      </w:tr>
      <w:tr w:rsidR="002D41CF" w:rsidRPr="00221978" w14:paraId="2CC79FF3" w14:textId="77777777" w:rsidTr="007C1EC4">
        <w:trPr>
          <w:trHeight w:val="1082"/>
        </w:trPr>
        <w:tc>
          <w:tcPr>
            <w:tcW w:w="0" w:type="auto"/>
            <w:vMerge/>
            <w:tcBorders>
              <w:left w:val="single" w:sz="18" w:space="0" w:color="C00000"/>
            </w:tcBorders>
            <w:shd w:val="clear" w:color="auto" w:fill="F2F2F2"/>
          </w:tcPr>
          <w:p w14:paraId="626062B8" w14:textId="77777777" w:rsidR="002D41CF" w:rsidRPr="00221978" w:rsidRDefault="002D41CF" w:rsidP="00D37E18">
            <w:pPr>
              <w:rPr>
                <w:rFonts w:ascii="Times New Roman" w:hAnsi="Times New Roman" w:cs="Times New Roman"/>
                <w:sz w:val="20"/>
                <w:szCs w:val="20"/>
                <w:lang w:val="sr-Cyrl-CS"/>
              </w:rPr>
            </w:pPr>
          </w:p>
        </w:tc>
        <w:tc>
          <w:tcPr>
            <w:tcW w:w="0" w:type="auto"/>
            <w:tcBorders>
              <w:top w:val="single" w:sz="18" w:space="0" w:color="C00000"/>
              <w:bottom w:val="single" w:sz="18" w:space="0" w:color="C00000"/>
            </w:tcBorders>
            <w:shd w:val="clear" w:color="auto" w:fill="F2F2F2"/>
          </w:tcPr>
          <w:p w14:paraId="26B81FDC" w14:textId="77777777" w:rsidR="002D41CF" w:rsidRPr="00221978" w:rsidRDefault="002D41CF" w:rsidP="00D37E18">
            <w:pPr>
              <w:rPr>
                <w:rFonts w:ascii="Times New Roman" w:eastAsia="Times New Roman" w:hAnsi="Times New Roman" w:cs="Times New Roman"/>
                <w:color w:val="000000"/>
                <w:sz w:val="20"/>
                <w:szCs w:val="20"/>
                <w:lang w:val="sr-Cyrl-CS" w:eastAsia="en-GB"/>
              </w:rPr>
            </w:pPr>
            <w:r w:rsidRPr="00221978">
              <w:rPr>
                <w:rFonts w:ascii="Times New Roman" w:eastAsia="Times New Roman" w:hAnsi="Times New Roman" w:cs="Times New Roman"/>
                <w:color w:val="000000"/>
                <w:sz w:val="20"/>
                <w:szCs w:val="20"/>
                <w:lang w:val="sr-Cyrl-CS" w:eastAsia="en-GB"/>
              </w:rPr>
              <w:t>Просечно трајање отвореног поступка</w:t>
            </w:r>
          </w:p>
        </w:tc>
        <w:tc>
          <w:tcPr>
            <w:tcW w:w="0" w:type="auto"/>
            <w:tcBorders>
              <w:top w:val="single" w:sz="18" w:space="0" w:color="C00000"/>
              <w:bottom w:val="single" w:sz="18" w:space="0" w:color="FFFFFF"/>
              <w:right w:val="single" w:sz="18" w:space="0" w:color="FFFFFF"/>
            </w:tcBorders>
            <w:shd w:val="clear" w:color="auto" w:fill="F2F2F2"/>
          </w:tcPr>
          <w:p w14:paraId="00AB0DCC"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52 (дана) (2020)</w:t>
            </w:r>
          </w:p>
        </w:tc>
        <w:tc>
          <w:tcPr>
            <w:tcW w:w="0" w:type="auto"/>
            <w:tcBorders>
              <w:top w:val="single" w:sz="18" w:space="0" w:color="C00000"/>
              <w:left w:val="single" w:sz="18" w:space="0" w:color="FFFFFF"/>
              <w:bottom w:val="single" w:sz="18" w:space="0" w:color="FFFFFF"/>
            </w:tcBorders>
            <w:shd w:val="clear" w:color="auto" w:fill="F2F2F2"/>
          </w:tcPr>
          <w:p w14:paraId="3D3CFA8A"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(2021): 50</w:t>
            </w:r>
          </w:p>
          <w:p w14:paraId="67645926"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(2022): 48</w:t>
            </w:r>
          </w:p>
          <w:p w14:paraId="0FBCE405"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(2023): 46</w:t>
            </w:r>
          </w:p>
          <w:p w14:paraId="5C8445CB"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(2024): 45</w:t>
            </w:r>
          </w:p>
          <w:p w14:paraId="59765C81"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(2025): 44</w:t>
            </w:r>
          </w:p>
        </w:tc>
      </w:tr>
      <w:tr w:rsidR="002D41CF" w:rsidRPr="00221978" w14:paraId="25060E5F" w14:textId="77777777" w:rsidTr="007C1EC4">
        <w:trPr>
          <w:trHeight w:val="1082"/>
        </w:trPr>
        <w:tc>
          <w:tcPr>
            <w:tcW w:w="0" w:type="auto"/>
            <w:vMerge w:val="restart"/>
            <w:tcBorders>
              <w:top w:val="single" w:sz="18" w:space="0" w:color="C00000"/>
            </w:tcBorders>
            <w:shd w:val="clear" w:color="auto" w:fill="F2F2F2"/>
          </w:tcPr>
          <w:p w14:paraId="014FF404"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bCs/>
                <w:sz w:val="20"/>
                <w:szCs w:val="20"/>
                <w:lang w:val="sr-Cyrl-CS"/>
              </w:rPr>
              <w:lastRenderedPageBreak/>
              <w:t>Унапређење буџетске дисциплине и транспарентније коришћење јавних средстава</w:t>
            </w:r>
          </w:p>
        </w:tc>
        <w:tc>
          <w:tcPr>
            <w:tcW w:w="0" w:type="auto"/>
            <w:tcBorders>
              <w:top w:val="single" w:sz="18" w:space="0" w:color="C00000"/>
              <w:bottom w:val="single" w:sz="18" w:space="0" w:color="C00000"/>
            </w:tcBorders>
            <w:shd w:val="clear" w:color="auto" w:fill="F2F2F2"/>
          </w:tcPr>
          <w:p w14:paraId="7350DC8C"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Просечан број незаконитости и неправилности по контроли у односу на укупан број извршених контрола</w:t>
            </w:r>
          </w:p>
        </w:tc>
        <w:tc>
          <w:tcPr>
            <w:tcW w:w="0" w:type="auto"/>
            <w:tcBorders>
              <w:top w:val="single" w:sz="18" w:space="0" w:color="C00000"/>
              <w:bottom w:val="single" w:sz="18" w:space="0" w:color="FFFFFF"/>
              <w:right w:val="single" w:sz="18" w:space="0" w:color="FFFFFF"/>
            </w:tcBorders>
            <w:shd w:val="clear" w:color="auto" w:fill="F2F2F2"/>
          </w:tcPr>
          <w:p w14:paraId="0029CF51"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 (2020)</w:t>
            </w:r>
          </w:p>
        </w:tc>
        <w:tc>
          <w:tcPr>
            <w:tcW w:w="0" w:type="auto"/>
            <w:tcBorders>
              <w:top w:val="single" w:sz="18" w:space="0" w:color="C00000"/>
              <w:left w:val="single" w:sz="18" w:space="0" w:color="FFFFFF"/>
              <w:bottom w:val="single" w:sz="18" w:space="0" w:color="FFFFFF"/>
            </w:tcBorders>
            <w:shd w:val="clear" w:color="auto" w:fill="F2F2F2"/>
          </w:tcPr>
          <w:p w14:paraId="5F02F705"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(2021): 2</w:t>
            </w:r>
          </w:p>
          <w:p w14:paraId="0FCB552F"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(2022): 2</w:t>
            </w:r>
          </w:p>
          <w:p w14:paraId="068FB030"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(2023): 2</w:t>
            </w:r>
          </w:p>
          <w:p w14:paraId="5166D92F"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(2024): 1</w:t>
            </w:r>
          </w:p>
          <w:p w14:paraId="71A6BF4E"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(2025): 1</w:t>
            </w:r>
          </w:p>
        </w:tc>
      </w:tr>
      <w:tr w:rsidR="002D41CF" w:rsidRPr="00221978" w14:paraId="58B4E1E9" w14:textId="77777777" w:rsidTr="007C1EC4">
        <w:trPr>
          <w:trHeight w:val="1082"/>
        </w:trPr>
        <w:tc>
          <w:tcPr>
            <w:tcW w:w="0" w:type="auto"/>
            <w:vMerge/>
            <w:tcBorders>
              <w:bottom w:val="single" w:sz="18" w:space="0" w:color="C00000"/>
            </w:tcBorders>
            <w:shd w:val="clear" w:color="auto" w:fill="F2F2F2"/>
          </w:tcPr>
          <w:p w14:paraId="74620FE0" w14:textId="77777777" w:rsidR="002D41CF" w:rsidRPr="00221978" w:rsidRDefault="002D41CF" w:rsidP="00D37E18">
            <w:pPr>
              <w:rPr>
                <w:rFonts w:ascii="Times New Roman" w:hAnsi="Times New Roman" w:cs="Times New Roman"/>
                <w:sz w:val="20"/>
                <w:szCs w:val="20"/>
                <w:lang w:val="sr-Cyrl-CS"/>
              </w:rPr>
            </w:pPr>
          </w:p>
        </w:tc>
        <w:tc>
          <w:tcPr>
            <w:tcW w:w="0" w:type="auto"/>
            <w:tcBorders>
              <w:top w:val="single" w:sz="18" w:space="0" w:color="C00000"/>
              <w:bottom w:val="single" w:sz="18" w:space="0" w:color="C00000"/>
            </w:tcBorders>
            <w:shd w:val="clear" w:color="auto" w:fill="F2F2F2"/>
          </w:tcPr>
          <w:p w14:paraId="7107FB82"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 прихваћених и спроведених препорука које субјектима индиректног управљања средствима ЕУ даје ревизорско тело</w:t>
            </w:r>
          </w:p>
        </w:tc>
        <w:tc>
          <w:tcPr>
            <w:tcW w:w="0" w:type="auto"/>
            <w:tcBorders>
              <w:top w:val="single" w:sz="18" w:space="0" w:color="C00000"/>
              <w:bottom w:val="single" w:sz="18" w:space="0" w:color="FFFFFF"/>
              <w:right w:val="single" w:sz="18" w:space="0" w:color="FFFFFF"/>
            </w:tcBorders>
            <w:shd w:val="clear" w:color="auto" w:fill="F2F2F2"/>
          </w:tcPr>
          <w:p w14:paraId="5A48A33C"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0 (2020)</w:t>
            </w:r>
          </w:p>
        </w:tc>
        <w:tc>
          <w:tcPr>
            <w:tcW w:w="0" w:type="auto"/>
            <w:tcBorders>
              <w:top w:val="single" w:sz="18" w:space="0" w:color="C00000"/>
              <w:left w:val="single" w:sz="18" w:space="0" w:color="FFFFFF"/>
              <w:bottom w:val="single" w:sz="18" w:space="0" w:color="FFFFFF"/>
            </w:tcBorders>
            <w:shd w:val="clear" w:color="auto" w:fill="F2F2F2"/>
          </w:tcPr>
          <w:p w14:paraId="2FAB1C20"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(2021): 50%</w:t>
            </w:r>
          </w:p>
          <w:p w14:paraId="5262BD9B"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(2022): 55%</w:t>
            </w:r>
          </w:p>
          <w:p w14:paraId="3110D62D"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(2023): 60%</w:t>
            </w:r>
          </w:p>
          <w:p w14:paraId="6DF54147"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(2024): 65%</w:t>
            </w:r>
          </w:p>
          <w:p w14:paraId="74D64530"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(2025): 70%</w:t>
            </w:r>
          </w:p>
          <w:p w14:paraId="5B294124" w14:textId="77777777" w:rsidR="002D41CF" w:rsidRPr="00221978" w:rsidRDefault="002D41CF" w:rsidP="00D37E18">
            <w:pPr>
              <w:rPr>
                <w:rFonts w:ascii="Times New Roman" w:hAnsi="Times New Roman" w:cs="Times New Roman"/>
                <w:sz w:val="20"/>
                <w:szCs w:val="20"/>
                <w:lang w:val="sr-Cyrl-CS"/>
              </w:rPr>
            </w:pPr>
          </w:p>
        </w:tc>
      </w:tr>
      <w:tr w:rsidR="002D41CF" w:rsidRPr="00221978" w14:paraId="58122B0B" w14:textId="77777777" w:rsidTr="007C1EC4">
        <w:trPr>
          <w:trHeight w:val="1082"/>
        </w:trPr>
        <w:tc>
          <w:tcPr>
            <w:tcW w:w="0" w:type="auto"/>
            <w:tcBorders>
              <w:top w:val="single" w:sz="18" w:space="0" w:color="C00000"/>
            </w:tcBorders>
            <w:shd w:val="clear" w:color="auto" w:fill="F2F2F2"/>
          </w:tcPr>
          <w:p w14:paraId="2E4B8DB3"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bCs/>
                <w:sz w:val="20"/>
                <w:szCs w:val="20"/>
                <w:lang w:val="sr-Cyrl-CS"/>
              </w:rPr>
              <w:t>Унапређење примене система интерне финансијске контроле у јавном сектору</w:t>
            </w:r>
          </w:p>
        </w:tc>
        <w:tc>
          <w:tcPr>
            <w:tcW w:w="0" w:type="auto"/>
            <w:tcBorders>
              <w:top w:val="single" w:sz="18" w:space="0" w:color="C00000"/>
            </w:tcBorders>
            <w:shd w:val="clear" w:color="auto" w:fill="F2F2F2"/>
          </w:tcPr>
          <w:p w14:paraId="2387CEA4"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color w:val="000000"/>
                <w:sz w:val="20"/>
                <w:szCs w:val="20"/>
                <w:lang w:val="sr-Cyrl-CS"/>
              </w:rPr>
              <w:t>Идентификован напредак који се односи на ИФКЈ у оквиру ЕК извештаја о напретку Републике Србије за одређену годину</w:t>
            </w:r>
          </w:p>
        </w:tc>
        <w:tc>
          <w:tcPr>
            <w:tcW w:w="0" w:type="auto"/>
            <w:tcBorders>
              <w:top w:val="single" w:sz="18" w:space="0" w:color="C00000"/>
              <w:bottom w:val="single" w:sz="18" w:space="0" w:color="FFFFFF"/>
              <w:right w:val="single" w:sz="18" w:space="0" w:color="FFFFFF"/>
            </w:tcBorders>
            <w:shd w:val="clear" w:color="auto" w:fill="F2F2F2"/>
          </w:tcPr>
          <w:p w14:paraId="2C0F2F6A"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Умерено припремљена уз добар напредак у  2019. години</w:t>
            </w:r>
          </w:p>
        </w:tc>
        <w:tc>
          <w:tcPr>
            <w:tcW w:w="0" w:type="auto"/>
            <w:tcBorders>
              <w:top w:val="single" w:sz="18" w:space="0" w:color="C00000"/>
              <w:left w:val="single" w:sz="18" w:space="0" w:color="FFFFFF"/>
              <w:bottom w:val="single" w:sz="18" w:space="0" w:color="FFFFFF"/>
            </w:tcBorders>
            <w:shd w:val="clear" w:color="auto" w:fill="F2F2F2"/>
          </w:tcPr>
          <w:p w14:paraId="5D9AB412"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 xml:space="preserve">(2021): Умерена припремљеност </w:t>
            </w:r>
          </w:p>
          <w:p w14:paraId="12FB0A15"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(2022): Умерена припремљеност (2023): Умерена припремљеност</w:t>
            </w:r>
          </w:p>
          <w:p w14:paraId="43BE7E8D"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(2024): Умерена припремљеност</w:t>
            </w:r>
          </w:p>
          <w:p w14:paraId="7E09C687"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(2025): Добар ниво припремљености</w:t>
            </w:r>
          </w:p>
        </w:tc>
      </w:tr>
      <w:tr w:rsidR="002D41CF" w:rsidRPr="00221978" w14:paraId="2869D185" w14:textId="77777777" w:rsidTr="007C1EC4">
        <w:trPr>
          <w:trHeight w:val="1082"/>
        </w:trPr>
        <w:tc>
          <w:tcPr>
            <w:tcW w:w="0" w:type="auto"/>
            <w:tcBorders>
              <w:top w:val="single" w:sz="18" w:space="0" w:color="C00000"/>
            </w:tcBorders>
            <w:shd w:val="clear" w:color="auto" w:fill="F2F2F2"/>
          </w:tcPr>
          <w:p w14:paraId="4C0A2487" w14:textId="77777777" w:rsidR="002D41CF" w:rsidRPr="00221978" w:rsidRDefault="002D41CF" w:rsidP="00D37E18">
            <w:pPr>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 xml:space="preserve">Унапређено рачуноводство у јавном сектору применом међународних рачуноводствених стандарда за јавни сектор  (IPSAS) </w:t>
            </w:r>
          </w:p>
        </w:tc>
        <w:tc>
          <w:tcPr>
            <w:tcW w:w="0" w:type="auto"/>
            <w:tcBorders>
              <w:top w:val="single" w:sz="18" w:space="0" w:color="C00000"/>
            </w:tcBorders>
            <w:shd w:val="clear" w:color="auto" w:fill="F2F2F2"/>
          </w:tcPr>
          <w:p w14:paraId="3C283F96" w14:textId="77777777" w:rsidR="002D41CF" w:rsidRPr="00221978" w:rsidRDefault="002D41CF" w:rsidP="00D37E18">
            <w:pPr>
              <w:rPr>
                <w:rFonts w:ascii="Times New Roman" w:hAnsi="Times New Roman" w:cs="Times New Roman"/>
                <w:color w:val="000000"/>
                <w:sz w:val="20"/>
                <w:szCs w:val="20"/>
                <w:lang w:val="sr-Cyrl-CS"/>
              </w:rPr>
            </w:pPr>
            <w:r w:rsidRPr="00221978">
              <w:rPr>
                <w:rFonts w:ascii="Times New Roman" w:hAnsi="Times New Roman" w:cs="Times New Roman"/>
                <w:sz w:val="20"/>
                <w:szCs w:val="20"/>
                <w:lang w:val="sr-Cyrl-CS"/>
              </w:rPr>
              <w:t>Финансијски извештај припремљен и презентован Министарству финансија Републике Србије у складу са захтевима IPSAS за готовинску основу</w:t>
            </w:r>
          </w:p>
        </w:tc>
        <w:tc>
          <w:tcPr>
            <w:tcW w:w="0" w:type="auto"/>
            <w:tcBorders>
              <w:top w:val="single" w:sz="18" w:space="0" w:color="C00000"/>
              <w:bottom w:val="single" w:sz="18" w:space="0" w:color="FFFFFF"/>
              <w:right w:val="single" w:sz="18" w:space="0" w:color="FFFFFF"/>
            </w:tcBorders>
            <w:shd w:val="clear" w:color="auto" w:fill="F2F2F2"/>
          </w:tcPr>
          <w:p w14:paraId="6F1C3096"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0 (2020)</w:t>
            </w:r>
          </w:p>
        </w:tc>
        <w:tc>
          <w:tcPr>
            <w:tcW w:w="0" w:type="auto"/>
            <w:tcBorders>
              <w:top w:val="single" w:sz="18" w:space="0" w:color="C00000"/>
              <w:left w:val="single" w:sz="18" w:space="0" w:color="FFFFFF"/>
              <w:bottom w:val="single" w:sz="18" w:space="0" w:color="FFFFFF"/>
            </w:tcBorders>
            <w:shd w:val="clear" w:color="auto" w:fill="F2F2F2"/>
          </w:tcPr>
          <w:p w14:paraId="2780D531"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(2021): 0</w:t>
            </w:r>
          </w:p>
          <w:p w14:paraId="147F8575"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(2022): 0</w:t>
            </w:r>
          </w:p>
          <w:p w14:paraId="7B2F8602"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(2023): 0</w:t>
            </w:r>
          </w:p>
          <w:p w14:paraId="6934F6E1"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(2024): 1</w:t>
            </w:r>
          </w:p>
          <w:p w14:paraId="2FF01531"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(2025): 1</w:t>
            </w:r>
          </w:p>
        </w:tc>
      </w:tr>
      <w:tr w:rsidR="002D41CF" w:rsidRPr="00221978" w14:paraId="273013EF" w14:textId="77777777" w:rsidTr="007C1EC4">
        <w:trPr>
          <w:trHeight w:val="1082"/>
        </w:trPr>
        <w:tc>
          <w:tcPr>
            <w:tcW w:w="0" w:type="auto"/>
            <w:tcBorders>
              <w:top w:val="single" w:sz="18" w:space="0" w:color="C00000"/>
            </w:tcBorders>
            <w:shd w:val="clear" w:color="auto" w:fill="F2F2F2"/>
          </w:tcPr>
          <w:p w14:paraId="7E979130" w14:textId="77777777" w:rsidR="002D41CF" w:rsidRPr="00221978" w:rsidRDefault="002D41CF" w:rsidP="00D37E18">
            <w:pPr>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Јачање спољног надзора над јавним финансијама</w:t>
            </w:r>
            <w:r w:rsidRPr="00221978">
              <w:rPr>
                <w:rFonts w:ascii="Times New Roman" w:hAnsi="Times New Roman" w:cs="Times New Roman"/>
                <w:sz w:val="20"/>
                <w:szCs w:val="20"/>
                <w:lang w:val="sr-Cyrl-CS"/>
              </w:rPr>
              <w:t xml:space="preserve">  </w:t>
            </w:r>
          </w:p>
        </w:tc>
        <w:tc>
          <w:tcPr>
            <w:tcW w:w="0" w:type="auto"/>
            <w:tcBorders>
              <w:top w:val="single" w:sz="18" w:space="0" w:color="C00000"/>
            </w:tcBorders>
            <w:shd w:val="clear" w:color="auto" w:fill="F2F2F2"/>
          </w:tcPr>
          <w:p w14:paraId="17A9CF48" w14:textId="77777777" w:rsidR="002D41CF" w:rsidRPr="00221978" w:rsidRDefault="002D41CF" w:rsidP="00D37E18">
            <w:pPr>
              <w:rPr>
                <w:rFonts w:ascii="Times New Roman" w:hAnsi="Times New Roman" w:cs="Times New Roman"/>
                <w:color w:val="000000"/>
                <w:sz w:val="20"/>
                <w:szCs w:val="20"/>
                <w:lang w:val="sr-Cyrl-CS"/>
              </w:rPr>
            </w:pPr>
            <w:r w:rsidRPr="00221978">
              <w:rPr>
                <w:rFonts w:ascii="Times New Roman" w:hAnsi="Times New Roman" w:cs="Times New Roman"/>
                <w:bCs/>
                <w:sz w:val="20"/>
                <w:szCs w:val="20"/>
                <w:lang w:val="sr-Cyrl-CS"/>
              </w:rPr>
              <w:t>Број разматраних извештаја о ревизији</w:t>
            </w:r>
          </w:p>
        </w:tc>
        <w:tc>
          <w:tcPr>
            <w:tcW w:w="0" w:type="auto"/>
            <w:tcBorders>
              <w:top w:val="single" w:sz="18" w:space="0" w:color="C00000"/>
              <w:bottom w:val="single" w:sz="18" w:space="0" w:color="FFFFFF"/>
              <w:right w:val="single" w:sz="18" w:space="0" w:color="FFFFFF"/>
            </w:tcBorders>
            <w:shd w:val="clear" w:color="auto" w:fill="F2F2F2"/>
          </w:tcPr>
          <w:p w14:paraId="6881C5E9"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194 (2020)</w:t>
            </w:r>
          </w:p>
        </w:tc>
        <w:tc>
          <w:tcPr>
            <w:tcW w:w="0" w:type="auto"/>
            <w:tcBorders>
              <w:top w:val="single" w:sz="18" w:space="0" w:color="C00000"/>
              <w:left w:val="single" w:sz="18" w:space="0" w:color="FFFFFF"/>
              <w:bottom w:val="single" w:sz="18" w:space="0" w:color="FFFFFF"/>
            </w:tcBorders>
            <w:shd w:val="clear" w:color="auto" w:fill="F2F2F2"/>
          </w:tcPr>
          <w:p w14:paraId="559263CB"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(2021): 205</w:t>
            </w:r>
          </w:p>
          <w:p w14:paraId="6C0B4F04"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(2022): 215</w:t>
            </w:r>
          </w:p>
          <w:p w14:paraId="08E3385B"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(2023): 225</w:t>
            </w:r>
          </w:p>
          <w:p w14:paraId="0FF59DC1"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(2024): 235</w:t>
            </w:r>
          </w:p>
          <w:p w14:paraId="5CB1AC69" w14:textId="77777777" w:rsidR="002D41CF" w:rsidRPr="00221978" w:rsidRDefault="002D41CF" w:rsidP="00D37E18">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(2025): 245</w:t>
            </w:r>
          </w:p>
        </w:tc>
      </w:tr>
      <w:tr w:rsidR="002D41CF" w:rsidRPr="00221978" w14:paraId="7002E0C2" w14:textId="77777777" w:rsidTr="007C1EC4">
        <w:trPr>
          <w:trHeight w:val="340"/>
        </w:trPr>
        <w:tc>
          <w:tcPr>
            <w:tcW w:w="0" w:type="auto"/>
            <w:tcBorders>
              <w:bottom w:val="single" w:sz="18" w:space="0" w:color="C00000"/>
            </w:tcBorders>
            <w:shd w:val="clear" w:color="auto" w:fill="F2F2F2"/>
          </w:tcPr>
          <w:p w14:paraId="7A797EDA" w14:textId="77777777" w:rsidR="002D41CF" w:rsidRPr="00221978" w:rsidRDefault="002D41CF" w:rsidP="00D37E18">
            <w:pPr>
              <w:rPr>
                <w:sz w:val="20"/>
                <w:szCs w:val="20"/>
                <w:lang w:val="sr-Cyrl-CS"/>
              </w:rPr>
            </w:pPr>
          </w:p>
        </w:tc>
        <w:tc>
          <w:tcPr>
            <w:tcW w:w="0" w:type="auto"/>
            <w:tcBorders>
              <w:bottom w:val="single" w:sz="18" w:space="0" w:color="C00000"/>
            </w:tcBorders>
            <w:shd w:val="clear" w:color="auto" w:fill="F2F2F2"/>
          </w:tcPr>
          <w:p w14:paraId="220478E5" w14:textId="77777777" w:rsidR="002D41CF" w:rsidRPr="00221978" w:rsidRDefault="002D41CF" w:rsidP="00D37E18">
            <w:pPr>
              <w:rPr>
                <w:sz w:val="20"/>
                <w:szCs w:val="20"/>
                <w:lang w:val="sr-Cyrl-CS"/>
              </w:rPr>
            </w:pPr>
          </w:p>
        </w:tc>
        <w:tc>
          <w:tcPr>
            <w:tcW w:w="0" w:type="auto"/>
            <w:tcBorders>
              <w:bottom w:val="single" w:sz="18" w:space="0" w:color="C00000"/>
            </w:tcBorders>
            <w:shd w:val="clear" w:color="auto" w:fill="F2F2F2"/>
          </w:tcPr>
          <w:p w14:paraId="209E9ADF" w14:textId="77777777" w:rsidR="002D41CF" w:rsidRPr="00221978" w:rsidRDefault="002D41CF" w:rsidP="00D37E18">
            <w:pPr>
              <w:rPr>
                <w:sz w:val="20"/>
                <w:szCs w:val="20"/>
                <w:lang w:val="sr-Cyrl-CS"/>
              </w:rPr>
            </w:pPr>
          </w:p>
        </w:tc>
        <w:tc>
          <w:tcPr>
            <w:tcW w:w="0" w:type="auto"/>
            <w:tcBorders>
              <w:bottom w:val="single" w:sz="18" w:space="0" w:color="C00000"/>
            </w:tcBorders>
            <w:shd w:val="clear" w:color="auto" w:fill="F2F2F2"/>
          </w:tcPr>
          <w:p w14:paraId="7FA820E5" w14:textId="77777777" w:rsidR="002D41CF" w:rsidRPr="00221978" w:rsidRDefault="002D41CF" w:rsidP="00D37E18">
            <w:pPr>
              <w:rPr>
                <w:sz w:val="20"/>
                <w:szCs w:val="20"/>
                <w:lang w:val="sr-Cyrl-CS"/>
              </w:rPr>
            </w:pPr>
          </w:p>
        </w:tc>
      </w:tr>
    </w:tbl>
    <w:p w14:paraId="14C46095" w14:textId="1B070700" w:rsidR="006B3741" w:rsidRPr="00221978" w:rsidRDefault="003D54B7" w:rsidP="003D54B7">
      <w:pPr>
        <w:spacing w:after="0"/>
        <w:jc w:val="right"/>
        <w:rPr>
          <w:rFonts w:ascii="Times New Roman" w:hAnsi="Times New Roman" w:cs="Times New Roman"/>
          <w:sz w:val="24"/>
          <w:szCs w:val="24"/>
          <w:lang w:val="sr-Cyrl-CS"/>
        </w:rPr>
      </w:pPr>
      <w:r w:rsidRPr="00221978">
        <w:rPr>
          <w:rFonts w:ascii="Times New Roman" w:hAnsi="Times New Roman" w:cs="Times New Roman"/>
          <w:bCs/>
          <w:iCs/>
          <w:sz w:val="24"/>
          <w:szCs w:val="24"/>
          <w:lang w:val="sr-Cyrl-CS" w:eastAsia="de-DE"/>
        </w:rPr>
        <w:t>”.</w:t>
      </w:r>
    </w:p>
    <w:bookmarkEnd w:id="15"/>
    <w:p w14:paraId="328809B3" w14:textId="3214EBF2" w:rsidR="00384146" w:rsidRPr="00221978" w:rsidRDefault="00384146" w:rsidP="0015418F">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lastRenderedPageBreak/>
        <w:t>У Прилог</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2, одељак 5. Управљање јавним фина</w:t>
      </w:r>
      <w:r w:rsidR="00A1408D" w:rsidRPr="00221978">
        <w:rPr>
          <w:rFonts w:ascii="Times New Roman" w:hAnsi="Times New Roman" w:cs="Times New Roman"/>
          <w:sz w:val="24"/>
          <w:szCs w:val="24"/>
          <w:lang w:val="sr-Cyrl-CS"/>
        </w:rPr>
        <w:t>н</w:t>
      </w:r>
      <w:r w:rsidRPr="00221978">
        <w:rPr>
          <w:rFonts w:ascii="Times New Roman" w:hAnsi="Times New Roman" w:cs="Times New Roman"/>
          <w:sz w:val="24"/>
          <w:szCs w:val="24"/>
          <w:lang w:val="sr-Cyrl-CS"/>
        </w:rPr>
        <w:t xml:space="preserve">сијама, </w:t>
      </w:r>
      <w:r w:rsidR="0015418F" w:rsidRPr="00221978">
        <w:rPr>
          <w:rFonts w:ascii="Times New Roman" w:hAnsi="Times New Roman" w:cs="Times New Roman"/>
          <w:sz w:val="24"/>
          <w:szCs w:val="24"/>
          <w:lang w:val="sr-Cyrl-CS"/>
        </w:rPr>
        <w:t xml:space="preserve">Посебан циљ 6: Јачање спољног надзора над јавним финансијама, </w:t>
      </w:r>
      <w:r w:rsidRPr="00221978">
        <w:rPr>
          <w:rFonts w:ascii="Times New Roman" w:hAnsi="Times New Roman" w:cs="Times New Roman"/>
          <w:sz w:val="24"/>
          <w:szCs w:val="24"/>
          <w:lang w:val="sr-Cyrl-CS"/>
        </w:rPr>
        <w:t>мења се реченица</w:t>
      </w:r>
      <w:r w:rsidR="0015418F" w:rsidRPr="00221978">
        <w:rPr>
          <w:rFonts w:ascii="Times New Roman" w:hAnsi="Times New Roman" w:cs="Times New Roman"/>
          <w:sz w:val="24"/>
          <w:szCs w:val="24"/>
          <w:lang w:val="sr-Cyrl-CS"/>
        </w:rPr>
        <w:t xml:space="preserve"> у 1. ставу</w:t>
      </w:r>
      <w:r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Пореска управа је наставила да спроводи Програм трансформације Пореске управе и Акционог плана за период 2018−2023, а наредне активности које ће се проводити су редизајнирање пословних процеса и унапређење ИТ инфраструктуре.</w:t>
      </w:r>
      <w:r w:rsidR="009B73BA"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 xml:space="preserve"> и гласи:</w:t>
      </w:r>
      <w:r w:rsidR="00577A47"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Пореска управа је наставила да спроводи Програм трансформације Пореске управе за период 2021-2025. године који је усвојен у мају 2021. године и активности из Акционог плана за период 2018-2023. године. У фази спровођења су редизајнирање пословних процеса и анализа тржишта и израда спецификација за готово комерцијално решење (COTS), а планирано је унапређење институционалног развоја функције људских ресурса у Пореској управи, као и набавка и имплементација готовог комерцијалног решења (COTS).</w:t>
      </w:r>
      <w:r w:rsidR="009B73BA" w:rsidRPr="00221978">
        <w:rPr>
          <w:rFonts w:ascii="Times New Roman" w:hAnsi="Times New Roman" w:cs="Times New Roman"/>
          <w:sz w:val="24"/>
          <w:szCs w:val="24"/>
          <w:lang w:val="sr-Cyrl-CS"/>
        </w:rPr>
        <w:t xml:space="preserve">”    </w:t>
      </w:r>
    </w:p>
    <w:p w14:paraId="13676E8E" w14:textId="77777777" w:rsidR="004404C1" w:rsidRPr="00221978" w:rsidRDefault="004404C1" w:rsidP="004404C1">
      <w:pPr>
        <w:pStyle w:val="ListParagraph"/>
        <w:spacing w:after="0" w:line="240" w:lineRule="auto"/>
        <w:ind w:left="360"/>
        <w:jc w:val="both"/>
        <w:rPr>
          <w:rFonts w:ascii="Times New Roman" w:hAnsi="Times New Roman" w:cs="Times New Roman"/>
          <w:sz w:val="24"/>
          <w:szCs w:val="24"/>
          <w:lang w:val="sr-Cyrl-CS"/>
        </w:rPr>
      </w:pPr>
    </w:p>
    <w:p w14:paraId="3BE50C31" w14:textId="35CCD142" w:rsidR="00932334" w:rsidRPr="00221978" w:rsidRDefault="00373A85" w:rsidP="002D41CF">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bookmarkStart w:id="21" w:name="_Hlk88728874"/>
      <w:r w:rsidRPr="00221978">
        <w:rPr>
          <w:rFonts w:ascii="Times New Roman" w:hAnsi="Times New Roman" w:cs="Times New Roman"/>
          <w:sz w:val="24"/>
          <w:szCs w:val="24"/>
          <w:lang w:val="sr-Cyrl-CS"/>
        </w:rPr>
        <w:t>Прилог</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2, одељак 6. Систем локалне самоуправе</w:t>
      </w:r>
      <w:r w:rsidR="00932334" w:rsidRPr="00221978">
        <w:rPr>
          <w:rFonts w:ascii="Times New Roman" w:hAnsi="Times New Roman" w:cs="Times New Roman"/>
          <w:sz w:val="24"/>
          <w:szCs w:val="24"/>
          <w:lang w:val="sr-Cyrl-CS"/>
        </w:rPr>
        <w:t xml:space="preserve"> </w:t>
      </w:r>
      <w:bookmarkEnd w:id="21"/>
      <w:r w:rsidR="00932334" w:rsidRPr="00221978">
        <w:rPr>
          <w:rFonts w:ascii="Times New Roman" w:hAnsi="Times New Roman" w:cs="Times New Roman"/>
          <w:sz w:val="24"/>
          <w:szCs w:val="24"/>
          <w:lang w:val="sr-Cyrl-CS"/>
        </w:rPr>
        <w:t>извршено је усклађивање са Програмом:</w:t>
      </w:r>
    </w:p>
    <w:p w14:paraId="636F64BC" w14:textId="5935AE42" w:rsidR="00D2428F" w:rsidRPr="00221978" w:rsidRDefault="00027B39" w:rsidP="004620A9">
      <w:pPr>
        <w:spacing w:after="0" w:line="240" w:lineRule="auto"/>
        <w:ind w:left="720"/>
        <w:jc w:val="both"/>
        <w:rPr>
          <w:rFonts w:ascii="Times New Roman" w:hAnsi="Times New Roman" w:cs="Times New Roman"/>
          <w:sz w:val="24"/>
          <w:szCs w:val="24"/>
          <w:lang w:val="sr-Cyrl-CS"/>
        </w:rPr>
      </w:pPr>
      <w:bookmarkStart w:id="22" w:name="_Hlk88728978"/>
      <w:r w:rsidRPr="00221978">
        <w:rPr>
          <w:rFonts w:ascii="Times New Roman" w:hAnsi="Times New Roman" w:cs="Times New Roman"/>
          <w:sz w:val="24"/>
          <w:szCs w:val="24"/>
          <w:lang w:val="sr-Cyrl-CS"/>
        </w:rPr>
        <w:t xml:space="preserve">У </w:t>
      </w:r>
      <w:r w:rsidR="00932334" w:rsidRPr="00221978">
        <w:rPr>
          <w:rFonts w:ascii="Times New Roman" w:hAnsi="Times New Roman" w:cs="Times New Roman"/>
          <w:sz w:val="24"/>
          <w:szCs w:val="24"/>
          <w:lang w:val="sr-Cyrl-CS"/>
        </w:rPr>
        <w:t>Посеб</w:t>
      </w:r>
      <w:r w:rsidRPr="00221978">
        <w:rPr>
          <w:rFonts w:ascii="Times New Roman" w:hAnsi="Times New Roman" w:cs="Times New Roman"/>
          <w:sz w:val="24"/>
          <w:szCs w:val="24"/>
          <w:lang w:val="sr-Cyrl-CS"/>
        </w:rPr>
        <w:t>но</w:t>
      </w:r>
      <w:r w:rsidR="008034ED" w:rsidRPr="00221978">
        <w:rPr>
          <w:rFonts w:ascii="Times New Roman" w:hAnsi="Times New Roman" w:cs="Times New Roman"/>
          <w:sz w:val="24"/>
          <w:szCs w:val="24"/>
          <w:lang w:val="sr-Cyrl-CS"/>
        </w:rPr>
        <w:t>м</w:t>
      </w:r>
      <w:r w:rsidR="00932334" w:rsidRPr="00221978">
        <w:rPr>
          <w:rFonts w:ascii="Times New Roman" w:hAnsi="Times New Roman" w:cs="Times New Roman"/>
          <w:sz w:val="24"/>
          <w:szCs w:val="24"/>
          <w:lang w:val="sr-Cyrl-CS"/>
        </w:rPr>
        <w:t xml:space="preserve"> циљ</w:t>
      </w:r>
      <w:r w:rsidR="008034ED" w:rsidRPr="00221978">
        <w:rPr>
          <w:rFonts w:ascii="Times New Roman" w:hAnsi="Times New Roman" w:cs="Times New Roman"/>
          <w:sz w:val="24"/>
          <w:szCs w:val="24"/>
          <w:lang w:val="sr-Cyrl-CS"/>
        </w:rPr>
        <w:t>у</w:t>
      </w:r>
      <w:r w:rsidR="00932334" w:rsidRPr="00221978">
        <w:rPr>
          <w:rFonts w:ascii="Times New Roman" w:hAnsi="Times New Roman" w:cs="Times New Roman"/>
          <w:sz w:val="24"/>
          <w:szCs w:val="24"/>
          <w:lang w:val="sr-Cyrl-CS"/>
        </w:rPr>
        <w:t xml:space="preserve"> 1: </w:t>
      </w:r>
      <w:r w:rsidRPr="00221978">
        <w:rPr>
          <w:rFonts w:ascii="Times New Roman" w:hAnsi="Times New Roman" w:cs="Times New Roman"/>
          <w:sz w:val="24"/>
          <w:szCs w:val="24"/>
          <w:lang w:val="sr-Cyrl-CS"/>
        </w:rPr>
        <w:t>„</w:t>
      </w:r>
      <w:r w:rsidR="00932334" w:rsidRPr="00221978">
        <w:rPr>
          <w:rFonts w:ascii="Times New Roman" w:hAnsi="Times New Roman" w:cs="Times New Roman"/>
          <w:sz w:val="24"/>
          <w:szCs w:val="24"/>
          <w:lang w:val="sr-Cyrl-CS"/>
        </w:rPr>
        <w:t>Унапређење положаја и одговорности локалне самоуправе</w:t>
      </w:r>
      <w:r w:rsidR="004620A9" w:rsidRPr="00221978">
        <w:rPr>
          <w:rFonts w:ascii="Times New Roman" w:hAnsi="Times New Roman" w:cs="Times New Roman"/>
          <w:sz w:val="24"/>
          <w:szCs w:val="24"/>
          <w:lang w:val="sr-Cyrl-CS"/>
        </w:rPr>
        <w:t>”</w:t>
      </w:r>
      <w:r w:rsidR="00932334"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мења се</w:t>
      </w:r>
      <w:r w:rsidR="00932334" w:rsidRPr="00221978">
        <w:rPr>
          <w:rFonts w:ascii="Times New Roman" w:hAnsi="Times New Roman" w:cs="Times New Roman"/>
          <w:sz w:val="24"/>
          <w:szCs w:val="24"/>
          <w:lang w:val="sr-Cyrl-CS"/>
        </w:rPr>
        <w:t xml:space="preserve"> назив индикатора и гласи</w:t>
      </w:r>
      <w:r w:rsidR="00A11866"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 xml:space="preserve"> „</w:t>
      </w:r>
      <w:r w:rsidR="00932334" w:rsidRPr="00221978">
        <w:rPr>
          <w:rFonts w:ascii="Times New Roman" w:hAnsi="Times New Roman" w:cs="Times New Roman"/>
          <w:sz w:val="24"/>
          <w:szCs w:val="24"/>
          <w:lang w:val="sr-Cyrl-CS"/>
        </w:rPr>
        <w:t>Просечна вредност индекса добре управе у издвојеним областима: 1) oдговорност; 2) транспаре</w:t>
      </w:r>
      <w:r w:rsidR="00CE7330" w:rsidRPr="00221978">
        <w:rPr>
          <w:rFonts w:ascii="Times New Roman" w:hAnsi="Times New Roman" w:cs="Times New Roman"/>
          <w:sz w:val="24"/>
          <w:szCs w:val="24"/>
          <w:lang w:val="sr-Cyrl-CS"/>
        </w:rPr>
        <w:t>н</w:t>
      </w:r>
      <w:r w:rsidR="00932334" w:rsidRPr="00221978">
        <w:rPr>
          <w:rFonts w:ascii="Times New Roman" w:hAnsi="Times New Roman" w:cs="Times New Roman"/>
          <w:sz w:val="24"/>
          <w:szCs w:val="24"/>
          <w:lang w:val="sr-Cyrl-CS"/>
        </w:rPr>
        <w:t>тност, отвореност и партиципације.</w:t>
      </w:r>
      <w:bookmarkEnd w:id="22"/>
      <w:r w:rsidR="009B73BA" w:rsidRPr="00221978">
        <w:rPr>
          <w:rFonts w:ascii="Times New Roman" w:hAnsi="Times New Roman" w:cs="Times New Roman"/>
          <w:sz w:val="24"/>
          <w:szCs w:val="24"/>
          <w:lang w:val="sr-Cyrl-CS"/>
        </w:rPr>
        <w:t xml:space="preserve">”    </w:t>
      </w:r>
    </w:p>
    <w:p w14:paraId="19EC6DB2" w14:textId="3359B1B9" w:rsidR="007F30C3" w:rsidRPr="00221978" w:rsidRDefault="00932334" w:rsidP="004620A9">
      <w:pPr>
        <w:spacing w:after="0" w:line="240" w:lineRule="auto"/>
        <w:ind w:left="720"/>
        <w:jc w:val="both"/>
        <w:rPr>
          <w:rFonts w:ascii="Times New Roman" w:hAnsi="Times New Roman" w:cs="Times New Roman"/>
          <w:color w:val="000000"/>
          <w:sz w:val="24"/>
          <w:szCs w:val="24"/>
          <w:lang w:val="sr-Cyrl-CS"/>
        </w:rPr>
      </w:pPr>
      <w:r w:rsidRPr="00221978">
        <w:rPr>
          <w:rFonts w:ascii="Times New Roman" w:hAnsi="Times New Roman" w:cs="Times New Roman"/>
          <w:sz w:val="24"/>
          <w:szCs w:val="24"/>
          <w:lang w:val="sr-Cyrl-CS"/>
        </w:rPr>
        <w:t>У исто</w:t>
      </w:r>
      <w:r w:rsidR="008034ED" w:rsidRPr="00221978">
        <w:rPr>
          <w:rFonts w:ascii="Times New Roman" w:hAnsi="Times New Roman" w:cs="Times New Roman"/>
          <w:sz w:val="24"/>
          <w:szCs w:val="24"/>
          <w:lang w:val="sr-Cyrl-CS"/>
        </w:rPr>
        <w:t>м Посебном</w:t>
      </w:r>
      <w:r w:rsidRPr="00221978">
        <w:rPr>
          <w:rFonts w:ascii="Times New Roman" w:hAnsi="Times New Roman" w:cs="Times New Roman"/>
          <w:sz w:val="24"/>
          <w:szCs w:val="24"/>
          <w:lang w:val="sr-Cyrl-CS"/>
        </w:rPr>
        <w:t xml:space="preserve"> циљ</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додат је индикатор са почетном и циљним вредностима</w:t>
      </w:r>
      <w:r w:rsidR="00027B39" w:rsidRPr="00221978">
        <w:rPr>
          <w:rFonts w:ascii="Times New Roman" w:hAnsi="Times New Roman" w:cs="Times New Roman"/>
          <w:sz w:val="24"/>
          <w:szCs w:val="24"/>
          <w:lang w:val="sr-Cyrl-CS"/>
        </w:rPr>
        <w:t xml:space="preserve"> и гласи</w:t>
      </w:r>
      <w:r w:rsidRPr="00221978">
        <w:rPr>
          <w:rFonts w:ascii="Times New Roman" w:hAnsi="Times New Roman" w:cs="Times New Roman"/>
          <w:sz w:val="24"/>
          <w:szCs w:val="24"/>
          <w:lang w:val="sr-Cyrl-CS"/>
        </w:rPr>
        <w:t xml:space="preserve">: </w:t>
      </w:r>
      <w:r w:rsidR="00027B39" w:rsidRPr="00221978">
        <w:rPr>
          <w:rFonts w:ascii="Times New Roman" w:hAnsi="Times New Roman" w:cs="Times New Roman"/>
          <w:sz w:val="24"/>
          <w:szCs w:val="24"/>
          <w:lang w:val="sr-Cyrl-CS"/>
        </w:rPr>
        <w:t>„</w:t>
      </w:r>
      <w:r w:rsidRPr="00221978">
        <w:rPr>
          <w:rFonts w:ascii="Times New Roman" w:hAnsi="Times New Roman" w:cs="Times New Roman"/>
          <w:color w:val="000000"/>
          <w:sz w:val="24"/>
          <w:szCs w:val="24"/>
          <w:lang w:val="sr-Cyrl-CS"/>
        </w:rPr>
        <w:t>Удео усвојених закона у односу на укупни број усвојених закона који се у већој мери односе на ЛС, у чијој припреми су учествовале ЈЛС</w:t>
      </w:r>
      <w:r w:rsidR="007F30C3" w:rsidRPr="00221978">
        <w:rPr>
          <w:rFonts w:ascii="Times New Roman" w:hAnsi="Times New Roman" w:cs="Times New Roman"/>
          <w:color w:val="000000"/>
          <w:sz w:val="24"/>
          <w:szCs w:val="24"/>
          <w:lang w:val="sr-Cyrl-CS"/>
        </w:rPr>
        <w:t>.</w:t>
      </w:r>
      <w:r w:rsidR="009B73BA" w:rsidRPr="00221978">
        <w:rPr>
          <w:rFonts w:ascii="Times New Roman" w:hAnsi="Times New Roman" w:cs="Times New Roman"/>
          <w:color w:val="000000"/>
          <w:sz w:val="24"/>
          <w:szCs w:val="24"/>
          <w:lang w:val="sr-Cyrl-CS"/>
        </w:rPr>
        <w:t xml:space="preserve">   </w:t>
      </w:r>
    </w:p>
    <w:p w14:paraId="37BD336F" w14:textId="7FD3DC7E" w:rsidR="007F30C3" w:rsidRPr="00221978" w:rsidRDefault="007F30C3" w:rsidP="00027B39">
      <w:pPr>
        <w:spacing w:after="0" w:line="240" w:lineRule="auto"/>
        <w:jc w:val="both"/>
        <w:rPr>
          <w:rFonts w:ascii="Times New Roman" w:hAnsi="Times New Roman" w:cs="Times New Roman"/>
          <w:color w:val="000000"/>
          <w:sz w:val="24"/>
          <w:szCs w:val="24"/>
          <w:lang w:val="sr-Cyrl-CS"/>
        </w:rPr>
      </w:pPr>
    </w:p>
    <w:tbl>
      <w:tblPr>
        <w:tblW w:w="5000" w:type="pct"/>
        <w:shd w:val="clear" w:color="auto" w:fill="E7E6E6"/>
        <w:tblLook w:val="00A0" w:firstRow="1" w:lastRow="0" w:firstColumn="1" w:lastColumn="0" w:noHBand="0" w:noVBand="0"/>
      </w:tblPr>
      <w:tblGrid>
        <w:gridCol w:w="3038"/>
        <w:gridCol w:w="3021"/>
        <w:gridCol w:w="1373"/>
        <w:gridCol w:w="1905"/>
      </w:tblGrid>
      <w:tr w:rsidR="007F30C3" w:rsidRPr="00221978" w14:paraId="4015DCB2" w14:textId="77777777" w:rsidTr="004620A9">
        <w:trPr>
          <w:trHeight w:val="412"/>
        </w:trPr>
        <w:tc>
          <w:tcPr>
            <w:tcW w:w="1627" w:type="pct"/>
            <w:tcBorders>
              <w:left w:val="single" w:sz="18" w:space="0" w:color="C00000"/>
            </w:tcBorders>
            <w:shd w:val="clear" w:color="auto" w:fill="F2F2F2"/>
          </w:tcPr>
          <w:p w14:paraId="14CE690B" w14:textId="77777777" w:rsidR="007F30C3" w:rsidRPr="00221978" w:rsidRDefault="007F30C3" w:rsidP="001F7AEB">
            <w:pPr>
              <w:rPr>
                <w:rFonts w:ascii="Times New Roman" w:hAnsi="Times New Roman" w:cs="Times New Roman"/>
                <w:sz w:val="20"/>
                <w:szCs w:val="20"/>
                <w:lang w:val="sr-Cyrl-CS"/>
              </w:rPr>
            </w:pPr>
          </w:p>
        </w:tc>
        <w:tc>
          <w:tcPr>
            <w:tcW w:w="1618" w:type="pct"/>
            <w:tcBorders>
              <w:top w:val="single" w:sz="18" w:space="0" w:color="C00000"/>
              <w:left w:val="single" w:sz="18" w:space="0" w:color="C00000"/>
              <w:bottom w:val="single" w:sz="18" w:space="0" w:color="C00000"/>
              <w:right w:val="single" w:sz="18" w:space="0" w:color="FFFFFF"/>
            </w:tcBorders>
            <w:shd w:val="clear" w:color="auto" w:fill="F2F2F2"/>
          </w:tcPr>
          <w:p w14:paraId="4DA0915A" w14:textId="77777777" w:rsidR="007F30C3" w:rsidRPr="00221978" w:rsidRDefault="007F30C3" w:rsidP="001F7AEB">
            <w:pPr>
              <w:rPr>
                <w:rFonts w:ascii="Times New Roman" w:hAnsi="Times New Roman" w:cs="Times New Roman"/>
                <w:sz w:val="20"/>
                <w:szCs w:val="20"/>
                <w:lang w:val="sr-Cyrl-CS"/>
              </w:rPr>
            </w:pPr>
            <w:r w:rsidRPr="00221978">
              <w:rPr>
                <w:rFonts w:ascii="Times New Roman" w:hAnsi="Times New Roman" w:cs="Times New Roman"/>
                <w:color w:val="000000"/>
                <w:sz w:val="20"/>
                <w:szCs w:val="20"/>
                <w:lang w:val="sr-Cyrl-CS"/>
              </w:rPr>
              <w:t>Удео усвојених закона у односу на укупни број усвојених закона који се у већој мери односе на ЛС, у чијој припреми су учествовале ЈЛС</w:t>
            </w:r>
          </w:p>
        </w:tc>
        <w:tc>
          <w:tcPr>
            <w:tcW w:w="735" w:type="pct"/>
            <w:tcBorders>
              <w:top w:val="single" w:sz="18" w:space="0" w:color="FFFFFF"/>
              <w:left w:val="single" w:sz="18" w:space="0" w:color="FFFFFF"/>
              <w:bottom w:val="single" w:sz="18" w:space="0" w:color="C00000"/>
              <w:right w:val="single" w:sz="18" w:space="0" w:color="FFFFFF"/>
            </w:tcBorders>
            <w:shd w:val="clear" w:color="auto" w:fill="F2F2F2"/>
          </w:tcPr>
          <w:p w14:paraId="23F5190A" w14:textId="77777777" w:rsidR="007F30C3" w:rsidRPr="00221978" w:rsidRDefault="007F30C3" w:rsidP="001F7AE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3 (2020)</w:t>
            </w:r>
          </w:p>
        </w:tc>
        <w:tc>
          <w:tcPr>
            <w:tcW w:w="1020" w:type="pct"/>
            <w:tcBorders>
              <w:top w:val="single" w:sz="18" w:space="0" w:color="FFFFFF"/>
              <w:left w:val="single" w:sz="18" w:space="0" w:color="FFFFFF"/>
              <w:bottom w:val="single" w:sz="18" w:space="0" w:color="C00000"/>
            </w:tcBorders>
            <w:shd w:val="clear" w:color="auto" w:fill="F2F2F2"/>
          </w:tcPr>
          <w:p w14:paraId="0CCE6B54" w14:textId="77777777" w:rsidR="007F30C3" w:rsidRPr="00221978" w:rsidRDefault="007F30C3" w:rsidP="001F7AE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(2021): 3</w:t>
            </w:r>
          </w:p>
          <w:p w14:paraId="65F82F0F" w14:textId="77777777" w:rsidR="007F30C3" w:rsidRPr="00221978" w:rsidRDefault="007F30C3" w:rsidP="001F7AE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(2022):</w:t>
            </w:r>
          </w:p>
          <w:p w14:paraId="7D323F77" w14:textId="77777777" w:rsidR="007F30C3" w:rsidRPr="00221978" w:rsidRDefault="007F30C3" w:rsidP="001F7AE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(2023): 4</w:t>
            </w:r>
          </w:p>
          <w:p w14:paraId="0BB9C373" w14:textId="77777777" w:rsidR="007F30C3" w:rsidRPr="00221978" w:rsidRDefault="007F30C3" w:rsidP="001F7AE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(2024):</w:t>
            </w:r>
          </w:p>
          <w:p w14:paraId="708BD922" w14:textId="77777777" w:rsidR="007F30C3" w:rsidRPr="00221978" w:rsidRDefault="007F30C3" w:rsidP="001F7AE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(2025): 5</w:t>
            </w:r>
          </w:p>
        </w:tc>
      </w:tr>
    </w:tbl>
    <w:p w14:paraId="4AA586ED" w14:textId="49496AE8" w:rsidR="007F30C3" w:rsidRPr="00221978" w:rsidRDefault="004620A9" w:rsidP="004620A9">
      <w:pPr>
        <w:spacing w:after="0" w:line="240" w:lineRule="auto"/>
        <w:jc w:val="right"/>
        <w:rPr>
          <w:rFonts w:ascii="Times New Roman" w:hAnsi="Times New Roman" w:cs="Times New Roman"/>
          <w:color w:val="000000"/>
          <w:sz w:val="24"/>
          <w:szCs w:val="24"/>
          <w:lang w:val="sr-Cyrl-CS"/>
        </w:rPr>
      </w:pPr>
      <w:r w:rsidRPr="00221978">
        <w:rPr>
          <w:rFonts w:ascii="Times New Roman" w:eastAsia="Calibri" w:hAnsi="Times New Roman" w:cs="Times New Roman"/>
          <w:sz w:val="24"/>
          <w:szCs w:val="24"/>
          <w:lang w:val="sr-Cyrl-CS"/>
        </w:rPr>
        <w:t>”.</w:t>
      </w:r>
    </w:p>
    <w:p w14:paraId="4F7D8F6F" w14:textId="358362AD" w:rsidR="00C3792F" w:rsidRPr="00221978" w:rsidRDefault="007F30C3" w:rsidP="004620A9">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color w:val="000000"/>
          <w:sz w:val="24"/>
          <w:szCs w:val="24"/>
          <w:lang w:val="sr-Cyrl-CS"/>
        </w:rPr>
        <w:t>Б</w:t>
      </w:r>
      <w:r w:rsidR="00027B39" w:rsidRPr="00221978">
        <w:rPr>
          <w:rFonts w:ascii="Times New Roman" w:hAnsi="Times New Roman" w:cs="Times New Roman"/>
          <w:color w:val="000000"/>
          <w:sz w:val="24"/>
          <w:szCs w:val="24"/>
          <w:lang w:val="sr-Cyrl-CS"/>
        </w:rPr>
        <w:t>рише се</w:t>
      </w:r>
      <w:r w:rsidR="00932334" w:rsidRPr="00221978">
        <w:rPr>
          <w:rFonts w:ascii="Times New Roman" w:hAnsi="Times New Roman" w:cs="Times New Roman"/>
          <w:color w:val="000000"/>
          <w:sz w:val="24"/>
          <w:szCs w:val="24"/>
          <w:lang w:val="sr-Cyrl-CS"/>
        </w:rPr>
        <w:t xml:space="preserve"> индикатор: </w:t>
      </w:r>
      <w:r w:rsidR="00027B39" w:rsidRPr="00221978">
        <w:rPr>
          <w:rFonts w:ascii="Times New Roman" w:hAnsi="Times New Roman" w:cs="Times New Roman"/>
          <w:color w:val="000000"/>
          <w:sz w:val="24"/>
          <w:szCs w:val="24"/>
          <w:lang w:val="sr-Cyrl-CS"/>
        </w:rPr>
        <w:t>„</w:t>
      </w:r>
      <w:r w:rsidR="00932334" w:rsidRPr="00221978">
        <w:rPr>
          <w:rFonts w:ascii="Times New Roman" w:hAnsi="Times New Roman" w:cs="Times New Roman"/>
          <w:sz w:val="24"/>
          <w:szCs w:val="24"/>
          <w:lang w:val="sr-Cyrl-CS"/>
        </w:rPr>
        <w:t>Укљученост локалних власти у израду националних прописа који уређују њихов рад.</w:t>
      </w:r>
      <w:r w:rsidR="009B73BA" w:rsidRPr="00221978">
        <w:rPr>
          <w:rFonts w:ascii="Times New Roman" w:hAnsi="Times New Roman" w:cs="Times New Roman"/>
          <w:sz w:val="24"/>
          <w:szCs w:val="24"/>
          <w:lang w:val="sr-Cyrl-CS"/>
        </w:rPr>
        <w:t xml:space="preserve">”    </w:t>
      </w:r>
    </w:p>
    <w:p w14:paraId="1C5F1ECF" w14:textId="77777777" w:rsidR="00A440E5" w:rsidRPr="00221978" w:rsidRDefault="00A440E5" w:rsidP="00A440E5">
      <w:pPr>
        <w:pStyle w:val="ListParagraph"/>
        <w:spacing w:after="0" w:line="240" w:lineRule="auto"/>
        <w:jc w:val="both"/>
        <w:rPr>
          <w:rFonts w:ascii="Times New Roman" w:hAnsi="Times New Roman" w:cs="Times New Roman"/>
          <w:sz w:val="24"/>
          <w:szCs w:val="24"/>
          <w:lang w:val="sr-Cyrl-CS"/>
        </w:rPr>
      </w:pPr>
    </w:p>
    <w:p w14:paraId="682E6820" w14:textId="1ACD11FF" w:rsidR="00324657" w:rsidRPr="00221978" w:rsidRDefault="00324657" w:rsidP="002D41CF">
      <w:pPr>
        <w:pStyle w:val="ListParagraph"/>
        <w:numPr>
          <w:ilvl w:val="0"/>
          <w:numId w:val="2"/>
        </w:numPr>
        <w:spacing w:after="0" w:line="240" w:lineRule="auto"/>
        <w:jc w:val="both"/>
        <w:rPr>
          <w:rFonts w:ascii="Times New Roman" w:hAnsi="Times New Roman" w:cs="Times New Roman"/>
          <w:sz w:val="24"/>
          <w:szCs w:val="24"/>
          <w:lang w:val="sr-Cyrl-CS"/>
        </w:rPr>
      </w:pPr>
      <w:bookmarkStart w:id="23" w:name="_Hlk90636719"/>
      <w:r w:rsidRPr="00221978">
        <w:rPr>
          <w:rFonts w:ascii="Times New Roman" w:hAnsi="Times New Roman" w:cs="Times New Roman"/>
          <w:sz w:val="24"/>
          <w:szCs w:val="24"/>
          <w:lang w:val="sr-Cyrl-CS"/>
        </w:rPr>
        <w:t xml:space="preserve">У </w:t>
      </w:r>
      <w:r w:rsidR="008034ED" w:rsidRPr="00221978">
        <w:rPr>
          <w:rFonts w:ascii="Times New Roman" w:hAnsi="Times New Roman" w:cs="Times New Roman"/>
          <w:sz w:val="24"/>
          <w:szCs w:val="24"/>
          <w:lang w:val="sr-Cyrl-CS"/>
        </w:rPr>
        <w:t>Прилогу</w:t>
      </w:r>
      <w:r w:rsidRPr="00221978">
        <w:rPr>
          <w:rFonts w:ascii="Times New Roman" w:hAnsi="Times New Roman" w:cs="Times New Roman"/>
          <w:sz w:val="24"/>
          <w:szCs w:val="24"/>
          <w:lang w:val="sr-Cyrl-CS"/>
        </w:rPr>
        <w:t xml:space="preserve"> 2</w:t>
      </w:r>
      <w:bookmarkEnd w:id="23"/>
      <w:r w:rsidRPr="00221978">
        <w:rPr>
          <w:rFonts w:ascii="Times New Roman" w:hAnsi="Times New Roman" w:cs="Times New Roman"/>
          <w:sz w:val="24"/>
          <w:szCs w:val="24"/>
          <w:lang w:val="sr-Cyrl-CS"/>
        </w:rPr>
        <w:t>, Показатељи исхода Стратегије РЈУ</w:t>
      </w:r>
      <w:r w:rsidR="0062721E"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 xml:space="preserve"> </w:t>
      </w:r>
      <w:r w:rsidR="0062721E" w:rsidRPr="00221978">
        <w:rPr>
          <w:rFonts w:ascii="Times New Roman" w:hAnsi="Times New Roman" w:cs="Times New Roman"/>
          <w:sz w:val="24"/>
          <w:szCs w:val="24"/>
          <w:lang w:val="sr-Cyrl-CS"/>
        </w:rPr>
        <w:t xml:space="preserve">Посебан циљ 4: Развијен и имплементиран функционалан и иновативан систем стручног усавршавања и стручних испита у јавној управи заснован на анализи потреба за унапређењем компетенција, односно знања, вештина и способности запослених у јавној управи </w:t>
      </w:r>
      <w:r w:rsidRPr="00221978">
        <w:rPr>
          <w:rFonts w:ascii="Times New Roman" w:hAnsi="Times New Roman" w:cs="Times New Roman"/>
          <w:sz w:val="24"/>
          <w:szCs w:val="24"/>
          <w:lang w:val="sr-Cyrl-CS"/>
        </w:rPr>
        <w:t>табела 3. Показатељи исхода за Стратегију РЈУ усклађена је са наведени</w:t>
      </w:r>
      <w:r w:rsidR="00F175B4" w:rsidRPr="00221978">
        <w:rPr>
          <w:rFonts w:ascii="Times New Roman" w:hAnsi="Times New Roman" w:cs="Times New Roman"/>
          <w:sz w:val="24"/>
          <w:szCs w:val="24"/>
          <w:lang w:val="sr-Cyrl-CS"/>
        </w:rPr>
        <w:t>м променама</w:t>
      </w:r>
      <w:r w:rsidR="00724292" w:rsidRPr="00221978">
        <w:rPr>
          <w:rFonts w:ascii="Times New Roman" w:hAnsi="Times New Roman" w:cs="Times New Roman"/>
          <w:sz w:val="24"/>
          <w:szCs w:val="24"/>
          <w:lang w:val="sr-Cyrl-CS"/>
        </w:rPr>
        <w:t xml:space="preserve"> и гласи:</w:t>
      </w:r>
    </w:p>
    <w:p w14:paraId="5FBF3D47" w14:textId="7F3AB8F2" w:rsidR="00724292" w:rsidRPr="00221978" w:rsidRDefault="00814D0D" w:rsidP="00724292">
      <w:p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w:t>
      </w:r>
    </w:p>
    <w:tbl>
      <w:tblPr>
        <w:tblW w:w="5022"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6A0" w:firstRow="1" w:lastRow="0" w:firstColumn="1" w:lastColumn="0" w:noHBand="1" w:noVBand="1"/>
      </w:tblPr>
      <w:tblGrid>
        <w:gridCol w:w="2916"/>
        <w:gridCol w:w="902"/>
        <w:gridCol w:w="804"/>
        <w:gridCol w:w="804"/>
        <w:gridCol w:w="804"/>
        <w:gridCol w:w="804"/>
        <w:gridCol w:w="804"/>
        <w:gridCol w:w="804"/>
        <w:gridCol w:w="749"/>
      </w:tblGrid>
      <w:tr w:rsidR="00750CE2" w:rsidRPr="00221978" w14:paraId="4259EF47" w14:textId="77777777" w:rsidTr="00814D0D">
        <w:tc>
          <w:tcPr>
            <w:tcW w:w="1553" w:type="pct"/>
            <w:shd w:val="clear" w:color="auto" w:fill="auto"/>
          </w:tcPr>
          <w:p w14:paraId="77945920" w14:textId="77777777" w:rsidR="00750CE2" w:rsidRPr="00221978" w:rsidRDefault="00750CE2" w:rsidP="00856EFB">
            <w:pPr>
              <w:spacing w:after="0"/>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 xml:space="preserve">Степен у ком се систем стручног усавршавања у јавној управи нормативно и у пракси заснива на анализи потреба за унапређењем знања и вештина, </w:t>
            </w:r>
            <w:r w:rsidRPr="00221978">
              <w:rPr>
                <w:rFonts w:ascii="Times New Roman" w:eastAsia="Times New Roman" w:hAnsi="Times New Roman" w:cs="Times New Roman"/>
                <w:sz w:val="20"/>
                <w:szCs w:val="20"/>
                <w:lang w:val="sr-Cyrl-CS" w:eastAsia="de-DE"/>
              </w:rPr>
              <w:lastRenderedPageBreak/>
              <w:t>односно способности запослених у јавној управи</w:t>
            </w:r>
          </w:p>
          <w:p w14:paraId="112C2254" w14:textId="77777777" w:rsidR="00750CE2" w:rsidRPr="00221978" w:rsidRDefault="00750CE2" w:rsidP="00856EFB">
            <w:pPr>
              <w:spacing w:after="0"/>
              <w:rPr>
                <w:rFonts w:ascii="Times New Roman" w:eastAsia="Times New Roman" w:hAnsi="Times New Roman" w:cs="Times New Roman"/>
                <w:sz w:val="20"/>
                <w:szCs w:val="20"/>
                <w:lang w:val="sr-Cyrl-CS" w:eastAsia="de-DE"/>
              </w:rPr>
            </w:pPr>
          </w:p>
        </w:tc>
        <w:tc>
          <w:tcPr>
            <w:tcW w:w="480" w:type="pct"/>
            <w:shd w:val="clear" w:color="auto" w:fill="auto"/>
          </w:tcPr>
          <w:p w14:paraId="652DB42D" w14:textId="77777777" w:rsidR="00750CE2" w:rsidRPr="00221978" w:rsidRDefault="00750CE2" w:rsidP="00856EFB">
            <w:pPr>
              <w:spacing w:after="0"/>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lastRenderedPageBreak/>
              <w:t>1 (2019)</w:t>
            </w:r>
          </w:p>
        </w:tc>
        <w:tc>
          <w:tcPr>
            <w:tcW w:w="428" w:type="pct"/>
            <w:shd w:val="clear" w:color="auto" w:fill="auto"/>
          </w:tcPr>
          <w:p w14:paraId="2565FD03" w14:textId="77777777" w:rsidR="00750CE2" w:rsidRPr="00221978" w:rsidRDefault="00750CE2" w:rsidP="00856EFB">
            <w:pPr>
              <w:spacing w:after="0"/>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w:t>
            </w:r>
          </w:p>
        </w:tc>
        <w:tc>
          <w:tcPr>
            <w:tcW w:w="428" w:type="pct"/>
            <w:shd w:val="clear" w:color="auto" w:fill="auto"/>
          </w:tcPr>
          <w:p w14:paraId="54A82DB0" w14:textId="77777777" w:rsidR="00750CE2" w:rsidRPr="00221978" w:rsidRDefault="00750CE2" w:rsidP="00856EFB">
            <w:pPr>
              <w:spacing w:after="0"/>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w:t>
            </w:r>
          </w:p>
        </w:tc>
        <w:tc>
          <w:tcPr>
            <w:tcW w:w="428" w:type="pct"/>
            <w:shd w:val="clear" w:color="auto" w:fill="auto"/>
          </w:tcPr>
          <w:p w14:paraId="52ED8B5C" w14:textId="77777777" w:rsidR="00750CE2" w:rsidRPr="00221978" w:rsidRDefault="00750CE2" w:rsidP="00856EFB">
            <w:pPr>
              <w:spacing w:after="0"/>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3</w:t>
            </w:r>
          </w:p>
        </w:tc>
        <w:tc>
          <w:tcPr>
            <w:tcW w:w="428" w:type="pct"/>
            <w:shd w:val="clear" w:color="auto" w:fill="auto"/>
          </w:tcPr>
          <w:p w14:paraId="7E081AC4" w14:textId="77777777" w:rsidR="00750CE2" w:rsidRPr="00221978" w:rsidRDefault="00750CE2" w:rsidP="00856EFB">
            <w:pPr>
              <w:spacing w:after="0"/>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17F7C2F2" w14:textId="77777777" w:rsidR="00750CE2" w:rsidRPr="00221978" w:rsidRDefault="00750CE2" w:rsidP="00856EFB">
            <w:pPr>
              <w:spacing w:after="0"/>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4</w:t>
            </w:r>
          </w:p>
        </w:tc>
        <w:tc>
          <w:tcPr>
            <w:tcW w:w="428" w:type="pct"/>
            <w:shd w:val="clear" w:color="auto" w:fill="auto"/>
          </w:tcPr>
          <w:p w14:paraId="16FE8D91" w14:textId="77777777" w:rsidR="00750CE2" w:rsidRPr="00221978" w:rsidRDefault="00750CE2" w:rsidP="00856EFB">
            <w:pPr>
              <w:spacing w:after="0"/>
              <w:jc w:val="center"/>
              <w:rPr>
                <w:rFonts w:ascii="Times New Roman" w:eastAsia="Times New Roman" w:hAnsi="Times New Roman" w:cs="Times New Roman"/>
                <w:sz w:val="20"/>
                <w:szCs w:val="20"/>
                <w:lang w:val="sr-Cyrl-CS" w:eastAsia="de-DE"/>
              </w:rPr>
            </w:pPr>
            <w:r w:rsidRPr="00221978">
              <w:rPr>
                <w:rFonts w:ascii="Times New Roman" w:eastAsia="Times New Roman" w:hAnsi="Times New Roman" w:cs="Times New Roman"/>
                <w:sz w:val="20"/>
                <w:szCs w:val="20"/>
                <w:lang w:val="sr-Cyrl-CS" w:eastAsia="de-DE"/>
              </w:rPr>
              <w:t>5</w:t>
            </w:r>
          </w:p>
        </w:tc>
        <w:tc>
          <w:tcPr>
            <w:tcW w:w="399" w:type="pct"/>
            <w:shd w:val="clear" w:color="auto" w:fill="auto"/>
          </w:tcPr>
          <w:p w14:paraId="3E89AA60" w14:textId="77777777" w:rsidR="00750CE2" w:rsidRPr="00221978" w:rsidRDefault="00750CE2" w:rsidP="00856EFB">
            <w:pPr>
              <w:spacing w:after="0"/>
              <w:jc w:val="center"/>
              <w:rPr>
                <w:rFonts w:ascii="Times New Roman" w:hAnsi="Times New Roman" w:cs="Times New Roman"/>
                <w:sz w:val="20"/>
                <w:szCs w:val="20"/>
                <w:lang w:val="sr-Cyrl-CS"/>
              </w:rPr>
            </w:pPr>
            <w:r w:rsidRPr="00221978">
              <w:rPr>
                <w:rFonts w:ascii="Times New Roman" w:hAnsi="Times New Roman" w:cs="Times New Roman"/>
                <w:sz w:val="20"/>
                <w:szCs w:val="20"/>
                <w:lang w:val="sr-Cyrl-CS" w:eastAsia="de-DE"/>
              </w:rPr>
              <w:t>5</w:t>
            </w:r>
          </w:p>
        </w:tc>
      </w:tr>
    </w:tbl>
    <w:p w14:paraId="1CBC1C3F" w14:textId="6D248502" w:rsidR="00750CE2" w:rsidRPr="00221978" w:rsidRDefault="00814D0D" w:rsidP="00814D0D">
      <w:pPr>
        <w:spacing w:after="0" w:line="240" w:lineRule="auto"/>
        <w:jc w:val="right"/>
        <w:rPr>
          <w:rFonts w:ascii="Times New Roman" w:hAnsi="Times New Roman" w:cs="Times New Roman"/>
          <w:sz w:val="24"/>
          <w:szCs w:val="24"/>
          <w:lang w:val="sr-Cyrl-CS"/>
        </w:rPr>
      </w:pPr>
      <w:r w:rsidRPr="00221978">
        <w:rPr>
          <w:rFonts w:ascii="Times New Roman" w:hAnsi="Times New Roman" w:cs="Times New Roman"/>
          <w:sz w:val="24"/>
          <w:szCs w:val="24"/>
          <w:lang w:val="sr-Cyrl-CS"/>
        </w:rPr>
        <w:t>”.</w:t>
      </w:r>
    </w:p>
    <w:p w14:paraId="20F04B42" w14:textId="77777777" w:rsidR="0062721E" w:rsidRPr="00221978" w:rsidRDefault="0062721E" w:rsidP="0062721E">
      <w:pPr>
        <w:pStyle w:val="ListParagraph"/>
        <w:spacing w:after="0" w:line="240" w:lineRule="auto"/>
        <w:jc w:val="both"/>
        <w:rPr>
          <w:rFonts w:ascii="Times New Roman" w:hAnsi="Times New Roman" w:cs="Times New Roman"/>
          <w:sz w:val="24"/>
          <w:szCs w:val="24"/>
          <w:lang w:val="sr-Cyrl-CS"/>
        </w:rPr>
      </w:pPr>
    </w:p>
    <w:p w14:paraId="26C93178" w14:textId="65A62B01" w:rsidR="0062721E" w:rsidRPr="00221978" w:rsidRDefault="0062721E" w:rsidP="002D41CF">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8034ED" w:rsidRPr="00221978">
        <w:rPr>
          <w:rFonts w:ascii="Times New Roman" w:hAnsi="Times New Roman" w:cs="Times New Roman"/>
          <w:sz w:val="24"/>
          <w:szCs w:val="24"/>
          <w:lang w:val="sr-Cyrl-CS"/>
        </w:rPr>
        <w:t>Прилогу</w:t>
      </w:r>
      <w:r w:rsidRPr="00221978">
        <w:rPr>
          <w:rFonts w:ascii="Times New Roman" w:hAnsi="Times New Roman" w:cs="Times New Roman"/>
          <w:sz w:val="24"/>
          <w:szCs w:val="24"/>
          <w:lang w:val="sr-Cyrl-CS"/>
        </w:rPr>
        <w:t xml:space="preserve"> 2, Управљање људским ресурсима, Циљеви, анализе ефеката, и мере, Meрa 4.3: Унапређење нормативног оквира који уређује област стручног усавршавања у јавној управи извршно је усклађивање ЦВ</w:t>
      </w:r>
      <w:r w:rsidR="00724292" w:rsidRPr="00221978">
        <w:rPr>
          <w:rFonts w:ascii="Times New Roman" w:hAnsi="Times New Roman" w:cs="Times New Roman"/>
          <w:sz w:val="24"/>
          <w:szCs w:val="24"/>
          <w:lang w:val="sr-Cyrl-CS"/>
        </w:rPr>
        <w:t xml:space="preserve"> и гласи:</w:t>
      </w:r>
    </w:p>
    <w:p w14:paraId="393AB13B" w14:textId="3FB0961E" w:rsidR="00750CE2" w:rsidRPr="00221978" w:rsidRDefault="00814D0D" w:rsidP="00750CE2">
      <w:p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w:t>
      </w:r>
    </w:p>
    <w:tbl>
      <w:tblPr>
        <w:tblW w:w="5000" w:type="pct"/>
        <w:tblLook w:val="00A0" w:firstRow="1" w:lastRow="0" w:firstColumn="1" w:lastColumn="0" w:noHBand="0" w:noVBand="0"/>
      </w:tblPr>
      <w:tblGrid>
        <w:gridCol w:w="5174"/>
        <w:gridCol w:w="2093"/>
        <w:gridCol w:w="2093"/>
      </w:tblGrid>
      <w:tr w:rsidR="00750CE2" w:rsidRPr="00221978" w14:paraId="64DDDE36" w14:textId="77777777" w:rsidTr="00814D0D">
        <w:trPr>
          <w:trHeight w:val="490"/>
        </w:trPr>
        <w:tc>
          <w:tcPr>
            <w:tcW w:w="2764" w:type="pct"/>
            <w:tcBorders>
              <w:left w:val="nil"/>
              <w:bottom w:val="single" w:sz="18" w:space="0" w:color="C00000"/>
              <w:right w:val="single" w:sz="18" w:space="0" w:color="D9D9D9"/>
            </w:tcBorders>
            <w:shd w:val="clear" w:color="auto" w:fill="auto"/>
          </w:tcPr>
          <w:p w14:paraId="1BAE0851" w14:textId="77777777" w:rsidR="00750CE2" w:rsidRPr="00221978" w:rsidRDefault="00750CE2" w:rsidP="00856EFB">
            <w:pPr>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Показатељ резултата</w:t>
            </w:r>
          </w:p>
        </w:tc>
        <w:tc>
          <w:tcPr>
            <w:tcW w:w="1118" w:type="pct"/>
            <w:tcBorders>
              <w:left w:val="single" w:sz="18" w:space="0" w:color="D9D9D9"/>
              <w:bottom w:val="single" w:sz="18" w:space="0" w:color="C00000"/>
              <w:right w:val="single" w:sz="18" w:space="0" w:color="D9D9D9"/>
            </w:tcBorders>
            <w:shd w:val="clear" w:color="auto" w:fill="auto"/>
            <w:vAlign w:val="center"/>
          </w:tcPr>
          <w:p w14:paraId="7E81C3C5" w14:textId="77777777" w:rsidR="00750CE2" w:rsidRPr="00221978" w:rsidRDefault="00750CE2" w:rsidP="00856EFB">
            <w:pPr>
              <w:jc w:val="center"/>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ПВ</w:t>
            </w:r>
          </w:p>
        </w:tc>
        <w:tc>
          <w:tcPr>
            <w:tcW w:w="1118" w:type="pct"/>
            <w:tcBorders>
              <w:left w:val="single" w:sz="18" w:space="0" w:color="D9D9D9"/>
              <w:bottom w:val="single" w:sz="18" w:space="0" w:color="C00000"/>
            </w:tcBorders>
            <w:shd w:val="clear" w:color="auto" w:fill="auto"/>
            <w:vAlign w:val="center"/>
          </w:tcPr>
          <w:p w14:paraId="53404D2F" w14:textId="77777777" w:rsidR="00750CE2" w:rsidRPr="00221978" w:rsidRDefault="00750CE2" w:rsidP="00856EFB">
            <w:pPr>
              <w:jc w:val="center"/>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ЦВ</w:t>
            </w:r>
          </w:p>
        </w:tc>
      </w:tr>
      <w:tr w:rsidR="00750CE2" w:rsidRPr="00221978" w14:paraId="64D4545B" w14:textId="77777777" w:rsidTr="00814D0D">
        <w:trPr>
          <w:trHeight w:val="380"/>
        </w:trPr>
        <w:tc>
          <w:tcPr>
            <w:tcW w:w="2764" w:type="pct"/>
            <w:tcBorders>
              <w:top w:val="single" w:sz="18" w:space="0" w:color="C00000"/>
              <w:left w:val="nil"/>
              <w:bottom w:val="single" w:sz="18" w:space="0" w:color="D9D9D9"/>
              <w:right w:val="single" w:sz="18" w:space="0" w:color="D9D9D9"/>
            </w:tcBorders>
            <w:shd w:val="clear" w:color="auto" w:fill="auto"/>
          </w:tcPr>
          <w:p w14:paraId="2EA2AB2A" w14:textId="77777777" w:rsidR="00750CE2" w:rsidRPr="00221978" w:rsidRDefault="00750CE2"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eastAsia="de-DE"/>
              </w:rPr>
              <w:t>Квалитет нових прописа који уређују област стручног усавршавања</w:t>
            </w:r>
          </w:p>
        </w:tc>
        <w:tc>
          <w:tcPr>
            <w:tcW w:w="1118" w:type="pct"/>
            <w:tcBorders>
              <w:top w:val="single" w:sz="18" w:space="0" w:color="C00000"/>
              <w:left w:val="single" w:sz="18" w:space="0" w:color="D9D9D9"/>
              <w:bottom w:val="single" w:sz="18" w:space="0" w:color="D9D9D9"/>
              <w:right w:val="single" w:sz="18" w:space="0" w:color="D9D9D9"/>
            </w:tcBorders>
            <w:shd w:val="clear" w:color="auto" w:fill="auto"/>
          </w:tcPr>
          <w:p w14:paraId="318D332A" w14:textId="77777777" w:rsidR="00750CE2" w:rsidRPr="00221978" w:rsidRDefault="00750CE2"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(2020): Прва евалуација ће се спровести 2021. године</w:t>
            </w:r>
          </w:p>
        </w:tc>
        <w:tc>
          <w:tcPr>
            <w:tcW w:w="1118" w:type="pct"/>
            <w:tcBorders>
              <w:top w:val="single" w:sz="18" w:space="0" w:color="C00000"/>
              <w:left w:val="single" w:sz="18" w:space="0" w:color="D9D9D9"/>
              <w:bottom w:val="single" w:sz="18" w:space="0" w:color="D9D9D9"/>
            </w:tcBorders>
            <w:shd w:val="clear" w:color="auto" w:fill="auto"/>
          </w:tcPr>
          <w:p w14:paraId="10F0A1FC" w14:textId="77777777" w:rsidR="00750CE2" w:rsidRPr="00221978" w:rsidRDefault="00750CE2" w:rsidP="00856EFB">
            <w:pPr>
              <w:rPr>
                <w:rFonts w:ascii="Times New Roman" w:hAnsi="Times New Roman" w:cs="Times New Roman"/>
                <w:sz w:val="20"/>
                <w:szCs w:val="20"/>
                <w:lang w:val="sr-Cyrl-CS" w:eastAsia="de-DE"/>
              </w:rPr>
            </w:pPr>
            <w:r w:rsidRPr="00221978">
              <w:rPr>
                <w:rFonts w:ascii="Times New Roman" w:hAnsi="Times New Roman" w:cs="Times New Roman"/>
                <w:sz w:val="20"/>
                <w:szCs w:val="20"/>
                <w:lang w:val="sr-Cyrl-CS"/>
              </w:rPr>
              <w:t>(2021): 50</w:t>
            </w:r>
            <w:r w:rsidRPr="00221978">
              <w:rPr>
                <w:rFonts w:ascii="Times New Roman" w:hAnsi="Times New Roman" w:cs="Times New Roman"/>
                <w:sz w:val="20"/>
                <w:szCs w:val="20"/>
                <w:lang w:val="sr-Cyrl-CS" w:eastAsia="de-DE"/>
              </w:rPr>
              <w:t xml:space="preserve">% </w:t>
            </w:r>
          </w:p>
          <w:p w14:paraId="7A82FE36" w14:textId="77777777" w:rsidR="00750CE2" w:rsidRPr="00221978" w:rsidRDefault="00750CE2"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(2022): 60</w:t>
            </w:r>
            <w:r w:rsidRPr="00221978">
              <w:rPr>
                <w:rFonts w:ascii="Times New Roman" w:hAnsi="Times New Roman" w:cs="Times New Roman"/>
                <w:sz w:val="20"/>
                <w:szCs w:val="20"/>
                <w:lang w:val="sr-Cyrl-CS" w:eastAsia="de-DE"/>
              </w:rPr>
              <w:t>%</w:t>
            </w:r>
          </w:p>
          <w:p w14:paraId="0E5F4A44" w14:textId="77777777" w:rsidR="00750CE2" w:rsidRPr="00221978" w:rsidRDefault="00750CE2"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(2023): 70</w:t>
            </w:r>
            <w:r w:rsidRPr="00221978">
              <w:rPr>
                <w:rFonts w:ascii="Times New Roman" w:hAnsi="Times New Roman" w:cs="Times New Roman"/>
                <w:sz w:val="20"/>
                <w:szCs w:val="20"/>
                <w:lang w:val="sr-Cyrl-CS" w:eastAsia="de-DE"/>
              </w:rPr>
              <w:t>%</w:t>
            </w:r>
          </w:p>
          <w:p w14:paraId="78B0D4DD" w14:textId="77777777" w:rsidR="00750CE2" w:rsidRPr="00221978" w:rsidRDefault="00750CE2"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(2024): 80</w:t>
            </w:r>
            <w:r w:rsidRPr="00221978">
              <w:rPr>
                <w:rFonts w:ascii="Times New Roman" w:hAnsi="Times New Roman" w:cs="Times New Roman"/>
                <w:sz w:val="20"/>
                <w:szCs w:val="20"/>
                <w:lang w:val="sr-Cyrl-CS" w:eastAsia="de-DE"/>
              </w:rPr>
              <w:t>%</w:t>
            </w:r>
          </w:p>
          <w:p w14:paraId="32E30B09" w14:textId="77777777" w:rsidR="00750CE2" w:rsidRPr="00221978" w:rsidRDefault="00750CE2"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(2025): 90</w:t>
            </w:r>
            <w:r w:rsidRPr="00221978">
              <w:rPr>
                <w:rFonts w:ascii="Times New Roman" w:hAnsi="Times New Roman" w:cs="Times New Roman"/>
                <w:sz w:val="20"/>
                <w:szCs w:val="20"/>
                <w:lang w:val="sr-Cyrl-CS" w:eastAsia="de-DE"/>
              </w:rPr>
              <w:t>%</w:t>
            </w:r>
          </w:p>
          <w:p w14:paraId="4B2B2FB6" w14:textId="77777777" w:rsidR="00750CE2" w:rsidRPr="00221978" w:rsidRDefault="00750CE2"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(2027): 10</w:t>
            </w:r>
            <w:r w:rsidRPr="00221978">
              <w:rPr>
                <w:rFonts w:ascii="Times New Roman" w:hAnsi="Times New Roman" w:cs="Times New Roman"/>
                <w:sz w:val="20"/>
                <w:szCs w:val="20"/>
                <w:lang w:val="sr-Cyrl-CS" w:eastAsia="de-DE"/>
              </w:rPr>
              <w:t>0%</w:t>
            </w:r>
          </w:p>
          <w:p w14:paraId="52D231FB" w14:textId="77777777" w:rsidR="00750CE2" w:rsidRPr="00221978" w:rsidRDefault="00750CE2"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(2030): 10</w:t>
            </w:r>
            <w:r w:rsidRPr="00221978">
              <w:rPr>
                <w:rFonts w:ascii="Times New Roman" w:hAnsi="Times New Roman" w:cs="Times New Roman"/>
                <w:sz w:val="20"/>
                <w:szCs w:val="20"/>
                <w:lang w:val="sr-Cyrl-CS" w:eastAsia="de-DE"/>
              </w:rPr>
              <w:t>0%</w:t>
            </w:r>
          </w:p>
        </w:tc>
      </w:tr>
      <w:tr w:rsidR="00750CE2" w:rsidRPr="00221978" w14:paraId="11B5A831" w14:textId="77777777" w:rsidTr="00814D0D">
        <w:trPr>
          <w:trHeight w:val="340"/>
        </w:trPr>
        <w:tc>
          <w:tcPr>
            <w:tcW w:w="2764" w:type="pct"/>
            <w:tcBorders>
              <w:top w:val="single" w:sz="18" w:space="0" w:color="D9D9D9"/>
              <w:bottom w:val="single" w:sz="18" w:space="0" w:color="C00000"/>
            </w:tcBorders>
            <w:shd w:val="clear" w:color="auto" w:fill="auto"/>
          </w:tcPr>
          <w:p w14:paraId="40B50FA9" w14:textId="77777777" w:rsidR="00750CE2" w:rsidRPr="00221978" w:rsidRDefault="00750CE2" w:rsidP="00856EFB">
            <w:pPr>
              <w:rPr>
                <w:sz w:val="16"/>
                <w:szCs w:val="16"/>
                <w:lang w:val="sr-Cyrl-CS"/>
              </w:rPr>
            </w:pPr>
          </w:p>
        </w:tc>
        <w:tc>
          <w:tcPr>
            <w:tcW w:w="1118" w:type="pct"/>
            <w:tcBorders>
              <w:top w:val="single" w:sz="18" w:space="0" w:color="D9D9D9"/>
              <w:bottom w:val="single" w:sz="18" w:space="0" w:color="C00000"/>
            </w:tcBorders>
            <w:shd w:val="clear" w:color="auto" w:fill="auto"/>
          </w:tcPr>
          <w:p w14:paraId="7D268FBF" w14:textId="77777777" w:rsidR="00750CE2" w:rsidRPr="00221978" w:rsidRDefault="00750CE2" w:rsidP="00856EFB">
            <w:pPr>
              <w:rPr>
                <w:sz w:val="16"/>
                <w:szCs w:val="16"/>
                <w:lang w:val="sr-Cyrl-CS"/>
              </w:rPr>
            </w:pPr>
          </w:p>
        </w:tc>
        <w:tc>
          <w:tcPr>
            <w:tcW w:w="1118" w:type="pct"/>
            <w:tcBorders>
              <w:top w:val="single" w:sz="18" w:space="0" w:color="D9D9D9"/>
              <w:bottom w:val="single" w:sz="18" w:space="0" w:color="C00000"/>
            </w:tcBorders>
            <w:shd w:val="clear" w:color="auto" w:fill="auto"/>
          </w:tcPr>
          <w:p w14:paraId="4B658BEC" w14:textId="77777777" w:rsidR="00750CE2" w:rsidRPr="00221978" w:rsidRDefault="00750CE2" w:rsidP="00856EFB">
            <w:pPr>
              <w:rPr>
                <w:sz w:val="16"/>
                <w:szCs w:val="16"/>
                <w:lang w:val="sr-Cyrl-CS"/>
              </w:rPr>
            </w:pPr>
          </w:p>
        </w:tc>
      </w:tr>
    </w:tbl>
    <w:p w14:paraId="01020FE9" w14:textId="5220CF01" w:rsidR="00750CE2" w:rsidRPr="00221978" w:rsidRDefault="00814D0D" w:rsidP="00814D0D">
      <w:pPr>
        <w:jc w:val="right"/>
        <w:rPr>
          <w:rFonts w:ascii="Times New Roman" w:hAnsi="Times New Roman" w:cs="Times New Roman"/>
          <w:sz w:val="24"/>
          <w:szCs w:val="24"/>
          <w:lang w:val="sr-Cyrl-CS"/>
        </w:rPr>
      </w:pPr>
      <w:r w:rsidRPr="00221978">
        <w:rPr>
          <w:rFonts w:ascii="Times New Roman" w:eastAsia="Calibri" w:hAnsi="Times New Roman" w:cs="Times New Roman"/>
          <w:sz w:val="24"/>
          <w:szCs w:val="24"/>
          <w:lang w:val="sr-Cyrl-CS"/>
        </w:rPr>
        <w:t>”.</w:t>
      </w:r>
    </w:p>
    <w:p w14:paraId="1DC76C07" w14:textId="1382F810" w:rsidR="00750CE2" w:rsidRPr="00221978" w:rsidRDefault="00DF20F4" w:rsidP="002D41CF">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Прилог</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2, Управљање људским ресурсима, Циљеви, анализе ефеката, и мере, Meрa 4.4: Успостављање стандардизације процеса и система квалитета у области стручног усавршавања у јавној управи, уз пуну примену ИКТ извршено је усклађивање назива показатеља резултата</w:t>
      </w:r>
      <w:r w:rsidR="00750CE2" w:rsidRPr="00221978">
        <w:rPr>
          <w:rFonts w:ascii="Times New Roman" w:hAnsi="Times New Roman" w:cs="Times New Roman"/>
          <w:sz w:val="24"/>
          <w:szCs w:val="24"/>
          <w:lang w:val="sr-Cyrl-CS"/>
        </w:rPr>
        <w:t xml:space="preserve"> и гласи: </w:t>
      </w:r>
    </w:p>
    <w:p w14:paraId="71E5B556" w14:textId="214B6406" w:rsidR="00750CE2" w:rsidRPr="00221978" w:rsidRDefault="00814D0D" w:rsidP="00750CE2">
      <w:pPr>
        <w:spacing w:after="0" w:line="240" w:lineRule="auto"/>
        <w:ind w:left="36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w:t>
      </w:r>
    </w:p>
    <w:tbl>
      <w:tblPr>
        <w:tblW w:w="5000" w:type="pct"/>
        <w:tblLook w:val="00A0" w:firstRow="1" w:lastRow="0" w:firstColumn="1" w:lastColumn="0" w:noHBand="0" w:noVBand="0"/>
      </w:tblPr>
      <w:tblGrid>
        <w:gridCol w:w="367"/>
        <w:gridCol w:w="4958"/>
        <w:gridCol w:w="2006"/>
        <w:gridCol w:w="2006"/>
      </w:tblGrid>
      <w:tr w:rsidR="00750CE2" w:rsidRPr="00221978" w14:paraId="58AFD9A0" w14:textId="77777777" w:rsidTr="00814D0D">
        <w:trPr>
          <w:trHeight w:val="180"/>
        </w:trPr>
        <w:tc>
          <w:tcPr>
            <w:tcW w:w="197" w:type="pct"/>
            <w:tcBorders>
              <w:top w:val="single" w:sz="18" w:space="0" w:color="C00000"/>
              <w:left w:val="single" w:sz="18" w:space="0" w:color="C00000"/>
            </w:tcBorders>
            <w:shd w:val="clear" w:color="auto" w:fill="auto"/>
          </w:tcPr>
          <w:p w14:paraId="0A375DD7" w14:textId="77777777" w:rsidR="00750CE2" w:rsidRPr="00221978" w:rsidRDefault="00750CE2" w:rsidP="00856EFB">
            <w:pPr>
              <w:rPr>
                <w:b/>
                <w:bCs/>
                <w:sz w:val="16"/>
                <w:szCs w:val="16"/>
                <w:lang w:val="sr-Cyrl-CS"/>
              </w:rPr>
            </w:pPr>
          </w:p>
        </w:tc>
        <w:tc>
          <w:tcPr>
            <w:tcW w:w="2655" w:type="pct"/>
            <w:tcBorders>
              <w:top w:val="single" w:sz="18" w:space="0" w:color="C00000"/>
            </w:tcBorders>
            <w:shd w:val="clear" w:color="auto" w:fill="auto"/>
          </w:tcPr>
          <w:p w14:paraId="0917C5F8" w14:textId="77777777" w:rsidR="00750CE2" w:rsidRPr="00221978" w:rsidRDefault="00750CE2" w:rsidP="00856EFB">
            <w:pPr>
              <w:rPr>
                <w:b/>
                <w:bCs/>
                <w:sz w:val="20"/>
                <w:szCs w:val="20"/>
                <w:lang w:val="sr-Cyrl-CS"/>
              </w:rPr>
            </w:pPr>
          </w:p>
        </w:tc>
        <w:tc>
          <w:tcPr>
            <w:tcW w:w="1074" w:type="pct"/>
            <w:tcBorders>
              <w:top w:val="single" w:sz="18" w:space="0" w:color="C00000"/>
            </w:tcBorders>
            <w:shd w:val="clear" w:color="auto" w:fill="auto"/>
            <w:vAlign w:val="center"/>
          </w:tcPr>
          <w:p w14:paraId="70126BCB" w14:textId="77777777" w:rsidR="00750CE2" w:rsidRPr="00221978" w:rsidRDefault="00750CE2" w:rsidP="00856EFB">
            <w:pPr>
              <w:jc w:val="center"/>
              <w:rPr>
                <w:b/>
                <w:bCs/>
                <w:sz w:val="20"/>
                <w:szCs w:val="20"/>
                <w:lang w:val="sr-Cyrl-CS"/>
              </w:rPr>
            </w:pPr>
          </w:p>
        </w:tc>
        <w:tc>
          <w:tcPr>
            <w:tcW w:w="1074" w:type="pct"/>
            <w:tcBorders>
              <w:top w:val="single" w:sz="18" w:space="0" w:color="C00000"/>
            </w:tcBorders>
            <w:shd w:val="clear" w:color="auto" w:fill="auto"/>
            <w:vAlign w:val="center"/>
          </w:tcPr>
          <w:p w14:paraId="0DBE4D80" w14:textId="77777777" w:rsidR="00750CE2" w:rsidRPr="00221978" w:rsidRDefault="00750CE2" w:rsidP="00856EFB">
            <w:pPr>
              <w:jc w:val="center"/>
              <w:rPr>
                <w:b/>
                <w:bCs/>
                <w:sz w:val="20"/>
                <w:szCs w:val="20"/>
                <w:lang w:val="sr-Cyrl-CS"/>
              </w:rPr>
            </w:pPr>
          </w:p>
        </w:tc>
      </w:tr>
      <w:tr w:rsidR="00750CE2" w:rsidRPr="00221978" w14:paraId="43FAFC2D" w14:textId="77777777" w:rsidTr="00814D0D">
        <w:trPr>
          <w:trHeight w:val="490"/>
        </w:trPr>
        <w:tc>
          <w:tcPr>
            <w:tcW w:w="197" w:type="pct"/>
            <w:tcBorders>
              <w:left w:val="single" w:sz="18" w:space="0" w:color="C00000"/>
            </w:tcBorders>
            <w:shd w:val="clear" w:color="auto" w:fill="auto"/>
          </w:tcPr>
          <w:p w14:paraId="6D3CBCD1" w14:textId="77777777" w:rsidR="00750CE2" w:rsidRPr="00221978" w:rsidRDefault="00750CE2" w:rsidP="00856EFB">
            <w:pPr>
              <w:rPr>
                <w:b/>
                <w:bCs/>
                <w:lang w:val="sr-Cyrl-CS"/>
              </w:rPr>
            </w:pPr>
          </w:p>
        </w:tc>
        <w:tc>
          <w:tcPr>
            <w:tcW w:w="2655" w:type="pct"/>
            <w:tcBorders>
              <w:left w:val="nil"/>
              <w:bottom w:val="single" w:sz="18" w:space="0" w:color="C00000"/>
              <w:right w:val="single" w:sz="18" w:space="0" w:color="D9D9D9"/>
            </w:tcBorders>
            <w:shd w:val="clear" w:color="auto" w:fill="auto"/>
          </w:tcPr>
          <w:p w14:paraId="4E249B21" w14:textId="77777777" w:rsidR="00750CE2" w:rsidRPr="00221978" w:rsidRDefault="00750CE2" w:rsidP="00856EFB">
            <w:pPr>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Показатељ резултата</w:t>
            </w:r>
          </w:p>
        </w:tc>
        <w:tc>
          <w:tcPr>
            <w:tcW w:w="1074" w:type="pct"/>
            <w:tcBorders>
              <w:left w:val="single" w:sz="18" w:space="0" w:color="D9D9D9"/>
              <w:bottom w:val="single" w:sz="18" w:space="0" w:color="C00000"/>
              <w:right w:val="single" w:sz="18" w:space="0" w:color="D9D9D9"/>
            </w:tcBorders>
            <w:shd w:val="clear" w:color="auto" w:fill="auto"/>
            <w:vAlign w:val="center"/>
          </w:tcPr>
          <w:p w14:paraId="6D602EE8" w14:textId="77777777" w:rsidR="00750CE2" w:rsidRPr="00221978" w:rsidRDefault="00750CE2" w:rsidP="00856EFB">
            <w:pPr>
              <w:jc w:val="center"/>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ПВ</w:t>
            </w:r>
          </w:p>
        </w:tc>
        <w:tc>
          <w:tcPr>
            <w:tcW w:w="1074" w:type="pct"/>
            <w:tcBorders>
              <w:left w:val="single" w:sz="18" w:space="0" w:color="D9D9D9"/>
              <w:bottom w:val="single" w:sz="18" w:space="0" w:color="C00000"/>
            </w:tcBorders>
            <w:shd w:val="clear" w:color="auto" w:fill="auto"/>
            <w:vAlign w:val="center"/>
          </w:tcPr>
          <w:p w14:paraId="1DF46608" w14:textId="77777777" w:rsidR="00750CE2" w:rsidRPr="00221978" w:rsidRDefault="00750CE2" w:rsidP="00856EFB">
            <w:pPr>
              <w:jc w:val="center"/>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ЦВ</w:t>
            </w:r>
          </w:p>
        </w:tc>
      </w:tr>
      <w:tr w:rsidR="00750CE2" w:rsidRPr="00221978" w14:paraId="7C652C07" w14:textId="77777777" w:rsidTr="00814D0D">
        <w:trPr>
          <w:trHeight w:val="380"/>
        </w:trPr>
        <w:tc>
          <w:tcPr>
            <w:tcW w:w="197" w:type="pct"/>
            <w:tcBorders>
              <w:left w:val="single" w:sz="18" w:space="0" w:color="C00000"/>
            </w:tcBorders>
            <w:shd w:val="clear" w:color="auto" w:fill="auto"/>
          </w:tcPr>
          <w:p w14:paraId="0EA917D4" w14:textId="77777777" w:rsidR="00750CE2" w:rsidRPr="00221978" w:rsidRDefault="00750CE2" w:rsidP="00856EFB">
            <w:pPr>
              <w:rPr>
                <w:lang w:val="sr-Cyrl-CS"/>
              </w:rPr>
            </w:pPr>
          </w:p>
        </w:tc>
        <w:tc>
          <w:tcPr>
            <w:tcW w:w="2655" w:type="pct"/>
            <w:tcBorders>
              <w:top w:val="single" w:sz="18" w:space="0" w:color="C00000"/>
              <w:left w:val="nil"/>
              <w:bottom w:val="single" w:sz="18" w:space="0" w:color="D9D9D9"/>
              <w:right w:val="single" w:sz="18" w:space="0" w:color="D9D9D9"/>
            </w:tcBorders>
            <w:shd w:val="clear" w:color="auto" w:fill="auto"/>
          </w:tcPr>
          <w:p w14:paraId="0803CC74" w14:textId="77777777" w:rsidR="00750CE2" w:rsidRPr="00221978" w:rsidRDefault="00750CE2" w:rsidP="00856EFB">
            <w:pPr>
              <w:rPr>
                <w:rFonts w:ascii="Times New Roman" w:hAnsi="Times New Roman" w:cs="Times New Roman"/>
                <w:sz w:val="20"/>
                <w:szCs w:val="20"/>
                <w:lang w:val="sr-Cyrl-CS"/>
              </w:rPr>
            </w:pPr>
            <w:r w:rsidRPr="00221978">
              <w:rPr>
                <w:rFonts w:ascii="Times New Roman" w:eastAsia="Calibri" w:hAnsi="Times New Roman" w:cs="Times New Roman"/>
                <w:bCs/>
                <w:color w:val="000000"/>
                <w:kern w:val="24"/>
                <w:sz w:val="20"/>
                <w:szCs w:val="20"/>
                <w:lang w:val="sr-Cyrl-CS"/>
              </w:rPr>
              <w:t>Број пословних процеса који се спроводе уз коришћење информационих технологија</w:t>
            </w:r>
          </w:p>
        </w:tc>
        <w:tc>
          <w:tcPr>
            <w:tcW w:w="1074" w:type="pct"/>
            <w:tcBorders>
              <w:top w:val="single" w:sz="18" w:space="0" w:color="C00000"/>
              <w:left w:val="single" w:sz="18" w:space="0" w:color="D9D9D9"/>
              <w:bottom w:val="single" w:sz="18" w:space="0" w:color="D9D9D9"/>
              <w:right w:val="single" w:sz="18" w:space="0" w:color="D9D9D9"/>
            </w:tcBorders>
            <w:shd w:val="clear" w:color="auto" w:fill="auto"/>
          </w:tcPr>
          <w:p w14:paraId="14C7269B" w14:textId="77777777" w:rsidR="00750CE2" w:rsidRPr="00221978" w:rsidRDefault="00750CE2"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(2020): 1 (скала 0-6)</w:t>
            </w:r>
          </w:p>
        </w:tc>
        <w:tc>
          <w:tcPr>
            <w:tcW w:w="1074" w:type="pct"/>
            <w:tcBorders>
              <w:top w:val="single" w:sz="18" w:space="0" w:color="C00000"/>
              <w:left w:val="single" w:sz="18" w:space="0" w:color="D9D9D9"/>
              <w:bottom w:val="single" w:sz="18" w:space="0" w:color="D9D9D9"/>
            </w:tcBorders>
            <w:shd w:val="clear" w:color="auto" w:fill="auto"/>
          </w:tcPr>
          <w:p w14:paraId="3720BF15" w14:textId="77777777" w:rsidR="00750CE2" w:rsidRPr="00221978" w:rsidRDefault="00750CE2"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(2021): 1</w:t>
            </w:r>
          </w:p>
          <w:p w14:paraId="7E4F59FF" w14:textId="77777777" w:rsidR="00750CE2" w:rsidRPr="00221978" w:rsidRDefault="00750CE2"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(2022): 1</w:t>
            </w:r>
          </w:p>
          <w:p w14:paraId="453C95E1" w14:textId="77777777" w:rsidR="00750CE2" w:rsidRPr="00221978" w:rsidRDefault="00750CE2"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(2023): 1</w:t>
            </w:r>
          </w:p>
          <w:p w14:paraId="404EB786" w14:textId="77777777" w:rsidR="00750CE2" w:rsidRPr="00221978" w:rsidRDefault="00750CE2"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(2024): 3</w:t>
            </w:r>
          </w:p>
          <w:p w14:paraId="26E360E7" w14:textId="77777777" w:rsidR="00750CE2" w:rsidRPr="00221978" w:rsidRDefault="00750CE2"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(2025): 4</w:t>
            </w:r>
          </w:p>
          <w:p w14:paraId="7C0953DB" w14:textId="77777777" w:rsidR="00750CE2" w:rsidRPr="00221978" w:rsidRDefault="00750CE2"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(2027): 5</w:t>
            </w:r>
          </w:p>
          <w:p w14:paraId="0CE305E0" w14:textId="77777777" w:rsidR="00750CE2" w:rsidRPr="00221978" w:rsidRDefault="00750CE2"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(2030): 6</w:t>
            </w:r>
          </w:p>
        </w:tc>
      </w:tr>
      <w:tr w:rsidR="00750CE2" w:rsidRPr="00221978" w14:paraId="33FF448A" w14:textId="77777777" w:rsidTr="00814D0D">
        <w:trPr>
          <w:trHeight w:val="340"/>
        </w:trPr>
        <w:tc>
          <w:tcPr>
            <w:tcW w:w="197" w:type="pct"/>
            <w:tcBorders>
              <w:left w:val="single" w:sz="18" w:space="0" w:color="C00000"/>
              <w:bottom w:val="single" w:sz="18" w:space="0" w:color="C00000"/>
            </w:tcBorders>
            <w:shd w:val="clear" w:color="auto" w:fill="auto"/>
          </w:tcPr>
          <w:p w14:paraId="5056F796" w14:textId="77777777" w:rsidR="00750CE2" w:rsidRPr="00221978" w:rsidRDefault="00750CE2" w:rsidP="00856EFB">
            <w:pPr>
              <w:rPr>
                <w:sz w:val="16"/>
                <w:szCs w:val="16"/>
                <w:lang w:val="sr-Cyrl-CS"/>
              </w:rPr>
            </w:pPr>
          </w:p>
        </w:tc>
        <w:tc>
          <w:tcPr>
            <w:tcW w:w="2655" w:type="pct"/>
            <w:tcBorders>
              <w:top w:val="single" w:sz="18" w:space="0" w:color="D9D9D9"/>
              <w:bottom w:val="single" w:sz="18" w:space="0" w:color="C00000"/>
            </w:tcBorders>
            <w:shd w:val="clear" w:color="auto" w:fill="auto"/>
          </w:tcPr>
          <w:p w14:paraId="336516D3" w14:textId="77777777" w:rsidR="00750CE2" w:rsidRPr="00221978" w:rsidRDefault="00750CE2" w:rsidP="00856EFB">
            <w:pPr>
              <w:rPr>
                <w:sz w:val="20"/>
                <w:szCs w:val="20"/>
                <w:lang w:val="sr-Cyrl-CS"/>
              </w:rPr>
            </w:pPr>
          </w:p>
        </w:tc>
        <w:tc>
          <w:tcPr>
            <w:tcW w:w="1074" w:type="pct"/>
            <w:tcBorders>
              <w:top w:val="single" w:sz="18" w:space="0" w:color="D9D9D9"/>
              <w:bottom w:val="single" w:sz="18" w:space="0" w:color="C00000"/>
            </w:tcBorders>
            <w:shd w:val="clear" w:color="auto" w:fill="auto"/>
          </w:tcPr>
          <w:p w14:paraId="4829749E" w14:textId="77777777" w:rsidR="00750CE2" w:rsidRPr="00221978" w:rsidRDefault="00750CE2" w:rsidP="00856EFB">
            <w:pPr>
              <w:rPr>
                <w:sz w:val="20"/>
                <w:szCs w:val="20"/>
                <w:lang w:val="sr-Cyrl-CS"/>
              </w:rPr>
            </w:pPr>
          </w:p>
        </w:tc>
        <w:tc>
          <w:tcPr>
            <w:tcW w:w="1074" w:type="pct"/>
            <w:tcBorders>
              <w:top w:val="single" w:sz="18" w:space="0" w:color="D9D9D9"/>
              <w:bottom w:val="single" w:sz="18" w:space="0" w:color="C00000"/>
            </w:tcBorders>
            <w:shd w:val="clear" w:color="auto" w:fill="auto"/>
          </w:tcPr>
          <w:p w14:paraId="796BB4AD" w14:textId="77777777" w:rsidR="00750CE2" w:rsidRPr="00221978" w:rsidRDefault="00750CE2" w:rsidP="00856EFB">
            <w:pPr>
              <w:rPr>
                <w:sz w:val="20"/>
                <w:szCs w:val="20"/>
                <w:lang w:val="sr-Cyrl-CS"/>
              </w:rPr>
            </w:pPr>
          </w:p>
        </w:tc>
      </w:tr>
    </w:tbl>
    <w:p w14:paraId="7756005C" w14:textId="27833ADE" w:rsidR="00750CE2" w:rsidRPr="00221978" w:rsidRDefault="00814D0D" w:rsidP="00814D0D">
      <w:pPr>
        <w:spacing w:after="0" w:line="240" w:lineRule="auto"/>
        <w:jc w:val="right"/>
        <w:rPr>
          <w:rFonts w:ascii="Times New Roman" w:hAnsi="Times New Roman" w:cs="Times New Roman"/>
          <w:sz w:val="24"/>
          <w:szCs w:val="24"/>
          <w:lang w:val="sr-Cyrl-CS"/>
        </w:rPr>
      </w:pPr>
      <w:r w:rsidRPr="00221978">
        <w:rPr>
          <w:rFonts w:ascii="Times New Roman" w:eastAsia="Calibri" w:hAnsi="Times New Roman" w:cs="Times New Roman"/>
          <w:sz w:val="24"/>
          <w:szCs w:val="24"/>
          <w:lang w:val="sr-Cyrl-CS"/>
        </w:rPr>
        <w:t>”.</w:t>
      </w:r>
    </w:p>
    <w:p w14:paraId="5938AA14" w14:textId="77777777" w:rsidR="008034ED" w:rsidRPr="00221978" w:rsidRDefault="008034ED" w:rsidP="005F3524">
      <w:pPr>
        <w:pStyle w:val="ListParagraph"/>
        <w:rPr>
          <w:rFonts w:ascii="Times New Roman" w:hAnsi="Times New Roman" w:cs="Times New Roman"/>
          <w:sz w:val="24"/>
          <w:szCs w:val="24"/>
          <w:lang w:val="sr-Cyrl-CS"/>
        </w:rPr>
      </w:pPr>
    </w:p>
    <w:p w14:paraId="3746B626" w14:textId="43568EA9" w:rsidR="005F3524" w:rsidRPr="00221978" w:rsidRDefault="005F3524" w:rsidP="002D41CF">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Прилог</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2, Управљање људским ресурсима, Циљеви, анализе ефеката, и мере, Meрa 4.8: Развој сарадње са високошколским установама ради подршке у школовању/додатном образовању кадрова за јавну управу извршено је усклађивање назива показатеља резултата</w:t>
      </w:r>
      <w:r w:rsidR="00222422" w:rsidRPr="00221978">
        <w:rPr>
          <w:rFonts w:ascii="Times New Roman" w:hAnsi="Times New Roman" w:cs="Times New Roman"/>
          <w:sz w:val="24"/>
          <w:szCs w:val="24"/>
          <w:lang w:val="sr-Cyrl-CS"/>
        </w:rPr>
        <w:t xml:space="preserve"> и гласи:</w:t>
      </w:r>
    </w:p>
    <w:p w14:paraId="1B80034B" w14:textId="056119C4" w:rsidR="002E2985" w:rsidRPr="00221978" w:rsidRDefault="00814D0D" w:rsidP="002E2985">
      <w:pPr>
        <w:pStyle w:val="ListParagraph"/>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w:t>
      </w:r>
    </w:p>
    <w:tbl>
      <w:tblPr>
        <w:tblW w:w="5000" w:type="pct"/>
        <w:tblLook w:val="00A0" w:firstRow="1" w:lastRow="0" w:firstColumn="1" w:lastColumn="0" w:noHBand="0" w:noVBand="0"/>
      </w:tblPr>
      <w:tblGrid>
        <w:gridCol w:w="367"/>
        <w:gridCol w:w="4958"/>
        <w:gridCol w:w="2006"/>
        <w:gridCol w:w="2006"/>
      </w:tblGrid>
      <w:tr w:rsidR="002E2985" w:rsidRPr="00221978" w14:paraId="00036BDA" w14:textId="77777777" w:rsidTr="00814D0D">
        <w:trPr>
          <w:trHeight w:val="139"/>
        </w:trPr>
        <w:tc>
          <w:tcPr>
            <w:tcW w:w="197" w:type="pct"/>
            <w:tcBorders>
              <w:top w:val="single" w:sz="18" w:space="0" w:color="C00000"/>
              <w:left w:val="single" w:sz="18" w:space="0" w:color="C00000"/>
            </w:tcBorders>
            <w:shd w:val="clear" w:color="auto" w:fill="auto"/>
          </w:tcPr>
          <w:p w14:paraId="4C35AE2D" w14:textId="77777777" w:rsidR="002E2985" w:rsidRPr="00221978" w:rsidRDefault="002E2985" w:rsidP="00856EFB">
            <w:pPr>
              <w:rPr>
                <w:b/>
                <w:bCs/>
                <w:sz w:val="16"/>
                <w:szCs w:val="16"/>
                <w:lang w:val="sr-Cyrl-CS"/>
              </w:rPr>
            </w:pPr>
          </w:p>
        </w:tc>
        <w:tc>
          <w:tcPr>
            <w:tcW w:w="2655" w:type="pct"/>
            <w:tcBorders>
              <w:top w:val="single" w:sz="18" w:space="0" w:color="C00000"/>
            </w:tcBorders>
            <w:shd w:val="clear" w:color="auto" w:fill="auto"/>
          </w:tcPr>
          <w:p w14:paraId="4267CBB7" w14:textId="77777777" w:rsidR="002E2985" w:rsidRPr="00221978" w:rsidRDefault="002E2985" w:rsidP="00856EFB">
            <w:pPr>
              <w:rPr>
                <w:b/>
                <w:bCs/>
                <w:sz w:val="20"/>
                <w:szCs w:val="20"/>
                <w:lang w:val="sr-Cyrl-CS"/>
              </w:rPr>
            </w:pPr>
          </w:p>
        </w:tc>
        <w:tc>
          <w:tcPr>
            <w:tcW w:w="1074" w:type="pct"/>
            <w:tcBorders>
              <w:top w:val="single" w:sz="18" w:space="0" w:color="C00000"/>
            </w:tcBorders>
            <w:shd w:val="clear" w:color="auto" w:fill="auto"/>
            <w:vAlign w:val="center"/>
          </w:tcPr>
          <w:p w14:paraId="22FEFD61" w14:textId="77777777" w:rsidR="002E2985" w:rsidRPr="00221978" w:rsidRDefault="002E2985" w:rsidP="00856EFB">
            <w:pPr>
              <w:jc w:val="center"/>
              <w:rPr>
                <w:b/>
                <w:bCs/>
                <w:sz w:val="20"/>
                <w:szCs w:val="20"/>
                <w:lang w:val="sr-Cyrl-CS"/>
              </w:rPr>
            </w:pPr>
          </w:p>
        </w:tc>
        <w:tc>
          <w:tcPr>
            <w:tcW w:w="1074" w:type="pct"/>
            <w:tcBorders>
              <w:top w:val="single" w:sz="18" w:space="0" w:color="C00000"/>
            </w:tcBorders>
            <w:shd w:val="clear" w:color="auto" w:fill="auto"/>
            <w:vAlign w:val="center"/>
          </w:tcPr>
          <w:p w14:paraId="2B4B3A2C" w14:textId="77777777" w:rsidR="002E2985" w:rsidRPr="00221978" w:rsidRDefault="002E2985" w:rsidP="00856EFB">
            <w:pPr>
              <w:jc w:val="center"/>
              <w:rPr>
                <w:b/>
                <w:bCs/>
                <w:sz w:val="20"/>
                <w:szCs w:val="20"/>
                <w:lang w:val="sr-Cyrl-CS"/>
              </w:rPr>
            </w:pPr>
          </w:p>
        </w:tc>
      </w:tr>
      <w:tr w:rsidR="002E2985" w:rsidRPr="00221978" w14:paraId="1BC1A21D" w14:textId="77777777" w:rsidTr="00814D0D">
        <w:trPr>
          <w:trHeight w:val="490"/>
        </w:trPr>
        <w:tc>
          <w:tcPr>
            <w:tcW w:w="197" w:type="pct"/>
            <w:tcBorders>
              <w:left w:val="single" w:sz="18" w:space="0" w:color="C00000"/>
            </w:tcBorders>
            <w:shd w:val="clear" w:color="auto" w:fill="auto"/>
          </w:tcPr>
          <w:p w14:paraId="1E4D30B6" w14:textId="77777777" w:rsidR="002E2985" w:rsidRPr="00221978" w:rsidRDefault="002E2985" w:rsidP="00856EFB">
            <w:pPr>
              <w:rPr>
                <w:b/>
                <w:bCs/>
                <w:lang w:val="sr-Cyrl-CS"/>
              </w:rPr>
            </w:pPr>
          </w:p>
        </w:tc>
        <w:tc>
          <w:tcPr>
            <w:tcW w:w="2655" w:type="pct"/>
            <w:tcBorders>
              <w:left w:val="nil"/>
              <w:bottom w:val="single" w:sz="18" w:space="0" w:color="C00000"/>
              <w:right w:val="single" w:sz="18" w:space="0" w:color="D9D9D9"/>
            </w:tcBorders>
            <w:shd w:val="clear" w:color="auto" w:fill="auto"/>
          </w:tcPr>
          <w:p w14:paraId="12527789" w14:textId="77777777" w:rsidR="002E2985" w:rsidRPr="00221978" w:rsidRDefault="002E2985" w:rsidP="00856EFB">
            <w:pPr>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Показатељ резултата</w:t>
            </w:r>
          </w:p>
        </w:tc>
        <w:tc>
          <w:tcPr>
            <w:tcW w:w="1074" w:type="pct"/>
            <w:tcBorders>
              <w:left w:val="single" w:sz="18" w:space="0" w:color="D9D9D9"/>
              <w:bottom w:val="single" w:sz="18" w:space="0" w:color="C00000"/>
              <w:right w:val="single" w:sz="18" w:space="0" w:color="D9D9D9"/>
            </w:tcBorders>
            <w:shd w:val="clear" w:color="auto" w:fill="auto"/>
            <w:vAlign w:val="center"/>
          </w:tcPr>
          <w:p w14:paraId="00C073AA" w14:textId="77777777" w:rsidR="002E2985" w:rsidRPr="00221978" w:rsidRDefault="002E2985" w:rsidP="00856EFB">
            <w:pPr>
              <w:jc w:val="center"/>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ПВ</w:t>
            </w:r>
          </w:p>
        </w:tc>
        <w:tc>
          <w:tcPr>
            <w:tcW w:w="1074" w:type="pct"/>
            <w:tcBorders>
              <w:left w:val="single" w:sz="18" w:space="0" w:color="D9D9D9"/>
              <w:bottom w:val="single" w:sz="18" w:space="0" w:color="C00000"/>
            </w:tcBorders>
            <w:shd w:val="clear" w:color="auto" w:fill="auto"/>
            <w:vAlign w:val="center"/>
          </w:tcPr>
          <w:p w14:paraId="7221F504" w14:textId="77777777" w:rsidR="002E2985" w:rsidRPr="00221978" w:rsidRDefault="002E2985" w:rsidP="00856EFB">
            <w:pPr>
              <w:jc w:val="center"/>
              <w:rPr>
                <w:rFonts w:ascii="Times New Roman" w:hAnsi="Times New Roman" w:cs="Times New Roman"/>
                <w:b/>
                <w:bCs/>
                <w:sz w:val="20"/>
                <w:szCs w:val="20"/>
                <w:lang w:val="sr-Cyrl-CS"/>
              </w:rPr>
            </w:pPr>
            <w:r w:rsidRPr="00221978">
              <w:rPr>
                <w:rFonts w:ascii="Times New Roman" w:hAnsi="Times New Roman" w:cs="Times New Roman"/>
                <w:b/>
                <w:bCs/>
                <w:sz w:val="20"/>
                <w:szCs w:val="20"/>
                <w:lang w:val="sr-Cyrl-CS"/>
              </w:rPr>
              <w:t>ЦВ</w:t>
            </w:r>
          </w:p>
        </w:tc>
      </w:tr>
      <w:tr w:rsidR="002E2985" w:rsidRPr="00221978" w14:paraId="11B1F819" w14:textId="77777777" w:rsidTr="00814D0D">
        <w:trPr>
          <w:trHeight w:val="380"/>
        </w:trPr>
        <w:tc>
          <w:tcPr>
            <w:tcW w:w="197" w:type="pct"/>
            <w:tcBorders>
              <w:left w:val="single" w:sz="18" w:space="0" w:color="C00000"/>
            </w:tcBorders>
            <w:shd w:val="clear" w:color="auto" w:fill="auto"/>
          </w:tcPr>
          <w:p w14:paraId="6E74FF56" w14:textId="77777777" w:rsidR="002E2985" w:rsidRPr="00221978" w:rsidRDefault="002E2985" w:rsidP="00856EFB">
            <w:pPr>
              <w:rPr>
                <w:lang w:val="sr-Cyrl-CS"/>
              </w:rPr>
            </w:pPr>
          </w:p>
        </w:tc>
        <w:tc>
          <w:tcPr>
            <w:tcW w:w="2655" w:type="pct"/>
            <w:tcBorders>
              <w:top w:val="single" w:sz="18" w:space="0" w:color="C00000"/>
              <w:left w:val="nil"/>
              <w:bottom w:val="single" w:sz="18" w:space="0" w:color="D9D9D9"/>
              <w:right w:val="single" w:sz="18" w:space="0" w:color="D9D9D9"/>
            </w:tcBorders>
            <w:shd w:val="clear" w:color="auto" w:fill="auto"/>
          </w:tcPr>
          <w:p w14:paraId="1974670D" w14:textId="72D562B6" w:rsidR="002E2985" w:rsidRPr="00221978" w:rsidRDefault="002E2985" w:rsidP="00856EFB">
            <w:pPr>
              <w:rPr>
                <w:rFonts w:ascii="Times New Roman" w:hAnsi="Times New Roman" w:cs="Times New Roman"/>
                <w:sz w:val="20"/>
                <w:szCs w:val="20"/>
                <w:lang w:val="sr-Cyrl-CS"/>
              </w:rPr>
            </w:pPr>
            <w:r w:rsidRPr="00221978">
              <w:rPr>
                <w:rFonts w:ascii="Times New Roman" w:eastAsia="Calibri" w:hAnsi="Times New Roman" w:cs="Times New Roman"/>
                <w:bCs/>
                <w:color w:val="000000"/>
                <w:kern w:val="24"/>
                <w:sz w:val="20"/>
                <w:szCs w:val="20"/>
                <w:lang w:val="sr-Cyrl-CS" w:eastAsia="en-GB"/>
              </w:rPr>
              <w:t>Проценат државних органа и органа јединица локалне самоуправе који учествују у програму студентске стручне праксе</w:t>
            </w:r>
          </w:p>
        </w:tc>
        <w:tc>
          <w:tcPr>
            <w:tcW w:w="1074" w:type="pct"/>
            <w:tcBorders>
              <w:top w:val="single" w:sz="18" w:space="0" w:color="C00000"/>
              <w:left w:val="single" w:sz="18" w:space="0" w:color="D9D9D9"/>
              <w:bottom w:val="single" w:sz="18" w:space="0" w:color="D9D9D9"/>
              <w:right w:val="single" w:sz="18" w:space="0" w:color="D9D9D9"/>
            </w:tcBorders>
            <w:shd w:val="clear" w:color="auto" w:fill="auto"/>
          </w:tcPr>
          <w:p w14:paraId="21A22B47" w14:textId="77777777" w:rsidR="002E2985" w:rsidRPr="00221978" w:rsidRDefault="002E2985"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0% (2020)</w:t>
            </w:r>
          </w:p>
          <w:p w14:paraId="6562F631" w14:textId="77777777" w:rsidR="002E2985" w:rsidRPr="00221978" w:rsidRDefault="002E2985" w:rsidP="00856EFB">
            <w:pPr>
              <w:rPr>
                <w:rFonts w:ascii="Times New Roman" w:hAnsi="Times New Roman" w:cs="Times New Roman"/>
                <w:sz w:val="20"/>
                <w:szCs w:val="20"/>
                <w:lang w:val="sr-Cyrl-CS"/>
              </w:rPr>
            </w:pPr>
          </w:p>
        </w:tc>
        <w:tc>
          <w:tcPr>
            <w:tcW w:w="1074" w:type="pct"/>
            <w:tcBorders>
              <w:top w:val="single" w:sz="18" w:space="0" w:color="C00000"/>
              <w:left w:val="single" w:sz="18" w:space="0" w:color="D9D9D9"/>
              <w:bottom w:val="single" w:sz="18" w:space="0" w:color="D9D9D9"/>
            </w:tcBorders>
            <w:shd w:val="clear" w:color="auto" w:fill="auto"/>
          </w:tcPr>
          <w:p w14:paraId="208BA6DF" w14:textId="77777777" w:rsidR="002E2985" w:rsidRPr="00221978" w:rsidRDefault="002E2985"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(2021): 10%</w:t>
            </w:r>
          </w:p>
          <w:p w14:paraId="288D7029" w14:textId="77777777" w:rsidR="002E2985" w:rsidRPr="00221978" w:rsidRDefault="002E2985"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(2022): 20%</w:t>
            </w:r>
          </w:p>
          <w:p w14:paraId="5514A2BE" w14:textId="77777777" w:rsidR="002E2985" w:rsidRPr="00221978" w:rsidRDefault="002E2985"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(2023): 30%</w:t>
            </w:r>
          </w:p>
          <w:p w14:paraId="13B448AA" w14:textId="77777777" w:rsidR="002E2985" w:rsidRPr="00221978" w:rsidRDefault="002E2985"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(2024): 40%</w:t>
            </w:r>
          </w:p>
          <w:p w14:paraId="06545BFB" w14:textId="77777777" w:rsidR="002E2985" w:rsidRPr="00221978" w:rsidRDefault="002E2985"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(2025): 50%</w:t>
            </w:r>
          </w:p>
          <w:p w14:paraId="6D5964D4" w14:textId="77777777" w:rsidR="002E2985" w:rsidRPr="00221978" w:rsidRDefault="002E2985"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(2027): 70%</w:t>
            </w:r>
          </w:p>
          <w:p w14:paraId="197DFF25" w14:textId="77777777" w:rsidR="002E2985" w:rsidRPr="00221978" w:rsidRDefault="002E2985" w:rsidP="00856EFB">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(2030): 100%</w:t>
            </w:r>
          </w:p>
        </w:tc>
      </w:tr>
      <w:tr w:rsidR="002E2985" w:rsidRPr="00221978" w14:paraId="3E3075C3" w14:textId="77777777" w:rsidTr="00814D0D">
        <w:trPr>
          <w:trHeight w:val="140"/>
        </w:trPr>
        <w:tc>
          <w:tcPr>
            <w:tcW w:w="197" w:type="pct"/>
            <w:tcBorders>
              <w:left w:val="single" w:sz="18" w:space="0" w:color="C00000"/>
              <w:bottom w:val="single" w:sz="18" w:space="0" w:color="C00000"/>
            </w:tcBorders>
            <w:shd w:val="clear" w:color="auto" w:fill="auto"/>
          </w:tcPr>
          <w:p w14:paraId="73879FC2" w14:textId="77777777" w:rsidR="002E2985" w:rsidRPr="00221978" w:rsidRDefault="002E2985" w:rsidP="00856EFB">
            <w:pPr>
              <w:rPr>
                <w:sz w:val="16"/>
                <w:szCs w:val="16"/>
                <w:lang w:val="sr-Cyrl-CS"/>
              </w:rPr>
            </w:pPr>
          </w:p>
        </w:tc>
        <w:tc>
          <w:tcPr>
            <w:tcW w:w="2655" w:type="pct"/>
            <w:tcBorders>
              <w:top w:val="single" w:sz="18" w:space="0" w:color="D9D9D9"/>
              <w:bottom w:val="single" w:sz="18" w:space="0" w:color="C00000"/>
            </w:tcBorders>
            <w:shd w:val="clear" w:color="auto" w:fill="auto"/>
          </w:tcPr>
          <w:p w14:paraId="3508DD06" w14:textId="77777777" w:rsidR="002E2985" w:rsidRPr="00221978" w:rsidRDefault="002E2985" w:rsidP="00856EFB">
            <w:pPr>
              <w:rPr>
                <w:rFonts w:ascii="Times New Roman" w:hAnsi="Times New Roman" w:cs="Times New Roman"/>
                <w:sz w:val="24"/>
                <w:szCs w:val="24"/>
                <w:lang w:val="sr-Cyrl-CS"/>
              </w:rPr>
            </w:pPr>
          </w:p>
        </w:tc>
        <w:tc>
          <w:tcPr>
            <w:tcW w:w="1074" w:type="pct"/>
            <w:tcBorders>
              <w:top w:val="single" w:sz="18" w:space="0" w:color="D9D9D9"/>
              <w:bottom w:val="single" w:sz="18" w:space="0" w:color="C00000"/>
            </w:tcBorders>
            <w:shd w:val="clear" w:color="auto" w:fill="auto"/>
          </w:tcPr>
          <w:p w14:paraId="3013F949" w14:textId="77777777" w:rsidR="002E2985" w:rsidRPr="00221978" w:rsidRDefault="002E2985" w:rsidP="00856EFB">
            <w:pPr>
              <w:rPr>
                <w:rFonts w:ascii="Times New Roman" w:hAnsi="Times New Roman" w:cs="Times New Roman"/>
                <w:sz w:val="24"/>
                <w:szCs w:val="24"/>
                <w:lang w:val="sr-Cyrl-CS"/>
              </w:rPr>
            </w:pPr>
          </w:p>
        </w:tc>
        <w:tc>
          <w:tcPr>
            <w:tcW w:w="1074" w:type="pct"/>
            <w:tcBorders>
              <w:top w:val="single" w:sz="18" w:space="0" w:color="D9D9D9"/>
              <w:bottom w:val="single" w:sz="18" w:space="0" w:color="C00000"/>
            </w:tcBorders>
            <w:shd w:val="clear" w:color="auto" w:fill="auto"/>
          </w:tcPr>
          <w:p w14:paraId="094F31A6" w14:textId="77777777" w:rsidR="002E2985" w:rsidRPr="00221978" w:rsidRDefault="002E2985" w:rsidP="00856EFB">
            <w:pPr>
              <w:rPr>
                <w:rFonts w:ascii="Times New Roman" w:hAnsi="Times New Roman" w:cs="Times New Roman"/>
                <w:sz w:val="24"/>
                <w:szCs w:val="24"/>
                <w:lang w:val="sr-Cyrl-CS"/>
              </w:rPr>
            </w:pPr>
          </w:p>
        </w:tc>
      </w:tr>
    </w:tbl>
    <w:p w14:paraId="67DC0E58" w14:textId="066957B4" w:rsidR="00483786" w:rsidRPr="00221978" w:rsidRDefault="00814D0D" w:rsidP="00814D0D">
      <w:pPr>
        <w:spacing w:after="0" w:line="240" w:lineRule="auto"/>
        <w:jc w:val="right"/>
        <w:rPr>
          <w:rFonts w:ascii="Times New Roman" w:hAnsi="Times New Roman" w:cs="Times New Roman"/>
          <w:sz w:val="24"/>
          <w:szCs w:val="24"/>
          <w:lang w:val="sr-Cyrl-CS"/>
        </w:rPr>
      </w:pPr>
      <w:r w:rsidRPr="00221978">
        <w:rPr>
          <w:rFonts w:ascii="Times New Roman" w:eastAsia="Calibri" w:hAnsi="Times New Roman" w:cs="Times New Roman"/>
          <w:sz w:val="24"/>
          <w:szCs w:val="24"/>
          <w:lang w:val="sr-Cyrl-CS"/>
        </w:rPr>
        <w:t>”.</w:t>
      </w:r>
    </w:p>
    <w:p w14:paraId="6A33ECC7" w14:textId="77777777" w:rsidR="00C3792F" w:rsidRPr="00221978" w:rsidRDefault="00C3792F" w:rsidP="0001141D">
      <w:pPr>
        <w:pStyle w:val="ListParagraph"/>
        <w:spacing w:after="0" w:line="240" w:lineRule="auto"/>
        <w:ind w:left="1080"/>
        <w:jc w:val="both"/>
        <w:rPr>
          <w:rFonts w:ascii="Times New Roman" w:hAnsi="Times New Roman" w:cs="Times New Roman"/>
          <w:sz w:val="24"/>
          <w:szCs w:val="24"/>
          <w:lang w:val="sr-Cyrl-CS"/>
        </w:rPr>
      </w:pPr>
    </w:p>
    <w:p w14:paraId="5907B89B" w14:textId="346D4829" w:rsidR="00476DB7" w:rsidRPr="00221978" w:rsidRDefault="00D37E18" w:rsidP="002D41CF">
      <w:pPr>
        <w:pStyle w:val="ListParagraph"/>
        <w:numPr>
          <w:ilvl w:val="0"/>
          <w:numId w:val="2"/>
        </w:numPr>
        <w:suppressAutoHyphens/>
        <w:autoSpaceDN w:val="0"/>
        <w:spacing w:after="0" w:line="240" w:lineRule="auto"/>
        <w:jc w:val="both"/>
        <w:textAlignment w:val="baseline"/>
        <w:rPr>
          <w:rFonts w:ascii="Times New Roman" w:hAnsi="Times New Roman" w:cs="Times New Roman"/>
          <w:sz w:val="24"/>
          <w:szCs w:val="24"/>
          <w:lang w:val="sr-Cyrl-CS"/>
        </w:rPr>
      </w:pPr>
      <w:bookmarkStart w:id="24" w:name="_Hlk89767425"/>
      <w:r w:rsidRPr="00221978">
        <w:rPr>
          <w:rFonts w:ascii="Times New Roman" w:hAnsi="Times New Roman" w:cs="Times New Roman"/>
          <w:sz w:val="24"/>
          <w:szCs w:val="24"/>
          <w:lang w:val="sr-Cyrl-CS"/>
        </w:rPr>
        <w:t xml:space="preserve">У </w:t>
      </w:r>
      <w:r w:rsidR="008034ED" w:rsidRPr="00221978">
        <w:rPr>
          <w:rFonts w:ascii="Times New Roman" w:hAnsi="Times New Roman" w:cs="Times New Roman"/>
          <w:sz w:val="24"/>
          <w:szCs w:val="24"/>
          <w:lang w:val="sr-Cyrl-CS"/>
        </w:rPr>
        <w:t>Прилогу</w:t>
      </w:r>
      <w:r w:rsidRPr="00221978">
        <w:rPr>
          <w:rFonts w:ascii="Times New Roman" w:hAnsi="Times New Roman" w:cs="Times New Roman"/>
          <w:sz w:val="24"/>
          <w:szCs w:val="24"/>
          <w:lang w:val="sr-Cyrl-CS"/>
        </w:rPr>
        <w:t xml:space="preserve"> 2, Одговорност и транспарентност, Циљеви, анализа ефеката и мере,</w:t>
      </w:r>
      <w:r w:rsidR="00476DB7" w:rsidRPr="00221978">
        <w:rPr>
          <w:rFonts w:ascii="Times New Roman" w:hAnsi="Times New Roman" w:cs="Times New Roman"/>
          <w:sz w:val="24"/>
          <w:szCs w:val="24"/>
          <w:lang w:val="sr-Cyrl-CS"/>
        </w:rPr>
        <w:t xml:space="preserve"> Мера 6.5. – Унапређење реактивне транспарентности, поступања по прописима из делокруга независних државних органа, односно по препорукама независних државних органа, у 1. колони 2. ред, мења се назив показатеља резултата и гласи:</w:t>
      </w:r>
    </w:p>
    <w:p w14:paraId="7F396DB8" w14:textId="6ED21323" w:rsidR="00D37E18" w:rsidRPr="00221978" w:rsidRDefault="00577A47" w:rsidP="004620A9">
      <w:pPr>
        <w:suppressAutoHyphens/>
        <w:autoSpaceDN w:val="0"/>
        <w:spacing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w:t>
      </w:r>
      <w:r w:rsidR="00345FC3" w:rsidRPr="00221978">
        <w:rPr>
          <w:rFonts w:ascii="Times New Roman" w:hAnsi="Times New Roman" w:cs="Times New Roman"/>
          <w:sz w:val="24"/>
          <w:szCs w:val="24"/>
          <w:lang w:val="sr-Cyrl-CS"/>
        </w:rPr>
        <w:t xml:space="preserve">Проценат </w:t>
      </w:r>
      <w:r w:rsidR="00476DB7" w:rsidRPr="00221978">
        <w:rPr>
          <w:rFonts w:ascii="Times New Roman" w:hAnsi="Times New Roman" w:cs="Times New Roman"/>
          <w:sz w:val="24"/>
          <w:szCs w:val="24"/>
          <w:lang w:val="sr-Cyrl-CS"/>
        </w:rPr>
        <w:t>извршења аката Повереника за информације од јавног значаја и заштиту података о личности и Заштитника грађана.</w:t>
      </w:r>
      <w:r w:rsidR="009B73BA" w:rsidRPr="00221978">
        <w:rPr>
          <w:rFonts w:ascii="Times New Roman" w:hAnsi="Times New Roman" w:cs="Times New Roman"/>
          <w:sz w:val="24"/>
          <w:szCs w:val="24"/>
          <w:lang w:val="sr-Cyrl-CS"/>
        </w:rPr>
        <w:t xml:space="preserve">”    </w:t>
      </w:r>
    </w:p>
    <w:p w14:paraId="24EC77A3" w14:textId="77777777" w:rsidR="00251270" w:rsidRPr="00221978" w:rsidRDefault="00251270" w:rsidP="00476DB7">
      <w:pPr>
        <w:suppressAutoHyphens/>
        <w:autoSpaceDN w:val="0"/>
        <w:spacing w:after="0" w:line="240" w:lineRule="auto"/>
        <w:jc w:val="both"/>
        <w:textAlignment w:val="baseline"/>
        <w:rPr>
          <w:rFonts w:ascii="Times New Roman" w:hAnsi="Times New Roman" w:cs="Times New Roman"/>
          <w:sz w:val="24"/>
          <w:szCs w:val="24"/>
          <w:lang w:val="sr-Cyrl-CS"/>
        </w:rPr>
      </w:pPr>
    </w:p>
    <w:p w14:paraId="0B2554C5" w14:textId="3A833445" w:rsidR="00251270" w:rsidRPr="00221978" w:rsidRDefault="00251270" w:rsidP="00251270">
      <w:pPr>
        <w:pStyle w:val="ListParagraph"/>
        <w:numPr>
          <w:ilvl w:val="0"/>
          <w:numId w:val="2"/>
        </w:numPr>
        <w:suppressAutoHyphens/>
        <w:autoSpaceDN w:val="0"/>
        <w:spacing w:after="0" w:line="240" w:lineRule="auto"/>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Прилог</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6, Анализа ризика</w:t>
      </w:r>
      <w:r w:rsidR="00196151" w:rsidRPr="00221978">
        <w:rPr>
          <w:rFonts w:ascii="Times New Roman" w:hAnsi="Times New Roman" w:cs="Times New Roman"/>
          <w:sz w:val="24"/>
          <w:szCs w:val="24"/>
          <w:lang w:val="sr-Cyrl-CS"/>
        </w:rPr>
        <w:t>, мења се Табела 7. Анализа ризика, у оквиру Управљања јавним финансијама и гласи:</w:t>
      </w:r>
    </w:p>
    <w:p w14:paraId="2D55FD20" w14:textId="0667D187" w:rsidR="00196151" w:rsidRPr="00221978" w:rsidRDefault="00814D0D" w:rsidP="00196151">
      <w:pPr>
        <w:pStyle w:val="ListParagraph"/>
        <w:suppressAutoHyphens/>
        <w:autoSpaceDN w:val="0"/>
        <w:spacing w:after="0" w:line="240" w:lineRule="auto"/>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w:t>
      </w:r>
    </w:p>
    <w:tbl>
      <w:tblPr>
        <w:tblW w:w="5000" w:type="pct"/>
        <w:tblBorders>
          <w:top w:val="single" w:sz="4" w:space="0" w:color="C9C9C9"/>
          <w:bottom w:val="single" w:sz="4" w:space="0" w:color="C9C9C9"/>
          <w:insideH w:val="single" w:sz="4" w:space="0" w:color="C9C9C9"/>
        </w:tblBorders>
        <w:tblLook w:val="06A0" w:firstRow="1" w:lastRow="0" w:firstColumn="1" w:lastColumn="0" w:noHBand="1" w:noVBand="1"/>
      </w:tblPr>
      <w:tblGrid>
        <w:gridCol w:w="1466"/>
        <w:gridCol w:w="1587"/>
        <w:gridCol w:w="1655"/>
        <w:gridCol w:w="2052"/>
        <w:gridCol w:w="2600"/>
      </w:tblGrid>
      <w:tr w:rsidR="00196151" w:rsidRPr="00221978" w14:paraId="71BEB2D7" w14:textId="77777777" w:rsidTr="006E7355">
        <w:trPr>
          <w:trHeight w:val="558"/>
        </w:trPr>
        <w:tc>
          <w:tcPr>
            <w:tcW w:w="5000" w:type="pct"/>
            <w:gridSpan w:val="5"/>
            <w:shd w:val="clear" w:color="auto" w:fill="auto"/>
            <w:vAlign w:val="center"/>
          </w:tcPr>
          <w:p w14:paraId="45BCA97B" w14:textId="77777777" w:rsidR="00196151" w:rsidRPr="00221978" w:rsidRDefault="00196151" w:rsidP="006E7355">
            <w:pPr>
              <w:rPr>
                <w:rFonts w:ascii="Times New Roman" w:eastAsia="Calibri" w:hAnsi="Times New Roman" w:cs="Times New Roman"/>
                <w:b/>
                <w:bCs/>
                <w:sz w:val="20"/>
                <w:szCs w:val="20"/>
                <w:lang w:val="sr-Cyrl-CS"/>
              </w:rPr>
            </w:pPr>
            <w:r w:rsidRPr="00221978">
              <w:rPr>
                <w:rFonts w:ascii="Times New Roman" w:eastAsia="Calibri" w:hAnsi="Times New Roman" w:cs="Times New Roman"/>
                <w:b/>
                <w:bCs/>
                <w:sz w:val="20"/>
                <w:szCs w:val="20"/>
                <w:lang w:val="sr-Cyrl-CS"/>
              </w:rPr>
              <w:br w:type="page"/>
              <w:t>Управљање јавним финансијама</w:t>
            </w:r>
          </w:p>
        </w:tc>
      </w:tr>
      <w:tr w:rsidR="00196151" w:rsidRPr="00221978" w14:paraId="3BD9567E" w14:textId="77777777" w:rsidTr="00814D0D">
        <w:trPr>
          <w:trHeight w:val="699"/>
        </w:trPr>
        <w:tc>
          <w:tcPr>
            <w:tcW w:w="783" w:type="pct"/>
            <w:shd w:val="clear" w:color="auto" w:fill="auto"/>
          </w:tcPr>
          <w:p w14:paraId="3BDFD62C" w14:textId="77777777" w:rsidR="00196151" w:rsidRPr="00221978" w:rsidRDefault="00196151" w:rsidP="006E7355">
            <w:pPr>
              <w:rPr>
                <w:rFonts w:ascii="Times New Roman" w:eastAsia="Calibri" w:hAnsi="Times New Roman" w:cs="Times New Roman"/>
                <w:b/>
                <w:bCs/>
                <w:color w:val="000000"/>
                <w:sz w:val="20"/>
                <w:szCs w:val="20"/>
                <w:lang w:val="sr-Cyrl-CS"/>
              </w:rPr>
            </w:pPr>
            <w:r w:rsidRPr="00221978">
              <w:rPr>
                <w:rFonts w:ascii="Times New Roman" w:eastAsia="Calibri" w:hAnsi="Times New Roman" w:cs="Times New Roman"/>
                <w:b/>
                <w:bCs/>
                <w:sz w:val="20"/>
                <w:szCs w:val="20"/>
                <w:lang w:val="sr-Cyrl-CS"/>
              </w:rPr>
              <w:t xml:space="preserve">Посебан циљ 7:  Остваривање одрживог буџета са стабилним јавним дугом у односу на БДП помоћу бољег финансијског </w:t>
            </w:r>
            <w:r w:rsidRPr="00221978">
              <w:rPr>
                <w:rFonts w:ascii="Times New Roman" w:eastAsia="Calibri" w:hAnsi="Times New Roman" w:cs="Times New Roman"/>
                <w:b/>
                <w:bCs/>
                <w:sz w:val="20"/>
                <w:szCs w:val="20"/>
                <w:lang w:val="sr-Cyrl-CS"/>
              </w:rPr>
              <w:lastRenderedPageBreak/>
              <w:t>управљања и контроле, процеса ревизије и повезивања буџетског планирања са политикама Владе.</w:t>
            </w:r>
          </w:p>
        </w:tc>
        <w:tc>
          <w:tcPr>
            <w:tcW w:w="848" w:type="pct"/>
            <w:shd w:val="clear" w:color="auto" w:fill="auto"/>
          </w:tcPr>
          <w:p w14:paraId="15281766" w14:textId="77777777" w:rsidR="00196151" w:rsidRPr="00221978" w:rsidRDefault="00196151" w:rsidP="006E7355">
            <w:pPr>
              <w:rPr>
                <w:rFonts w:ascii="Times New Roman" w:eastAsia="Calibri" w:hAnsi="Times New Roman" w:cs="Times New Roman"/>
                <w:sz w:val="20"/>
                <w:szCs w:val="20"/>
                <w:lang w:val="sr-Cyrl-CS"/>
              </w:rPr>
            </w:pPr>
            <w:r w:rsidRPr="00221978">
              <w:rPr>
                <w:rFonts w:ascii="Times New Roman" w:hAnsi="Times New Roman" w:cs="Times New Roman"/>
                <w:sz w:val="20"/>
                <w:szCs w:val="20"/>
                <w:lang w:val="sr-Cyrl-CS"/>
              </w:rPr>
              <w:lastRenderedPageBreak/>
              <w:t>Даље унапређење програмског буџета, управљање јавним инвестицијама и праћење фискалних ризика</w:t>
            </w:r>
          </w:p>
        </w:tc>
        <w:tc>
          <w:tcPr>
            <w:tcW w:w="884" w:type="pct"/>
            <w:shd w:val="clear" w:color="auto" w:fill="auto"/>
          </w:tcPr>
          <w:p w14:paraId="3E166D7C" w14:textId="77777777" w:rsidR="00196151" w:rsidRPr="00221978" w:rsidRDefault="00196151" w:rsidP="006E7355">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Утврђен регулаторни и методолошки оквир.</w:t>
            </w:r>
          </w:p>
          <w:p w14:paraId="7D73082F" w14:textId="77777777" w:rsidR="00196151" w:rsidRPr="00221978" w:rsidRDefault="00196151" w:rsidP="006E7355">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Дугорочна стабилност финансијског оквира</w:t>
            </w:r>
          </w:p>
          <w:p w14:paraId="410DE09F" w14:textId="77777777" w:rsidR="00196151" w:rsidRPr="00221978" w:rsidRDefault="00196151" w:rsidP="006E7355">
            <w:pPr>
              <w:rPr>
                <w:rFonts w:ascii="Times New Roman" w:eastAsia="Calibri" w:hAnsi="Times New Roman" w:cs="Times New Roman"/>
                <w:sz w:val="20"/>
                <w:szCs w:val="20"/>
                <w:lang w:val="sr-Cyrl-CS"/>
              </w:rPr>
            </w:pPr>
          </w:p>
          <w:p w14:paraId="4C6EFCD1" w14:textId="77777777" w:rsidR="00196151" w:rsidRPr="00221978" w:rsidRDefault="00196151" w:rsidP="006E7355">
            <w:pPr>
              <w:rPr>
                <w:rFonts w:ascii="Times New Roman" w:eastAsia="Calibri" w:hAnsi="Times New Roman" w:cs="Times New Roman"/>
                <w:sz w:val="20"/>
                <w:szCs w:val="20"/>
                <w:lang w:val="sr-Cyrl-CS"/>
              </w:rPr>
            </w:pPr>
          </w:p>
        </w:tc>
        <w:tc>
          <w:tcPr>
            <w:tcW w:w="1096" w:type="pct"/>
            <w:shd w:val="clear" w:color="auto" w:fill="auto"/>
          </w:tcPr>
          <w:p w14:paraId="58E5BB96" w14:textId="77777777" w:rsidR="00196151" w:rsidRPr="00221978" w:rsidRDefault="00196151" w:rsidP="006E7355">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lastRenderedPageBreak/>
              <w:t>Недовољно разумевање и посвећеност буџетских корисника повећању транспарентности буџета.</w:t>
            </w:r>
          </w:p>
          <w:p w14:paraId="005A4549" w14:textId="77777777" w:rsidR="00196151" w:rsidRPr="00221978" w:rsidRDefault="00196151" w:rsidP="006E7355">
            <w:pPr>
              <w:rPr>
                <w:rFonts w:ascii="Times New Roman" w:eastAsia="Times New Roman" w:hAnsi="Times New Roman" w:cs="Times New Roman"/>
                <w:color w:val="000000"/>
                <w:sz w:val="20"/>
                <w:szCs w:val="20"/>
                <w:lang w:val="sr-Cyrl-CS"/>
              </w:rPr>
            </w:pPr>
          </w:p>
        </w:tc>
        <w:tc>
          <w:tcPr>
            <w:tcW w:w="1389" w:type="pct"/>
            <w:shd w:val="clear" w:color="auto" w:fill="auto"/>
          </w:tcPr>
          <w:p w14:paraId="2220A231" w14:textId="77777777" w:rsidR="00196151" w:rsidRPr="00221978" w:rsidRDefault="00196151" w:rsidP="006E7355">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Треба омогућити доследно спровођење законских и подзаконских аката којима се уређује програмско буџетирање, средњорочно планирање и управљање јавним инвестицијама.</w:t>
            </w:r>
          </w:p>
          <w:p w14:paraId="58FAECC5" w14:textId="77777777" w:rsidR="00196151" w:rsidRPr="00221978" w:rsidRDefault="00196151" w:rsidP="006E7355">
            <w:pPr>
              <w:rPr>
                <w:rFonts w:ascii="Times New Roman" w:eastAsia="Times New Roman" w:hAnsi="Times New Roman" w:cs="Times New Roman"/>
                <w:i/>
                <w:iCs/>
                <w:color w:val="404040"/>
                <w:sz w:val="20"/>
                <w:szCs w:val="20"/>
                <w:lang w:val="sr-Cyrl-CS"/>
              </w:rPr>
            </w:pPr>
            <w:r w:rsidRPr="00221978">
              <w:rPr>
                <w:rFonts w:ascii="Times New Roman" w:eastAsia="Calibri" w:hAnsi="Times New Roman" w:cs="Times New Roman"/>
                <w:sz w:val="20"/>
                <w:szCs w:val="20"/>
                <w:lang w:val="sr-Cyrl-CS"/>
              </w:rPr>
              <w:t xml:space="preserve">Даљи развој и јачање ИТ система за израду и извршење буџета и </w:t>
            </w:r>
            <w:r w:rsidRPr="00221978">
              <w:rPr>
                <w:rFonts w:ascii="Times New Roman" w:eastAsia="Calibri" w:hAnsi="Times New Roman" w:cs="Times New Roman"/>
                <w:sz w:val="20"/>
                <w:szCs w:val="20"/>
                <w:lang w:val="sr-Cyrl-CS"/>
              </w:rPr>
              <w:lastRenderedPageBreak/>
              <w:t>управљање јавним инвестицијама.</w:t>
            </w:r>
          </w:p>
          <w:p w14:paraId="2D5A27EB" w14:textId="77777777" w:rsidR="00196151" w:rsidRPr="00221978" w:rsidRDefault="00196151" w:rsidP="006E7355">
            <w:pPr>
              <w:rPr>
                <w:rFonts w:ascii="Times New Roman" w:eastAsia="Times New Roman" w:hAnsi="Times New Roman" w:cs="Times New Roman"/>
                <w:i/>
                <w:iCs/>
                <w:color w:val="404040"/>
                <w:sz w:val="20"/>
                <w:szCs w:val="20"/>
                <w:lang w:val="sr-Cyrl-CS"/>
              </w:rPr>
            </w:pPr>
            <w:r w:rsidRPr="00221978">
              <w:rPr>
                <w:rFonts w:ascii="Times New Roman" w:eastAsia="Calibri" w:hAnsi="Times New Roman" w:cs="Times New Roman"/>
                <w:sz w:val="20"/>
                <w:szCs w:val="20"/>
                <w:lang w:val="sr-Cyrl-CS"/>
              </w:rPr>
              <w:t>Промовисање размене са скупштинским Одбором за буџет и синергија са пројектима који подржавају скупштински надзор.</w:t>
            </w:r>
          </w:p>
          <w:p w14:paraId="76BA40DA" w14:textId="77777777" w:rsidR="00196151" w:rsidRPr="00221978" w:rsidRDefault="00196151" w:rsidP="006E7355">
            <w:pPr>
              <w:rPr>
                <w:rFonts w:ascii="Times New Roman" w:eastAsia="Times New Roman" w:hAnsi="Times New Roman" w:cs="Times New Roman"/>
                <w:i/>
                <w:iCs/>
                <w:color w:val="404040"/>
                <w:sz w:val="20"/>
                <w:szCs w:val="20"/>
                <w:lang w:val="sr-Cyrl-CS"/>
              </w:rPr>
            </w:pPr>
            <w:r w:rsidRPr="00221978">
              <w:rPr>
                <w:rFonts w:ascii="Times New Roman" w:eastAsia="Calibri" w:hAnsi="Times New Roman" w:cs="Times New Roman"/>
                <w:sz w:val="20"/>
                <w:szCs w:val="20"/>
                <w:lang w:val="sr-Cyrl-CS"/>
              </w:rPr>
              <w:t>Развијање и подршка за мрежу службеника који се баве буџетом.</w:t>
            </w:r>
          </w:p>
          <w:p w14:paraId="6256ED45" w14:textId="77777777" w:rsidR="00196151" w:rsidRPr="00221978" w:rsidRDefault="00196151" w:rsidP="006E7355">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Праћење буџетског процеса и рано упозоравање на непоштовање буџетског календара.</w:t>
            </w:r>
          </w:p>
        </w:tc>
      </w:tr>
      <w:tr w:rsidR="00196151" w:rsidRPr="00221978" w14:paraId="20A88C3B" w14:textId="77777777" w:rsidTr="00814D0D">
        <w:trPr>
          <w:trHeight w:val="699"/>
        </w:trPr>
        <w:tc>
          <w:tcPr>
            <w:tcW w:w="783" w:type="pct"/>
            <w:shd w:val="clear" w:color="auto" w:fill="auto"/>
          </w:tcPr>
          <w:p w14:paraId="1BD8053B" w14:textId="77777777" w:rsidR="00196151" w:rsidRPr="00221978" w:rsidRDefault="00196151" w:rsidP="006E7355">
            <w:pPr>
              <w:rPr>
                <w:rFonts w:ascii="Times New Roman" w:eastAsia="Calibri" w:hAnsi="Times New Roman" w:cs="Times New Roman"/>
                <w:b/>
                <w:bCs/>
                <w:sz w:val="20"/>
                <w:szCs w:val="20"/>
                <w:lang w:val="sr-Cyrl-CS"/>
              </w:rPr>
            </w:pPr>
            <w:r w:rsidRPr="00221978">
              <w:rPr>
                <w:rFonts w:ascii="Times New Roman" w:eastAsia="Calibri" w:hAnsi="Times New Roman" w:cs="Times New Roman"/>
                <w:b/>
                <w:bCs/>
                <w:sz w:val="20"/>
                <w:szCs w:val="20"/>
                <w:lang w:val="sr-Cyrl-CS"/>
              </w:rPr>
              <w:lastRenderedPageBreak/>
              <w:t xml:space="preserve">Посебан циљ 7:   </w:t>
            </w:r>
          </w:p>
        </w:tc>
        <w:tc>
          <w:tcPr>
            <w:tcW w:w="848" w:type="pct"/>
            <w:shd w:val="clear" w:color="auto" w:fill="auto"/>
          </w:tcPr>
          <w:p w14:paraId="494D59A9" w14:textId="77777777" w:rsidR="00196151" w:rsidRPr="00221978" w:rsidRDefault="00196151" w:rsidP="006E7355">
            <w:pPr>
              <w:rPr>
                <w:rFonts w:ascii="Times New Roman" w:eastAsia="Calibri" w:hAnsi="Times New Roman" w:cs="Times New Roman"/>
                <w:sz w:val="20"/>
                <w:szCs w:val="20"/>
                <w:lang w:val="sr-Cyrl-CS"/>
              </w:rPr>
            </w:pPr>
            <w:r w:rsidRPr="00221978">
              <w:rPr>
                <w:rFonts w:ascii="Times New Roman" w:hAnsi="Times New Roman" w:cs="Times New Roman"/>
                <w:sz w:val="20"/>
                <w:szCs w:val="20"/>
                <w:lang w:val="sr-Cyrl-CS"/>
              </w:rPr>
              <w:t>Даље унапређење програмског буџета, управљање јавним инвестицијама и праћење фискалних ризика</w:t>
            </w:r>
          </w:p>
        </w:tc>
        <w:tc>
          <w:tcPr>
            <w:tcW w:w="884" w:type="pct"/>
            <w:shd w:val="clear" w:color="auto" w:fill="auto"/>
          </w:tcPr>
          <w:p w14:paraId="37758F32" w14:textId="77777777" w:rsidR="00196151" w:rsidRPr="00221978" w:rsidRDefault="00196151" w:rsidP="006E7355">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Утврђен регулаторни и методолошки оквир.</w:t>
            </w:r>
          </w:p>
          <w:p w14:paraId="34035319" w14:textId="77777777" w:rsidR="00196151" w:rsidRPr="00221978" w:rsidRDefault="00196151" w:rsidP="006E7355">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Довољан број обучених предавача у области финансијског и средњорочног планирања.</w:t>
            </w:r>
          </w:p>
          <w:p w14:paraId="7E97A910" w14:textId="77777777" w:rsidR="00196151" w:rsidRPr="00221978" w:rsidRDefault="00196151" w:rsidP="006E7355">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Дугорочна стабилност финансијског оквира.</w:t>
            </w:r>
          </w:p>
        </w:tc>
        <w:tc>
          <w:tcPr>
            <w:tcW w:w="1096" w:type="pct"/>
            <w:shd w:val="clear" w:color="auto" w:fill="auto"/>
          </w:tcPr>
          <w:p w14:paraId="1B3DD9DA" w14:textId="77777777" w:rsidR="00196151" w:rsidRPr="00221978" w:rsidRDefault="00196151" w:rsidP="006E7355">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Недостатак људских капацитета (недовољан број запослених и ниво знања и стручности, нарочито у локалној самоуправи).</w:t>
            </w:r>
          </w:p>
          <w:p w14:paraId="2EDB5098" w14:textId="77777777" w:rsidR="00196151" w:rsidRPr="00221978" w:rsidRDefault="00196151" w:rsidP="006E7355">
            <w:pPr>
              <w:rPr>
                <w:rFonts w:ascii="Times New Roman" w:eastAsia="Times New Roman" w:hAnsi="Times New Roman" w:cs="Times New Roman"/>
                <w:color w:val="000000"/>
                <w:sz w:val="20"/>
                <w:szCs w:val="20"/>
                <w:lang w:val="sr-Cyrl-CS"/>
              </w:rPr>
            </w:pPr>
          </w:p>
        </w:tc>
        <w:tc>
          <w:tcPr>
            <w:tcW w:w="1389" w:type="pct"/>
            <w:shd w:val="clear" w:color="auto" w:fill="auto"/>
          </w:tcPr>
          <w:p w14:paraId="2EAFAD3D" w14:textId="77777777" w:rsidR="00196151" w:rsidRPr="00221978" w:rsidRDefault="00196151" w:rsidP="006E7355">
            <w:pPr>
              <w:rPr>
                <w:rFonts w:ascii="Times New Roman" w:eastAsia="Times New Roman" w:hAnsi="Times New Roman" w:cs="Times New Roman"/>
                <w:i/>
                <w:iCs/>
                <w:color w:val="404040"/>
                <w:sz w:val="20"/>
                <w:szCs w:val="20"/>
                <w:lang w:val="sr-Cyrl-CS"/>
              </w:rPr>
            </w:pPr>
            <w:r w:rsidRPr="00221978">
              <w:rPr>
                <w:rFonts w:ascii="Times New Roman" w:eastAsia="Calibri" w:hAnsi="Times New Roman" w:cs="Times New Roman"/>
                <w:sz w:val="20"/>
                <w:szCs w:val="20"/>
                <w:lang w:val="sr-Cyrl-CS"/>
              </w:rPr>
              <w:t>Обезбедити ресурсе за обуку запослених у Министарству финансија и у ЈЛС.</w:t>
            </w:r>
          </w:p>
          <w:p w14:paraId="2495C4B8" w14:textId="77777777" w:rsidR="00196151" w:rsidRPr="00221978" w:rsidRDefault="00196151" w:rsidP="006E7355">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Јачати едукационе капацитете НАЈУ у области транспарентног управљања буџетом.</w:t>
            </w:r>
          </w:p>
        </w:tc>
      </w:tr>
    </w:tbl>
    <w:p w14:paraId="63538825" w14:textId="2C46ADF7" w:rsidR="00196151" w:rsidRPr="00221978" w:rsidRDefault="00814D0D" w:rsidP="00814D0D">
      <w:pPr>
        <w:suppressAutoHyphens/>
        <w:autoSpaceDN w:val="0"/>
        <w:spacing w:after="0" w:line="240" w:lineRule="auto"/>
        <w:jc w:val="right"/>
        <w:textAlignment w:val="baseline"/>
        <w:rPr>
          <w:rFonts w:ascii="Times New Roman" w:hAnsi="Times New Roman" w:cs="Times New Roman"/>
          <w:sz w:val="24"/>
          <w:szCs w:val="24"/>
          <w:lang w:val="sr-Cyrl-CS"/>
        </w:rPr>
      </w:pPr>
      <w:r w:rsidRPr="00221978">
        <w:rPr>
          <w:rFonts w:ascii="Times New Roman" w:eastAsia="Calibri" w:hAnsi="Times New Roman" w:cs="Times New Roman"/>
          <w:sz w:val="24"/>
          <w:szCs w:val="24"/>
          <w:lang w:val="sr-Cyrl-CS"/>
        </w:rPr>
        <w:t>”.</w:t>
      </w:r>
    </w:p>
    <w:p w14:paraId="459346DF" w14:textId="77777777" w:rsidR="00265656" w:rsidRPr="00221978" w:rsidRDefault="00265656" w:rsidP="00476DB7">
      <w:pPr>
        <w:suppressAutoHyphens/>
        <w:autoSpaceDN w:val="0"/>
        <w:spacing w:after="0" w:line="240" w:lineRule="auto"/>
        <w:jc w:val="both"/>
        <w:textAlignment w:val="baseline"/>
        <w:rPr>
          <w:rFonts w:ascii="Times New Roman" w:hAnsi="Times New Roman" w:cs="Times New Roman"/>
          <w:sz w:val="24"/>
          <w:szCs w:val="24"/>
          <w:lang w:val="sr-Cyrl-CS"/>
        </w:rPr>
      </w:pPr>
    </w:p>
    <w:p w14:paraId="15C75256" w14:textId="7BFF0E12" w:rsidR="00286E7A" w:rsidRPr="00221978" w:rsidRDefault="00286E7A" w:rsidP="002D41CF">
      <w:pPr>
        <w:pStyle w:val="ListParagraph"/>
        <w:numPr>
          <w:ilvl w:val="0"/>
          <w:numId w:val="2"/>
        </w:numPr>
        <w:suppressAutoHyphens/>
        <w:autoSpaceDN w:val="0"/>
        <w:spacing w:after="0" w:line="240" w:lineRule="auto"/>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8034ED" w:rsidRPr="00221978">
        <w:rPr>
          <w:rFonts w:ascii="Times New Roman" w:hAnsi="Times New Roman" w:cs="Times New Roman"/>
          <w:sz w:val="24"/>
          <w:szCs w:val="24"/>
          <w:lang w:val="sr-Cyrl-CS"/>
        </w:rPr>
        <w:t>Прилогу</w:t>
      </w:r>
      <w:r w:rsidRPr="00221978">
        <w:rPr>
          <w:rFonts w:ascii="Times New Roman" w:hAnsi="Times New Roman" w:cs="Times New Roman"/>
          <w:sz w:val="24"/>
          <w:szCs w:val="24"/>
          <w:lang w:val="sr-Cyrl-CS"/>
        </w:rPr>
        <w:t xml:space="preserve"> 8: Пасоши индикатора: Планирање и координација јавних политика:</w:t>
      </w:r>
    </w:p>
    <w:p w14:paraId="7831CA13" w14:textId="488F9421" w:rsidR="00A8352F" w:rsidRPr="00221978" w:rsidRDefault="002E2985" w:rsidP="009915AE">
      <w:pPr>
        <w:suppressAutoHyphens/>
        <w:autoSpaceDN w:val="0"/>
        <w:spacing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Мења се </w:t>
      </w:r>
      <w:r w:rsidR="00286E7A" w:rsidRPr="00221978">
        <w:rPr>
          <w:rFonts w:ascii="Times New Roman" w:hAnsi="Times New Roman" w:cs="Times New Roman"/>
          <w:sz w:val="24"/>
          <w:szCs w:val="24"/>
          <w:lang w:val="sr-Cyrl-CS"/>
        </w:rPr>
        <w:t xml:space="preserve"> </w:t>
      </w:r>
      <w:r w:rsidR="0079304D" w:rsidRPr="00221978">
        <w:rPr>
          <w:rFonts w:ascii="Times New Roman" w:hAnsi="Times New Roman" w:cs="Times New Roman"/>
          <w:sz w:val="24"/>
          <w:szCs w:val="24"/>
          <w:lang w:val="sr-Cyrl-CS"/>
        </w:rPr>
        <w:t>назив Посебног</w:t>
      </w:r>
      <w:r w:rsidR="00286E7A" w:rsidRPr="00221978">
        <w:rPr>
          <w:rFonts w:ascii="Times New Roman" w:hAnsi="Times New Roman" w:cs="Times New Roman"/>
          <w:sz w:val="24"/>
          <w:szCs w:val="24"/>
          <w:lang w:val="sr-Cyrl-CS"/>
        </w:rPr>
        <w:t xml:space="preserve"> циљ</w:t>
      </w:r>
      <w:r w:rsidR="0079304D" w:rsidRPr="00221978">
        <w:rPr>
          <w:rFonts w:ascii="Times New Roman" w:hAnsi="Times New Roman" w:cs="Times New Roman"/>
          <w:sz w:val="24"/>
          <w:szCs w:val="24"/>
          <w:lang w:val="sr-Cyrl-CS"/>
        </w:rPr>
        <w:t>а</w:t>
      </w:r>
      <w:r w:rsidR="00286E7A" w:rsidRPr="00221978">
        <w:rPr>
          <w:rFonts w:ascii="Times New Roman" w:hAnsi="Times New Roman" w:cs="Times New Roman"/>
          <w:sz w:val="24"/>
          <w:szCs w:val="24"/>
          <w:lang w:val="sr-Cyrl-CS"/>
        </w:rPr>
        <w:t xml:space="preserve"> у </w:t>
      </w:r>
      <w:r w:rsidR="00B20A96" w:rsidRPr="00221978">
        <w:rPr>
          <w:rFonts w:ascii="Times New Roman" w:hAnsi="Times New Roman" w:cs="Times New Roman"/>
          <w:sz w:val="24"/>
          <w:szCs w:val="24"/>
          <w:lang w:val="sr-Cyrl-CS"/>
        </w:rPr>
        <w:t>п</w:t>
      </w:r>
      <w:r w:rsidR="00A95B84" w:rsidRPr="00221978">
        <w:rPr>
          <w:rFonts w:ascii="Times New Roman" w:hAnsi="Times New Roman" w:cs="Times New Roman"/>
          <w:sz w:val="24"/>
          <w:szCs w:val="24"/>
          <w:lang w:val="sr-Cyrl-CS"/>
        </w:rPr>
        <w:t>оказатељу</w:t>
      </w:r>
      <w:r w:rsidR="00222422"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и гласи:</w:t>
      </w:r>
      <w:r w:rsidR="00577A47"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„Побољшан квалитет јавних политика и прописа.</w:t>
      </w:r>
      <w:r w:rsidR="009B73BA" w:rsidRPr="00221978">
        <w:rPr>
          <w:rFonts w:ascii="Times New Roman" w:hAnsi="Times New Roman" w:cs="Times New Roman"/>
          <w:sz w:val="24"/>
          <w:szCs w:val="24"/>
          <w:lang w:val="sr-Cyrl-CS"/>
        </w:rPr>
        <w:t xml:space="preserve">”    </w:t>
      </w:r>
    </w:p>
    <w:p w14:paraId="33185160" w14:textId="7C94A81F" w:rsidR="00A8352F" w:rsidRPr="00221978" w:rsidRDefault="00A8352F" w:rsidP="009915AE">
      <w:pPr>
        <w:suppressAutoHyphens/>
        <w:autoSpaceDN w:val="0"/>
        <w:spacing w:after="0" w:line="240" w:lineRule="auto"/>
        <w:ind w:firstLine="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Израђен је </w:t>
      </w:r>
      <w:r w:rsidR="00B20A96" w:rsidRPr="00221978">
        <w:rPr>
          <w:rFonts w:ascii="Times New Roman" w:hAnsi="Times New Roman" w:cs="Times New Roman"/>
          <w:sz w:val="24"/>
          <w:szCs w:val="24"/>
          <w:lang w:val="sr-Cyrl-CS"/>
        </w:rPr>
        <w:t>показатељ 2.</w:t>
      </w:r>
      <w:r w:rsidR="0079304D" w:rsidRPr="00221978">
        <w:rPr>
          <w:rFonts w:ascii="Times New Roman" w:hAnsi="Times New Roman" w:cs="Times New Roman"/>
          <w:sz w:val="24"/>
          <w:szCs w:val="24"/>
          <w:lang w:val="sr-Cyrl-CS"/>
        </w:rPr>
        <w:t xml:space="preserve"> и гласи:</w:t>
      </w:r>
    </w:p>
    <w:p w14:paraId="0CE768CF" w14:textId="309D64C9" w:rsidR="00A8352F" w:rsidRPr="00221978" w:rsidRDefault="00814D0D" w:rsidP="00A8352F">
      <w:pPr>
        <w:spacing w:after="120"/>
        <w:rPr>
          <w:rFonts w:ascii="Times New Roman" w:hAnsi="Times New Roman" w:cs="Times New Roman"/>
          <w:b/>
          <w:bCs/>
          <w:lang w:val="sr-Cyrl-CS"/>
        </w:rPr>
      </w:pPr>
      <w:r w:rsidRPr="00221978">
        <w:rPr>
          <w:rFonts w:ascii="Times New Roman" w:hAnsi="Times New Roman" w:cs="Times New Roman"/>
          <w:sz w:val="24"/>
          <w:szCs w:val="24"/>
          <w:lang w:val="sr-Cyrl-CS"/>
        </w:rPr>
        <w:t>„</w:t>
      </w:r>
      <w:r w:rsidR="0079304D" w:rsidRPr="00221978">
        <w:rPr>
          <w:rFonts w:ascii="Times New Roman" w:hAnsi="Times New Roman" w:cs="Times New Roman"/>
          <w:sz w:val="24"/>
          <w:szCs w:val="24"/>
          <w:lang w:val="sr-Cyrl-CS"/>
        </w:rPr>
        <w:t xml:space="preserve"> </w:t>
      </w:r>
      <w:r w:rsidR="00A8352F" w:rsidRPr="00221978">
        <w:rPr>
          <w:rFonts w:ascii="Times New Roman" w:hAnsi="Times New Roman" w:cs="Times New Roman"/>
          <w:b/>
          <w:bCs/>
          <w:lang w:val="sr-Cyrl-CS"/>
        </w:rPr>
        <w:t>Показатељ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11"/>
        <w:gridCol w:w="675"/>
        <w:gridCol w:w="675"/>
        <w:gridCol w:w="352"/>
        <w:gridCol w:w="324"/>
        <w:gridCol w:w="673"/>
        <w:gridCol w:w="675"/>
        <w:gridCol w:w="673"/>
        <w:gridCol w:w="673"/>
        <w:gridCol w:w="353"/>
        <w:gridCol w:w="320"/>
        <w:gridCol w:w="673"/>
        <w:gridCol w:w="673"/>
      </w:tblGrid>
      <w:tr w:rsidR="00A8352F" w:rsidRPr="00221978" w14:paraId="4E667E8E" w14:textId="77777777" w:rsidTr="001F7AEB">
        <w:trPr>
          <w:jc w:val="center"/>
        </w:trPr>
        <w:tc>
          <w:tcPr>
            <w:tcW w:w="1396" w:type="pct"/>
            <w:shd w:val="clear" w:color="auto" w:fill="E7E6E6"/>
            <w:vAlign w:val="center"/>
          </w:tcPr>
          <w:p w14:paraId="24AC8852" w14:textId="77777777" w:rsidR="00A8352F" w:rsidRPr="00221978" w:rsidRDefault="00A8352F" w:rsidP="001F7AEB">
            <w:pPr>
              <w:rPr>
                <w:rFonts w:ascii="Times New Roman" w:eastAsia="Calibri" w:hAnsi="Times New Roman" w:cs="Times New Roman"/>
                <w:b/>
                <w:bCs/>
                <w:sz w:val="20"/>
                <w:szCs w:val="20"/>
                <w:lang w:val="sr-Cyrl-CS"/>
              </w:rPr>
            </w:pPr>
            <w:r w:rsidRPr="00221978">
              <w:rPr>
                <w:rFonts w:ascii="Times New Roman" w:eastAsia="Calibri" w:hAnsi="Times New Roman" w:cs="Times New Roman"/>
                <w:b/>
                <w:bCs/>
                <w:sz w:val="20"/>
                <w:szCs w:val="20"/>
                <w:lang w:val="sr-Cyrl-CS"/>
              </w:rPr>
              <w:t>Назив показатеља</w:t>
            </w:r>
          </w:p>
        </w:tc>
        <w:tc>
          <w:tcPr>
            <w:tcW w:w="3604" w:type="pct"/>
            <w:gridSpan w:val="12"/>
            <w:shd w:val="clear" w:color="auto" w:fill="E7E6E6"/>
            <w:vAlign w:val="center"/>
          </w:tcPr>
          <w:p w14:paraId="09F67155" w14:textId="77777777" w:rsidR="00A8352F" w:rsidRPr="00221978" w:rsidRDefault="00A8352F" w:rsidP="001F7AEB">
            <w:pPr>
              <w:rPr>
                <w:rFonts w:ascii="Times New Roman" w:eastAsia="Calibri" w:hAnsi="Times New Roman" w:cs="Times New Roman"/>
                <w:b/>
                <w:bCs/>
                <w:sz w:val="20"/>
                <w:szCs w:val="20"/>
                <w:lang w:val="sr-Cyrl-CS"/>
              </w:rPr>
            </w:pPr>
            <w:r w:rsidRPr="00221978">
              <w:rPr>
                <w:rFonts w:ascii="Times New Roman" w:eastAsia="Calibri" w:hAnsi="Times New Roman" w:cs="Times New Roman"/>
                <w:b/>
                <w:bCs/>
                <w:sz w:val="20"/>
                <w:szCs w:val="20"/>
                <w:lang w:val="sr-Cyrl-CS"/>
              </w:rPr>
              <w:t>Индикатор усклађености и квалитета планирања политика</w:t>
            </w:r>
          </w:p>
        </w:tc>
      </w:tr>
      <w:tr w:rsidR="00A8352F" w:rsidRPr="00221978" w14:paraId="3AE2C99F" w14:textId="77777777" w:rsidTr="001F7AEB">
        <w:trPr>
          <w:jc w:val="center"/>
        </w:trPr>
        <w:tc>
          <w:tcPr>
            <w:tcW w:w="1396" w:type="pct"/>
          </w:tcPr>
          <w:p w14:paraId="4D11DBA9" w14:textId="77777777" w:rsidR="00A8352F" w:rsidRPr="00221978" w:rsidRDefault="00A8352F" w:rsidP="001F7AEB">
            <w:pPr>
              <w:rPr>
                <w:rFonts w:ascii="Times New Roman" w:eastAsia="Calibri" w:hAnsi="Times New Roman" w:cs="Times New Roman"/>
                <w:b/>
                <w:bCs/>
                <w:sz w:val="20"/>
                <w:szCs w:val="20"/>
                <w:lang w:val="sr-Cyrl-CS"/>
              </w:rPr>
            </w:pPr>
            <w:r w:rsidRPr="00221978">
              <w:rPr>
                <w:rFonts w:ascii="Times New Roman" w:eastAsia="Calibri" w:hAnsi="Times New Roman" w:cs="Times New Roman"/>
                <w:b/>
                <w:bCs/>
                <w:sz w:val="20"/>
                <w:szCs w:val="20"/>
                <w:lang w:val="sr-Cyrl-CS"/>
              </w:rPr>
              <w:t>Одговарајући општи циљ, посебан циљ или мера</w:t>
            </w:r>
          </w:p>
        </w:tc>
        <w:tc>
          <w:tcPr>
            <w:tcW w:w="3604" w:type="pct"/>
            <w:gridSpan w:val="12"/>
          </w:tcPr>
          <w:p w14:paraId="4124C693" w14:textId="33A7C06D" w:rsidR="00A8352F" w:rsidRPr="00221978" w:rsidRDefault="00A8352F" w:rsidP="001F7AEB">
            <w:pPr>
              <w:rPr>
                <w:rFonts w:ascii="Times New Roman" w:eastAsia="Calibri" w:hAnsi="Times New Roman" w:cs="Times New Roman"/>
                <w:sz w:val="20"/>
                <w:szCs w:val="20"/>
                <w:lang w:val="sr-Cyrl-CS"/>
              </w:rPr>
            </w:pPr>
            <w:r w:rsidRPr="00221978">
              <w:rPr>
                <w:rFonts w:ascii="Times New Roman" w:eastAsia="Calibri" w:hAnsi="Times New Roman" w:cs="Times New Roman"/>
                <w:b/>
                <w:bCs/>
                <w:sz w:val="20"/>
                <w:szCs w:val="20"/>
                <w:lang w:val="sr-Cyrl-CS"/>
              </w:rPr>
              <w:t xml:space="preserve">Посебан циљ 1: </w:t>
            </w:r>
            <w:r w:rsidRPr="00221978">
              <w:rPr>
                <w:rFonts w:ascii="Times New Roman" w:eastAsia="Calibri" w:hAnsi="Times New Roman" w:cs="Times New Roman"/>
                <w:bCs/>
                <w:sz w:val="20"/>
                <w:szCs w:val="20"/>
                <w:lang w:val="sr-Cyrl-CS"/>
              </w:rPr>
              <w:t xml:space="preserve">Побољшан </w:t>
            </w:r>
            <w:r w:rsidRPr="00221978">
              <w:rPr>
                <w:rFonts w:ascii="Times New Roman" w:eastAsia="Calibri" w:hAnsi="Times New Roman" w:cs="Times New Roman"/>
                <w:sz w:val="20"/>
                <w:szCs w:val="20"/>
                <w:lang w:val="sr-Cyrl-CS"/>
              </w:rPr>
              <w:t xml:space="preserve">квалитет јавних политика и прописа </w:t>
            </w:r>
          </w:p>
        </w:tc>
      </w:tr>
      <w:tr w:rsidR="00A8352F" w:rsidRPr="00221978" w14:paraId="5A8259A4" w14:textId="77777777" w:rsidTr="00814D0D">
        <w:trPr>
          <w:jc w:val="center"/>
        </w:trPr>
        <w:tc>
          <w:tcPr>
            <w:tcW w:w="1396" w:type="pct"/>
          </w:tcPr>
          <w:p w14:paraId="295DB8E5" w14:textId="77777777" w:rsidR="00A8352F" w:rsidRPr="00221978" w:rsidRDefault="00A8352F" w:rsidP="001F7AEB">
            <w:pPr>
              <w:rPr>
                <w:rFonts w:ascii="Times New Roman" w:eastAsia="Calibri" w:hAnsi="Times New Roman" w:cs="Times New Roman"/>
                <w:b/>
                <w:bCs/>
                <w:sz w:val="20"/>
                <w:szCs w:val="20"/>
                <w:lang w:val="sr-Cyrl-CS"/>
              </w:rPr>
            </w:pPr>
            <w:r w:rsidRPr="00221978">
              <w:rPr>
                <w:rFonts w:ascii="Times New Roman" w:eastAsia="Calibri" w:hAnsi="Times New Roman" w:cs="Times New Roman"/>
                <w:b/>
                <w:kern w:val="24"/>
                <w:sz w:val="20"/>
                <w:szCs w:val="20"/>
                <w:lang w:val="sr-Cyrl-CS"/>
              </w:rPr>
              <w:t>Тип и ниво показатеља</w:t>
            </w:r>
          </w:p>
        </w:tc>
        <w:tc>
          <w:tcPr>
            <w:tcW w:w="1804" w:type="pct"/>
            <w:gridSpan w:val="6"/>
          </w:tcPr>
          <w:p w14:paraId="0B8B04C2" w14:textId="77777777" w:rsidR="00A8352F" w:rsidRPr="00221978" w:rsidRDefault="00A8352F" w:rsidP="00A8352F">
            <w:pPr>
              <w:numPr>
                <w:ilvl w:val="0"/>
                <w:numId w:val="32"/>
              </w:numPr>
              <w:tabs>
                <w:tab w:val="left" w:pos="152"/>
              </w:tabs>
              <w:spacing w:after="60" w:line="240" w:lineRule="auto"/>
              <w:ind w:left="1" w:firstLine="0"/>
              <w:contextualSpacing/>
              <w:rPr>
                <w:rFonts w:ascii="Times New Roman" w:eastAsia="Calibri" w:hAnsi="Times New Roman" w:cs="Times New Roman"/>
                <w:bCs/>
                <w:kern w:val="24"/>
                <w:sz w:val="20"/>
                <w:szCs w:val="20"/>
                <w:lang w:val="sr-Cyrl-CS"/>
              </w:rPr>
            </w:pPr>
            <w:r w:rsidRPr="00221978">
              <w:rPr>
                <w:rFonts w:ascii="Times New Roman" w:eastAsia="Calibri" w:hAnsi="Times New Roman" w:cs="Times New Roman"/>
                <w:bCs/>
                <w:kern w:val="24"/>
                <w:sz w:val="20"/>
                <w:szCs w:val="20"/>
                <w:lang w:val="sr-Cyrl-CS"/>
              </w:rPr>
              <w:t>Квантитативни</w:t>
            </w:r>
          </w:p>
        </w:tc>
        <w:tc>
          <w:tcPr>
            <w:tcW w:w="1799" w:type="pct"/>
            <w:gridSpan w:val="6"/>
          </w:tcPr>
          <w:p w14:paraId="6F42389A" w14:textId="77777777" w:rsidR="00A8352F" w:rsidRPr="00221978" w:rsidRDefault="00A8352F" w:rsidP="00A8352F">
            <w:pPr>
              <w:numPr>
                <w:ilvl w:val="0"/>
                <w:numId w:val="32"/>
              </w:numPr>
              <w:tabs>
                <w:tab w:val="left" w:pos="152"/>
              </w:tabs>
              <w:spacing w:after="60" w:line="240" w:lineRule="auto"/>
              <w:ind w:left="1" w:firstLine="0"/>
              <w:contextualSpacing/>
              <w:rPr>
                <w:rFonts w:ascii="Times New Roman" w:eastAsia="Calibri" w:hAnsi="Times New Roman" w:cs="Times New Roman"/>
                <w:bCs/>
                <w:kern w:val="24"/>
                <w:sz w:val="20"/>
                <w:szCs w:val="20"/>
                <w:lang w:val="sr-Cyrl-CS"/>
              </w:rPr>
            </w:pPr>
            <w:r w:rsidRPr="00221978">
              <w:rPr>
                <w:rFonts w:ascii="Times New Roman" w:eastAsia="Calibri" w:hAnsi="Times New Roman" w:cs="Times New Roman"/>
                <w:bCs/>
                <w:kern w:val="24"/>
                <w:sz w:val="20"/>
                <w:szCs w:val="20"/>
                <w:lang w:val="sr-Cyrl-CS"/>
              </w:rPr>
              <w:t>Показатељ исхода</w:t>
            </w:r>
          </w:p>
        </w:tc>
      </w:tr>
      <w:tr w:rsidR="00A8352F" w:rsidRPr="00221978" w14:paraId="40E21794" w14:textId="77777777" w:rsidTr="00814D0D">
        <w:trPr>
          <w:trHeight w:val="58"/>
          <w:jc w:val="center"/>
        </w:trPr>
        <w:tc>
          <w:tcPr>
            <w:tcW w:w="1396" w:type="pct"/>
          </w:tcPr>
          <w:p w14:paraId="55B5BF6B" w14:textId="77777777" w:rsidR="00A8352F" w:rsidRPr="00221978" w:rsidRDefault="00A8352F" w:rsidP="001F7AEB">
            <w:pPr>
              <w:rPr>
                <w:rFonts w:ascii="Times New Roman" w:eastAsia="Calibri" w:hAnsi="Times New Roman" w:cs="Times New Roman"/>
                <w:b/>
                <w:kern w:val="24"/>
                <w:sz w:val="20"/>
                <w:szCs w:val="20"/>
                <w:lang w:val="sr-Cyrl-CS"/>
              </w:rPr>
            </w:pPr>
            <w:r w:rsidRPr="00221978">
              <w:rPr>
                <w:rFonts w:ascii="Times New Roman" w:eastAsia="Calibri" w:hAnsi="Times New Roman" w:cs="Times New Roman"/>
                <w:b/>
                <w:kern w:val="24"/>
                <w:sz w:val="20"/>
                <w:szCs w:val="20"/>
                <w:lang w:val="sr-Cyrl-CS"/>
              </w:rPr>
              <w:t>Јединица мере и природа</w:t>
            </w:r>
          </w:p>
        </w:tc>
        <w:tc>
          <w:tcPr>
            <w:tcW w:w="1804" w:type="pct"/>
            <w:gridSpan w:val="6"/>
          </w:tcPr>
          <w:p w14:paraId="387D59B7" w14:textId="77777777" w:rsidR="00A8352F" w:rsidRPr="00221978" w:rsidRDefault="00A8352F" w:rsidP="00A8352F">
            <w:pPr>
              <w:numPr>
                <w:ilvl w:val="0"/>
                <w:numId w:val="32"/>
              </w:numPr>
              <w:tabs>
                <w:tab w:val="left" w:pos="152"/>
              </w:tabs>
              <w:spacing w:after="60" w:line="240" w:lineRule="auto"/>
              <w:ind w:left="1" w:firstLine="0"/>
              <w:contextualSpacing/>
              <w:rPr>
                <w:rFonts w:ascii="Times New Roman" w:eastAsia="Calibri" w:hAnsi="Times New Roman" w:cs="Times New Roman"/>
                <w:bCs/>
                <w:kern w:val="24"/>
                <w:sz w:val="20"/>
                <w:szCs w:val="20"/>
                <w:lang w:val="sr-Cyrl-CS"/>
              </w:rPr>
            </w:pPr>
            <w:r w:rsidRPr="00221978">
              <w:rPr>
                <w:rFonts w:ascii="Times New Roman" w:eastAsia="Calibri" w:hAnsi="Times New Roman" w:cs="Times New Roman"/>
                <w:bCs/>
                <w:kern w:val="24"/>
                <w:sz w:val="20"/>
                <w:szCs w:val="20"/>
                <w:lang w:val="sr-Cyrl-CS"/>
              </w:rPr>
              <w:t>Ранг</w:t>
            </w:r>
          </w:p>
        </w:tc>
        <w:tc>
          <w:tcPr>
            <w:tcW w:w="1799" w:type="pct"/>
            <w:gridSpan w:val="6"/>
          </w:tcPr>
          <w:p w14:paraId="3BE7A642" w14:textId="77777777" w:rsidR="00A8352F" w:rsidRPr="00221978" w:rsidRDefault="00A8352F" w:rsidP="00A8352F">
            <w:pPr>
              <w:numPr>
                <w:ilvl w:val="0"/>
                <w:numId w:val="32"/>
              </w:numPr>
              <w:tabs>
                <w:tab w:val="left" w:pos="152"/>
              </w:tabs>
              <w:spacing w:after="60" w:line="240" w:lineRule="auto"/>
              <w:ind w:left="1" w:firstLine="0"/>
              <w:contextualSpacing/>
              <w:rPr>
                <w:rFonts w:ascii="Times New Roman" w:eastAsia="Calibri" w:hAnsi="Times New Roman" w:cs="Times New Roman"/>
                <w:bCs/>
                <w:kern w:val="24"/>
                <w:sz w:val="20"/>
                <w:szCs w:val="20"/>
                <w:lang w:val="sr-Cyrl-CS"/>
              </w:rPr>
            </w:pPr>
            <w:r w:rsidRPr="00221978">
              <w:rPr>
                <w:rFonts w:ascii="Times New Roman" w:eastAsia="Calibri" w:hAnsi="Times New Roman" w:cs="Times New Roman"/>
                <w:bCs/>
                <w:kern w:val="24"/>
                <w:sz w:val="20"/>
                <w:szCs w:val="20"/>
                <w:lang w:val="sr-Cyrl-CS"/>
              </w:rPr>
              <w:t>Виша вредност је боља</w:t>
            </w:r>
          </w:p>
        </w:tc>
      </w:tr>
      <w:tr w:rsidR="00A8352F" w:rsidRPr="00221978" w14:paraId="16E52043" w14:textId="77777777" w:rsidTr="001F7AEB">
        <w:trPr>
          <w:jc w:val="center"/>
        </w:trPr>
        <w:tc>
          <w:tcPr>
            <w:tcW w:w="1396" w:type="pct"/>
          </w:tcPr>
          <w:p w14:paraId="3CAF6E4B" w14:textId="77777777" w:rsidR="00A8352F" w:rsidRPr="00221978" w:rsidRDefault="00A8352F" w:rsidP="001F7AEB">
            <w:pPr>
              <w:rPr>
                <w:rFonts w:ascii="Times New Roman" w:eastAsia="Calibri" w:hAnsi="Times New Roman" w:cs="Times New Roman"/>
                <w:b/>
                <w:bCs/>
                <w:sz w:val="20"/>
                <w:szCs w:val="20"/>
                <w:lang w:val="sr-Cyrl-CS"/>
              </w:rPr>
            </w:pPr>
            <w:r w:rsidRPr="00221978">
              <w:rPr>
                <w:rFonts w:ascii="Times New Roman" w:eastAsia="Calibri" w:hAnsi="Times New Roman" w:cs="Times New Roman"/>
                <w:b/>
                <w:bCs/>
                <w:sz w:val="20"/>
                <w:szCs w:val="20"/>
                <w:lang w:val="sr-Cyrl-CS"/>
              </w:rPr>
              <w:lastRenderedPageBreak/>
              <w:t>Извор података за праћење показатеља учинка</w:t>
            </w:r>
          </w:p>
        </w:tc>
        <w:tc>
          <w:tcPr>
            <w:tcW w:w="3604" w:type="pct"/>
            <w:gridSpan w:val="12"/>
          </w:tcPr>
          <w:p w14:paraId="42E2EE84" w14:textId="4AF493A5" w:rsidR="00A8352F" w:rsidRPr="00221978" w:rsidRDefault="00A8352F" w:rsidP="00A8352F">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Интерна евиденција РСЈП</w:t>
            </w:r>
          </w:p>
        </w:tc>
      </w:tr>
      <w:tr w:rsidR="00A8352F" w:rsidRPr="00221978" w14:paraId="583DB1A0" w14:textId="77777777" w:rsidTr="001F7AEB">
        <w:trPr>
          <w:jc w:val="center"/>
        </w:trPr>
        <w:tc>
          <w:tcPr>
            <w:tcW w:w="1396" w:type="pct"/>
          </w:tcPr>
          <w:p w14:paraId="6F1369CD" w14:textId="77777777" w:rsidR="00A8352F" w:rsidRPr="00221978" w:rsidRDefault="00A8352F" w:rsidP="001F7AEB">
            <w:pPr>
              <w:rPr>
                <w:rFonts w:ascii="Times New Roman" w:eastAsia="Calibri" w:hAnsi="Times New Roman" w:cs="Times New Roman"/>
                <w:b/>
                <w:bCs/>
                <w:sz w:val="20"/>
                <w:szCs w:val="20"/>
                <w:lang w:val="sr-Cyrl-CS"/>
              </w:rPr>
            </w:pPr>
            <w:r w:rsidRPr="00221978">
              <w:rPr>
                <w:rFonts w:ascii="Times New Roman" w:eastAsia="Calibri" w:hAnsi="Times New Roman" w:cs="Times New Roman"/>
                <w:b/>
                <w:bCs/>
                <w:sz w:val="20"/>
                <w:szCs w:val="20"/>
                <w:lang w:val="sr-Cyrl-CS"/>
              </w:rPr>
              <w:t>Институција одговорна за реализацију циља/мере</w:t>
            </w:r>
          </w:p>
        </w:tc>
        <w:tc>
          <w:tcPr>
            <w:tcW w:w="3604" w:type="pct"/>
            <w:gridSpan w:val="12"/>
          </w:tcPr>
          <w:p w14:paraId="56CED7E8" w14:textId="77777777" w:rsidR="00A8352F" w:rsidRPr="00221978" w:rsidRDefault="00A8352F" w:rsidP="001F7AEB">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РСЈП</w:t>
            </w:r>
          </w:p>
        </w:tc>
      </w:tr>
      <w:tr w:rsidR="00A8352F" w:rsidRPr="00221978" w14:paraId="06BFBCEF" w14:textId="77777777" w:rsidTr="001F7AEB">
        <w:trPr>
          <w:jc w:val="center"/>
        </w:trPr>
        <w:tc>
          <w:tcPr>
            <w:tcW w:w="1396" w:type="pct"/>
          </w:tcPr>
          <w:p w14:paraId="51D438DE" w14:textId="77777777" w:rsidR="00A8352F" w:rsidRPr="00221978" w:rsidRDefault="00A8352F" w:rsidP="001F7AEB">
            <w:pPr>
              <w:rPr>
                <w:rFonts w:ascii="Times New Roman" w:eastAsia="Calibri" w:hAnsi="Times New Roman" w:cs="Times New Roman"/>
                <w:b/>
                <w:bCs/>
                <w:sz w:val="20"/>
                <w:szCs w:val="20"/>
                <w:lang w:val="sr-Cyrl-CS"/>
              </w:rPr>
            </w:pPr>
            <w:r w:rsidRPr="00221978">
              <w:rPr>
                <w:rFonts w:ascii="Times New Roman" w:eastAsia="Calibri" w:hAnsi="Times New Roman" w:cs="Times New Roman"/>
                <w:b/>
                <w:bCs/>
                <w:sz w:val="20"/>
                <w:szCs w:val="20"/>
                <w:lang w:val="sr-Cyrl-CS"/>
              </w:rPr>
              <w:t>Учесталост прикупљања података</w:t>
            </w:r>
          </w:p>
        </w:tc>
        <w:tc>
          <w:tcPr>
            <w:tcW w:w="3604" w:type="pct"/>
            <w:gridSpan w:val="12"/>
          </w:tcPr>
          <w:p w14:paraId="55966C25" w14:textId="77777777" w:rsidR="00A8352F" w:rsidRPr="00221978" w:rsidRDefault="00A8352F" w:rsidP="001F7AEB">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Показатељ се објављује једном годишње и то у текућој години за претходну годину</w:t>
            </w:r>
          </w:p>
        </w:tc>
      </w:tr>
      <w:tr w:rsidR="00A8352F" w:rsidRPr="00221978" w14:paraId="702FDF52" w14:textId="77777777" w:rsidTr="001F7AEB">
        <w:trPr>
          <w:jc w:val="center"/>
        </w:trPr>
        <w:tc>
          <w:tcPr>
            <w:tcW w:w="1396" w:type="pct"/>
          </w:tcPr>
          <w:p w14:paraId="04BFC91C" w14:textId="77777777" w:rsidR="00A8352F" w:rsidRPr="00221978" w:rsidRDefault="00A8352F" w:rsidP="001F7AEB">
            <w:pPr>
              <w:rPr>
                <w:rFonts w:ascii="Times New Roman" w:eastAsia="Calibri" w:hAnsi="Times New Roman" w:cs="Times New Roman"/>
                <w:b/>
                <w:sz w:val="20"/>
                <w:szCs w:val="20"/>
                <w:lang w:val="sr-Cyrl-CS"/>
              </w:rPr>
            </w:pPr>
            <w:r w:rsidRPr="00221978">
              <w:rPr>
                <w:rFonts w:ascii="Times New Roman" w:eastAsia="Calibri" w:hAnsi="Times New Roman" w:cs="Times New Roman"/>
                <w:b/>
                <w:sz w:val="20"/>
                <w:szCs w:val="20"/>
                <w:lang w:val="sr-Cyrl-CS"/>
              </w:rPr>
              <w:t>Кратак опис показатеља и методологије израчунавања</w:t>
            </w:r>
          </w:p>
          <w:p w14:paraId="4C92F80F" w14:textId="77777777" w:rsidR="00A8352F" w:rsidRPr="00221978" w:rsidRDefault="00A8352F" w:rsidP="001F7AEB">
            <w:pPr>
              <w:rPr>
                <w:rFonts w:ascii="Times New Roman" w:eastAsia="Calibri" w:hAnsi="Times New Roman" w:cs="Times New Roman"/>
                <w:b/>
                <w:bCs/>
                <w:sz w:val="20"/>
                <w:szCs w:val="20"/>
                <w:lang w:val="sr-Cyrl-CS"/>
              </w:rPr>
            </w:pPr>
            <w:r w:rsidRPr="00221978">
              <w:rPr>
                <w:rFonts w:ascii="Times New Roman" w:eastAsia="Calibri" w:hAnsi="Times New Roman" w:cs="Times New Roman"/>
                <w:b/>
                <w:sz w:val="20"/>
                <w:szCs w:val="20"/>
                <w:lang w:val="sr-Cyrl-CS"/>
              </w:rPr>
              <w:t>(формуле/једначине)</w:t>
            </w:r>
          </w:p>
        </w:tc>
        <w:tc>
          <w:tcPr>
            <w:tcW w:w="3604" w:type="pct"/>
            <w:gridSpan w:val="12"/>
          </w:tcPr>
          <w:p w14:paraId="3D433CD4" w14:textId="77777777" w:rsidR="00A8352F" w:rsidRPr="00221978" w:rsidRDefault="00A8352F" w:rsidP="001F7AEB">
            <w:pPr>
              <w:spacing w:after="0"/>
              <w:rPr>
                <w:rFonts w:ascii="Times New Roman" w:eastAsia="Times New Roman" w:hAnsi="Times New Roman" w:cs="Times New Roman"/>
                <w:bCs/>
                <w:sz w:val="20"/>
                <w:szCs w:val="20"/>
                <w:lang w:val="sr-Cyrl-CS" w:eastAsia="en-GB"/>
              </w:rPr>
            </w:pPr>
            <w:r w:rsidRPr="00221978">
              <w:rPr>
                <w:rFonts w:ascii="Times New Roman" w:eastAsia="Times New Roman" w:hAnsi="Times New Roman" w:cs="Times New Roman"/>
                <w:b/>
                <w:bCs/>
                <w:sz w:val="20"/>
                <w:szCs w:val="20"/>
                <w:lang w:val="sr-Cyrl-CS" w:eastAsia="en-GB"/>
              </w:rPr>
              <w:t>Подпоказатељ 1</w:t>
            </w:r>
            <w:r w:rsidRPr="00221978">
              <w:rPr>
                <w:rFonts w:ascii="Times New Roman" w:eastAsia="Times New Roman" w:hAnsi="Times New Roman" w:cs="Times New Roman"/>
                <w:bCs/>
                <w:sz w:val="20"/>
                <w:szCs w:val="20"/>
                <w:lang w:val="sr-Cyrl-CS" w:eastAsia="en-GB"/>
              </w:rPr>
              <w:t>: Квалитет ДЈП (</w:t>
            </w:r>
            <w:r w:rsidRPr="00221978">
              <w:rPr>
                <w:rFonts w:ascii="Times New Roman" w:eastAsia="Times New Roman" w:hAnsi="Times New Roman" w:cs="Times New Roman"/>
                <w:b/>
                <w:bCs/>
                <w:sz w:val="20"/>
                <w:szCs w:val="20"/>
                <w:lang w:val="sr-Cyrl-CS" w:eastAsia="en-GB"/>
              </w:rPr>
              <w:t>max 5 поена</w:t>
            </w:r>
            <w:r w:rsidRPr="00221978">
              <w:rPr>
                <w:rFonts w:ascii="Times New Roman" w:eastAsia="Times New Roman" w:hAnsi="Times New Roman" w:cs="Times New Roman"/>
                <w:bCs/>
                <w:sz w:val="20"/>
                <w:szCs w:val="20"/>
                <w:lang w:val="sr-Cyrl-CS" w:eastAsia="en-GB"/>
              </w:rPr>
              <w:t>)</w:t>
            </w:r>
          </w:p>
          <w:p w14:paraId="578161A3" w14:textId="77777777" w:rsidR="00A8352F" w:rsidRPr="00221978" w:rsidRDefault="00A8352F" w:rsidP="001F7AEB">
            <w:pPr>
              <w:spacing w:after="0"/>
              <w:rPr>
                <w:rFonts w:ascii="Times New Roman" w:eastAsia="Times New Roman" w:hAnsi="Times New Roman" w:cs="Times New Roman"/>
                <w:sz w:val="20"/>
                <w:szCs w:val="20"/>
                <w:u w:val="single"/>
                <w:lang w:val="sr-Cyrl-CS" w:eastAsia="en-GB"/>
              </w:rPr>
            </w:pPr>
            <w:r w:rsidRPr="00221978">
              <w:rPr>
                <w:rFonts w:ascii="Times New Roman" w:eastAsia="Times New Roman" w:hAnsi="Times New Roman" w:cs="Times New Roman"/>
                <w:sz w:val="20"/>
                <w:szCs w:val="20"/>
                <w:u w:val="single"/>
                <w:lang w:val="sr-Cyrl-CS" w:eastAsia="en-GB"/>
              </w:rPr>
              <w:t>Опис и методологија:</w:t>
            </w:r>
          </w:p>
          <w:p w14:paraId="198B9524" w14:textId="77777777" w:rsidR="00A8352F" w:rsidRPr="00221978" w:rsidRDefault="00A8352F" w:rsidP="001F7AEB">
            <w:pPr>
              <w:spacing w:after="0"/>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Преглед на узорку од пет последње усвојених ДЈП са АП у протеклој години да би се утврдило да ли садрже свеобухватне информације.</w:t>
            </w:r>
          </w:p>
          <w:p w14:paraId="1AE54146" w14:textId="77777777" w:rsidR="00A8352F" w:rsidRPr="00221978" w:rsidRDefault="00A8352F" w:rsidP="001F7AEB">
            <w:pPr>
              <w:spacing w:after="0"/>
              <w:rPr>
                <w:rFonts w:ascii="Times New Roman" w:eastAsia="Times New Roman" w:hAnsi="Times New Roman" w:cs="Times New Roman"/>
                <w:sz w:val="20"/>
                <w:szCs w:val="20"/>
                <w:u w:val="single"/>
                <w:lang w:val="sr-Cyrl-CS" w:eastAsia="en-GB"/>
              </w:rPr>
            </w:pPr>
            <w:r w:rsidRPr="00221978">
              <w:rPr>
                <w:rFonts w:ascii="Times New Roman" w:eastAsia="Times New Roman" w:hAnsi="Times New Roman" w:cs="Times New Roman"/>
                <w:sz w:val="20"/>
                <w:szCs w:val="20"/>
                <w:u w:val="single"/>
                <w:lang w:val="sr-Cyrl-CS" w:eastAsia="en-GB"/>
              </w:rPr>
              <w:t>Критеријуми за подпоказатељ:</w:t>
            </w:r>
          </w:p>
          <w:p w14:paraId="6805E0EF" w14:textId="77777777" w:rsidR="00A8352F" w:rsidRPr="00221978" w:rsidRDefault="00A8352F" w:rsidP="001F7AEB">
            <w:pPr>
              <w:spacing w:after="0"/>
              <w:ind w:left="142" w:hanging="142"/>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- 5 поена = све ДЈП садрже ситуациону анализу са анализом проблема, циљеве политика и исходне показатеље са циљним вредностима, активности са роковима, трошковима и одговорним институцијама, са јасно дефинисаним институционалним оквиром за управљање спровођењем и извештавање.</w:t>
            </w:r>
          </w:p>
          <w:p w14:paraId="44932E1B" w14:textId="77777777" w:rsidR="00A8352F" w:rsidRPr="00221978" w:rsidRDefault="00A8352F" w:rsidP="001F7AEB">
            <w:pPr>
              <w:spacing w:after="0"/>
              <w:ind w:left="142" w:hanging="142"/>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- 4 поена = 80% ДЈП садрже ситуациону анализу са анализом проблема, циљеве политика и исходне показатеље са циљним вредностима, активности са роковима, трошковима и одговорним институцијама, са јасно дефинисаним институционалним оквиром за управљање спровођењем и извештавање.</w:t>
            </w:r>
          </w:p>
          <w:p w14:paraId="5D5C9042" w14:textId="77777777" w:rsidR="00A8352F" w:rsidRPr="00221978" w:rsidRDefault="00A8352F" w:rsidP="001F7AEB">
            <w:pPr>
              <w:spacing w:after="0"/>
              <w:ind w:left="142" w:hanging="142"/>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- 3 поена = 60% ДЈП ...</w:t>
            </w:r>
          </w:p>
          <w:p w14:paraId="431714A2" w14:textId="77777777" w:rsidR="00A8352F" w:rsidRPr="00221978" w:rsidRDefault="00A8352F" w:rsidP="001F7AEB">
            <w:pPr>
              <w:spacing w:after="0"/>
              <w:ind w:left="142" w:hanging="142"/>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- 2 поена = 40% ДЈП ...</w:t>
            </w:r>
          </w:p>
          <w:p w14:paraId="677F70D4" w14:textId="77777777" w:rsidR="00A8352F" w:rsidRPr="00221978" w:rsidRDefault="00A8352F" w:rsidP="001F7AEB">
            <w:pPr>
              <w:spacing w:after="0"/>
              <w:ind w:left="142" w:hanging="142"/>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- 1 поен = 20% ДЈП ...</w:t>
            </w:r>
          </w:p>
          <w:p w14:paraId="1F185706" w14:textId="77777777" w:rsidR="00A8352F" w:rsidRPr="00221978" w:rsidRDefault="00A8352F" w:rsidP="001F7AEB">
            <w:pPr>
              <w:spacing w:after="0"/>
              <w:rPr>
                <w:rFonts w:ascii="Times New Roman" w:eastAsia="Times New Roman" w:hAnsi="Times New Roman" w:cs="Times New Roman"/>
                <w:b/>
                <w:bCs/>
                <w:sz w:val="20"/>
                <w:szCs w:val="20"/>
                <w:lang w:val="sr-Cyrl-CS" w:eastAsia="en-GB"/>
              </w:rPr>
            </w:pPr>
          </w:p>
          <w:p w14:paraId="03CF4B23" w14:textId="77777777" w:rsidR="00A8352F" w:rsidRPr="00221978" w:rsidRDefault="00A8352F" w:rsidP="001F7AEB">
            <w:pPr>
              <w:spacing w:after="0"/>
              <w:rPr>
                <w:rFonts w:ascii="Times New Roman" w:eastAsia="Times New Roman" w:hAnsi="Times New Roman" w:cs="Times New Roman"/>
                <w:bCs/>
                <w:sz w:val="20"/>
                <w:szCs w:val="20"/>
                <w:lang w:val="sr-Cyrl-CS" w:eastAsia="en-GB"/>
              </w:rPr>
            </w:pPr>
            <w:r w:rsidRPr="00221978">
              <w:rPr>
                <w:rFonts w:ascii="Times New Roman" w:eastAsia="Times New Roman" w:hAnsi="Times New Roman" w:cs="Times New Roman"/>
                <w:b/>
                <w:bCs/>
                <w:sz w:val="20"/>
                <w:szCs w:val="20"/>
                <w:lang w:val="sr-Cyrl-CS" w:eastAsia="en-GB"/>
              </w:rPr>
              <w:t>Подпоказатељ 2</w:t>
            </w:r>
            <w:r w:rsidRPr="00221978">
              <w:rPr>
                <w:rFonts w:ascii="Times New Roman" w:eastAsia="Times New Roman" w:hAnsi="Times New Roman" w:cs="Times New Roman"/>
                <w:bCs/>
                <w:sz w:val="20"/>
                <w:szCs w:val="20"/>
                <w:lang w:val="sr-Cyrl-CS" w:eastAsia="en-GB"/>
              </w:rPr>
              <w:t>: Усклађеност између планских докумената на централном нивоу (</w:t>
            </w:r>
            <w:r w:rsidRPr="00221978">
              <w:rPr>
                <w:rFonts w:ascii="Times New Roman" w:eastAsia="Times New Roman" w:hAnsi="Times New Roman" w:cs="Times New Roman"/>
                <w:b/>
                <w:bCs/>
                <w:sz w:val="20"/>
                <w:szCs w:val="20"/>
                <w:lang w:val="sr-Cyrl-CS" w:eastAsia="en-GB"/>
              </w:rPr>
              <w:t>max. 5 поена</w:t>
            </w:r>
            <w:r w:rsidRPr="00221978">
              <w:rPr>
                <w:rFonts w:ascii="Times New Roman" w:eastAsia="Times New Roman" w:hAnsi="Times New Roman" w:cs="Times New Roman"/>
                <w:bCs/>
                <w:sz w:val="20"/>
                <w:szCs w:val="20"/>
                <w:lang w:val="sr-Cyrl-CS" w:eastAsia="en-GB"/>
              </w:rPr>
              <w:t>)</w:t>
            </w:r>
          </w:p>
          <w:p w14:paraId="42823BE8" w14:textId="77777777" w:rsidR="00A8352F" w:rsidRPr="00221978" w:rsidRDefault="00A8352F" w:rsidP="001F7AEB">
            <w:pPr>
              <w:spacing w:after="0"/>
              <w:rPr>
                <w:rFonts w:ascii="Times New Roman" w:eastAsia="Times New Roman" w:hAnsi="Times New Roman" w:cs="Times New Roman"/>
                <w:sz w:val="20"/>
                <w:szCs w:val="20"/>
                <w:lang w:val="sr-Cyrl-CS" w:eastAsia="en-GB"/>
              </w:rPr>
            </w:pPr>
          </w:p>
          <w:p w14:paraId="194103FB" w14:textId="77777777" w:rsidR="00A8352F" w:rsidRPr="00221978" w:rsidRDefault="00A8352F" w:rsidP="001F7AEB">
            <w:pPr>
              <w:spacing w:after="0"/>
              <w:rPr>
                <w:rFonts w:ascii="Times New Roman" w:eastAsia="Times New Roman" w:hAnsi="Times New Roman" w:cs="Times New Roman"/>
                <w:sz w:val="20"/>
                <w:szCs w:val="20"/>
                <w:u w:val="single"/>
                <w:lang w:val="sr-Cyrl-CS" w:eastAsia="en-GB"/>
              </w:rPr>
            </w:pPr>
            <w:r w:rsidRPr="00221978">
              <w:rPr>
                <w:rFonts w:ascii="Times New Roman" w:eastAsia="Times New Roman" w:hAnsi="Times New Roman" w:cs="Times New Roman"/>
                <w:sz w:val="20"/>
                <w:szCs w:val="20"/>
                <w:u w:val="single"/>
                <w:lang w:val="sr-Cyrl-CS" w:eastAsia="en-GB"/>
              </w:rPr>
              <w:t>Опис и методологија:</w:t>
            </w:r>
          </w:p>
          <w:p w14:paraId="6E427FB5" w14:textId="77777777" w:rsidR="00A8352F" w:rsidRPr="00221978" w:rsidRDefault="00A8352F" w:rsidP="00A8352F">
            <w:pPr>
              <w:numPr>
                <w:ilvl w:val="0"/>
                <w:numId w:val="33"/>
              </w:numPr>
              <w:spacing w:after="0"/>
              <w:contextualSpacing/>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 xml:space="preserve">Усклађеност приоритета АПСПВ са циљевима/мерама у усвојеним средњорочним плановима се оцењује тако што се идентификују неслагања између тих документа. </w:t>
            </w:r>
          </w:p>
          <w:p w14:paraId="082A468E" w14:textId="77777777" w:rsidR="00A8352F" w:rsidRPr="00221978" w:rsidRDefault="00A8352F" w:rsidP="00A8352F">
            <w:pPr>
              <w:numPr>
                <w:ilvl w:val="0"/>
                <w:numId w:val="33"/>
              </w:numPr>
              <w:spacing w:after="0"/>
              <w:contextualSpacing/>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Усклађеност планираних активности у ГПРВ за годину x са активностима у ДЈП за ту исту годину: Минимум 80% прописа предвиђених у ДЈП треба да се нађу у ГПРВ са истоветним роковима за максимум поена. Да би се израчунао % треба идентификовати број прописа предвиђен АП-овима у пет последње усвојених ДЈП протекле године који су интегрисани у ГПРВ за наредну годину и поделити са укупним бројем планираних прописа у АП-овима који су анализирани.</w:t>
            </w:r>
          </w:p>
          <w:p w14:paraId="58E17C8B" w14:textId="77777777" w:rsidR="00A8352F" w:rsidRPr="00221978" w:rsidRDefault="00A8352F" w:rsidP="00A8352F">
            <w:pPr>
              <w:numPr>
                <w:ilvl w:val="0"/>
                <w:numId w:val="33"/>
              </w:numPr>
              <w:spacing w:after="0"/>
              <w:contextualSpacing/>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 xml:space="preserve">Оцењује се да Влада користи показатеље на нивоу исхода уколико 60% Владиних приоритета садржи исходне показатеље. </w:t>
            </w:r>
          </w:p>
          <w:p w14:paraId="5D73BADC" w14:textId="77777777" w:rsidR="00A8352F" w:rsidRPr="00221978" w:rsidRDefault="00A8352F" w:rsidP="001F7AEB">
            <w:pPr>
              <w:spacing w:after="0"/>
              <w:rPr>
                <w:rFonts w:ascii="Times New Roman" w:eastAsia="Times New Roman" w:hAnsi="Times New Roman" w:cs="Times New Roman"/>
                <w:sz w:val="20"/>
                <w:szCs w:val="20"/>
                <w:u w:val="single"/>
                <w:lang w:val="sr-Cyrl-CS" w:eastAsia="en-GB"/>
              </w:rPr>
            </w:pPr>
            <w:r w:rsidRPr="00221978">
              <w:rPr>
                <w:rFonts w:ascii="Times New Roman" w:eastAsia="Times New Roman" w:hAnsi="Times New Roman" w:cs="Times New Roman"/>
                <w:sz w:val="20"/>
                <w:szCs w:val="20"/>
                <w:u w:val="single"/>
                <w:lang w:val="sr-Cyrl-CS" w:eastAsia="en-GB"/>
              </w:rPr>
              <w:t>Критеријуми за подпоказатеље:</w:t>
            </w:r>
          </w:p>
          <w:p w14:paraId="3BD46602" w14:textId="77777777" w:rsidR="00A8352F" w:rsidRPr="00221978" w:rsidRDefault="00A8352F" w:rsidP="001F7AEB">
            <w:pPr>
              <w:spacing w:after="0"/>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 xml:space="preserve">Приоритети АПСПВ су услађени са са циљевима/мерама у усвојеним средњорочним плановима: </w:t>
            </w:r>
          </w:p>
          <w:p w14:paraId="5E5A3DA1" w14:textId="77777777" w:rsidR="00A8352F" w:rsidRPr="00221978" w:rsidRDefault="00A8352F" w:rsidP="00A8352F">
            <w:pPr>
              <w:numPr>
                <w:ilvl w:val="0"/>
                <w:numId w:val="34"/>
              </w:numPr>
              <w:spacing w:after="0"/>
              <w:contextualSpacing/>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Више од 80% (2 поена)</w:t>
            </w:r>
          </w:p>
          <w:p w14:paraId="46FB40B3" w14:textId="77777777" w:rsidR="00A8352F" w:rsidRPr="00221978" w:rsidRDefault="00A8352F" w:rsidP="00A8352F">
            <w:pPr>
              <w:numPr>
                <w:ilvl w:val="0"/>
                <w:numId w:val="34"/>
              </w:numPr>
              <w:spacing w:after="0"/>
              <w:contextualSpacing/>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60-80% (1 поен)</w:t>
            </w:r>
          </w:p>
          <w:p w14:paraId="2FEDEC7E" w14:textId="77777777" w:rsidR="00A8352F" w:rsidRPr="00221978" w:rsidRDefault="00A8352F" w:rsidP="001F7AEB">
            <w:pPr>
              <w:spacing w:after="0"/>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 xml:space="preserve">АП за ДЈП су усклађени са ГПРВ: </w:t>
            </w:r>
          </w:p>
          <w:p w14:paraId="559672F7" w14:textId="77777777" w:rsidR="00A8352F" w:rsidRPr="00221978" w:rsidRDefault="00A8352F" w:rsidP="00A8352F">
            <w:pPr>
              <w:numPr>
                <w:ilvl w:val="0"/>
                <w:numId w:val="34"/>
              </w:numPr>
              <w:spacing w:after="0"/>
              <w:contextualSpacing/>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Више од 80% (2 поена)</w:t>
            </w:r>
          </w:p>
          <w:p w14:paraId="07C55BBB" w14:textId="77777777" w:rsidR="00A8352F" w:rsidRPr="00221978" w:rsidRDefault="00A8352F" w:rsidP="00A8352F">
            <w:pPr>
              <w:numPr>
                <w:ilvl w:val="0"/>
                <w:numId w:val="34"/>
              </w:numPr>
              <w:spacing w:after="0"/>
              <w:contextualSpacing/>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lastRenderedPageBreak/>
              <w:t>60-80% (1 поен)</w:t>
            </w:r>
          </w:p>
          <w:p w14:paraId="395CBAEC" w14:textId="77777777" w:rsidR="00A8352F" w:rsidRPr="00221978" w:rsidRDefault="00A8352F" w:rsidP="001F7AEB">
            <w:pPr>
              <w:spacing w:after="0"/>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АПСПВ садржи исходне показатеље за мерење остварења владиних приоритета. (1 поен)</w:t>
            </w:r>
          </w:p>
          <w:p w14:paraId="357BCD19" w14:textId="77777777" w:rsidR="00A8352F" w:rsidRPr="00221978" w:rsidRDefault="00A8352F" w:rsidP="001F7AEB">
            <w:pPr>
              <w:spacing w:after="0"/>
              <w:rPr>
                <w:rFonts w:ascii="Times New Roman" w:eastAsia="Times New Roman" w:hAnsi="Times New Roman" w:cs="Times New Roman"/>
                <w:bCs/>
                <w:sz w:val="20"/>
                <w:szCs w:val="20"/>
                <w:lang w:val="sr-Cyrl-CS" w:eastAsia="en-GB"/>
              </w:rPr>
            </w:pPr>
            <w:r w:rsidRPr="00221978">
              <w:rPr>
                <w:rFonts w:ascii="Times New Roman" w:eastAsia="Times New Roman" w:hAnsi="Times New Roman" w:cs="Times New Roman"/>
                <w:b/>
                <w:bCs/>
                <w:sz w:val="20"/>
                <w:szCs w:val="20"/>
                <w:lang w:val="sr-Cyrl-CS" w:eastAsia="en-GB"/>
              </w:rPr>
              <w:t>Подпоказатељ 3</w:t>
            </w:r>
            <w:r w:rsidRPr="00221978">
              <w:rPr>
                <w:rFonts w:ascii="Times New Roman" w:eastAsia="Times New Roman" w:hAnsi="Times New Roman" w:cs="Times New Roman"/>
                <w:bCs/>
                <w:sz w:val="20"/>
                <w:szCs w:val="20"/>
                <w:lang w:val="sr-Cyrl-CS" w:eastAsia="en-GB"/>
              </w:rPr>
              <w:t>: Степен усклађености циљева јавних политика и припадајућих показатеља са циљевима и показатељима буџетских програма (</w:t>
            </w:r>
            <w:r w:rsidRPr="00221978">
              <w:rPr>
                <w:rFonts w:ascii="Times New Roman" w:eastAsia="Times New Roman" w:hAnsi="Times New Roman" w:cs="Times New Roman"/>
                <w:b/>
                <w:bCs/>
                <w:sz w:val="20"/>
                <w:szCs w:val="20"/>
                <w:lang w:val="sr-Cyrl-CS" w:eastAsia="en-GB"/>
              </w:rPr>
              <w:t>max. 5 поена</w:t>
            </w:r>
            <w:r w:rsidRPr="00221978">
              <w:rPr>
                <w:rFonts w:ascii="Times New Roman" w:eastAsia="Times New Roman" w:hAnsi="Times New Roman" w:cs="Times New Roman"/>
                <w:bCs/>
                <w:sz w:val="20"/>
                <w:szCs w:val="20"/>
                <w:lang w:val="sr-Cyrl-CS" w:eastAsia="en-GB"/>
              </w:rPr>
              <w:t>)</w:t>
            </w:r>
          </w:p>
          <w:p w14:paraId="6977F7FE" w14:textId="77777777" w:rsidR="00A8352F" w:rsidRPr="00221978" w:rsidRDefault="00A8352F" w:rsidP="001F7AEB">
            <w:pPr>
              <w:spacing w:after="0"/>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u w:val="single"/>
                <w:lang w:val="sr-Cyrl-CS" w:eastAsia="en-GB"/>
              </w:rPr>
              <w:t>Опис и методологија:</w:t>
            </w:r>
          </w:p>
          <w:p w14:paraId="3A71C927" w14:textId="77777777" w:rsidR="00A8352F" w:rsidRPr="00221978" w:rsidRDefault="00A8352F" w:rsidP="001F7AEB">
            <w:pPr>
              <w:spacing w:after="0"/>
              <w:rPr>
                <w:rFonts w:ascii="Times New Roman" w:hAnsi="Times New Roman" w:cs="Times New Roman"/>
                <w:sz w:val="20"/>
                <w:szCs w:val="20"/>
                <w:lang w:val="sr-Cyrl-CS"/>
              </w:rPr>
            </w:pPr>
            <w:r w:rsidRPr="00221978">
              <w:rPr>
                <w:rFonts w:ascii="Times New Roman" w:hAnsi="Times New Roman" w:cs="Times New Roman"/>
                <w:sz w:val="20"/>
                <w:szCs w:val="20"/>
                <w:lang w:val="sr-Cyrl-CS"/>
              </w:rPr>
              <w:t>Да би се једнозначно упоређивала усаглашеност планираних трошкова за приоритетне циљеве владе у документима на централном нивоу, неопходно је да се ускладе циљеви политика са циљевима буџетских програма. С обзиром да се циљеви јавних политика преузимају у средњорочне планове ОДУ, методологија обухвата упоређивање посебних циљева у појединачним средњорочним плановима ОДУ (укључујући припадајуће показатеље и циљне вредности) са циљевима буџетских програма и припадајућим показатељима.</w:t>
            </w:r>
          </w:p>
          <w:p w14:paraId="3A3EBD00" w14:textId="65EEB3AD" w:rsidR="00A8352F" w:rsidRPr="00221978" w:rsidRDefault="00A8352F" w:rsidP="001F7AEB">
            <w:pPr>
              <w:spacing w:after="0"/>
              <w:jc w:val="center"/>
              <w:rPr>
                <w:rFonts w:ascii="Times New Roman" w:hAnsi="Times New Roman" w:cs="Times New Roman"/>
                <w:sz w:val="20"/>
                <w:szCs w:val="20"/>
                <w:lang w:val="sr-Cyrl-CS"/>
              </w:rPr>
            </w:pPr>
            <w:r w:rsidRPr="00221978">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4211CB66" wp14:editId="18A75182">
                      <wp:simplePos x="0" y="0"/>
                      <wp:positionH relativeFrom="column">
                        <wp:posOffset>-99060</wp:posOffset>
                      </wp:positionH>
                      <wp:positionV relativeFrom="paragraph">
                        <wp:posOffset>234950</wp:posOffset>
                      </wp:positionV>
                      <wp:extent cx="4160520" cy="889635"/>
                      <wp:effectExtent l="0" t="0" r="11430" b="889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60520" cy="889635"/>
                              </a:xfrm>
                              <a:prstGeom prst="rect">
                                <a:avLst/>
                              </a:prstGeom>
                              <a:noFill/>
                              <a:ln>
                                <a:noFill/>
                              </a:ln>
                              <a:effectLst/>
                            </wps:spPr>
                            <wps:txbx>
                              <w:txbxContent>
                                <w:p w14:paraId="2FA7431C" w14:textId="2EFCDCBE" w:rsidR="00E14E9D" w:rsidRPr="00EB2B1D" w:rsidRDefault="005B22F4" w:rsidP="00A8352F">
                                  <w:pPr>
                                    <w:rPr>
                                      <w:color w:val="000000"/>
                                      <w:sz w:val="18"/>
                                      <w:szCs w:val="18"/>
                                      <w:lang w:val="sr-Latn-RS"/>
                                    </w:rPr>
                                  </w:pPr>
                                  <m:oMath>
                                    <m:f>
                                      <m:fPr>
                                        <m:ctrlPr>
                                          <w:rPr>
                                            <w:rFonts w:ascii="Cambria Math" w:eastAsia="Times New Roman" w:hAnsi="Cambria Math"/>
                                            <w:i/>
                                            <w:iCs/>
                                            <w:color w:val="000000"/>
                                            <w:sz w:val="20"/>
                                            <w:szCs w:val="20"/>
                                          </w:rPr>
                                        </m:ctrlPr>
                                      </m:fPr>
                                      <m:num>
                                        <m:r>
                                          <w:rPr>
                                            <w:rFonts w:ascii="Cambria Math" w:hAnsi="Cambria Math"/>
                                            <w:color w:val="000000"/>
                                            <w:sz w:val="20"/>
                                            <w:szCs w:val="20"/>
                                            <w:lang w:val="sr-Latn-RS"/>
                                          </w:rPr>
                                          <m:t>Број усклађених посебних циљева у појединачним СП ОДУ са циљевима буџетских програма</m:t>
                                        </m:r>
                                      </m:num>
                                      <m:den>
                                        <m:r>
                                          <w:rPr>
                                            <w:rFonts w:ascii="Cambria Math" w:hAnsi="Cambria Math"/>
                                            <w:color w:val="000000"/>
                                            <w:sz w:val="20"/>
                                            <w:szCs w:val="20"/>
                                            <w:lang w:val="sr-Latn-RS"/>
                                          </w:rPr>
                                          <m:t>Укупан број посебних циљева СП</m:t>
                                        </m:r>
                                      </m:den>
                                    </m:f>
                                    <m:r>
                                      <w:rPr>
                                        <w:rFonts w:ascii="Cambria Math" w:eastAsia="Times New Roman" w:hAnsi="Cambria Math"/>
                                        <w:color w:val="000000"/>
                                        <w:sz w:val="20"/>
                                        <w:szCs w:val="20"/>
                                      </w:rPr>
                                      <m:t xml:space="preserve"> </m:t>
                                    </m:r>
                                  </m:oMath>
                                  <w:r w:rsidR="00E14E9D" w:rsidRPr="00EB2B1D">
                                    <w:rPr>
                                      <w:color w:val="000000"/>
                                      <w:lang w:val="sr-Latn-RS"/>
                                    </w:rPr>
                                    <w:t xml:space="preserve"> </w:t>
                                  </w:r>
                                  <m:oMath>
                                    <m:r>
                                      <w:rPr>
                                        <w:rFonts w:ascii="Cambria Math" w:eastAsia="Cambria Math" w:hAnsi="Cambria Math"/>
                                        <w:color w:val="000000"/>
                                        <w:sz w:val="18"/>
                                        <w:szCs w:val="18"/>
                                        <w:lang w:val="sr-Latn-RS"/>
                                      </w:rPr>
                                      <m:t>×100</m:t>
                                    </m:r>
                                  </m:oMath>
                                </w:p>
                                <w:p w14:paraId="3EC65F31" w14:textId="77777777" w:rsidR="00E14E9D" w:rsidRPr="00863D59" w:rsidRDefault="00E14E9D" w:rsidP="00A8352F"/>
                              </w:txbxContent>
                            </wps:txbx>
                            <wps:bodyPr vertOverflow="clip" horzOverflow="clip" wrap="square" lIns="0" tIns="0" rIns="0" bIns="0" rtlCol="0" anchor="t">
                              <a:spAutoFit/>
                            </wps:bodyPr>
                          </wps:wsp>
                        </a:graphicData>
                      </a:graphic>
                      <wp14:sizeRelH relativeFrom="margin">
                        <wp14:pctWidth>0</wp14:pctWidth>
                      </wp14:sizeRelH>
                      <wp14:sizeRelV relativeFrom="page">
                        <wp14:pctHeight>0</wp14:pctHeight>
                      </wp14:sizeRelV>
                    </wp:anchor>
                  </w:drawing>
                </mc:Choice>
                <mc:Fallback>
                  <w:pict>
                    <v:shapetype w14:anchorId="4211CB66" id="_x0000_t202" coordsize="21600,21600" o:spt="202" path="m,l,21600r21600,l21600,xe">
                      <v:stroke joinstyle="miter"/>
                      <v:path gradientshapeok="t" o:connecttype="rect"/>
                    </v:shapetype>
                    <v:shape id="Text Box 62" o:spid="_x0000_s1026" type="#_x0000_t202" style="position:absolute;left:0;text-align:left;margin-left:-7.8pt;margin-top:18.5pt;width:327.6pt;height:7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" filled="f" stroked="f">
                      <v:path arrowok="t"/>
                      <v:textbox style="mso-fit-shape-to-text:t" inset="0,0,0,0">
                        <w:txbxContent>
                          <w:p w14:paraId="2FA7431C" w14:textId="2EFCDCBE" w:rsidR="00E14E9D" w:rsidRPr="00EB2B1D" w:rsidRDefault="00E14E9D" w:rsidP="00A8352F">
                            <w:pPr>
                              <w:rPr>
                                <w:color w:val="000000"/>
                                <w:sz w:val="18"/>
                                <w:szCs w:val="18"/>
                                <w:lang w:val="sr-Latn-RS"/>
                              </w:rPr>
                            </w:pPr>
                            <m:oMath>
                              <m:f>
                                <m:fPr>
                                  <m:ctrlPr>
                                    <w:rPr>
                                      <w:rFonts w:ascii="Cambria Math" w:eastAsia="Times New Roman" w:hAnsi="Cambria Math"/>
                                      <w:i/>
                                      <w:iCs/>
                                      <w:color w:val="000000"/>
                                      <w:sz w:val="20"/>
                                      <w:szCs w:val="20"/>
                                    </w:rPr>
                                  </m:ctrlPr>
                                </m:fPr>
                                <m:num>
                                  <m:r>
                                    <w:rPr>
                                      <w:rFonts w:ascii="Cambria Math" w:hAnsi="Cambria Math"/>
                                      <w:color w:val="000000"/>
                                      <w:sz w:val="20"/>
                                      <w:szCs w:val="20"/>
                                      <w:lang w:val="sr-Latn-RS"/>
                                    </w:rPr>
                                    <m:t>Број усклађених посебних циљева у појединачним СП ОДУ са циљевима буџетских програма</m:t>
                                  </m:r>
                                </m:num>
                                <m:den>
                                  <m:r>
                                    <w:rPr>
                                      <w:rFonts w:ascii="Cambria Math" w:hAnsi="Cambria Math"/>
                                      <w:color w:val="000000"/>
                                      <w:sz w:val="20"/>
                                      <w:szCs w:val="20"/>
                                      <w:lang w:val="sr-Latn-RS"/>
                                    </w:rPr>
                                    <m:t>Укупан број посебних циљева СП</m:t>
                                  </m:r>
                                </m:den>
                              </m:f>
                              <m:r>
                                <w:rPr>
                                  <w:rFonts w:ascii="Cambria Math" w:eastAsia="Times New Roman" w:hAnsi="Cambria Math"/>
                                  <w:color w:val="000000"/>
                                  <w:sz w:val="20"/>
                                  <w:szCs w:val="20"/>
                                </w:rPr>
                                <m:t xml:space="preserve"> </m:t>
                              </m:r>
                            </m:oMath>
                            <w:r w:rsidRPr="00EB2B1D">
                              <w:rPr>
                                <w:color w:val="000000"/>
                                <w:lang w:val="sr-Latn-RS"/>
                              </w:rPr>
                              <w:t xml:space="preserve"> </w:t>
                            </w:r>
                            <m:oMath>
                              <m:r>
                                <w:rPr>
                                  <w:rFonts w:ascii="Cambria Math" w:eastAsia="Cambria Math" w:hAnsi="Cambria Math"/>
                                  <w:color w:val="000000"/>
                                  <w:sz w:val="18"/>
                                  <w:szCs w:val="18"/>
                                  <w:lang w:val="sr-Latn-RS"/>
                                </w:rPr>
                                <m:t>×100</m:t>
                              </m:r>
                            </m:oMath>
                          </w:p>
                          <w:p w14:paraId="3EC65F31" w14:textId="77777777" w:rsidR="00E14E9D" w:rsidRPr="00863D59" w:rsidRDefault="00E14E9D" w:rsidP="00A8352F"/>
                        </w:txbxContent>
                      </v:textbox>
                    </v:shape>
                  </w:pict>
                </mc:Fallback>
              </mc:AlternateContent>
            </w:r>
            <w:r w:rsidRPr="00221978">
              <w:rPr>
                <w:rFonts w:ascii="Times New Roman" w:eastAsia="Calibri" w:hAnsi="Times New Roman" w:cs="Times New Roman"/>
                <w:b/>
                <w:sz w:val="20"/>
                <w:szCs w:val="20"/>
                <w:lang w:val="sr-Cyrl-CS"/>
              </w:rPr>
              <w:t>ФОРМУЛА/ЈЕДНАЧИНА</w:t>
            </w:r>
          </w:p>
          <w:p w14:paraId="13E58F0E" w14:textId="77777777" w:rsidR="00A8352F" w:rsidRPr="00221978" w:rsidRDefault="00A8352F" w:rsidP="001F7AEB">
            <w:pPr>
              <w:spacing w:after="0"/>
              <w:rPr>
                <w:rFonts w:ascii="Times New Roman" w:hAnsi="Times New Roman" w:cs="Times New Roman"/>
                <w:sz w:val="20"/>
                <w:szCs w:val="20"/>
                <w:lang w:val="sr-Cyrl-CS"/>
              </w:rPr>
            </w:pPr>
          </w:p>
          <w:p w14:paraId="68ADCEB2" w14:textId="77777777" w:rsidR="00A8352F" w:rsidRPr="00221978" w:rsidRDefault="00A8352F" w:rsidP="001F7AEB">
            <w:pPr>
              <w:spacing w:after="0"/>
              <w:rPr>
                <w:rFonts w:ascii="Times New Roman" w:hAnsi="Times New Roman" w:cs="Times New Roman"/>
                <w:sz w:val="20"/>
                <w:szCs w:val="20"/>
                <w:lang w:val="sr-Cyrl-CS"/>
              </w:rPr>
            </w:pPr>
          </w:p>
          <w:p w14:paraId="6EDF6EDC" w14:textId="77777777" w:rsidR="00A8352F" w:rsidRPr="00221978" w:rsidRDefault="00A8352F" w:rsidP="001F7AEB">
            <w:pPr>
              <w:spacing w:after="0"/>
              <w:rPr>
                <w:rFonts w:ascii="Times New Roman" w:hAnsi="Times New Roman" w:cs="Times New Roman"/>
                <w:sz w:val="20"/>
                <w:szCs w:val="20"/>
                <w:lang w:val="sr-Cyrl-CS"/>
              </w:rPr>
            </w:pPr>
          </w:p>
          <w:p w14:paraId="0CACD2DB" w14:textId="77777777" w:rsidR="00A8352F" w:rsidRPr="00221978" w:rsidRDefault="00A8352F" w:rsidP="001F7AEB">
            <w:pPr>
              <w:spacing w:after="0"/>
              <w:rPr>
                <w:rFonts w:ascii="Times New Roman" w:hAnsi="Times New Roman" w:cs="Times New Roman"/>
                <w:sz w:val="20"/>
                <w:szCs w:val="20"/>
                <w:lang w:val="sr-Cyrl-CS"/>
              </w:rPr>
            </w:pPr>
            <w:r w:rsidRPr="00221978">
              <w:rPr>
                <w:rFonts w:ascii="Times New Roman" w:hAnsi="Times New Roman" w:cs="Times New Roman"/>
                <w:sz w:val="20"/>
                <w:szCs w:val="20"/>
                <w:lang w:val="sr-Cyrl-CS"/>
              </w:rPr>
              <w:t>Скала за оцењивање:</w:t>
            </w:r>
          </w:p>
          <w:p w14:paraId="5D21C272" w14:textId="77777777" w:rsidR="00A8352F" w:rsidRPr="00221978" w:rsidRDefault="00A8352F" w:rsidP="001F7AEB">
            <w:pPr>
              <w:spacing w:after="0"/>
              <w:rPr>
                <w:rFonts w:ascii="Times New Roman" w:hAnsi="Times New Roman" w:cs="Times New Roman"/>
                <w:sz w:val="20"/>
                <w:szCs w:val="20"/>
                <w:lang w:val="sr-Cyrl-CS"/>
              </w:rPr>
            </w:pPr>
            <w:r w:rsidRPr="00221978">
              <w:rPr>
                <w:rFonts w:ascii="Times New Roman" w:hAnsi="Times New Roman" w:cs="Times New Roman"/>
                <w:sz w:val="20"/>
                <w:szCs w:val="20"/>
                <w:lang w:val="sr-Cyrl-CS"/>
              </w:rPr>
              <w:t>Усклађеност циљева и показатеља у појединачним СП и програмској класификацији буџета:</w:t>
            </w:r>
          </w:p>
          <w:p w14:paraId="732D73AA" w14:textId="77777777" w:rsidR="00A8352F" w:rsidRPr="00221978" w:rsidRDefault="00A8352F" w:rsidP="001F7AEB">
            <w:pPr>
              <w:spacing w:after="0"/>
              <w:rPr>
                <w:rFonts w:ascii="Times New Roman" w:hAnsi="Times New Roman" w:cs="Times New Roman"/>
                <w:sz w:val="20"/>
                <w:szCs w:val="20"/>
                <w:lang w:val="sr-Cyrl-CS"/>
              </w:rPr>
            </w:pPr>
            <w:r w:rsidRPr="00221978">
              <w:rPr>
                <w:rFonts w:ascii="Times New Roman" w:hAnsi="Times New Roman" w:cs="Times New Roman"/>
                <w:sz w:val="20"/>
                <w:szCs w:val="20"/>
                <w:lang w:val="sr-Cyrl-CS"/>
              </w:rPr>
              <w:t>Број СП чија усклађеност циљева са ПБ је ≤ 30% - 0 поена</w:t>
            </w:r>
          </w:p>
          <w:p w14:paraId="31BB424F" w14:textId="77777777" w:rsidR="00A8352F" w:rsidRPr="00221978" w:rsidRDefault="00A8352F" w:rsidP="001F7AEB">
            <w:pPr>
              <w:spacing w:after="0"/>
              <w:rPr>
                <w:rFonts w:ascii="Times New Roman" w:hAnsi="Times New Roman" w:cs="Times New Roman"/>
                <w:sz w:val="20"/>
                <w:szCs w:val="20"/>
                <w:lang w:val="sr-Cyrl-CS"/>
              </w:rPr>
            </w:pPr>
            <w:r w:rsidRPr="00221978">
              <w:rPr>
                <w:rFonts w:ascii="Times New Roman" w:hAnsi="Times New Roman" w:cs="Times New Roman"/>
                <w:sz w:val="20"/>
                <w:szCs w:val="20"/>
                <w:lang w:val="sr-Cyrl-CS"/>
              </w:rPr>
              <w:t>Број СП чија усклађеност циљева са ПБ је 31 - 40% - 1 поен</w:t>
            </w:r>
          </w:p>
          <w:p w14:paraId="77EBACC8" w14:textId="77777777" w:rsidR="00A8352F" w:rsidRPr="00221978" w:rsidRDefault="00A8352F" w:rsidP="001F7AEB">
            <w:pPr>
              <w:spacing w:after="0"/>
              <w:rPr>
                <w:rFonts w:ascii="Times New Roman" w:hAnsi="Times New Roman" w:cs="Times New Roman"/>
                <w:sz w:val="20"/>
                <w:szCs w:val="20"/>
                <w:lang w:val="sr-Cyrl-CS"/>
              </w:rPr>
            </w:pPr>
            <w:r w:rsidRPr="00221978">
              <w:rPr>
                <w:rFonts w:ascii="Times New Roman" w:hAnsi="Times New Roman" w:cs="Times New Roman"/>
                <w:sz w:val="20"/>
                <w:szCs w:val="20"/>
                <w:lang w:val="sr-Cyrl-CS"/>
              </w:rPr>
              <w:t>Број СП чија усклађеност циљева са ПБ је 41 - 50% - 2 поена</w:t>
            </w:r>
          </w:p>
          <w:p w14:paraId="27507DED" w14:textId="77777777" w:rsidR="00A8352F" w:rsidRPr="00221978" w:rsidRDefault="00A8352F" w:rsidP="001F7AEB">
            <w:pPr>
              <w:spacing w:after="0"/>
              <w:rPr>
                <w:rFonts w:ascii="Times New Roman" w:hAnsi="Times New Roman" w:cs="Times New Roman"/>
                <w:sz w:val="20"/>
                <w:szCs w:val="20"/>
                <w:lang w:val="sr-Cyrl-CS"/>
              </w:rPr>
            </w:pPr>
            <w:r w:rsidRPr="00221978">
              <w:rPr>
                <w:rFonts w:ascii="Times New Roman" w:hAnsi="Times New Roman" w:cs="Times New Roman"/>
                <w:sz w:val="20"/>
                <w:szCs w:val="20"/>
                <w:lang w:val="sr-Cyrl-CS"/>
              </w:rPr>
              <w:t>Број СП чија усклађеност циљева са ПБ је 51 - 60% - 3 поена</w:t>
            </w:r>
          </w:p>
          <w:p w14:paraId="55FBBDF2" w14:textId="77777777" w:rsidR="00A8352F" w:rsidRPr="00221978" w:rsidRDefault="00A8352F" w:rsidP="001F7AEB">
            <w:pPr>
              <w:spacing w:after="0"/>
              <w:rPr>
                <w:rFonts w:ascii="Times New Roman" w:hAnsi="Times New Roman" w:cs="Times New Roman"/>
                <w:sz w:val="20"/>
                <w:szCs w:val="20"/>
                <w:lang w:val="sr-Cyrl-CS"/>
              </w:rPr>
            </w:pPr>
            <w:r w:rsidRPr="00221978">
              <w:rPr>
                <w:rFonts w:ascii="Times New Roman" w:hAnsi="Times New Roman" w:cs="Times New Roman"/>
                <w:sz w:val="20"/>
                <w:szCs w:val="20"/>
                <w:lang w:val="sr-Cyrl-CS"/>
              </w:rPr>
              <w:t>Број СП чија усклађеност циљева са ПБ је 61 - 80% - 4 поена</w:t>
            </w:r>
          </w:p>
          <w:p w14:paraId="35B2C661" w14:textId="77777777" w:rsidR="00A8352F" w:rsidRPr="00221978" w:rsidRDefault="00A8352F" w:rsidP="001F7AEB">
            <w:pPr>
              <w:spacing w:after="0"/>
              <w:rPr>
                <w:rFonts w:ascii="Times New Roman" w:hAnsi="Times New Roman" w:cs="Times New Roman"/>
                <w:sz w:val="20"/>
                <w:szCs w:val="20"/>
                <w:lang w:val="sr-Cyrl-CS"/>
              </w:rPr>
            </w:pPr>
            <w:r w:rsidRPr="00221978">
              <w:rPr>
                <w:rFonts w:ascii="Times New Roman" w:hAnsi="Times New Roman" w:cs="Times New Roman"/>
                <w:sz w:val="20"/>
                <w:szCs w:val="20"/>
                <w:lang w:val="sr-Cyrl-CS"/>
              </w:rPr>
              <w:t>Број СП чија усклађеност циљева са ПБ је 80 - 95% - 5 поена</w:t>
            </w:r>
          </w:p>
          <w:p w14:paraId="26714C6F" w14:textId="77777777" w:rsidR="00A8352F" w:rsidRPr="00221978" w:rsidRDefault="00A8352F" w:rsidP="001F7AEB">
            <w:pPr>
              <w:spacing w:after="0"/>
              <w:rPr>
                <w:rFonts w:ascii="Times New Roman" w:hAnsi="Times New Roman" w:cs="Times New Roman"/>
                <w:sz w:val="20"/>
                <w:szCs w:val="20"/>
                <w:lang w:val="sr-Cyrl-CS"/>
              </w:rPr>
            </w:pPr>
          </w:p>
          <w:p w14:paraId="638E05F4" w14:textId="77777777" w:rsidR="00A8352F" w:rsidRPr="00221978" w:rsidRDefault="00A8352F" w:rsidP="001F7AEB">
            <w:pPr>
              <w:spacing w:after="0"/>
              <w:rPr>
                <w:rFonts w:ascii="Times New Roman" w:hAnsi="Times New Roman" w:cs="Times New Roman"/>
                <w:sz w:val="20"/>
                <w:szCs w:val="20"/>
                <w:lang w:val="sr-Cyrl-CS"/>
              </w:rPr>
            </w:pPr>
            <w:r w:rsidRPr="00221978">
              <w:rPr>
                <w:rFonts w:ascii="Times New Roman" w:hAnsi="Times New Roman" w:cs="Times New Roman"/>
                <w:sz w:val="20"/>
                <w:szCs w:val="20"/>
                <w:lang w:val="sr-Cyrl-CS"/>
              </w:rPr>
              <w:t>По анализи и оцени свих расположивих СП ОДУ, израчунаће се просечна оцена усклађености свих циљева у СП ОДУ са програмском класификацијом буџета:</w:t>
            </w:r>
          </w:p>
          <w:p w14:paraId="5A87545B" w14:textId="77777777" w:rsidR="00A8352F" w:rsidRPr="00221978" w:rsidRDefault="00A8352F" w:rsidP="001F7AEB">
            <w:pPr>
              <w:spacing w:after="0"/>
              <w:rPr>
                <w:rFonts w:ascii="Times New Roman" w:hAnsi="Times New Roman" w:cs="Times New Roman"/>
                <w:sz w:val="20"/>
                <w:szCs w:val="20"/>
                <w:u w:val="single"/>
                <w:lang w:val="sr-Cyrl-CS"/>
              </w:rPr>
            </w:pPr>
            <w:r w:rsidRPr="00221978">
              <w:rPr>
                <w:rFonts w:ascii="Times New Roman" w:hAnsi="Times New Roman" w:cs="Times New Roman"/>
                <w:sz w:val="20"/>
                <w:szCs w:val="20"/>
                <w:u w:val="single"/>
                <w:lang w:val="sr-Cyrl-CS"/>
              </w:rPr>
              <w:t>а x 0 + b x 1 + c x 2 + d x 3 + e x 4 + f x 5</w:t>
            </w:r>
          </w:p>
          <w:p w14:paraId="14BC046C" w14:textId="77777777" w:rsidR="00A8352F" w:rsidRPr="00221978" w:rsidRDefault="00A8352F" w:rsidP="001F7AEB">
            <w:pPr>
              <w:spacing w:after="0"/>
              <w:rPr>
                <w:rFonts w:ascii="Times New Roman" w:hAnsi="Times New Roman" w:cs="Times New Roman"/>
                <w:sz w:val="20"/>
                <w:szCs w:val="20"/>
                <w:lang w:val="sr-Cyrl-CS"/>
              </w:rPr>
            </w:pPr>
            <w:r w:rsidRPr="00221978">
              <w:rPr>
                <w:rFonts w:ascii="Times New Roman" w:hAnsi="Times New Roman" w:cs="Times New Roman"/>
                <w:sz w:val="20"/>
                <w:szCs w:val="20"/>
                <w:lang w:val="sr-Cyrl-CS"/>
              </w:rPr>
              <w:t xml:space="preserve">                                 a+b+c+d+e+f</w:t>
            </w:r>
          </w:p>
          <w:p w14:paraId="0C026327" w14:textId="1EF6731D" w:rsidR="00A8352F" w:rsidRPr="00221978" w:rsidRDefault="00A8352F" w:rsidP="001F7AEB">
            <w:pPr>
              <w:spacing w:after="0"/>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bCs/>
                <w:sz w:val="20"/>
                <w:szCs w:val="20"/>
                <w:lang w:val="sr-Cyrl-CS" w:eastAsia="en-GB"/>
              </w:rPr>
              <w:t>Укупан број поена за сва три подпоказатеља је 15, а уку</w:t>
            </w:r>
            <w:r w:rsidR="003F3E24" w:rsidRPr="00221978">
              <w:rPr>
                <w:rFonts w:ascii="Times New Roman" w:eastAsia="Times New Roman" w:hAnsi="Times New Roman" w:cs="Times New Roman"/>
                <w:bCs/>
                <w:sz w:val="20"/>
                <w:szCs w:val="20"/>
                <w:lang w:val="sr-Cyrl-CS" w:eastAsia="en-GB"/>
              </w:rPr>
              <w:t>п</w:t>
            </w:r>
            <w:r w:rsidRPr="00221978">
              <w:rPr>
                <w:rFonts w:ascii="Times New Roman" w:eastAsia="Times New Roman" w:hAnsi="Times New Roman" w:cs="Times New Roman"/>
                <w:bCs/>
                <w:sz w:val="20"/>
                <w:szCs w:val="20"/>
                <w:lang w:val="sr-Cyrl-CS" w:eastAsia="en-GB"/>
              </w:rPr>
              <w:t>на оцена за цео индекс се рачуна у оквиру скале од 1-5:</w:t>
            </w:r>
          </w:p>
          <w:p w14:paraId="52A28052" w14:textId="77777777" w:rsidR="00A8352F" w:rsidRPr="00221978" w:rsidRDefault="00A8352F" w:rsidP="001F7AEB">
            <w:pPr>
              <w:spacing w:after="0"/>
              <w:ind w:left="142" w:hanging="142"/>
              <w:rPr>
                <w:rFonts w:ascii="Times New Roman" w:eastAsia="Times New Roman" w:hAnsi="Times New Roman" w:cs="Times New Roman"/>
                <w:bCs/>
                <w:sz w:val="20"/>
                <w:szCs w:val="20"/>
                <w:lang w:val="sr-Cyrl-CS" w:eastAsia="en-GB"/>
              </w:rPr>
            </w:pPr>
            <w:r w:rsidRPr="00221978">
              <w:rPr>
                <w:rFonts w:ascii="Times New Roman" w:eastAsia="Times New Roman" w:hAnsi="Times New Roman" w:cs="Times New Roman"/>
                <w:bCs/>
                <w:sz w:val="20"/>
                <w:szCs w:val="20"/>
                <w:lang w:val="sr-Cyrl-CS" w:eastAsia="en-GB"/>
              </w:rPr>
              <w:t>0</w:t>
            </w:r>
            <w:r w:rsidRPr="00221978">
              <w:rPr>
                <w:rFonts w:ascii="Times New Roman" w:eastAsia="Times New Roman" w:hAnsi="Times New Roman" w:cs="Times New Roman"/>
                <w:bCs/>
                <w:sz w:val="20"/>
                <w:szCs w:val="20"/>
                <w:lang w:val="sr-Cyrl-CS" w:eastAsia="en-GB"/>
              </w:rPr>
              <w:tab/>
              <w:t xml:space="preserve">- 3 поена </w:t>
            </w:r>
            <w:r w:rsidRPr="00221978">
              <w:rPr>
                <w:rFonts w:ascii="Times New Roman" w:eastAsia="Times New Roman" w:hAnsi="Times New Roman" w:cs="Times New Roman"/>
                <w:bCs/>
                <w:sz w:val="20"/>
                <w:szCs w:val="20"/>
                <w:lang w:val="sr-Cyrl-CS" w:eastAsia="en-GB"/>
              </w:rPr>
              <w:tab/>
              <w:t xml:space="preserve">= 0 </w:t>
            </w:r>
          </w:p>
          <w:p w14:paraId="3F21A99F" w14:textId="77777777" w:rsidR="00A8352F" w:rsidRPr="00221978" w:rsidRDefault="00A8352F" w:rsidP="001F7AEB">
            <w:pPr>
              <w:spacing w:after="0"/>
              <w:ind w:left="142" w:hanging="142"/>
              <w:rPr>
                <w:rFonts w:ascii="Times New Roman" w:eastAsia="Times New Roman" w:hAnsi="Times New Roman" w:cs="Times New Roman"/>
                <w:bCs/>
                <w:sz w:val="20"/>
                <w:szCs w:val="20"/>
                <w:lang w:val="sr-Cyrl-CS" w:eastAsia="en-GB"/>
              </w:rPr>
            </w:pPr>
            <w:r w:rsidRPr="00221978">
              <w:rPr>
                <w:rFonts w:ascii="Times New Roman" w:eastAsia="Times New Roman" w:hAnsi="Times New Roman" w:cs="Times New Roman"/>
                <w:bCs/>
                <w:sz w:val="20"/>
                <w:szCs w:val="20"/>
                <w:lang w:val="sr-Cyrl-CS" w:eastAsia="en-GB"/>
              </w:rPr>
              <w:t>3</w:t>
            </w:r>
            <w:r w:rsidRPr="00221978">
              <w:rPr>
                <w:rFonts w:ascii="Times New Roman" w:eastAsia="Times New Roman" w:hAnsi="Times New Roman" w:cs="Times New Roman"/>
                <w:bCs/>
                <w:sz w:val="20"/>
                <w:szCs w:val="20"/>
                <w:lang w:val="sr-Cyrl-CS" w:eastAsia="en-GB"/>
              </w:rPr>
              <w:tab/>
              <w:t xml:space="preserve">- 4 поена </w:t>
            </w:r>
            <w:r w:rsidRPr="00221978">
              <w:rPr>
                <w:rFonts w:ascii="Times New Roman" w:eastAsia="Times New Roman" w:hAnsi="Times New Roman" w:cs="Times New Roman"/>
                <w:bCs/>
                <w:sz w:val="20"/>
                <w:szCs w:val="20"/>
                <w:lang w:val="sr-Cyrl-CS" w:eastAsia="en-GB"/>
              </w:rPr>
              <w:tab/>
              <w:t xml:space="preserve">= 1 </w:t>
            </w:r>
          </w:p>
          <w:p w14:paraId="09751ED1" w14:textId="77777777" w:rsidR="00A8352F" w:rsidRPr="00221978" w:rsidRDefault="00A8352F" w:rsidP="001F7AEB">
            <w:pPr>
              <w:spacing w:after="0"/>
              <w:ind w:left="142" w:hanging="142"/>
              <w:rPr>
                <w:rFonts w:ascii="Times New Roman" w:eastAsia="Times New Roman" w:hAnsi="Times New Roman" w:cs="Times New Roman"/>
                <w:bCs/>
                <w:sz w:val="20"/>
                <w:szCs w:val="20"/>
                <w:lang w:val="sr-Cyrl-CS" w:eastAsia="en-GB"/>
              </w:rPr>
            </w:pPr>
            <w:r w:rsidRPr="00221978">
              <w:rPr>
                <w:rFonts w:ascii="Times New Roman" w:eastAsia="Times New Roman" w:hAnsi="Times New Roman" w:cs="Times New Roman"/>
                <w:bCs/>
                <w:sz w:val="20"/>
                <w:szCs w:val="20"/>
                <w:lang w:val="sr-Cyrl-CS" w:eastAsia="en-GB"/>
              </w:rPr>
              <w:t>5</w:t>
            </w:r>
            <w:r w:rsidRPr="00221978">
              <w:rPr>
                <w:rFonts w:ascii="Times New Roman" w:eastAsia="Times New Roman" w:hAnsi="Times New Roman" w:cs="Times New Roman"/>
                <w:bCs/>
                <w:sz w:val="20"/>
                <w:szCs w:val="20"/>
                <w:lang w:val="sr-Cyrl-CS" w:eastAsia="en-GB"/>
              </w:rPr>
              <w:tab/>
              <w:t>- 7 поена</w:t>
            </w:r>
            <w:r w:rsidRPr="00221978">
              <w:rPr>
                <w:rFonts w:ascii="Times New Roman" w:eastAsia="Times New Roman" w:hAnsi="Times New Roman" w:cs="Times New Roman"/>
                <w:bCs/>
                <w:sz w:val="20"/>
                <w:szCs w:val="20"/>
                <w:lang w:val="sr-Cyrl-CS" w:eastAsia="en-GB"/>
              </w:rPr>
              <w:tab/>
              <w:t xml:space="preserve">= 2 </w:t>
            </w:r>
          </w:p>
          <w:p w14:paraId="6D2BFA89" w14:textId="77777777" w:rsidR="00A8352F" w:rsidRPr="00221978" w:rsidRDefault="00A8352F" w:rsidP="001F7AEB">
            <w:pPr>
              <w:spacing w:after="0"/>
              <w:ind w:left="142" w:hanging="142"/>
              <w:rPr>
                <w:rFonts w:ascii="Times New Roman" w:eastAsia="Times New Roman" w:hAnsi="Times New Roman" w:cs="Times New Roman"/>
                <w:bCs/>
                <w:sz w:val="20"/>
                <w:szCs w:val="20"/>
                <w:lang w:val="sr-Cyrl-CS" w:eastAsia="en-GB"/>
              </w:rPr>
            </w:pPr>
            <w:r w:rsidRPr="00221978">
              <w:rPr>
                <w:rFonts w:ascii="Times New Roman" w:eastAsia="Times New Roman" w:hAnsi="Times New Roman" w:cs="Times New Roman"/>
                <w:bCs/>
                <w:sz w:val="20"/>
                <w:szCs w:val="20"/>
                <w:lang w:val="sr-Cyrl-CS" w:eastAsia="en-GB"/>
              </w:rPr>
              <w:t xml:space="preserve">6 - 8 поена </w:t>
            </w:r>
            <w:r w:rsidRPr="00221978">
              <w:rPr>
                <w:rFonts w:ascii="Times New Roman" w:eastAsia="Times New Roman" w:hAnsi="Times New Roman" w:cs="Times New Roman"/>
                <w:bCs/>
                <w:sz w:val="20"/>
                <w:szCs w:val="20"/>
                <w:lang w:val="sr-Cyrl-CS" w:eastAsia="en-GB"/>
              </w:rPr>
              <w:tab/>
              <w:t xml:space="preserve">= 3 </w:t>
            </w:r>
          </w:p>
          <w:p w14:paraId="4B3745F7" w14:textId="77777777" w:rsidR="00A8352F" w:rsidRPr="00221978" w:rsidRDefault="00A8352F" w:rsidP="001F7AEB">
            <w:pPr>
              <w:spacing w:after="0"/>
              <w:ind w:left="142" w:hanging="142"/>
              <w:rPr>
                <w:rFonts w:ascii="Times New Roman" w:eastAsia="Times New Roman" w:hAnsi="Times New Roman" w:cs="Times New Roman"/>
                <w:bCs/>
                <w:sz w:val="20"/>
                <w:szCs w:val="20"/>
                <w:lang w:val="sr-Cyrl-CS" w:eastAsia="en-GB"/>
              </w:rPr>
            </w:pPr>
            <w:r w:rsidRPr="00221978">
              <w:rPr>
                <w:rFonts w:ascii="Times New Roman" w:eastAsia="Times New Roman" w:hAnsi="Times New Roman" w:cs="Times New Roman"/>
                <w:bCs/>
                <w:sz w:val="20"/>
                <w:szCs w:val="20"/>
                <w:lang w:val="sr-Cyrl-CS" w:eastAsia="en-GB"/>
              </w:rPr>
              <w:t xml:space="preserve">9 - 11 поена </w:t>
            </w:r>
            <w:r w:rsidRPr="00221978">
              <w:rPr>
                <w:rFonts w:ascii="Times New Roman" w:eastAsia="Times New Roman" w:hAnsi="Times New Roman" w:cs="Times New Roman"/>
                <w:bCs/>
                <w:sz w:val="20"/>
                <w:szCs w:val="20"/>
                <w:lang w:val="sr-Cyrl-CS" w:eastAsia="en-GB"/>
              </w:rPr>
              <w:tab/>
              <w:t xml:space="preserve">= 4 </w:t>
            </w:r>
          </w:p>
          <w:p w14:paraId="2283F9A9" w14:textId="77777777" w:rsidR="00A8352F" w:rsidRPr="00221978" w:rsidRDefault="00A8352F" w:rsidP="001F7AEB">
            <w:pPr>
              <w:spacing w:after="0"/>
              <w:ind w:left="142" w:hanging="142"/>
              <w:rPr>
                <w:rFonts w:ascii="Times New Roman" w:eastAsia="Times New Roman" w:hAnsi="Times New Roman" w:cs="Times New Roman"/>
                <w:bCs/>
                <w:sz w:val="20"/>
                <w:szCs w:val="20"/>
                <w:lang w:val="sr-Cyrl-CS" w:eastAsia="en-GB"/>
              </w:rPr>
            </w:pPr>
            <w:r w:rsidRPr="00221978">
              <w:rPr>
                <w:rFonts w:ascii="Times New Roman" w:eastAsia="Times New Roman" w:hAnsi="Times New Roman" w:cs="Times New Roman"/>
                <w:bCs/>
                <w:sz w:val="20"/>
                <w:szCs w:val="20"/>
                <w:lang w:val="sr-Cyrl-CS" w:eastAsia="en-GB"/>
              </w:rPr>
              <w:t xml:space="preserve">12 - 15 поена </w:t>
            </w:r>
            <w:r w:rsidRPr="00221978">
              <w:rPr>
                <w:rFonts w:ascii="Times New Roman" w:eastAsia="Times New Roman" w:hAnsi="Times New Roman" w:cs="Times New Roman"/>
                <w:bCs/>
                <w:sz w:val="20"/>
                <w:szCs w:val="20"/>
                <w:lang w:val="sr-Cyrl-CS" w:eastAsia="en-GB"/>
              </w:rPr>
              <w:tab/>
              <w:t>= 5</w:t>
            </w:r>
          </w:p>
          <w:p w14:paraId="3C0D9592" w14:textId="77777777" w:rsidR="00A8352F" w:rsidRPr="00221978" w:rsidRDefault="00A8352F" w:rsidP="001F7AEB">
            <w:pPr>
              <w:rPr>
                <w:rFonts w:ascii="Times New Roman" w:eastAsia="Calibri" w:hAnsi="Times New Roman" w:cs="Times New Roman"/>
                <w:sz w:val="20"/>
                <w:szCs w:val="20"/>
                <w:lang w:val="sr-Cyrl-CS"/>
              </w:rPr>
            </w:pPr>
          </w:p>
        </w:tc>
      </w:tr>
      <w:tr w:rsidR="00A8352F" w:rsidRPr="00221978" w14:paraId="2E67EB3D" w14:textId="77777777" w:rsidTr="00814D0D">
        <w:trPr>
          <w:trHeight w:val="265"/>
          <w:jc w:val="center"/>
        </w:trPr>
        <w:tc>
          <w:tcPr>
            <w:tcW w:w="1396" w:type="pct"/>
            <w:vMerge w:val="restart"/>
          </w:tcPr>
          <w:p w14:paraId="77975275" w14:textId="77777777" w:rsidR="00A8352F" w:rsidRPr="00221978" w:rsidRDefault="00A8352F" w:rsidP="001F7AEB">
            <w:pPr>
              <w:rPr>
                <w:rFonts w:ascii="Times New Roman" w:eastAsia="Calibri" w:hAnsi="Times New Roman" w:cs="Times New Roman"/>
                <w:b/>
                <w:bCs/>
                <w:sz w:val="20"/>
                <w:szCs w:val="20"/>
                <w:lang w:val="sr-Cyrl-CS"/>
              </w:rPr>
            </w:pPr>
            <w:r w:rsidRPr="00221978">
              <w:rPr>
                <w:rFonts w:ascii="Times New Roman" w:eastAsia="Calibri" w:hAnsi="Times New Roman" w:cs="Times New Roman"/>
                <w:b/>
                <w:bCs/>
                <w:sz w:val="20"/>
                <w:szCs w:val="20"/>
                <w:lang w:val="sr-Cyrl-CS"/>
              </w:rPr>
              <w:lastRenderedPageBreak/>
              <w:t xml:space="preserve">Подаци о полазној вредности и години кад је измерена, као и о ранијем тренду </w:t>
            </w:r>
          </w:p>
        </w:tc>
        <w:tc>
          <w:tcPr>
            <w:tcW w:w="2713" w:type="pct"/>
            <w:gridSpan w:val="9"/>
            <w:tcBorders>
              <w:bottom w:val="single" w:sz="4" w:space="0" w:color="auto"/>
            </w:tcBorders>
            <w:vAlign w:val="center"/>
          </w:tcPr>
          <w:p w14:paraId="03435482" w14:textId="77777777" w:rsidR="00A8352F" w:rsidRPr="00221978" w:rsidRDefault="00A8352F" w:rsidP="001F7AEB">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 xml:space="preserve">Ранији тренд </w:t>
            </w:r>
          </w:p>
        </w:tc>
        <w:tc>
          <w:tcPr>
            <w:tcW w:w="891" w:type="pct"/>
            <w:gridSpan w:val="3"/>
            <w:shd w:val="clear" w:color="auto" w:fill="auto"/>
            <w:vAlign w:val="center"/>
          </w:tcPr>
          <w:p w14:paraId="490DB866" w14:textId="77777777" w:rsidR="00A8352F" w:rsidRPr="00221978" w:rsidRDefault="00A8352F" w:rsidP="001F7AEB">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Полазна вредност</w:t>
            </w:r>
          </w:p>
        </w:tc>
      </w:tr>
      <w:tr w:rsidR="00A8352F" w:rsidRPr="00221978" w14:paraId="5B7EF49A" w14:textId="77777777" w:rsidTr="00814D0D">
        <w:trPr>
          <w:trHeight w:val="137"/>
          <w:jc w:val="center"/>
        </w:trPr>
        <w:tc>
          <w:tcPr>
            <w:tcW w:w="1396" w:type="pct"/>
            <w:vMerge/>
            <w:tcBorders>
              <w:right w:val="single" w:sz="4" w:space="0" w:color="auto"/>
            </w:tcBorders>
          </w:tcPr>
          <w:p w14:paraId="63B846E5" w14:textId="77777777" w:rsidR="00A8352F" w:rsidRPr="00221978" w:rsidRDefault="00A8352F" w:rsidP="001F7AEB">
            <w:pPr>
              <w:rPr>
                <w:rFonts w:ascii="Times New Roman" w:eastAsia="Calibri" w:hAnsi="Times New Roman" w:cs="Times New Roman"/>
                <w:b/>
                <w:bCs/>
                <w:sz w:val="20"/>
                <w:szCs w:val="20"/>
                <w:lang w:val="sr-Cyrl-CS"/>
              </w:rPr>
            </w:pPr>
          </w:p>
        </w:tc>
        <w:tc>
          <w:tcPr>
            <w:tcW w:w="910" w:type="pct"/>
            <w:gridSpan w:val="3"/>
            <w:tcBorders>
              <w:top w:val="single" w:sz="4" w:space="0" w:color="auto"/>
              <w:left w:val="single" w:sz="4" w:space="0" w:color="auto"/>
              <w:bottom w:val="single" w:sz="4" w:space="0" w:color="auto"/>
              <w:right w:val="single" w:sz="4" w:space="0" w:color="auto"/>
            </w:tcBorders>
            <w:vAlign w:val="center"/>
          </w:tcPr>
          <w:p w14:paraId="2F84A0D3"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2017</w:t>
            </w:r>
          </w:p>
        </w:tc>
        <w:tc>
          <w:tcPr>
            <w:tcW w:w="894" w:type="pct"/>
            <w:gridSpan w:val="3"/>
            <w:tcBorders>
              <w:top w:val="single" w:sz="4" w:space="0" w:color="auto"/>
              <w:left w:val="single" w:sz="4" w:space="0" w:color="auto"/>
              <w:bottom w:val="single" w:sz="4" w:space="0" w:color="auto"/>
              <w:right w:val="single" w:sz="4" w:space="0" w:color="auto"/>
            </w:tcBorders>
            <w:vAlign w:val="center"/>
          </w:tcPr>
          <w:p w14:paraId="0E1A8C22"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2018</w:t>
            </w:r>
          </w:p>
        </w:tc>
        <w:tc>
          <w:tcPr>
            <w:tcW w:w="909" w:type="pct"/>
            <w:gridSpan w:val="3"/>
            <w:tcBorders>
              <w:top w:val="single" w:sz="4" w:space="0" w:color="auto"/>
              <w:left w:val="single" w:sz="4" w:space="0" w:color="auto"/>
              <w:bottom w:val="single" w:sz="4" w:space="0" w:color="auto"/>
              <w:right w:val="single" w:sz="4" w:space="0" w:color="auto"/>
            </w:tcBorders>
            <w:vAlign w:val="center"/>
          </w:tcPr>
          <w:p w14:paraId="2B7EA0C9"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2019</w:t>
            </w:r>
          </w:p>
        </w:tc>
        <w:tc>
          <w:tcPr>
            <w:tcW w:w="891" w:type="pct"/>
            <w:gridSpan w:val="3"/>
            <w:tcBorders>
              <w:left w:val="single" w:sz="4" w:space="0" w:color="auto"/>
            </w:tcBorders>
            <w:shd w:val="clear" w:color="auto" w:fill="auto"/>
            <w:vAlign w:val="center"/>
          </w:tcPr>
          <w:p w14:paraId="33EB0DD8"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2020</w:t>
            </w:r>
          </w:p>
        </w:tc>
      </w:tr>
      <w:tr w:rsidR="00A8352F" w:rsidRPr="00221978" w14:paraId="38E7AFA1" w14:textId="77777777" w:rsidTr="00814D0D">
        <w:trPr>
          <w:trHeight w:val="323"/>
          <w:jc w:val="center"/>
        </w:trPr>
        <w:tc>
          <w:tcPr>
            <w:tcW w:w="1396" w:type="pct"/>
            <w:vMerge/>
          </w:tcPr>
          <w:p w14:paraId="307AAFAF" w14:textId="77777777" w:rsidR="00A8352F" w:rsidRPr="00221978" w:rsidRDefault="00A8352F" w:rsidP="001F7AEB">
            <w:pPr>
              <w:rPr>
                <w:rFonts w:ascii="Times New Roman" w:eastAsia="Calibri" w:hAnsi="Times New Roman" w:cs="Times New Roman"/>
                <w:b/>
                <w:bCs/>
                <w:sz w:val="20"/>
                <w:szCs w:val="20"/>
                <w:lang w:val="sr-Cyrl-CS"/>
              </w:rPr>
            </w:pPr>
          </w:p>
        </w:tc>
        <w:tc>
          <w:tcPr>
            <w:tcW w:w="910" w:type="pct"/>
            <w:gridSpan w:val="3"/>
            <w:tcBorders>
              <w:top w:val="single" w:sz="4" w:space="0" w:color="auto"/>
            </w:tcBorders>
            <w:vAlign w:val="center"/>
          </w:tcPr>
          <w:p w14:paraId="6DB28A16" w14:textId="77777777" w:rsidR="00A8352F" w:rsidRPr="00221978" w:rsidRDefault="00A8352F" w:rsidP="001F7AEB">
            <w:pPr>
              <w:jc w:val="center"/>
              <w:rPr>
                <w:rFonts w:ascii="Times New Roman" w:eastAsia="Calibri" w:hAnsi="Times New Roman" w:cs="Times New Roman"/>
                <w:sz w:val="20"/>
                <w:szCs w:val="20"/>
                <w:lang w:val="sr-Cyrl-CS"/>
              </w:rPr>
            </w:pPr>
          </w:p>
        </w:tc>
        <w:tc>
          <w:tcPr>
            <w:tcW w:w="894" w:type="pct"/>
            <w:gridSpan w:val="3"/>
            <w:tcBorders>
              <w:top w:val="single" w:sz="4" w:space="0" w:color="auto"/>
            </w:tcBorders>
            <w:vAlign w:val="center"/>
          </w:tcPr>
          <w:p w14:paraId="75687310" w14:textId="77777777" w:rsidR="00A8352F" w:rsidRPr="00221978" w:rsidRDefault="00A8352F" w:rsidP="001F7AEB">
            <w:pPr>
              <w:jc w:val="center"/>
              <w:rPr>
                <w:rFonts w:ascii="Times New Roman" w:eastAsia="Calibri" w:hAnsi="Times New Roman" w:cs="Times New Roman"/>
                <w:sz w:val="20"/>
                <w:szCs w:val="20"/>
                <w:lang w:val="sr-Cyrl-CS"/>
              </w:rPr>
            </w:pPr>
          </w:p>
        </w:tc>
        <w:tc>
          <w:tcPr>
            <w:tcW w:w="909" w:type="pct"/>
            <w:gridSpan w:val="3"/>
            <w:tcBorders>
              <w:top w:val="single" w:sz="4" w:space="0" w:color="auto"/>
            </w:tcBorders>
            <w:vAlign w:val="center"/>
          </w:tcPr>
          <w:p w14:paraId="43131D6E" w14:textId="77777777" w:rsidR="00A8352F" w:rsidRPr="00221978" w:rsidRDefault="00A8352F" w:rsidP="001F7AEB">
            <w:pPr>
              <w:jc w:val="center"/>
              <w:rPr>
                <w:rFonts w:ascii="Times New Roman" w:eastAsia="Calibri" w:hAnsi="Times New Roman" w:cs="Times New Roman"/>
                <w:sz w:val="20"/>
                <w:szCs w:val="20"/>
                <w:lang w:val="sr-Cyrl-CS"/>
              </w:rPr>
            </w:pPr>
          </w:p>
        </w:tc>
        <w:tc>
          <w:tcPr>
            <w:tcW w:w="891" w:type="pct"/>
            <w:gridSpan w:val="3"/>
            <w:shd w:val="clear" w:color="auto" w:fill="auto"/>
            <w:vAlign w:val="center"/>
          </w:tcPr>
          <w:p w14:paraId="4F5CDF19" w14:textId="77777777" w:rsidR="00A8352F" w:rsidRPr="00221978" w:rsidRDefault="00A8352F" w:rsidP="001F7AEB">
            <w:pPr>
              <w:jc w:val="center"/>
              <w:rPr>
                <w:rFonts w:ascii="Times New Roman" w:eastAsia="Calibri" w:hAnsi="Times New Roman" w:cs="Times New Roman"/>
                <w:sz w:val="20"/>
                <w:szCs w:val="20"/>
                <w:lang w:val="sr-Cyrl-CS"/>
              </w:rPr>
            </w:pPr>
          </w:p>
        </w:tc>
      </w:tr>
      <w:tr w:rsidR="00A8352F" w:rsidRPr="00221978" w14:paraId="41BFB4EF" w14:textId="77777777" w:rsidTr="00814D0D">
        <w:trPr>
          <w:trHeight w:val="274"/>
          <w:jc w:val="center"/>
        </w:trPr>
        <w:tc>
          <w:tcPr>
            <w:tcW w:w="1396" w:type="pct"/>
            <w:vMerge w:val="restart"/>
          </w:tcPr>
          <w:p w14:paraId="2B497C65" w14:textId="77777777" w:rsidR="00A8352F" w:rsidRPr="00221978" w:rsidRDefault="00A8352F" w:rsidP="001F7AEB">
            <w:pPr>
              <w:rPr>
                <w:rFonts w:ascii="Times New Roman" w:eastAsia="Calibri" w:hAnsi="Times New Roman" w:cs="Times New Roman"/>
                <w:b/>
                <w:bCs/>
                <w:sz w:val="20"/>
                <w:szCs w:val="20"/>
                <w:lang w:val="sr-Cyrl-CS"/>
              </w:rPr>
            </w:pPr>
            <w:r w:rsidRPr="00221978">
              <w:rPr>
                <w:rFonts w:ascii="Times New Roman" w:eastAsia="Calibri" w:hAnsi="Times New Roman" w:cs="Times New Roman"/>
                <w:b/>
                <w:bCs/>
                <w:sz w:val="20"/>
                <w:szCs w:val="20"/>
                <w:lang w:val="sr-Cyrl-CS"/>
              </w:rPr>
              <w:t>Подаци о циљним вредностима</w:t>
            </w:r>
          </w:p>
        </w:tc>
        <w:tc>
          <w:tcPr>
            <w:tcW w:w="361" w:type="pct"/>
            <w:vAlign w:val="center"/>
          </w:tcPr>
          <w:p w14:paraId="3D35FE6A"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2021</w:t>
            </w:r>
          </w:p>
        </w:tc>
        <w:tc>
          <w:tcPr>
            <w:tcW w:w="361" w:type="pct"/>
            <w:vAlign w:val="center"/>
          </w:tcPr>
          <w:p w14:paraId="5B6E0C89"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2022</w:t>
            </w:r>
          </w:p>
        </w:tc>
        <w:tc>
          <w:tcPr>
            <w:tcW w:w="361" w:type="pct"/>
            <w:gridSpan w:val="2"/>
            <w:vAlign w:val="center"/>
          </w:tcPr>
          <w:p w14:paraId="27E3D06B"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2023</w:t>
            </w:r>
          </w:p>
        </w:tc>
        <w:tc>
          <w:tcPr>
            <w:tcW w:w="360" w:type="pct"/>
            <w:vAlign w:val="center"/>
          </w:tcPr>
          <w:p w14:paraId="69BF5AE1"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2024</w:t>
            </w:r>
          </w:p>
        </w:tc>
        <w:tc>
          <w:tcPr>
            <w:tcW w:w="361" w:type="pct"/>
            <w:vAlign w:val="center"/>
          </w:tcPr>
          <w:p w14:paraId="6D0E6AEA"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2025</w:t>
            </w:r>
          </w:p>
        </w:tc>
        <w:tc>
          <w:tcPr>
            <w:tcW w:w="360" w:type="pct"/>
            <w:vAlign w:val="center"/>
          </w:tcPr>
          <w:p w14:paraId="5D28728A"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2026</w:t>
            </w:r>
          </w:p>
        </w:tc>
        <w:tc>
          <w:tcPr>
            <w:tcW w:w="360" w:type="pct"/>
            <w:vAlign w:val="center"/>
          </w:tcPr>
          <w:p w14:paraId="73BF08BF"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2027</w:t>
            </w:r>
          </w:p>
        </w:tc>
        <w:tc>
          <w:tcPr>
            <w:tcW w:w="360" w:type="pct"/>
            <w:gridSpan w:val="2"/>
            <w:vAlign w:val="center"/>
          </w:tcPr>
          <w:p w14:paraId="02BF87D1"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2028</w:t>
            </w:r>
          </w:p>
        </w:tc>
        <w:tc>
          <w:tcPr>
            <w:tcW w:w="360" w:type="pct"/>
            <w:vAlign w:val="center"/>
          </w:tcPr>
          <w:p w14:paraId="08CA1D4B"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2029</w:t>
            </w:r>
          </w:p>
        </w:tc>
        <w:tc>
          <w:tcPr>
            <w:tcW w:w="360" w:type="pct"/>
            <w:vAlign w:val="center"/>
          </w:tcPr>
          <w:p w14:paraId="4CD27AD9"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2030</w:t>
            </w:r>
          </w:p>
        </w:tc>
      </w:tr>
      <w:tr w:rsidR="00A8352F" w:rsidRPr="00221978" w14:paraId="08B69B12" w14:textId="77777777" w:rsidTr="00814D0D">
        <w:trPr>
          <w:trHeight w:val="160"/>
          <w:jc w:val="center"/>
        </w:trPr>
        <w:tc>
          <w:tcPr>
            <w:tcW w:w="1396" w:type="pct"/>
            <w:vMerge/>
          </w:tcPr>
          <w:p w14:paraId="728D04C5" w14:textId="77777777" w:rsidR="00A8352F" w:rsidRPr="00221978" w:rsidRDefault="00A8352F" w:rsidP="001F7AEB">
            <w:pPr>
              <w:rPr>
                <w:rFonts w:ascii="Times New Roman" w:eastAsia="Calibri" w:hAnsi="Times New Roman" w:cs="Times New Roman"/>
                <w:b/>
                <w:bCs/>
                <w:sz w:val="20"/>
                <w:szCs w:val="20"/>
                <w:lang w:val="sr-Cyrl-CS"/>
              </w:rPr>
            </w:pPr>
          </w:p>
        </w:tc>
        <w:tc>
          <w:tcPr>
            <w:tcW w:w="361" w:type="pct"/>
            <w:vAlign w:val="center"/>
          </w:tcPr>
          <w:p w14:paraId="26FCF281" w14:textId="77777777" w:rsidR="00A8352F" w:rsidRPr="00221978" w:rsidRDefault="00A8352F" w:rsidP="001F7AEB">
            <w:pPr>
              <w:jc w:val="center"/>
              <w:rPr>
                <w:rFonts w:ascii="Times New Roman" w:eastAsia="Calibri" w:hAnsi="Times New Roman" w:cs="Times New Roman"/>
                <w:sz w:val="20"/>
                <w:szCs w:val="20"/>
                <w:lang w:val="sr-Cyrl-CS"/>
              </w:rPr>
            </w:pPr>
          </w:p>
        </w:tc>
        <w:tc>
          <w:tcPr>
            <w:tcW w:w="361" w:type="pct"/>
            <w:vAlign w:val="center"/>
          </w:tcPr>
          <w:p w14:paraId="50EFF8EF"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3</w:t>
            </w:r>
          </w:p>
        </w:tc>
        <w:tc>
          <w:tcPr>
            <w:tcW w:w="361" w:type="pct"/>
            <w:gridSpan w:val="2"/>
            <w:vAlign w:val="center"/>
          </w:tcPr>
          <w:p w14:paraId="212DB9E6"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4</w:t>
            </w:r>
          </w:p>
        </w:tc>
        <w:tc>
          <w:tcPr>
            <w:tcW w:w="360" w:type="pct"/>
            <w:vAlign w:val="center"/>
          </w:tcPr>
          <w:p w14:paraId="7241748F"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4</w:t>
            </w:r>
          </w:p>
        </w:tc>
        <w:tc>
          <w:tcPr>
            <w:tcW w:w="361" w:type="pct"/>
            <w:vAlign w:val="center"/>
          </w:tcPr>
          <w:p w14:paraId="54218124" w14:textId="77777777" w:rsidR="00A8352F" w:rsidRPr="00221978" w:rsidRDefault="00A8352F" w:rsidP="001F7AE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5</w:t>
            </w:r>
          </w:p>
        </w:tc>
        <w:tc>
          <w:tcPr>
            <w:tcW w:w="360" w:type="pct"/>
            <w:vAlign w:val="center"/>
          </w:tcPr>
          <w:p w14:paraId="24643133" w14:textId="77777777" w:rsidR="00A8352F" w:rsidRPr="00221978" w:rsidRDefault="00A8352F" w:rsidP="001F7AEB">
            <w:pPr>
              <w:jc w:val="center"/>
              <w:rPr>
                <w:rFonts w:ascii="Times New Roman" w:eastAsia="Calibri" w:hAnsi="Times New Roman" w:cs="Times New Roman"/>
                <w:sz w:val="20"/>
                <w:szCs w:val="20"/>
                <w:lang w:val="sr-Cyrl-CS"/>
              </w:rPr>
            </w:pPr>
          </w:p>
        </w:tc>
        <w:tc>
          <w:tcPr>
            <w:tcW w:w="360" w:type="pct"/>
            <w:vAlign w:val="center"/>
          </w:tcPr>
          <w:p w14:paraId="32C03351" w14:textId="77777777" w:rsidR="00A8352F" w:rsidRPr="00221978" w:rsidRDefault="00A8352F" w:rsidP="001F7AEB">
            <w:pPr>
              <w:jc w:val="center"/>
              <w:rPr>
                <w:rFonts w:ascii="Times New Roman" w:eastAsia="Calibri" w:hAnsi="Times New Roman" w:cs="Times New Roman"/>
                <w:sz w:val="20"/>
                <w:szCs w:val="20"/>
                <w:lang w:val="sr-Cyrl-CS"/>
              </w:rPr>
            </w:pPr>
          </w:p>
        </w:tc>
        <w:tc>
          <w:tcPr>
            <w:tcW w:w="360" w:type="pct"/>
            <w:gridSpan w:val="2"/>
            <w:vAlign w:val="center"/>
          </w:tcPr>
          <w:p w14:paraId="127D7056" w14:textId="77777777" w:rsidR="00A8352F" w:rsidRPr="00221978" w:rsidRDefault="00A8352F" w:rsidP="001F7AEB">
            <w:pPr>
              <w:jc w:val="center"/>
              <w:rPr>
                <w:rFonts w:ascii="Times New Roman" w:eastAsia="Calibri" w:hAnsi="Times New Roman" w:cs="Times New Roman"/>
                <w:sz w:val="20"/>
                <w:szCs w:val="20"/>
                <w:lang w:val="sr-Cyrl-CS"/>
              </w:rPr>
            </w:pPr>
          </w:p>
        </w:tc>
        <w:tc>
          <w:tcPr>
            <w:tcW w:w="360" w:type="pct"/>
            <w:vAlign w:val="center"/>
          </w:tcPr>
          <w:p w14:paraId="714B58C6" w14:textId="77777777" w:rsidR="00A8352F" w:rsidRPr="00221978" w:rsidRDefault="00A8352F" w:rsidP="001F7AEB">
            <w:pPr>
              <w:jc w:val="center"/>
              <w:rPr>
                <w:rFonts w:ascii="Times New Roman" w:eastAsia="Calibri" w:hAnsi="Times New Roman" w:cs="Times New Roman"/>
                <w:sz w:val="20"/>
                <w:szCs w:val="20"/>
                <w:lang w:val="sr-Cyrl-CS"/>
              </w:rPr>
            </w:pPr>
          </w:p>
        </w:tc>
        <w:tc>
          <w:tcPr>
            <w:tcW w:w="360" w:type="pct"/>
            <w:vAlign w:val="center"/>
          </w:tcPr>
          <w:p w14:paraId="72999358" w14:textId="77777777" w:rsidR="00A8352F" w:rsidRPr="00221978" w:rsidRDefault="00A8352F" w:rsidP="001F7AEB">
            <w:pPr>
              <w:jc w:val="center"/>
              <w:rPr>
                <w:rFonts w:ascii="Times New Roman" w:eastAsia="Calibri" w:hAnsi="Times New Roman" w:cs="Times New Roman"/>
                <w:sz w:val="20"/>
                <w:szCs w:val="20"/>
                <w:lang w:val="sr-Cyrl-CS"/>
              </w:rPr>
            </w:pPr>
          </w:p>
        </w:tc>
      </w:tr>
      <w:tr w:rsidR="00A8352F" w:rsidRPr="00221978" w14:paraId="6AE343E4" w14:textId="77777777" w:rsidTr="001F7AEB">
        <w:trPr>
          <w:trHeight w:val="160"/>
          <w:jc w:val="center"/>
        </w:trPr>
        <w:tc>
          <w:tcPr>
            <w:tcW w:w="1396" w:type="pct"/>
          </w:tcPr>
          <w:p w14:paraId="6067BE01" w14:textId="77777777" w:rsidR="00A8352F" w:rsidRPr="00221978" w:rsidRDefault="00A8352F" w:rsidP="001F7AEB">
            <w:pPr>
              <w:rPr>
                <w:rFonts w:ascii="Times New Roman" w:eastAsia="Calibri" w:hAnsi="Times New Roman" w:cs="Times New Roman"/>
                <w:b/>
                <w:bCs/>
                <w:sz w:val="20"/>
                <w:szCs w:val="20"/>
                <w:lang w:val="sr-Cyrl-CS"/>
              </w:rPr>
            </w:pPr>
            <w:r w:rsidRPr="00221978">
              <w:rPr>
                <w:rFonts w:ascii="Times New Roman" w:eastAsia="Calibri" w:hAnsi="Times New Roman" w:cs="Times New Roman"/>
                <w:b/>
                <w:bCs/>
                <w:sz w:val="20"/>
                <w:szCs w:val="20"/>
                <w:lang w:val="sr-Cyrl-CS"/>
              </w:rPr>
              <w:t>Процена успешности</w:t>
            </w:r>
          </w:p>
        </w:tc>
        <w:tc>
          <w:tcPr>
            <w:tcW w:w="3604" w:type="pct"/>
            <w:gridSpan w:val="12"/>
            <w:vAlign w:val="center"/>
          </w:tcPr>
          <w:p w14:paraId="06F11C9C" w14:textId="77777777" w:rsidR="00A8352F" w:rsidRPr="00221978" w:rsidRDefault="00A8352F" w:rsidP="001F7AEB">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Без одступања</w:t>
            </w:r>
          </w:p>
        </w:tc>
      </w:tr>
    </w:tbl>
    <w:p w14:paraId="6C4292B8" w14:textId="17316AB0" w:rsidR="00286E7A" w:rsidRPr="00221978" w:rsidRDefault="00814D0D" w:rsidP="00814D0D">
      <w:pPr>
        <w:suppressAutoHyphens/>
        <w:autoSpaceDN w:val="0"/>
        <w:spacing w:after="0" w:line="240" w:lineRule="auto"/>
        <w:jc w:val="right"/>
        <w:textAlignment w:val="baseline"/>
        <w:rPr>
          <w:rFonts w:ascii="Times New Roman" w:hAnsi="Times New Roman" w:cs="Times New Roman"/>
          <w:sz w:val="24"/>
          <w:szCs w:val="24"/>
          <w:lang w:val="sr-Cyrl-CS"/>
        </w:rPr>
      </w:pPr>
      <w:r w:rsidRPr="00221978">
        <w:rPr>
          <w:rFonts w:ascii="Times New Roman" w:eastAsia="Calibri" w:hAnsi="Times New Roman" w:cs="Times New Roman"/>
          <w:sz w:val="24"/>
          <w:szCs w:val="24"/>
          <w:lang w:val="sr-Cyrl-CS"/>
        </w:rPr>
        <w:t>”.</w:t>
      </w:r>
    </w:p>
    <w:p w14:paraId="63667FF5" w14:textId="0BED827A" w:rsidR="0079304D" w:rsidRPr="00221978" w:rsidRDefault="00B20A96" w:rsidP="00D405F8">
      <w:pPr>
        <w:suppressAutoHyphens/>
        <w:autoSpaceDN w:val="0"/>
        <w:spacing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показатељ</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3</w:t>
      </w:r>
      <w:r w:rsidR="00EE2575"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 xml:space="preserve"> </w:t>
      </w:r>
      <w:r w:rsidR="00EE2575" w:rsidRPr="00221978">
        <w:rPr>
          <w:rFonts w:ascii="Times New Roman" w:hAnsi="Times New Roman" w:cs="Times New Roman"/>
          <w:sz w:val="24"/>
          <w:szCs w:val="24"/>
          <w:lang w:val="sr-Cyrl-CS"/>
        </w:rPr>
        <w:t>мења се назив показатеља и гласи:</w:t>
      </w:r>
      <w:r w:rsidR="00814D0D" w:rsidRPr="00221978">
        <w:rPr>
          <w:rFonts w:ascii="Times New Roman" w:hAnsi="Times New Roman" w:cs="Times New Roman"/>
          <w:sz w:val="24"/>
          <w:szCs w:val="24"/>
          <w:lang w:val="sr-Cyrl-CS"/>
        </w:rPr>
        <w:t xml:space="preserve"> „</w:t>
      </w:r>
      <w:r w:rsidR="00EE2575" w:rsidRPr="00221978">
        <w:rPr>
          <w:rFonts w:ascii="Times New Roman" w:hAnsi="Times New Roman" w:cs="Times New Roman"/>
          <w:sz w:val="24"/>
          <w:szCs w:val="24"/>
          <w:lang w:val="sr-Cyrl-CS"/>
        </w:rPr>
        <w:t>Удео усвојених ДЈП у току једне календарске године који садрже потпуну анализу ефеката у односу на укупан број усвојених ДЈП за које је потребно израдити анализу ефеката</w:t>
      </w:r>
      <w:r w:rsidR="00814D0D" w:rsidRPr="00221978">
        <w:rPr>
          <w:rFonts w:ascii="Times New Roman" w:hAnsi="Times New Roman" w:cs="Times New Roman"/>
          <w:sz w:val="24"/>
          <w:szCs w:val="24"/>
          <w:lang w:val="sr-Cyrl-CS"/>
        </w:rPr>
        <w:t>”</w:t>
      </w:r>
      <w:r w:rsidR="00EE2575" w:rsidRPr="00221978">
        <w:rPr>
          <w:rFonts w:ascii="Times New Roman" w:hAnsi="Times New Roman" w:cs="Times New Roman"/>
          <w:sz w:val="24"/>
          <w:szCs w:val="24"/>
          <w:lang w:val="sr-Cyrl-CS"/>
        </w:rPr>
        <w:t xml:space="preserve"> </w:t>
      </w:r>
      <w:r w:rsidR="00EE2575" w:rsidRPr="00221978">
        <w:rPr>
          <w:rFonts w:ascii="Times New Roman" w:hAnsi="Times New Roman" w:cs="Times New Roman"/>
          <w:bCs/>
          <w:sz w:val="24"/>
          <w:szCs w:val="24"/>
          <w:lang w:val="sr-Cyrl-CS"/>
        </w:rPr>
        <w:t xml:space="preserve">и </w:t>
      </w:r>
      <w:r w:rsidR="00B87CE2" w:rsidRPr="00221978">
        <w:rPr>
          <w:rFonts w:ascii="Times New Roman" w:hAnsi="Times New Roman" w:cs="Times New Roman"/>
          <w:sz w:val="24"/>
          <w:szCs w:val="24"/>
          <w:lang w:val="sr-Cyrl-CS"/>
        </w:rPr>
        <w:t>дода</w:t>
      </w:r>
      <w:r w:rsidR="00EE2575" w:rsidRPr="00221978">
        <w:rPr>
          <w:rFonts w:ascii="Times New Roman" w:hAnsi="Times New Roman" w:cs="Times New Roman"/>
          <w:sz w:val="24"/>
          <w:szCs w:val="24"/>
          <w:lang w:val="sr-Cyrl-CS"/>
        </w:rPr>
        <w:t>ју</w:t>
      </w:r>
      <w:r w:rsidRPr="00221978">
        <w:rPr>
          <w:rFonts w:ascii="Times New Roman" w:hAnsi="Times New Roman" w:cs="Times New Roman"/>
          <w:sz w:val="24"/>
          <w:szCs w:val="24"/>
          <w:lang w:val="sr-Cyrl-CS"/>
        </w:rPr>
        <w:t xml:space="preserve"> с</w:t>
      </w:r>
      <w:r w:rsidR="00EE2575" w:rsidRPr="00221978">
        <w:rPr>
          <w:rFonts w:ascii="Times New Roman" w:hAnsi="Times New Roman" w:cs="Times New Roman"/>
          <w:sz w:val="24"/>
          <w:szCs w:val="24"/>
          <w:lang w:val="sr-Cyrl-CS"/>
        </w:rPr>
        <w:t>е</w:t>
      </w:r>
      <w:r w:rsidRPr="00221978">
        <w:rPr>
          <w:rFonts w:ascii="Times New Roman" w:hAnsi="Times New Roman" w:cs="Times New Roman"/>
          <w:sz w:val="24"/>
          <w:szCs w:val="24"/>
          <w:lang w:val="sr-Cyrl-CS"/>
        </w:rPr>
        <w:t xml:space="preserve"> подаци о циљним вредностима</w:t>
      </w:r>
      <w:r w:rsidR="0079304D" w:rsidRPr="00221978">
        <w:rPr>
          <w:rFonts w:ascii="Times New Roman" w:hAnsi="Times New Roman" w:cs="Times New Roman"/>
          <w:sz w:val="24"/>
          <w:szCs w:val="24"/>
          <w:lang w:val="sr-Cyrl-CS"/>
        </w:rPr>
        <w:t xml:space="preserve"> за 2024. и 2025. годину </w:t>
      </w:r>
      <w:r w:rsidR="009915AE" w:rsidRPr="00221978">
        <w:rPr>
          <w:rFonts w:ascii="Times New Roman" w:hAnsi="Times New Roman" w:cs="Times New Roman"/>
          <w:sz w:val="24"/>
          <w:szCs w:val="24"/>
          <w:lang w:val="sr-Cyrl-CS"/>
        </w:rPr>
        <w:t>који</w:t>
      </w:r>
      <w:r w:rsidR="0079304D" w:rsidRPr="00221978">
        <w:rPr>
          <w:rFonts w:ascii="Times New Roman" w:hAnsi="Times New Roman" w:cs="Times New Roman"/>
          <w:sz w:val="24"/>
          <w:szCs w:val="24"/>
          <w:lang w:val="sr-Cyrl-CS"/>
        </w:rPr>
        <w:t xml:space="preserve"> гласе: </w:t>
      </w:r>
      <w:r w:rsidR="00814D0D" w:rsidRPr="00221978">
        <w:rPr>
          <w:rFonts w:ascii="Times New Roman" w:hAnsi="Times New Roman" w:cs="Times New Roman"/>
          <w:sz w:val="24"/>
          <w:szCs w:val="24"/>
          <w:lang w:val="sr-Cyrl-CS"/>
        </w:rPr>
        <w:t>„</w:t>
      </w:r>
      <w:r w:rsidR="0079304D" w:rsidRPr="00221978">
        <w:rPr>
          <w:rFonts w:ascii="Times New Roman" w:hAnsi="Times New Roman" w:cs="Times New Roman"/>
          <w:sz w:val="24"/>
          <w:szCs w:val="24"/>
          <w:lang w:val="sr-Cyrl-CS"/>
        </w:rPr>
        <w:t>2024. 90%, 2025. 100%</w:t>
      </w:r>
      <w:r w:rsidR="009B73BA" w:rsidRPr="00221978">
        <w:rPr>
          <w:rFonts w:ascii="Times New Roman" w:hAnsi="Times New Roman" w:cs="Times New Roman"/>
          <w:sz w:val="24"/>
          <w:szCs w:val="24"/>
          <w:lang w:val="sr-Cyrl-CS"/>
        </w:rPr>
        <w:t>”</w:t>
      </w:r>
      <w:r w:rsidR="00814D0D"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p>
    <w:p w14:paraId="45D72941" w14:textId="3581DD3B" w:rsidR="009E24EB" w:rsidRPr="00221978" w:rsidRDefault="009E24EB" w:rsidP="00D405F8">
      <w:pPr>
        <w:suppressAutoHyphens/>
        <w:autoSpaceDN w:val="0"/>
        <w:spacing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показатељ</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5. мења се назив индикатора и гласи:</w:t>
      </w:r>
      <w:r w:rsidR="00814D0D"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Удео усвојених ДЈП током чије припреме је спроведен консултативни процес у складу са ЗПС у укупном броју усвојених ДЈП у календарској години.</w:t>
      </w:r>
      <w:r w:rsidR="009B73BA" w:rsidRPr="00221978">
        <w:rPr>
          <w:rFonts w:ascii="Times New Roman" w:hAnsi="Times New Roman" w:cs="Times New Roman"/>
          <w:sz w:val="24"/>
          <w:szCs w:val="24"/>
          <w:lang w:val="sr-Cyrl-CS"/>
        </w:rPr>
        <w:t xml:space="preserve">”    </w:t>
      </w:r>
    </w:p>
    <w:p w14:paraId="5DF97B83" w14:textId="616EF21C" w:rsidR="005E4345" w:rsidRPr="00221978" w:rsidRDefault="0079304D" w:rsidP="00D405F8">
      <w:pPr>
        <w:suppressAutoHyphens/>
        <w:autoSpaceDN w:val="0"/>
        <w:spacing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показатељ</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6</w:t>
      </w:r>
      <w:r w:rsidR="00EE2575"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 xml:space="preserve"> </w:t>
      </w:r>
      <w:r w:rsidR="00DB1F6A" w:rsidRPr="00221978">
        <w:rPr>
          <w:rFonts w:ascii="Times New Roman" w:hAnsi="Times New Roman" w:cs="Times New Roman"/>
          <w:sz w:val="24"/>
          <w:szCs w:val="24"/>
          <w:lang w:val="sr-Cyrl-CS"/>
        </w:rPr>
        <w:t xml:space="preserve"> мења се назив показатеља и гласи:</w:t>
      </w:r>
      <w:r w:rsidR="00814D0D" w:rsidRPr="00221978">
        <w:rPr>
          <w:rFonts w:ascii="Times New Roman" w:hAnsi="Times New Roman" w:cs="Times New Roman"/>
          <w:sz w:val="24"/>
          <w:szCs w:val="24"/>
          <w:lang w:val="sr-Cyrl-CS"/>
        </w:rPr>
        <w:t xml:space="preserve"> „</w:t>
      </w:r>
      <w:r w:rsidR="00DB1F6A" w:rsidRPr="00221978">
        <w:rPr>
          <w:rFonts w:ascii="Times New Roman" w:hAnsi="Times New Roman" w:cs="Times New Roman"/>
          <w:sz w:val="24"/>
          <w:szCs w:val="24"/>
          <w:lang w:val="sr-Cyrl-CS"/>
        </w:rPr>
        <w:t>Удео усвојених закона током чије припреме је спроведен консултативни процес у складу са ЗПС у укупном броју усвојених закона у календарској години</w:t>
      </w:r>
      <w:r w:rsidR="005E4345"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p>
    <w:p w14:paraId="5A940637" w14:textId="75C4AEF4" w:rsidR="00B20A96" w:rsidRPr="00221978" w:rsidRDefault="005E4345" w:rsidP="00D405F8">
      <w:pPr>
        <w:suppressAutoHyphens/>
        <w:autoSpaceDN w:val="0"/>
        <w:spacing w:after="0" w:line="240" w:lineRule="auto"/>
        <w:ind w:firstLine="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М</w:t>
      </w:r>
      <w:r w:rsidR="0079304D" w:rsidRPr="00221978">
        <w:rPr>
          <w:rFonts w:ascii="Times New Roman" w:hAnsi="Times New Roman" w:cs="Times New Roman"/>
          <w:sz w:val="24"/>
          <w:szCs w:val="24"/>
          <w:lang w:val="sr-Cyrl-CS"/>
        </w:rPr>
        <w:t>ењају се</w:t>
      </w:r>
      <w:r w:rsidR="00B20A96" w:rsidRPr="00221978">
        <w:rPr>
          <w:rFonts w:ascii="Times New Roman" w:hAnsi="Times New Roman" w:cs="Times New Roman"/>
          <w:sz w:val="24"/>
          <w:szCs w:val="24"/>
          <w:lang w:val="sr-Cyrl-CS"/>
        </w:rPr>
        <w:t xml:space="preserve"> </w:t>
      </w:r>
      <w:r w:rsidR="009915AE" w:rsidRPr="00221978">
        <w:rPr>
          <w:rFonts w:ascii="Times New Roman" w:hAnsi="Times New Roman" w:cs="Times New Roman"/>
          <w:sz w:val="24"/>
          <w:szCs w:val="24"/>
          <w:lang w:val="sr-Cyrl-CS"/>
        </w:rPr>
        <w:t xml:space="preserve">Подаци </w:t>
      </w:r>
      <w:r w:rsidR="00B20A96" w:rsidRPr="00221978">
        <w:rPr>
          <w:rFonts w:ascii="Times New Roman" w:hAnsi="Times New Roman" w:cs="Times New Roman"/>
          <w:sz w:val="24"/>
          <w:szCs w:val="24"/>
          <w:lang w:val="sr-Cyrl-CS"/>
        </w:rPr>
        <w:t>о циљним вредностима</w:t>
      </w:r>
      <w:r w:rsidR="0079304D" w:rsidRPr="00221978">
        <w:rPr>
          <w:rFonts w:ascii="Times New Roman" w:hAnsi="Times New Roman" w:cs="Times New Roman"/>
          <w:sz w:val="24"/>
          <w:szCs w:val="24"/>
          <w:lang w:val="sr-Cyrl-CS"/>
        </w:rPr>
        <w:t xml:space="preserve"> и гласе: </w:t>
      </w:r>
    </w:p>
    <w:p w14:paraId="3706F9B4" w14:textId="01894C2F" w:rsidR="0079304D" w:rsidRPr="00221978" w:rsidRDefault="00814D0D" w:rsidP="0079304D">
      <w:pPr>
        <w:suppressAutoHyphens/>
        <w:autoSpaceDN w:val="0"/>
        <w:spacing w:after="0" w:line="240" w:lineRule="auto"/>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4"/>
        <w:gridCol w:w="715"/>
        <w:gridCol w:w="715"/>
        <w:gridCol w:w="715"/>
        <w:gridCol w:w="715"/>
        <w:gridCol w:w="715"/>
        <w:gridCol w:w="715"/>
        <w:gridCol w:w="714"/>
        <w:gridCol w:w="714"/>
        <w:gridCol w:w="714"/>
        <w:gridCol w:w="714"/>
      </w:tblGrid>
      <w:tr w:rsidR="0079304D" w:rsidRPr="00221978" w14:paraId="035271D7" w14:textId="77777777" w:rsidTr="00814D0D">
        <w:trPr>
          <w:trHeight w:val="274"/>
          <w:jc w:val="center"/>
        </w:trPr>
        <w:tc>
          <w:tcPr>
            <w:tcW w:w="1178" w:type="pct"/>
            <w:vMerge w:val="restart"/>
          </w:tcPr>
          <w:p w14:paraId="34A8CE55" w14:textId="77777777" w:rsidR="0079304D" w:rsidRPr="00221978" w:rsidRDefault="0079304D" w:rsidP="00856EFB">
            <w:pPr>
              <w:rPr>
                <w:rFonts w:ascii="Times New Roman" w:eastAsia="Calibri" w:hAnsi="Times New Roman" w:cs="Times New Roman"/>
                <w:b/>
                <w:bCs/>
                <w:sz w:val="20"/>
                <w:szCs w:val="20"/>
                <w:lang w:val="sr-Cyrl-CS"/>
              </w:rPr>
            </w:pPr>
            <w:r w:rsidRPr="00221978">
              <w:rPr>
                <w:rFonts w:ascii="Times New Roman" w:eastAsia="Calibri" w:hAnsi="Times New Roman" w:cs="Times New Roman"/>
                <w:b/>
                <w:bCs/>
                <w:sz w:val="20"/>
                <w:szCs w:val="20"/>
                <w:lang w:val="sr-Cyrl-CS"/>
              </w:rPr>
              <w:t>Подаци о циљним вредностима</w:t>
            </w:r>
          </w:p>
        </w:tc>
        <w:tc>
          <w:tcPr>
            <w:tcW w:w="382" w:type="pct"/>
            <w:vAlign w:val="center"/>
          </w:tcPr>
          <w:p w14:paraId="4B005ACF" w14:textId="77777777" w:rsidR="0079304D" w:rsidRPr="00221978" w:rsidRDefault="0079304D" w:rsidP="00856EF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2021</w:t>
            </w:r>
          </w:p>
        </w:tc>
        <w:tc>
          <w:tcPr>
            <w:tcW w:w="382" w:type="pct"/>
            <w:vAlign w:val="center"/>
          </w:tcPr>
          <w:p w14:paraId="67A89F6C" w14:textId="77777777" w:rsidR="0079304D" w:rsidRPr="00221978" w:rsidRDefault="0079304D" w:rsidP="00856EF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2022</w:t>
            </w:r>
          </w:p>
        </w:tc>
        <w:tc>
          <w:tcPr>
            <w:tcW w:w="382" w:type="pct"/>
            <w:vAlign w:val="center"/>
          </w:tcPr>
          <w:p w14:paraId="4AF8E579" w14:textId="77777777" w:rsidR="0079304D" w:rsidRPr="00221978" w:rsidRDefault="0079304D" w:rsidP="00856EF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2023</w:t>
            </w:r>
          </w:p>
        </w:tc>
        <w:tc>
          <w:tcPr>
            <w:tcW w:w="382" w:type="pct"/>
            <w:vAlign w:val="center"/>
          </w:tcPr>
          <w:p w14:paraId="49883ABC" w14:textId="77777777" w:rsidR="0079304D" w:rsidRPr="00221978" w:rsidRDefault="0079304D" w:rsidP="00856EF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2024</w:t>
            </w:r>
          </w:p>
        </w:tc>
        <w:tc>
          <w:tcPr>
            <w:tcW w:w="382" w:type="pct"/>
            <w:vAlign w:val="center"/>
          </w:tcPr>
          <w:p w14:paraId="0A4207BB" w14:textId="77777777" w:rsidR="0079304D" w:rsidRPr="00221978" w:rsidRDefault="0079304D" w:rsidP="00856EF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2025</w:t>
            </w:r>
          </w:p>
        </w:tc>
        <w:tc>
          <w:tcPr>
            <w:tcW w:w="382" w:type="pct"/>
            <w:vAlign w:val="center"/>
          </w:tcPr>
          <w:p w14:paraId="222F44B6" w14:textId="77777777" w:rsidR="0079304D" w:rsidRPr="00221978" w:rsidRDefault="0079304D" w:rsidP="00856EF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2026</w:t>
            </w:r>
          </w:p>
        </w:tc>
        <w:tc>
          <w:tcPr>
            <w:tcW w:w="382" w:type="pct"/>
            <w:vAlign w:val="center"/>
          </w:tcPr>
          <w:p w14:paraId="0A6BC14D" w14:textId="77777777" w:rsidR="0079304D" w:rsidRPr="00221978" w:rsidRDefault="0079304D" w:rsidP="00856EF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2027</w:t>
            </w:r>
          </w:p>
        </w:tc>
        <w:tc>
          <w:tcPr>
            <w:tcW w:w="382" w:type="pct"/>
            <w:vAlign w:val="center"/>
          </w:tcPr>
          <w:p w14:paraId="62E36FE0" w14:textId="77777777" w:rsidR="0079304D" w:rsidRPr="00221978" w:rsidRDefault="0079304D" w:rsidP="00856EF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2028</w:t>
            </w:r>
          </w:p>
        </w:tc>
        <w:tc>
          <w:tcPr>
            <w:tcW w:w="382" w:type="pct"/>
            <w:vAlign w:val="center"/>
          </w:tcPr>
          <w:p w14:paraId="4A47DA76" w14:textId="77777777" w:rsidR="0079304D" w:rsidRPr="00221978" w:rsidRDefault="0079304D" w:rsidP="00856EF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2029</w:t>
            </w:r>
          </w:p>
        </w:tc>
        <w:tc>
          <w:tcPr>
            <w:tcW w:w="382" w:type="pct"/>
            <w:vAlign w:val="center"/>
          </w:tcPr>
          <w:p w14:paraId="4194C4E6" w14:textId="77777777" w:rsidR="0079304D" w:rsidRPr="00221978" w:rsidRDefault="0079304D" w:rsidP="00856EFB">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2030</w:t>
            </w:r>
          </w:p>
        </w:tc>
      </w:tr>
      <w:tr w:rsidR="0079304D" w:rsidRPr="00221978" w14:paraId="54622508" w14:textId="77777777" w:rsidTr="00814D0D">
        <w:trPr>
          <w:trHeight w:val="160"/>
          <w:jc w:val="center"/>
        </w:trPr>
        <w:tc>
          <w:tcPr>
            <w:tcW w:w="1178" w:type="pct"/>
            <w:vMerge/>
          </w:tcPr>
          <w:p w14:paraId="0CE6071F" w14:textId="77777777" w:rsidR="0079304D" w:rsidRPr="00221978" w:rsidRDefault="0079304D" w:rsidP="00856EFB">
            <w:pPr>
              <w:rPr>
                <w:rFonts w:ascii="Times New Roman" w:eastAsia="Calibri" w:hAnsi="Times New Roman" w:cs="Times New Roman"/>
                <w:b/>
                <w:bCs/>
                <w:sz w:val="20"/>
                <w:szCs w:val="20"/>
                <w:lang w:val="sr-Cyrl-CS"/>
              </w:rPr>
            </w:pPr>
          </w:p>
        </w:tc>
        <w:tc>
          <w:tcPr>
            <w:tcW w:w="382" w:type="pct"/>
            <w:vAlign w:val="center"/>
          </w:tcPr>
          <w:p w14:paraId="6FABE4B6" w14:textId="77777777" w:rsidR="0079304D" w:rsidRPr="00221978" w:rsidRDefault="0079304D" w:rsidP="00856EFB">
            <w:pPr>
              <w:spacing w:before="60"/>
              <w:jc w:val="center"/>
              <w:rPr>
                <w:rFonts w:ascii="Times New Roman" w:hAnsi="Times New Roman" w:cs="Times New Roman"/>
                <w:sz w:val="20"/>
                <w:szCs w:val="20"/>
                <w:lang w:val="sr-Cyrl-CS"/>
              </w:rPr>
            </w:pPr>
            <w:r w:rsidRPr="00221978">
              <w:rPr>
                <w:rFonts w:ascii="Times New Roman" w:hAnsi="Times New Roman" w:cs="Times New Roman"/>
                <w:sz w:val="20"/>
                <w:szCs w:val="20"/>
                <w:lang w:val="sr-Cyrl-CS"/>
              </w:rPr>
              <w:t>40%</w:t>
            </w:r>
          </w:p>
        </w:tc>
        <w:tc>
          <w:tcPr>
            <w:tcW w:w="382" w:type="pct"/>
            <w:vAlign w:val="center"/>
          </w:tcPr>
          <w:p w14:paraId="307210A5" w14:textId="77777777" w:rsidR="0079304D" w:rsidRPr="00221978" w:rsidRDefault="0079304D" w:rsidP="00856EFB">
            <w:pPr>
              <w:spacing w:before="60"/>
              <w:jc w:val="center"/>
              <w:rPr>
                <w:rFonts w:ascii="Times New Roman" w:hAnsi="Times New Roman" w:cs="Times New Roman"/>
                <w:sz w:val="20"/>
                <w:szCs w:val="20"/>
                <w:lang w:val="sr-Cyrl-CS"/>
              </w:rPr>
            </w:pPr>
            <w:r w:rsidRPr="00221978">
              <w:rPr>
                <w:rFonts w:ascii="Times New Roman" w:hAnsi="Times New Roman" w:cs="Times New Roman"/>
                <w:sz w:val="20"/>
                <w:szCs w:val="20"/>
                <w:lang w:val="sr-Cyrl-CS"/>
              </w:rPr>
              <w:t>60%</w:t>
            </w:r>
          </w:p>
        </w:tc>
        <w:tc>
          <w:tcPr>
            <w:tcW w:w="382" w:type="pct"/>
            <w:vAlign w:val="center"/>
          </w:tcPr>
          <w:p w14:paraId="22F56249" w14:textId="77777777" w:rsidR="0079304D" w:rsidRPr="00221978" w:rsidRDefault="0079304D" w:rsidP="00856EFB">
            <w:pPr>
              <w:spacing w:before="60"/>
              <w:jc w:val="center"/>
              <w:rPr>
                <w:rFonts w:ascii="Times New Roman" w:hAnsi="Times New Roman" w:cs="Times New Roman"/>
                <w:sz w:val="20"/>
                <w:szCs w:val="20"/>
                <w:lang w:val="sr-Cyrl-CS"/>
              </w:rPr>
            </w:pPr>
            <w:r w:rsidRPr="00221978">
              <w:rPr>
                <w:rFonts w:ascii="Times New Roman" w:hAnsi="Times New Roman" w:cs="Times New Roman"/>
                <w:sz w:val="20"/>
                <w:szCs w:val="20"/>
                <w:lang w:val="sr-Cyrl-CS"/>
              </w:rPr>
              <w:t>70%</w:t>
            </w:r>
          </w:p>
        </w:tc>
        <w:tc>
          <w:tcPr>
            <w:tcW w:w="382" w:type="pct"/>
            <w:vAlign w:val="center"/>
          </w:tcPr>
          <w:p w14:paraId="3AC843EA" w14:textId="77777777" w:rsidR="0079304D" w:rsidRPr="00221978" w:rsidRDefault="0079304D" w:rsidP="00856EFB">
            <w:pPr>
              <w:spacing w:before="60"/>
              <w:jc w:val="center"/>
              <w:rPr>
                <w:rFonts w:ascii="Times New Roman" w:hAnsi="Times New Roman" w:cs="Times New Roman"/>
                <w:sz w:val="20"/>
                <w:szCs w:val="20"/>
                <w:lang w:val="sr-Cyrl-CS"/>
              </w:rPr>
            </w:pPr>
            <w:r w:rsidRPr="00221978">
              <w:rPr>
                <w:rFonts w:ascii="Times New Roman" w:hAnsi="Times New Roman" w:cs="Times New Roman"/>
                <w:sz w:val="20"/>
                <w:szCs w:val="20"/>
                <w:lang w:val="sr-Cyrl-CS"/>
              </w:rPr>
              <w:t>75%</w:t>
            </w:r>
          </w:p>
        </w:tc>
        <w:tc>
          <w:tcPr>
            <w:tcW w:w="382" w:type="pct"/>
            <w:vAlign w:val="center"/>
          </w:tcPr>
          <w:p w14:paraId="2FE24718" w14:textId="77777777" w:rsidR="0079304D" w:rsidRPr="00221978" w:rsidRDefault="0079304D" w:rsidP="00856EFB">
            <w:pPr>
              <w:spacing w:before="60"/>
              <w:jc w:val="center"/>
              <w:rPr>
                <w:rFonts w:ascii="Times New Roman" w:hAnsi="Times New Roman" w:cs="Times New Roman"/>
                <w:sz w:val="20"/>
                <w:szCs w:val="20"/>
                <w:lang w:val="sr-Cyrl-CS"/>
              </w:rPr>
            </w:pPr>
            <w:r w:rsidRPr="00221978">
              <w:rPr>
                <w:rFonts w:ascii="Times New Roman" w:hAnsi="Times New Roman" w:cs="Times New Roman"/>
                <w:sz w:val="20"/>
                <w:szCs w:val="20"/>
                <w:lang w:val="sr-Cyrl-CS"/>
              </w:rPr>
              <w:t>80%</w:t>
            </w:r>
          </w:p>
        </w:tc>
        <w:tc>
          <w:tcPr>
            <w:tcW w:w="382" w:type="pct"/>
            <w:vAlign w:val="center"/>
          </w:tcPr>
          <w:p w14:paraId="16CE2A74" w14:textId="77777777" w:rsidR="0079304D" w:rsidRPr="00221978" w:rsidRDefault="0079304D" w:rsidP="00856EFB">
            <w:pPr>
              <w:spacing w:before="60"/>
              <w:jc w:val="center"/>
              <w:rPr>
                <w:rFonts w:ascii="Times New Roman" w:hAnsi="Times New Roman" w:cs="Times New Roman"/>
                <w:sz w:val="20"/>
                <w:szCs w:val="20"/>
                <w:lang w:val="sr-Cyrl-CS"/>
              </w:rPr>
            </w:pPr>
          </w:p>
        </w:tc>
        <w:tc>
          <w:tcPr>
            <w:tcW w:w="382" w:type="pct"/>
            <w:vAlign w:val="center"/>
          </w:tcPr>
          <w:p w14:paraId="7E3F6998" w14:textId="77777777" w:rsidR="0079304D" w:rsidRPr="00221978" w:rsidRDefault="0079304D" w:rsidP="00856EFB">
            <w:pPr>
              <w:spacing w:before="60"/>
              <w:jc w:val="center"/>
              <w:rPr>
                <w:rFonts w:ascii="Times New Roman" w:hAnsi="Times New Roman" w:cs="Times New Roman"/>
                <w:sz w:val="20"/>
                <w:szCs w:val="20"/>
                <w:lang w:val="sr-Cyrl-CS"/>
              </w:rPr>
            </w:pPr>
            <w:r w:rsidRPr="00221978">
              <w:rPr>
                <w:rFonts w:ascii="Times New Roman" w:hAnsi="Times New Roman" w:cs="Times New Roman"/>
                <w:sz w:val="20"/>
                <w:szCs w:val="20"/>
                <w:lang w:val="sr-Cyrl-CS"/>
              </w:rPr>
              <w:t>85%</w:t>
            </w:r>
          </w:p>
        </w:tc>
        <w:tc>
          <w:tcPr>
            <w:tcW w:w="382" w:type="pct"/>
            <w:vAlign w:val="center"/>
          </w:tcPr>
          <w:p w14:paraId="61C2FB08" w14:textId="77777777" w:rsidR="0079304D" w:rsidRPr="00221978" w:rsidRDefault="0079304D" w:rsidP="00856EFB">
            <w:pPr>
              <w:spacing w:before="60"/>
              <w:jc w:val="center"/>
              <w:rPr>
                <w:rFonts w:ascii="Times New Roman" w:hAnsi="Times New Roman" w:cs="Times New Roman"/>
                <w:sz w:val="20"/>
                <w:szCs w:val="20"/>
                <w:lang w:val="sr-Cyrl-CS"/>
              </w:rPr>
            </w:pPr>
          </w:p>
        </w:tc>
        <w:tc>
          <w:tcPr>
            <w:tcW w:w="382" w:type="pct"/>
            <w:vAlign w:val="center"/>
          </w:tcPr>
          <w:p w14:paraId="102543D7" w14:textId="77777777" w:rsidR="0079304D" w:rsidRPr="00221978" w:rsidRDefault="0079304D" w:rsidP="00856EFB">
            <w:pPr>
              <w:spacing w:before="60"/>
              <w:jc w:val="center"/>
              <w:rPr>
                <w:rFonts w:ascii="Times New Roman" w:hAnsi="Times New Roman" w:cs="Times New Roman"/>
                <w:sz w:val="20"/>
                <w:szCs w:val="20"/>
                <w:lang w:val="sr-Cyrl-CS"/>
              </w:rPr>
            </w:pPr>
          </w:p>
        </w:tc>
        <w:tc>
          <w:tcPr>
            <w:tcW w:w="382" w:type="pct"/>
            <w:vAlign w:val="center"/>
          </w:tcPr>
          <w:p w14:paraId="00A85218" w14:textId="77777777" w:rsidR="0079304D" w:rsidRPr="00221978" w:rsidRDefault="0079304D" w:rsidP="00856EFB">
            <w:pPr>
              <w:spacing w:before="60"/>
              <w:jc w:val="center"/>
              <w:rPr>
                <w:rFonts w:ascii="Times New Roman" w:hAnsi="Times New Roman" w:cs="Times New Roman"/>
                <w:sz w:val="20"/>
                <w:szCs w:val="20"/>
                <w:lang w:val="sr-Cyrl-CS"/>
              </w:rPr>
            </w:pPr>
            <w:r w:rsidRPr="00221978">
              <w:rPr>
                <w:rFonts w:ascii="Times New Roman" w:hAnsi="Times New Roman" w:cs="Times New Roman"/>
                <w:sz w:val="20"/>
                <w:szCs w:val="20"/>
                <w:lang w:val="sr-Cyrl-CS"/>
              </w:rPr>
              <w:t>90%</w:t>
            </w:r>
          </w:p>
        </w:tc>
      </w:tr>
    </w:tbl>
    <w:p w14:paraId="24561EA5" w14:textId="36FEAC46" w:rsidR="0079304D" w:rsidRPr="00221978" w:rsidRDefault="00814D0D" w:rsidP="00814D0D">
      <w:pPr>
        <w:suppressAutoHyphens/>
        <w:autoSpaceDN w:val="0"/>
        <w:spacing w:after="0" w:line="240" w:lineRule="auto"/>
        <w:jc w:val="right"/>
        <w:textAlignment w:val="baseline"/>
        <w:rPr>
          <w:rFonts w:ascii="Times New Roman" w:hAnsi="Times New Roman" w:cs="Times New Roman"/>
          <w:sz w:val="24"/>
          <w:szCs w:val="24"/>
          <w:lang w:val="sr-Cyrl-CS"/>
        </w:rPr>
      </w:pPr>
      <w:r w:rsidRPr="00221978">
        <w:rPr>
          <w:rFonts w:ascii="Times New Roman" w:eastAsia="Calibri" w:hAnsi="Times New Roman" w:cs="Times New Roman"/>
          <w:sz w:val="24"/>
          <w:szCs w:val="24"/>
          <w:lang w:val="sr-Cyrl-CS"/>
        </w:rPr>
        <w:t>”.</w:t>
      </w:r>
    </w:p>
    <w:p w14:paraId="785C81DA" w14:textId="28EF1AE4" w:rsidR="00102E7A" w:rsidRPr="00221978" w:rsidRDefault="00102E7A" w:rsidP="00D405F8">
      <w:pPr>
        <w:suppressAutoHyphens/>
        <w:autoSpaceDN w:val="0"/>
        <w:spacing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показатељ</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7. мења се назив показатеља и гласи:</w:t>
      </w:r>
      <w:r w:rsidR="009B73BA" w:rsidRPr="00221978">
        <w:rPr>
          <w:rFonts w:ascii="Times New Roman" w:hAnsi="Times New Roman" w:cs="Times New Roman"/>
          <w:sz w:val="24"/>
          <w:szCs w:val="24"/>
          <w:lang w:val="sr-Cyrl-CS"/>
        </w:rPr>
        <w:t xml:space="preserve"> </w:t>
      </w:r>
      <w:r w:rsidR="00814D0D"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Удео донетих уредби током чије припреме је спроведен консултативни процес у складу са ЗПС у укупном броју донетих уредби у календарској години.</w:t>
      </w:r>
      <w:r w:rsidR="009B73BA" w:rsidRPr="00221978">
        <w:rPr>
          <w:rFonts w:ascii="Times New Roman" w:hAnsi="Times New Roman" w:cs="Times New Roman"/>
          <w:sz w:val="24"/>
          <w:szCs w:val="24"/>
          <w:lang w:val="sr-Cyrl-CS"/>
        </w:rPr>
        <w:t xml:space="preserve">”    </w:t>
      </w:r>
    </w:p>
    <w:p w14:paraId="2D38F825" w14:textId="77777777" w:rsidR="00286E7A" w:rsidRPr="00221978" w:rsidRDefault="00286E7A" w:rsidP="00286E7A">
      <w:pPr>
        <w:pStyle w:val="ListParagraph"/>
        <w:rPr>
          <w:rFonts w:ascii="Times New Roman" w:hAnsi="Times New Roman" w:cs="Times New Roman"/>
          <w:sz w:val="24"/>
          <w:szCs w:val="24"/>
          <w:lang w:val="sr-Cyrl-CS"/>
        </w:rPr>
      </w:pPr>
    </w:p>
    <w:p w14:paraId="2651D19C" w14:textId="470E4D9C" w:rsidR="00D2428F" w:rsidRPr="00221978" w:rsidRDefault="005104F5" w:rsidP="002D41CF">
      <w:pPr>
        <w:pStyle w:val="ListParagraph"/>
        <w:numPr>
          <w:ilvl w:val="0"/>
          <w:numId w:val="2"/>
        </w:numPr>
        <w:suppressAutoHyphens/>
        <w:autoSpaceDN w:val="0"/>
        <w:spacing w:before="120" w:after="0" w:line="240" w:lineRule="auto"/>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8034ED" w:rsidRPr="00221978">
        <w:rPr>
          <w:rFonts w:ascii="Times New Roman" w:hAnsi="Times New Roman" w:cs="Times New Roman"/>
          <w:sz w:val="24"/>
          <w:szCs w:val="24"/>
          <w:lang w:val="sr-Cyrl-CS"/>
        </w:rPr>
        <w:t>Прилогу</w:t>
      </w:r>
      <w:r w:rsidRPr="00221978">
        <w:rPr>
          <w:rFonts w:ascii="Times New Roman" w:hAnsi="Times New Roman" w:cs="Times New Roman"/>
          <w:sz w:val="24"/>
          <w:szCs w:val="24"/>
          <w:lang w:val="sr-Cyrl-CS"/>
        </w:rPr>
        <w:t xml:space="preserve"> 8: Пасоши индикатора:</w:t>
      </w:r>
      <w:r w:rsidRPr="00221978">
        <w:rPr>
          <w:lang w:val="sr-Cyrl-CS"/>
        </w:rPr>
        <w:t xml:space="preserve"> </w:t>
      </w:r>
      <w:r w:rsidRPr="00221978">
        <w:rPr>
          <w:rFonts w:ascii="Times New Roman" w:hAnsi="Times New Roman" w:cs="Times New Roman"/>
          <w:sz w:val="24"/>
          <w:szCs w:val="24"/>
          <w:lang w:val="sr-Cyrl-CS"/>
        </w:rPr>
        <w:t>Развијен и имплементиран функционалан и иновативан систем стручног усавршавања и стручних испита у јавној управи заснован на анализи потреба за унапређењем компетенција, односно знања, вештина и способности запослених у јавној управи, Посебан циљ 4:</w:t>
      </w:r>
    </w:p>
    <w:bookmarkEnd w:id="24"/>
    <w:p w14:paraId="2FFDE168" w14:textId="2FC78921" w:rsidR="005104F5" w:rsidRPr="00221978" w:rsidRDefault="00EC4C89"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 се</w:t>
      </w:r>
      <w:r w:rsidR="005104F5" w:rsidRPr="00221978">
        <w:rPr>
          <w:rFonts w:ascii="Times New Roman" w:hAnsi="Times New Roman" w:cs="Times New Roman"/>
          <w:sz w:val="24"/>
          <w:szCs w:val="24"/>
          <w:lang w:val="sr-Cyrl-CS"/>
        </w:rPr>
        <w:t xml:space="preserve"> назив показатеља 1 и гласи: </w:t>
      </w:r>
      <w:r w:rsidRPr="00221978">
        <w:rPr>
          <w:rFonts w:ascii="Times New Roman" w:hAnsi="Times New Roman" w:cs="Times New Roman"/>
          <w:sz w:val="24"/>
          <w:szCs w:val="24"/>
          <w:lang w:val="sr-Cyrl-CS"/>
        </w:rPr>
        <w:t>„</w:t>
      </w:r>
      <w:r w:rsidR="005104F5" w:rsidRPr="00221978">
        <w:rPr>
          <w:rFonts w:ascii="Times New Roman" w:hAnsi="Times New Roman" w:cs="Times New Roman"/>
          <w:sz w:val="24"/>
          <w:szCs w:val="24"/>
          <w:lang w:val="sr-Cyrl-CS"/>
        </w:rPr>
        <w:t>Степен у ком се систем стручног усавршавања у јавној управи нормативно и у пракси заснива на анализи потреба за унапређењем знања и вештина, односно способности запослених у јавној управи.</w:t>
      </w:r>
      <w:r w:rsidR="009B73BA" w:rsidRPr="00221978">
        <w:rPr>
          <w:rFonts w:ascii="Times New Roman" w:hAnsi="Times New Roman" w:cs="Times New Roman"/>
          <w:sz w:val="24"/>
          <w:szCs w:val="24"/>
          <w:lang w:val="sr-Cyrl-CS"/>
        </w:rPr>
        <w:t xml:space="preserve">”    </w:t>
      </w:r>
    </w:p>
    <w:p w14:paraId="563DBFA4" w14:textId="1BEBD0DA" w:rsidR="00EC4C89" w:rsidRPr="00221978" w:rsidRDefault="00EC4C89"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 се</w:t>
      </w:r>
      <w:r w:rsidR="005104F5" w:rsidRPr="00221978">
        <w:rPr>
          <w:rFonts w:ascii="Times New Roman" w:hAnsi="Times New Roman" w:cs="Times New Roman"/>
          <w:sz w:val="24"/>
          <w:szCs w:val="24"/>
          <w:lang w:val="sr-Cyrl-CS"/>
        </w:rPr>
        <w:t xml:space="preserve"> </w:t>
      </w:r>
      <w:r w:rsidR="00E765E5" w:rsidRPr="00221978">
        <w:rPr>
          <w:rFonts w:ascii="Times New Roman" w:hAnsi="Times New Roman" w:cs="Times New Roman"/>
          <w:sz w:val="24"/>
          <w:szCs w:val="24"/>
          <w:lang w:val="sr-Cyrl-CS"/>
        </w:rPr>
        <w:t>и</w:t>
      </w:r>
      <w:r w:rsidR="005104F5" w:rsidRPr="00221978">
        <w:rPr>
          <w:rFonts w:ascii="Times New Roman" w:hAnsi="Times New Roman" w:cs="Times New Roman"/>
          <w:sz w:val="24"/>
          <w:szCs w:val="24"/>
          <w:lang w:val="sr-Cyrl-CS"/>
        </w:rPr>
        <w:t>звор података за праћење показатеља успешности</w:t>
      </w:r>
      <w:r w:rsidR="00E765E5" w:rsidRPr="00221978">
        <w:rPr>
          <w:rFonts w:ascii="Times New Roman" w:hAnsi="Times New Roman" w:cs="Times New Roman"/>
          <w:sz w:val="24"/>
          <w:szCs w:val="24"/>
          <w:lang w:val="sr-Cyrl-CS"/>
        </w:rPr>
        <w:t xml:space="preserve"> и гласи: </w:t>
      </w:r>
      <w:r w:rsidRPr="00221978">
        <w:rPr>
          <w:rFonts w:ascii="Times New Roman" w:hAnsi="Times New Roman" w:cs="Times New Roman"/>
          <w:sz w:val="24"/>
          <w:szCs w:val="24"/>
          <w:lang w:val="sr-Cyrl-CS"/>
        </w:rPr>
        <w:t>„</w:t>
      </w:r>
      <w:r w:rsidR="00E765E5" w:rsidRPr="00221978">
        <w:rPr>
          <w:rFonts w:ascii="Times New Roman" w:hAnsi="Times New Roman" w:cs="Times New Roman"/>
          <w:sz w:val="24"/>
          <w:szCs w:val="24"/>
          <w:lang w:val="sr-Cyrl-CS"/>
        </w:rPr>
        <w:t>Извештај Националне академије за јавну управу о анализи потреба за стручним усавршавањем у јавној управи.</w:t>
      </w:r>
      <w:r w:rsidR="009B73BA" w:rsidRPr="00221978">
        <w:rPr>
          <w:rFonts w:ascii="Times New Roman" w:hAnsi="Times New Roman" w:cs="Times New Roman"/>
          <w:sz w:val="24"/>
          <w:szCs w:val="24"/>
          <w:lang w:val="sr-Cyrl-CS"/>
        </w:rPr>
        <w:t xml:space="preserve">”    </w:t>
      </w:r>
    </w:p>
    <w:p w14:paraId="2C17DE60" w14:textId="6B578DA3" w:rsidR="00E765E5" w:rsidRPr="00221978" w:rsidRDefault="00EC4C89"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 с</w:t>
      </w:r>
      <w:r w:rsidR="00E765E5" w:rsidRPr="00221978">
        <w:rPr>
          <w:rFonts w:ascii="Times New Roman" w:hAnsi="Times New Roman" w:cs="Times New Roman"/>
          <w:sz w:val="24"/>
          <w:szCs w:val="24"/>
          <w:lang w:val="sr-Cyrl-CS"/>
        </w:rPr>
        <w:t xml:space="preserve">е назив носиоца прикупљања података и гласи: </w:t>
      </w:r>
      <w:r w:rsidRPr="00221978">
        <w:rPr>
          <w:rFonts w:ascii="Times New Roman" w:hAnsi="Times New Roman" w:cs="Times New Roman"/>
          <w:sz w:val="24"/>
          <w:szCs w:val="24"/>
          <w:lang w:val="sr-Cyrl-CS"/>
        </w:rPr>
        <w:t>„</w:t>
      </w:r>
      <w:r w:rsidR="00E765E5" w:rsidRPr="00221978">
        <w:rPr>
          <w:rFonts w:ascii="Times New Roman" w:hAnsi="Times New Roman" w:cs="Times New Roman"/>
          <w:sz w:val="24"/>
          <w:szCs w:val="24"/>
          <w:lang w:val="sr-Cyrl-CS"/>
        </w:rPr>
        <w:t>НАЈУ, Сектор за припрему програма обуке и управљање квалитетом.</w:t>
      </w:r>
      <w:r w:rsidR="009B73BA" w:rsidRPr="00221978">
        <w:rPr>
          <w:rFonts w:ascii="Times New Roman" w:hAnsi="Times New Roman" w:cs="Times New Roman"/>
          <w:sz w:val="24"/>
          <w:szCs w:val="24"/>
          <w:lang w:val="sr-Cyrl-CS"/>
        </w:rPr>
        <w:t xml:space="preserve">”    </w:t>
      </w:r>
    </w:p>
    <w:p w14:paraId="0EF22560" w14:textId="213085D9" w:rsidR="00E765E5" w:rsidRPr="00221978" w:rsidRDefault="00E84098"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 с</w:t>
      </w:r>
      <w:r w:rsidR="00E765E5" w:rsidRPr="00221978">
        <w:rPr>
          <w:rFonts w:ascii="Times New Roman" w:hAnsi="Times New Roman" w:cs="Times New Roman"/>
          <w:sz w:val="24"/>
          <w:szCs w:val="24"/>
          <w:lang w:val="sr-Cyrl-CS"/>
        </w:rPr>
        <w:t>е учесталост прикупљања података и гласи:</w:t>
      </w:r>
      <w:r w:rsidR="00D2428F"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w:t>
      </w:r>
      <w:r w:rsidR="001F46C4" w:rsidRPr="00221978">
        <w:rPr>
          <w:rFonts w:ascii="Times New Roman" w:eastAsia="Calibri" w:hAnsi="Times New Roman" w:cs="Times New Roman"/>
          <w:color w:val="000000"/>
          <w:kern w:val="24"/>
          <w:sz w:val="24"/>
          <w:szCs w:val="24"/>
          <w:lang w:val="sr-Cyrl-CS" w:eastAsia="en-GB"/>
        </w:rPr>
        <w:t>Једном годишње, до краја другог квартала текуће године за наредну календарску годину.</w:t>
      </w:r>
      <w:r w:rsidR="009B73BA" w:rsidRPr="00221978">
        <w:rPr>
          <w:rFonts w:ascii="Times New Roman" w:hAnsi="Times New Roman" w:cs="Times New Roman"/>
          <w:sz w:val="24"/>
          <w:szCs w:val="24"/>
          <w:lang w:val="sr-Cyrl-CS"/>
        </w:rPr>
        <w:t xml:space="preserve">”    </w:t>
      </w:r>
    </w:p>
    <w:p w14:paraId="4C01898C" w14:textId="77777777" w:rsidR="00B24E27" w:rsidRPr="00221978" w:rsidRDefault="00E84098"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 с</w:t>
      </w:r>
      <w:r w:rsidR="00E765E5" w:rsidRPr="00221978">
        <w:rPr>
          <w:rFonts w:ascii="Times New Roman" w:hAnsi="Times New Roman" w:cs="Times New Roman"/>
          <w:sz w:val="24"/>
          <w:szCs w:val="24"/>
          <w:lang w:val="sr-Cyrl-CS"/>
        </w:rPr>
        <w:t xml:space="preserve">е кратак опис методологије прорачуна и гласи: </w:t>
      </w:r>
    </w:p>
    <w:p w14:paraId="7CB80110" w14:textId="54794965" w:rsidR="00E765E5" w:rsidRPr="00221978" w:rsidRDefault="00E84098"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w:t>
      </w:r>
      <w:r w:rsidR="00E765E5" w:rsidRPr="00221978">
        <w:rPr>
          <w:rFonts w:ascii="Times New Roman" w:hAnsi="Times New Roman" w:cs="Times New Roman"/>
          <w:sz w:val="24"/>
          <w:szCs w:val="24"/>
          <w:lang w:val="sr-Cyrl-CS"/>
        </w:rPr>
        <w:t xml:space="preserve">По овом показатељу се вреднује у којој мери се систем стручног усавршавања у јавној управи како нормативно, тако и у пракси заснива  </w:t>
      </w:r>
      <w:r w:rsidR="00B21F60" w:rsidRPr="00221978">
        <w:rPr>
          <w:rFonts w:ascii="Times New Roman" w:hAnsi="Times New Roman" w:cs="Times New Roman"/>
          <w:sz w:val="24"/>
          <w:szCs w:val="24"/>
          <w:lang w:val="sr-Cyrl-CS"/>
        </w:rPr>
        <w:t xml:space="preserve">на </w:t>
      </w:r>
      <w:r w:rsidR="00E765E5" w:rsidRPr="00221978">
        <w:rPr>
          <w:rFonts w:ascii="Times New Roman" w:hAnsi="Times New Roman" w:cs="Times New Roman"/>
          <w:sz w:val="24"/>
          <w:szCs w:val="24"/>
          <w:lang w:val="sr-Cyrl-CS"/>
        </w:rPr>
        <w:t xml:space="preserve">потребама запослених у јавној управи за унапређењем знања и вештина, односно способности за обављање потреба радног места. </w:t>
      </w:r>
    </w:p>
    <w:p w14:paraId="3A0DC616" w14:textId="77777777" w:rsidR="00E765E5" w:rsidRPr="00221978" w:rsidRDefault="00E765E5"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lastRenderedPageBreak/>
        <w:t>Да би се утврдила вредност, развијена је посебна методологија која предвиђа анализу примене закона којим се уређује стручно усавршавање у поменутим деловима јавне управе и развијене праксе у вези са припремом и доношењем програма обука.</w:t>
      </w:r>
    </w:p>
    <w:p w14:paraId="3D751CD3" w14:textId="77777777" w:rsidR="00E765E5" w:rsidRPr="00221978" w:rsidRDefault="00E765E5"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Правни оквир за све категорије анализира МДУЛС и додељује по четири бода за сваку категорију, уколико се, према прописима стручно усавршавање заснива на анализи потреба, тако да је максимални број  бодова за правни оквир 8 (по 4 бода за прописе који уређују стручно усавршавање државних службеника и запослених у ЈЛС). </w:t>
      </w:r>
    </w:p>
    <w:p w14:paraId="50DF9488" w14:textId="2BB2E524" w:rsidR="00E765E5" w:rsidRPr="00221978" w:rsidRDefault="00E765E5"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Примену у пракси прати НАЈУ на узорку 4 министарства, 2 органа у саставу министарства, 1 посебне организације и 10 ЈЛС. Један б</w:t>
      </w:r>
      <w:r w:rsidR="003A60B3" w:rsidRPr="00221978">
        <w:rPr>
          <w:rFonts w:ascii="Times New Roman" w:hAnsi="Times New Roman" w:cs="Times New Roman"/>
          <w:sz w:val="24"/>
          <w:szCs w:val="24"/>
          <w:lang w:val="sr-Cyrl-CS"/>
        </w:rPr>
        <w:t>од се додељују за институ</w:t>
      </w:r>
      <w:r w:rsidRPr="00221978">
        <w:rPr>
          <w:rFonts w:ascii="Times New Roman" w:hAnsi="Times New Roman" w:cs="Times New Roman"/>
          <w:sz w:val="24"/>
          <w:szCs w:val="24"/>
          <w:lang w:val="sr-Cyrl-CS"/>
        </w:rPr>
        <w:t xml:space="preserve">цију из узорка уколико је спроведена анализа потреба за стручним усавршавањем у складу са Упутством о методологији за утврђивање потреба за стручним усавршавањем у органима јавне управе. </w:t>
      </w:r>
    </w:p>
    <w:p w14:paraId="2C5202FE" w14:textId="12CC06FF" w:rsidR="00E765E5" w:rsidRPr="00221978" w:rsidRDefault="00E765E5"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Додатно, прати се да ли је НАЈУ припремила обједињени извештај о анализи потреба за стручним </w:t>
      </w:r>
      <w:r w:rsidR="00B21F60" w:rsidRPr="00221978">
        <w:rPr>
          <w:rFonts w:ascii="Times New Roman" w:hAnsi="Times New Roman" w:cs="Times New Roman"/>
          <w:sz w:val="24"/>
          <w:szCs w:val="24"/>
          <w:lang w:val="sr-Cyrl-CS"/>
        </w:rPr>
        <w:t xml:space="preserve">усавршавањем у јавној управи и </w:t>
      </w:r>
      <w:r w:rsidRPr="00221978">
        <w:rPr>
          <w:rFonts w:ascii="Times New Roman" w:hAnsi="Times New Roman" w:cs="Times New Roman"/>
          <w:sz w:val="24"/>
          <w:szCs w:val="24"/>
          <w:lang w:val="sr-Cyrl-CS"/>
        </w:rPr>
        <w:t>да ли су донети програми обуке за државне службенике и запослене у ЈЛС које спроводи НАЈУ. За обе категорије која су обухваћене, додељује се максимално по три бода (1 уколико је припре</w:t>
      </w:r>
      <w:r w:rsidR="00336864" w:rsidRPr="00221978">
        <w:rPr>
          <w:rFonts w:ascii="Times New Roman" w:hAnsi="Times New Roman" w:cs="Times New Roman"/>
          <w:sz w:val="24"/>
          <w:szCs w:val="24"/>
          <w:lang w:val="sr-Cyrl-CS"/>
        </w:rPr>
        <w:t>м</w:t>
      </w:r>
      <w:r w:rsidRPr="00221978">
        <w:rPr>
          <w:rFonts w:ascii="Times New Roman" w:hAnsi="Times New Roman" w:cs="Times New Roman"/>
          <w:sz w:val="24"/>
          <w:szCs w:val="24"/>
          <w:lang w:val="sr-Cyrl-CS"/>
        </w:rPr>
        <w:t xml:space="preserve">љен извештај о анализи потреба и 2 уколико је усвојен програм обука). </w:t>
      </w:r>
    </w:p>
    <w:p w14:paraId="61499F17" w14:textId="77777777" w:rsidR="00E765E5" w:rsidRPr="00221978" w:rsidRDefault="00E765E5"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Бодови по сваком елементу се сабирају и максимални број бодова за примену у пракси је 22 (16+6).</w:t>
      </w:r>
    </w:p>
    <w:p w14:paraId="606926DF" w14:textId="77777777" w:rsidR="00E765E5" w:rsidRPr="00221978" w:rsidRDefault="00E765E5"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Формула прорачуна – укупан број бодова за правни оквир + укупан број бодова за примену у пракси.</w:t>
      </w:r>
    </w:p>
    <w:p w14:paraId="3D0519F8" w14:textId="77777777" w:rsidR="00E765E5" w:rsidRPr="00221978" w:rsidRDefault="00E765E5" w:rsidP="00814D0D">
      <w:pPr>
        <w:suppressAutoHyphens/>
        <w:autoSpaceDN w:val="0"/>
        <w:spacing w:before="120" w:after="0" w:line="240" w:lineRule="auto"/>
        <w:ind w:firstLine="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Максимални број бодова је 30 (8+22). </w:t>
      </w:r>
    </w:p>
    <w:p w14:paraId="07C21A96" w14:textId="77777777" w:rsidR="00E765E5" w:rsidRPr="00221978" w:rsidRDefault="00E765E5" w:rsidP="00814D0D">
      <w:pPr>
        <w:suppressAutoHyphens/>
        <w:autoSpaceDN w:val="0"/>
        <w:spacing w:before="120" w:after="0" w:line="240" w:lineRule="auto"/>
        <w:ind w:firstLine="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Вредност показатеља се добија транспоновањем на петостепеној скали и то: </w:t>
      </w:r>
    </w:p>
    <w:p w14:paraId="3C8297A7" w14:textId="77777777" w:rsidR="00E765E5" w:rsidRPr="00221978" w:rsidRDefault="00E765E5"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0-6 бодова – систем стручног усавршавања и стручних испита у јавној управи се не заснива на анализи потреба за  унапређењем компетенција,  односно  стручних знања, оспособљености и вештина запослених</w:t>
      </w:r>
    </w:p>
    <w:p w14:paraId="7900AD1E" w14:textId="04CD4D67" w:rsidR="00E765E5" w:rsidRPr="00221978" w:rsidRDefault="00E765E5"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7-12 – </w:t>
      </w:r>
      <w:r w:rsidR="007F6149" w:rsidRPr="00221978">
        <w:rPr>
          <w:rFonts w:ascii="Times New Roman" w:hAnsi="Times New Roman" w:cs="Times New Roman"/>
          <w:sz w:val="24"/>
          <w:szCs w:val="24"/>
          <w:lang w:val="sr-Cyrl-CS"/>
        </w:rPr>
        <w:t>с</w:t>
      </w:r>
      <w:r w:rsidRPr="00221978">
        <w:rPr>
          <w:rFonts w:ascii="Times New Roman" w:hAnsi="Times New Roman" w:cs="Times New Roman"/>
          <w:sz w:val="24"/>
          <w:szCs w:val="24"/>
          <w:lang w:val="sr-Cyrl-CS"/>
        </w:rPr>
        <w:t>истем стручног усавршавања и стручних испита у јавној управи се у малој мери заснива на анализи потреба за  унапређењем компетенција,  односно  стручних знања, оспособљености и вештина запослених</w:t>
      </w:r>
    </w:p>
    <w:p w14:paraId="29FE54BB" w14:textId="77777777" w:rsidR="00E765E5" w:rsidRPr="00221978" w:rsidRDefault="00E765E5"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13-28 – систем стручног усавршавања и стручних испита у јавној управи се у одређеној мери заснива на принципу компетенција,  односно  стручних знања, оспособљености и вештина запослених прати МДУЛС, у сарадњи са НАЈУ на узорку 4 министарства, 2 органа у саставу министарства, 1 посебна организација, 10 ЈЛС. Један бод се додељује за институцију из узорка уколико је спроведена анализа потреба за стручним усавршавањем у складу са Упутством о методологији за утврђивање потреба за стручним усавршавањем у органима јавне управе. </w:t>
      </w:r>
    </w:p>
    <w:p w14:paraId="1D055517" w14:textId="77777777" w:rsidR="00E765E5" w:rsidRPr="00221978" w:rsidRDefault="00E765E5"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19-24 – систем стручног усавршавања и стручних испита у јавној управи се у великој мери заснива на анализи потреба за  унапређењем компетенција,  односно  стручних знања, оспособљености и вештина запослених</w:t>
      </w:r>
    </w:p>
    <w:p w14:paraId="1DEF4792" w14:textId="5C204F1D" w:rsidR="00E765E5" w:rsidRPr="00221978" w:rsidRDefault="00E765E5" w:rsidP="00D405F8">
      <w:pPr>
        <w:suppressAutoHyphens/>
        <w:autoSpaceDN w:val="0"/>
        <w:spacing w:before="120"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lastRenderedPageBreak/>
        <w:t>25-30 – систем стручног усавршавања и стручних испита у јавној управи се у потпуности заснива на анализи потреба за  унапређењем компетенција,  односно  стручних знања, оспо</w:t>
      </w:r>
      <w:r w:rsidR="00B24E27" w:rsidRPr="00221978">
        <w:rPr>
          <w:rFonts w:ascii="Times New Roman" w:hAnsi="Times New Roman" w:cs="Times New Roman"/>
          <w:sz w:val="24"/>
          <w:szCs w:val="24"/>
          <w:lang w:val="sr-Cyrl-CS"/>
        </w:rPr>
        <w:t>собљености и вештина запослених</w:t>
      </w:r>
      <w:r w:rsidR="00B24E27" w:rsidRPr="00221978">
        <w:rPr>
          <w:rFonts w:ascii="Times New Roman" w:hAnsi="Times New Roman" w:cs="Times New Roman"/>
          <w:lang w:val="sr-Cyrl-CS"/>
        </w:rPr>
        <w:t>”</w:t>
      </w:r>
    </w:p>
    <w:p w14:paraId="1E68EDB6" w14:textId="77777777" w:rsidR="00E765E5" w:rsidRPr="00221978" w:rsidRDefault="00E765E5" w:rsidP="00232844">
      <w:pPr>
        <w:pStyle w:val="ListParagraph"/>
        <w:suppressAutoHyphens/>
        <w:autoSpaceDN w:val="0"/>
        <w:spacing w:before="120" w:after="0" w:line="240" w:lineRule="auto"/>
        <w:ind w:left="1080"/>
        <w:jc w:val="both"/>
        <w:textAlignment w:val="baseline"/>
        <w:rPr>
          <w:rFonts w:ascii="Times New Roman" w:hAnsi="Times New Roman" w:cs="Times New Roman"/>
          <w:sz w:val="24"/>
          <w:szCs w:val="24"/>
          <w:lang w:val="sr-Cyrl-CS"/>
        </w:rPr>
      </w:pPr>
    </w:p>
    <w:p w14:paraId="568700BA" w14:textId="04D8E255" w:rsidR="00BE1689" w:rsidRPr="00221978" w:rsidRDefault="00BE1689" w:rsidP="0052649A">
      <w:pPr>
        <w:pStyle w:val="ListParagraph"/>
        <w:numPr>
          <w:ilvl w:val="0"/>
          <w:numId w:val="2"/>
        </w:numPr>
        <w:spacing w:after="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8034ED" w:rsidRPr="00221978">
        <w:rPr>
          <w:rFonts w:ascii="Times New Roman" w:hAnsi="Times New Roman" w:cs="Times New Roman"/>
          <w:sz w:val="24"/>
          <w:szCs w:val="24"/>
          <w:lang w:val="sr-Cyrl-CS"/>
        </w:rPr>
        <w:t>Прилогу</w:t>
      </w:r>
      <w:r w:rsidRPr="00221978">
        <w:rPr>
          <w:rFonts w:ascii="Times New Roman" w:hAnsi="Times New Roman" w:cs="Times New Roman"/>
          <w:sz w:val="24"/>
          <w:szCs w:val="24"/>
          <w:lang w:val="sr-Cyrl-CS"/>
        </w:rPr>
        <w:t xml:space="preserve"> 8: Пасоши индикатора: Развијен и имплементиран функционалан и иновативан систем стручног усавршавања и стручних испита у јавној управи заснован на анализи потреба за унапређењем компетенција, односно знања, вештина и способности запослених у јавној управи, Посебан циљ 4:</w:t>
      </w:r>
    </w:p>
    <w:p w14:paraId="0F7061AB" w14:textId="646630CC" w:rsidR="00BE1689" w:rsidRPr="00221978" w:rsidRDefault="00BE1689" w:rsidP="00D405F8">
      <w:pPr>
        <w:spacing w:after="0"/>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показатељ</w:t>
      </w:r>
      <w:r w:rsidR="00A95B84"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2. мења се јединица мере и природа и гласи:</w:t>
      </w:r>
      <w:r w:rsidR="00814D0D"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Бројчани на скали 0-5.</w:t>
      </w:r>
      <w:r w:rsidR="009B73BA" w:rsidRPr="00221978">
        <w:rPr>
          <w:rFonts w:ascii="Times New Roman" w:hAnsi="Times New Roman" w:cs="Times New Roman"/>
          <w:sz w:val="24"/>
          <w:szCs w:val="24"/>
          <w:lang w:val="sr-Cyrl-CS"/>
        </w:rPr>
        <w:t xml:space="preserve">”    </w:t>
      </w:r>
    </w:p>
    <w:p w14:paraId="331437A0" w14:textId="77777777" w:rsidR="0052649A" w:rsidRPr="00221978" w:rsidRDefault="0052649A" w:rsidP="0052649A">
      <w:pPr>
        <w:spacing w:after="0"/>
        <w:jc w:val="both"/>
        <w:rPr>
          <w:rFonts w:ascii="Times New Roman" w:hAnsi="Times New Roman" w:cs="Times New Roman"/>
          <w:sz w:val="24"/>
          <w:szCs w:val="24"/>
          <w:lang w:val="sr-Cyrl-CS"/>
        </w:rPr>
      </w:pPr>
    </w:p>
    <w:p w14:paraId="5F95C505" w14:textId="04E37E18" w:rsidR="00232844" w:rsidRPr="00221978" w:rsidRDefault="00232844" w:rsidP="00BE1689">
      <w:pPr>
        <w:pStyle w:val="ListParagraph"/>
        <w:numPr>
          <w:ilvl w:val="0"/>
          <w:numId w:val="2"/>
        </w:numPr>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Прилог</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8: Пасоши индикатора: Развијен и имплементиран функционалан и иновативан систем стручног усавршавања и стручних испита у јавној управи заснован на анализи потреба за унапређењем компетенција, односно знања, вештина и способности запослених у јавној управи, Посебан циљ 4:</w:t>
      </w:r>
    </w:p>
    <w:p w14:paraId="5A357F4B" w14:textId="3DFA0ED1" w:rsidR="00150EE5" w:rsidRPr="00221978" w:rsidRDefault="00232844" w:rsidP="00D405F8">
      <w:pPr>
        <w:spacing w:after="0"/>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8034ED" w:rsidRPr="00221978">
        <w:rPr>
          <w:rFonts w:ascii="Times New Roman" w:hAnsi="Times New Roman" w:cs="Times New Roman"/>
          <w:sz w:val="24"/>
          <w:szCs w:val="24"/>
          <w:lang w:val="sr-Cyrl-CS"/>
        </w:rPr>
        <w:t>показатељу</w:t>
      </w:r>
      <w:r w:rsidRPr="00221978">
        <w:rPr>
          <w:rFonts w:ascii="Times New Roman" w:hAnsi="Times New Roman" w:cs="Times New Roman"/>
          <w:sz w:val="24"/>
          <w:szCs w:val="24"/>
          <w:lang w:val="sr-Cyrl-CS"/>
        </w:rPr>
        <w:t xml:space="preserve"> 4</w:t>
      </w:r>
      <w:r w:rsidR="00E1728A" w:rsidRPr="00221978">
        <w:rPr>
          <w:rFonts w:ascii="Times New Roman" w:hAnsi="Times New Roman" w:cs="Times New Roman"/>
          <w:sz w:val="24"/>
          <w:szCs w:val="24"/>
          <w:lang w:val="sr-Cyrl-CS"/>
        </w:rPr>
        <w:t>.</w:t>
      </w:r>
      <w:r w:rsidR="00E84098" w:rsidRPr="00221978">
        <w:rPr>
          <w:rFonts w:ascii="Times New Roman" w:hAnsi="Times New Roman" w:cs="Times New Roman"/>
          <w:sz w:val="24"/>
          <w:szCs w:val="24"/>
          <w:lang w:val="sr-Cyrl-CS"/>
        </w:rPr>
        <w:t xml:space="preserve"> мења с</w:t>
      </w:r>
      <w:r w:rsidRPr="00221978">
        <w:rPr>
          <w:rFonts w:ascii="Times New Roman" w:hAnsi="Times New Roman" w:cs="Times New Roman"/>
          <w:sz w:val="24"/>
          <w:szCs w:val="24"/>
          <w:lang w:val="sr-Cyrl-CS"/>
        </w:rPr>
        <w:t>е извор података з</w:t>
      </w:r>
      <w:r w:rsidR="00814D0D" w:rsidRPr="00221978">
        <w:rPr>
          <w:rFonts w:ascii="Times New Roman" w:hAnsi="Times New Roman" w:cs="Times New Roman"/>
          <w:sz w:val="24"/>
          <w:szCs w:val="24"/>
          <w:lang w:val="sr-Cyrl-CS"/>
        </w:rPr>
        <w:t>а праћење показатеља успешности</w:t>
      </w:r>
      <w:r w:rsidRPr="00221978">
        <w:rPr>
          <w:rFonts w:ascii="Times New Roman" w:hAnsi="Times New Roman" w:cs="Times New Roman"/>
          <w:sz w:val="24"/>
          <w:szCs w:val="24"/>
          <w:lang w:val="sr-Cyrl-CS"/>
        </w:rPr>
        <w:t xml:space="preserve"> </w:t>
      </w:r>
      <w:r w:rsidR="00D405F8" w:rsidRPr="00221978">
        <w:rPr>
          <w:rFonts w:ascii="Times New Roman" w:hAnsi="Times New Roman" w:cs="Times New Roman"/>
          <w:sz w:val="24"/>
          <w:szCs w:val="24"/>
          <w:lang w:val="sr-Cyrl-CS"/>
        </w:rPr>
        <w:t>и</w:t>
      </w:r>
      <w:r w:rsidRPr="00221978">
        <w:rPr>
          <w:rFonts w:ascii="Times New Roman" w:hAnsi="Times New Roman" w:cs="Times New Roman"/>
          <w:sz w:val="24"/>
          <w:szCs w:val="24"/>
          <w:lang w:val="sr-Cyrl-CS"/>
        </w:rPr>
        <w:t xml:space="preserve"> гласи: </w:t>
      </w:r>
      <w:r w:rsidR="00437884" w:rsidRPr="00221978">
        <w:rPr>
          <w:rFonts w:ascii="Times New Roman" w:hAnsi="Times New Roman" w:cs="Times New Roman"/>
          <w:sz w:val="24"/>
          <w:szCs w:val="24"/>
          <w:lang w:val="sr-Cyrl-CS"/>
        </w:rPr>
        <w:t>„</w:t>
      </w:r>
      <w:r w:rsidR="00437884" w:rsidRPr="00221978">
        <w:rPr>
          <w:rFonts w:ascii="Times New Roman" w:eastAsia="Calibri" w:hAnsi="Times New Roman" w:cs="Times New Roman"/>
          <w:color w:val="000000"/>
          <w:sz w:val="24"/>
          <w:szCs w:val="24"/>
          <w:lang w:val="sr-Cyrl-CS" w:eastAsia="en-GB"/>
        </w:rPr>
        <w:t>Ex-post анализа прописа у делокругу МДУЛС и ex-post анализа прописа у делокругу  НАЈУ (интерни).</w:t>
      </w:r>
      <w:r w:rsidR="009B73BA" w:rsidRPr="00221978">
        <w:rPr>
          <w:rFonts w:ascii="Times New Roman" w:eastAsia="Calibri" w:hAnsi="Times New Roman" w:cs="Times New Roman"/>
          <w:color w:val="000000"/>
          <w:sz w:val="24"/>
          <w:szCs w:val="24"/>
          <w:lang w:val="sr-Cyrl-CS" w:eastAsia="en-GB"/>
        </w:rPr>
        <w:t xml:space="preserve">”    </w:t>
      </w:r>
    </w:p>
    <w:p w14:paraId="2E8B303A" w14:textId="04ACA616" w:rsidR="00232844" w:rsidRPr="00221978" w:rsidRDefault="00E84098" w:rsidP="00D405F8">
      <w:pPr>
        <w:spacing w:after="0"/>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Мењају се </w:t>
      </w:r>
      <w:r w:rsidR="00232844" w:rsidRPr="00221978">
        <w:rPr>
          <w:rFonts w:ascii="Times New Roman" w:hAnsi="Times New Roman" w:cs="Times New Roman"/>
          <w:sz w:val="24"/>
          <w:szCs w:val="24"/>
          <w:lang w:val="sr-Cyrl-CS"/>
        </w:rPr>
        <w:t xml:space="preserve"> подаци о ЦВ</w:t>
      </w:r>
      <w:r w:rsidRPr="00221978">
        <w:rPr>
          <w:rFonts w:ascii="Times New Roman" w:hAnsi="Times New Roman" w:cs="Times New Roman"/>
          <w:sz w:val="24"/>
          <w:szCs w:val="24"/>
          <w:lang w:val="sr-Cyrl-CS"/>
        </w:rPr>
        <w:t xml:space="preserve"> и гласе</w:t>
      </w:r>
      <w:r w:rsidR="00232844"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w:t>
      </w:r>
      <w:r w:rsidR="00232844" w:rsidRPr="00221978">
        <w:rPr>
          <w:rFonts w:ascii="Times New Roman" w:hAnsi="Times New Roman" w:cs="Times New Roman"/>
          <w:sz w:val="24"/>
          <w:szCs w:val="24"/>
          <w:lang w:val="sr-Cyrl-CS"/>
        </w:rPr>
        <w:t>2021. 50%, 2022.</w:t>
      </w:r>
      <w:r w:rsidR="00814D0D" w:rsidRPr="00221978">
        <w:rPr>
          <w:rFonts w:ascii="Times New Roman" w:hAnsi="Times New Roman" w:cs="Times New Roman"/>
          <w:sz w:val="24"/>
          <w:szCs w:val="24"/>
          <w:lang w:val="sr-Cyrl-CS"/>
        </w:rPr>
        <w:t xml:space="preserve"> </w:t>
      </w:r>
      <w:r w:rsidR="00232844" w:rsidRPr="00221978">
        <w:rPr>
          <w:rFonts w:ascii="Times New Roman" w:hAnsi="Times New Roman" w:cs="Times New Roman"/>
          <w:sz w:val="24"/>
          <w:szCs w:val="24"/>
          <w:lang w:val="sr-Cyrl-CS"/>
        </w:rPr>
        <w:t>60%, 2023. 70%, 2024.</w:t>
      </w:r>
      <w:r w:rsidR="00814D0D" w:rsidRPr="00221978">
        <w:rPr>
          <w:rFonts w:ascii="Times New Roman" w:hAnsi="Times New Roman" w:cs="Times New Roman"/>
          <w:sz w:val="24"/>
          <w:szCs w:val="24"/>
          <w:lang w:val="sr-Cyrl-CS"/>
        </w:rPr>
        <w:t xml:space="preserve"> </w:t>
      </w:r>
      <w:r w:rsidR="00232844" w:rsidRPr="00221978">
        <w:rPr>
          <w:rFonts w:ascii="Times New Roman" w:hAnsi="Times New Roman" w:cs="Times New Roman"/>
          <w:sz w:val="24"/>
          <w:szCs w:val="24"/>
          <w:lang w:val="sr-Cyrl-CS"/>
        </w:rPr>
        <w:t>80%, 2025.</w:t>
      </w:r>
      <w:r w:rsidR="00814D0D" w:rsidRPr="00221978">
        <w:rPr>
          <w:rFonts w:ascii="Times New Roman" w:hAnsi="Times New Roman" w:cs="Times New Roman"/>
          <w:sz w:val="24"/>
          <w:szCs w:val="24"/>
          <w:lang w:val="sr-Cyrl-CS"/>
        </w:rPr>
        <w:t xml:space="preserve"> </w:t>
      </w:r>
      <w:r w:rsidR="00232844" w:rsidRPr="00221978">
        <w:rPr>
          <w:rFonts w:ascii="Times New Roman" w:hAnsi="Times New Roman" w:cs="Times New Roman"/>
          <w:sz w:val="24"/>
          <w:szCs w:val="24"/>
          <w:lang w:val="sr-Cyrl-CS"/>
        </w:rPr>
        <w:t>90%.</w:t>
      </w:r>
      <w:r w:rsidR="009B73BA" w:rsidRPr="00221978">
        <w:rPr>
          <w:rFonts w:ascii="Times New Roman" w:hAnsi="Times New Roman" w:cs="Times New Roman"/>
          <w:sz w:val="24"/>
          <w:szCs w:val="24"/>
          <w:lang w:val="sr-Cyrl-CS"/>
        </w:rPr>
        <w:t xml:space="preserve">”    </w:t>
      </w:r>
    </w:p>
    <w:p w14:paraId="3E24F303" w14:textId="78AB082E" w:rsidR="00E1728A" w:rsidRPr="00221978" w:rsidRDefault="00E84098" w:rsidP="00D405F8">
      <w:pPr>
        <w:spacing w:after="0"/>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w:t>
      </w:r>
      <w:r w:rsidR="00222422" w:rsidRPr="00221978">
        <w:rPr>
          <w:rFonts w:ascii="Times New Roman" w:hAnsi="Times New Roman" w:cs="Times New Roman"/>
          <w:sz w:val="24"/>
          <w:szCs w:val="24"/>
          <w:lang w:val="sr-Cyrl-CS"/>
        </w:rPr>
        <w:t xml:space="preserve"> се назив показатеља 5 и гласи:</w:t>
      </w:r>
      <w:r w:rsidR="00814D0D"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w:t>
      </w:r>
      <w:r w:rsidR="00E1728A" w:rsidRPr="00221978">
        <w:rPr>
          <w:rFonts w:ascii="Times New Roman" w:hAnsi="Times New Roman" w:cs="Times New Roman"/>
          <w:sz w:val="24"/>
          <w:szCs w:val="24"/>
          <w:lang w:val="sr-Cyrl-CS"/>
        </w:rPr>
        <w:t>Број пословних процеса који се спроводе уз коришћење информационих технологија</w:t>
      </w:r>
      <w:r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p>
    <w:p w14:paraId="0AF6D7AC" w14:textId="4D4C084F" w:rsidR="00E1728A" w:rsidRPr="00221978" w:rsidRDefault="00E1728A" w:rsidP="00B24E27">
      <w:pPr>
        <w:spacing w:after="0"/>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w:t>
      </w:r>
      <w:r w:rsidR="00E84098" w:rsidRPr="00221978">
        <w:rPr>
          <w:rFonts w:ascii="Times New Roman" w:hAnsi="Times New Roman" w:cs="Times New Roman"/>
          <w:sz w:val="24"/>
          <w:szCs w:val="24"/>
          <w:lang w:val="sr-Cyrl-CS"/>
        </w:rPr>
        <w:t xml:space="preserve"> показа</w:t>
      </w:r>
      <w:r w:rsidR="008034ED" w:rsidRPr="00221978">
        <w:rPr>
          <w:rFonts w:ascii="Times New Roman" w:hAnsi="Times New Roman" w:cs="Times New Roman"/>
          <w:sz w:val="24"/>
          <w:szCs w:val="24"/>
          <w:lang w:val="sr-Cyrl-CS"/>
        </w:rPr>
        <w:t>тељу</w:t>
      </w:r>
      <w:r w:rsidR="00E84098" w:rsidRPr="00221978">
        <w:rPr>
          <w:rFonts w:ascii="Times New Roman" w:hAnsi="Times New Roman" w:cs="Times New Roman"/>
          <w:sz w:val="24"/>
          <w:szCs w:val="24"/>
          <w:lang w:val="sr-Cyrl-CS"/>
        </w:rPr>
        <w:t xml:space="preserve"> 6. мења </w:t>
      </w:r>
      <w:r w:rsidR="00B24E27" w:rsidRPr="00221978">
        <w:rPr>
          <w:rFonts w:ascii="Times New Roman" w:hAnsi="Times New Roman" w:cs="Times New Roman"/>
          <w:sz w:val="24"/>
          <w:szCs w:val="24"/>
          <w:lang w:val="sr-Cyrl-CS"/>
        </w:rPr>
        <w:t xml:space="preserve">се извор података за праћење показатеља успешности и гласи: </w:t>
      </w:r>
      <w:r w:rsidR="00E84098"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Извештај о раду МДУЛС (интерни)</w:t>
      </w:r>
      <w:r w:rsidR="00E84098"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p>
    <w:p w14:paraId="7A647026" w14:textId="2E3F2DAD" w:rsidR="006E4800" w:rsidRPr="00221978" w:rsidRDefault="00E84098" w:rsidP="00D405F8">
      <w:pPr>
        <w:spacing w:after="0"/>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8034ED" w:rsidRPr="00221978">
        <w:rPr>
          <w:rFonts w:ascii="Times New Roman" w:hAnsi="Times New Roman" w:cs="Times New Roman"/>
          <w:sz w:val="24"/>
          <w:szCs w:val="24"/>
          <w:lang w:val="sr-Cyrl-CS"/>
        </w:rPr>
        <w:t>показатељу</w:t>
      </w:r>
      <w:r w:rsidRPr="00221978">
        <w:rPr>
          <w:rFonts w:ascii="Times New Roman" w:hAnsi="Times New Roman" w:cs="Times New Roman"/>
          <w:sz w:val="24"/>
          <w:szCs w:val="24"/>
          <w:lang w:val="sr-Cyrl-CS"/>
        </w:rPr>
        <w:t xml:space="preserve"> 7. мења с</w:t>
      </w:r>
      <w:r w:rsidR="00E1728A" w:rsidRPr="00221978">
        <w:rPr>
          <w:rFonts w:ascii="Times New Roman" w:hAnsi="Times New Roman" w:cs="Times New Roman"/>
          <w:sz w:val="24"/>
          <w:szCs w:val="24"/>
          <w:lang w:val="sr-Cyrl-CS"/>
        </w:rPr>
        <w:t>е извор података за праћење показатеља успешности</w:t>
      </w:r>
      <w:r w:rsidR="00814D0D" w:rsidRPr="00221978">
        <w:rPr>
          <w:rFonts w:ascii="Times New Roman" w:hAnsi="Times New Roman" w:cs="Times New Roman"/>
          <w:sz w:val="24"/>
          <w:szCs w:val="24"/>
          <w:lang w:val="sr-Cyrl-CS"/>
        </w:rPr>
        <w:t xml:space="preserve"> и гласи: „</w:t>
      </w:r>
      <w:r w:rsidR="00E1728A" w:rsidRPr="00221978">
        <w:rPr>
          <w:rFonts w:ascii="Times New Roman" w:hAnsi="Times New Roman" w:cs="Times New Roman"/>
          <w:sz w:val="24"/>
          <w:szCs w:val="24"/>
          <w:lang w:val="sr-Cyrl-CS"/>
        </w:rPr>
        <w:t>Извештај о раду НАЈУ</w:t>
      </w:r>
      <w:r w:rsidR="00B21F60" w:rsidRPr="00221978">
        <w:rPr>
          <w:rFonts w:ascii="Times New Roman" w:hAnsi="Times New Roman" w:cs="Times New Roman"/>
          <w:sz w:val="24"/>
          <w:szCs w:val="24"/>
          <w:lang w:val="sr-Cyrl-CS"/>
        </w:rPr>
        <w:t xml:space="preserve"> </w:t>
      </w:r>
      <w:r w:rsidR="00E1728A" w:rsidRPr="00221978">
        <w:rPr>
          <w:rFonts w:ascii="Times New Roman" w:hAnsi="Times New Roman" w:cs="Times New Roman"/>
          <w:sz w:val="24"/>
          <w:szCs w:val="24"/>
          <w:lang w:val="sr-Cyrl-CS"/>
        </w:rPr>
        <w:t>(интерни), као и назив носиоца прикупљања података:</w:t>
      </w:r>
      <w:r w:rsidRPr="00221978">
        <w:rPr>
          <w:rFonts w:ascii="Times New Roman" w:hAnsi="Times New Roman" w:cs="Times New Roman"/>
          <w:sz w:val="24"/>
          <w:szCs w:val="24"/>
          <w:lang w:val="sr-Cyrl-CS"/>
        </w:rPr>
        <w:t xml:space="preserve"> </w:t>
      </w:r>
      <w:r w:rsidR="00E1728A" w:rsidRPr="00221978">
        <w:rPr>
          <w:rFonts w:ascii="Times New Roman" w:hAnsi="Times New Roman" w:cs="Times New Roman"/>
          <w:sz w:val="24"/>
          <w:szCs w:val="24"/>
          <w:lang w:val="sr-Cyrl-CS"/>
        </w:rPr>
        <w:t>Сектор за припрему програма обуке и управљање квалитетом и Одељење за спровођење обука</w:t>
      </w:r>
      <w:r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p>
    <w:p w14:paraId="1BB333E2" w14:textId="17EC0C22" w:rsidR="00E84098" w:rsidRPr="00221978" w:rsidRDefault="006E4800" w:rsidP="00D405F8">
      <w:pPr>
        <w:spacing w:after="0"/>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показатељ</w:t>
      </w:r>
      <w:r w:rsidR="008034ED" w:rsidRPr="00221978">
        <w:rPr>
          <w:rFonts w:ascii="Times New Roman" w:hAnsi="Times New Roman" w:cs="Times New Roman"/>
          <w:sz w:val="24"/>
          <w:szCs w:val="24"/>
          <w:lang w:val="sr-Cyrl-CS"/>
        </w:rPr>
        <w:t>у</w:t>
      </w:r>
      <w:r w:rsidR="00E84098" w:rsidRPr="00221978">
        <w:rPr>
          <w:rFonts w:ascii="Times New Roman" w:hAnsi="Times New Roman" w:cs="Times New Roman"/>
          <w:sz w:val="24"/>
          <w:szCs w:val="24"/>
          <w:lang w:val="sr-Cyrl-CS"/>
        </w:rPr>
        <w:t xml:space="preserve"> 9. мења се</w:t>
      </w:r>
      <w:r w:rsidRPr="00221978">
        <w:rPr>
          <w:rFonts w:ascii="Times New Roman" w:hAnsi="Times New Roman" w:cs="Times New Roman"/>
          <w:sz w:val="24"/>
          <w:szCs w:val="24"/>
          <w:lang w:val="sr-Cyrl-CS"/>
        </w:rPr>
        <w:t xml:space="preserve"> назив</w:t>
      </w:r>
      <w:r w:rsidR="00D139C6" w:rsidRPr="00221978">
        <w:rPr>
          <w:rFonts w:ascii="Times New Roman" w:hAnsi="Times New Roman" w:cs="Times New Roman"/>
          <w:sz w:val="24"/>
          <w:szCs w:val="24"/>
          <w:lang w:val="sr-Cyrl-CS"/>
        </w:rPr>
        <w:t xml:space="preserve"> показатеља</w:t>
      </w:r>
      <w:r w:rsidR="00E84098" w:rsidRPr="00221978">
        <w:rPr>
          <w:rFonts w:ascii="Times New Roman" w:hAnsi="Times New Roman" w:cs="Times New Roman"/>
          <w:sz w:val="24"/>
          <w:szCs w:val="24"/>
          <w:lang w:val="sr-Cyrl-CS"/>
        </w:rPr>
        <w:t xml:space="preserve"> и гласи</w:t>
      </w:r>
      <w:r w:rsidRPr="00221978">
        <w:rPr>
          <w:rFonts w:ascii="Times New Roman" w:hAnsi="Times New Roman" w:cs="Times New Roman"/>
          <w:sz w:val="24"/>
          <w:szCs w:val="24"/>
          <w:lang w:val="sr-Cyrl-CS"/>
        </w:rPr>
        <w:t xml:space="preserve">: </w:t>
      </w:r>
      <w:r w:rsidR="00E84098"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Проценат државних органа и  органа јединица локалне самоуправе који учествују у програму студентске стручне праксе</w:t>
      </w:r>
      <w:r w:rsidR="00814D0D" w:rsidRPr="00221978">
        <w:rPr>
          <w:rFonts w:ascii="Times New Roman" w:hAnsi="Times New Roman" w:cs="Times New Roman"/>
          <w:sz w:val="24"/>
          <w:szCs w:val="24"/>
          <w:lang w:val="sr-Cyrl-CS"/>
        </w:rPr>
        <w:t>”.</w:t>
      </w:r>
    </w:p>
    <w:p w14:paraId="157328D8" w14:textId="345AF736" w:rsidR="00E84098" w:rsidRPr="00221978" w:rsidRDefault="00E84098" w:rsidP="00D405F8">
      <w:pPr>
        <w:spacing w:after="0"/>
        <w:ind w:left="720"/>
        <w:jc w:val="both"/>
        <w:rPr>
          <w:rFonts w:ascii="Times New Roman" w:eastAsia="Calibri" w:hAnsi="Times New Roman" w:cs="Times New Roman"/>
          <w:color w:val="000000"/>
          <w:sz w:val="24"/>
          <w:szCs w:val="24"/>
          <w:lang w:val="sr-Cyrl-CS" w:eastAsia="en-GB"/>
        </w:rPr>
      </w:pPr>
      <w:r w:rsidRPr="00221978">
        <w:rPr>
          <w:rFonts w:ascii="Times New Roman" w:hAnsi="Times New Roman" w:cs="Times New Roman"/>
          <w:sz w:val="24"/>
          <w:szCs w:val="24"/>
          <w:lang w:val="sr-Cyrl-CS"/>
        </w:rPr>
        <w:t xml:space="preserve">Мења се </w:t>
      </w:r>
      <w:r w:rsidR="006E4800" w:rsidRPr="00221978">
        <w:rPr>
          <w:rFonts w:ascii="Times New Roman" w:hAnsi="Times New Roman" w:cs="Times New Roman"/>
          <w:sz w:val="24"/>
          <w:szCs w:val="24"/>
          <w:lang w:val="sr-Cyrl-CS"/>
        </w:rPr>
        <w:t>назив носиоца прикупљања података</w:t>
      </w:r>
      <w:r w:rsidRPr="00221978">
        <w:rPr>
          <w:rFonts w:ascii="Times New Roman" w:hAnsi="Times New Roman" w:cs="Times New Roman"/>
          <w:sz w:val="24"/>
          <w:szCs w:val="24"/>
          <w:lang w:val="sr-Cyrl-CS"/>
        </w:rPr>
        <w:t xml:space="preserve"> и гласи</w:t>
      </w:r>
      <w:r w:rsidR="009A74F1" w:rsidRPr="00221978">
        <w:rPr>
          <w:rFonts w:ascii="Times New Roman" w:hAnsi="Times New Roman" w:cs="Times New Roman"/>
          <w:sz w:val="24"/>
          <w:szCs w:val="24"/>
          <w:lang w:val="sr-Cyrl-CS"/>
        </w:rPr>
        <w:t>:</w:t>
      </w:r>
      <w:r w:rsidR="00814D0D" w:rsidRPr="00221978">
        <w:rPr>
          <w:rFonts w:ascii="Times New Roman" w:hAnsi="Times New Roman" w:cs="Times New Roman"/>
          <w:sz w:val="24"/>
          <w:szCs w:val="24"/>
          <w:lang w:val="sr-Cyrl-CS"/>
        </w:rPr>
        <w:t xml:space="preserve"> „</w:t>
      </w:r>
      <w:r w:rsidR="006E4800" w:rsidRPr="00221978">
        <w:rPr>
          <w:rFonts w:ascii="Times New Roman" w:eastAsia="Calibri" w:hAnsi="Times New Roman" w:cs="Times New Roman"/>
          <w:color w:val="000000"/>
          <w:sz w:val="24"/>
          <w:szCs w:val="24"/>
          <w:lang w:val="sr-Cyrl-CS" w:eastAsia="en-GB"/>
        </w:rPr>
        <w:t>Извештај о  реализованој студентској стручној пракси у државним органима и органима  ЈЛС (интерни)</w:t>
      </w:r>
      <w:r w:rsidR="00814D0D" w:rsidRPr="00221978">
        <w:rPr>
          <w:rFonts w:ascii="Times New Roman" w:eastAsia="Calibri" w:hAnsi="Times New Roman" w:cs="Times New Roman"/>
          <w:color w:val="000000"/>
          <w:sz w:val="24"/>
          <w:szCs w:val="24"/>
          <w:lang w:val="sr-Cyrl-CS" w:eastAsia="en-GB"/>
        </w:rPr>
        <w:t>”.</w:t>
      </w:r>
    </w:p>
    <w:p w14:paraId="36F73586" w14:textId="77777777" w:rsidR="00E84098" w:rsidRPr="00221978" w:rsidRDefault="00E84098" w:rsidP="00814D0D">
      <w:pPr>
        <w:spacing w:after="0"/>
        <w:ind w:firstLine="720"/>
        <w:jc w:val="both"/>
        <w:rPr>
          <w:rFonts w:ascii="Times New Roman" w:hAnsi="Times New Roman" w:cs="Times New Roman"/>
          <w:sz w:val="24"/>
          <w:szCs w:val="24"/>
          <w:lang w:val="sr-Cyrl-CS"/>
        </w:rPr>
      </w:pPr>
      <w:r w:rsidRPr="00221978">
        <w:rPr>
          <w:rFonts w:ascii="Times New Roman" w:eastAsia="Calibri" w:hAnsi="Times New Roman" w:cs="Times New Roman"/>
          <w:color w:val="000000"/>
          <w:sz w:val="24"/>
          <w:szCs w:val="24"/>
          <w:lang w:val="sr-Cyrl-CS" w:eastAsia="en-GB"/>
        </w:rPr>
        <w:t>Мења се</w:t>
      </w:r>
      <w:r w:rsidRPr="00221978">
        <w:rPr>
          <w:rFonts w:ascii="Times New Roman" w:hAnsi="Times New Roman" w:cs="Times New Roman"/>
          <w:sz w:val="24"/>
          <w:szCs w:val="24"/>
          <w:lang w:val="sr-Cyrl-CS"/>
        </w:rPr>
        <w:t xml:space="preserve"> </w:t>
      </w:r>
      <w:r w:rsidR="006E4800" w:rsidRPr="00221978">
        <w:rPr>
          <w:rFonts w:ascii="Times New Roman" w:hAnsi="Times New Roman" w:cs="Times New Roman"/>
          <w:sz w:val="24"/>
          <w:szCs w:val="24"/>
          <w:lang w:val="sr-Cyrl-CS"/>
        </w:rPr>
        <w:t>кратак опис методологије прорачуна</w:t>
      </w:r>
      <w:r w:rsidRPr="00221978">
        <w:rPr>
          <w:rFonts w:ascii="Times New Roman" w:hAnsi="Times New Roman" w:cs="Times New Roman"/>
          <w:sz w:val="24"/>
          <w:szCs w:val="24"/>
          <w:lang w:val="sr-Cyrl-CS"/>
        </w:rPr>
        <w:t xml:space="preserve"> и гласи</w:t>
      </w:r>
      <w:r w:rsidR="006E4800" w:rsidRPr="00221978">
        <w:rPr>
          <w:rFonts w:ascii="Times New Roman" w:hAnsi="Times New Roman" w:cs="Times New Roman"/>
          <w:sz w:val="24"/>
          <w:szCs w:val="24"/>
          <w:lang w:val="sr-Cyrl-CS"/>
        </w:rPr>
        <w:t xml:space="preserve">: </w:t>
      </w:r>
    </w:p>
    <w:p w14:paraId="5446BF2E" w14:textId="5354C7EB" w:rsidR="006E4800" w:rsidRPr="00221978" w:rsidRDefault="00E84098" w:rsidP="00814D0D">
      <w:pPr>
        <w:spacing w:after="0"/>
        <w:ind w:firstLine="720"/>
        <w:jc w:val="both"/>
        <w:rPr>
          <w:rFonts w:ascii="Times New Roman" w:eastAsia="Calibri" w:hAnsi="Times New Roman" w:cs="Times New Roman"/>
          <w:color w:val="000000"/>
          <w:sz w:val="24"/>
          <w:szCs w:val="24"/>
          <w:lang w:val="sr-Cyrl-CS" w:eastAsia="en-GB"/>
        </w:rPr>
      </w:pPr>
      <w:r w:rsidRPr="00221978">
        <w:rPr>
          <w:rFonts w:ascii="Times New Roman" w:hAnsi="Times New Roman" w:cs="Times New Roman"/>
          <w:sz w:val="24"/>
          <w:szCs w:val="24"/>
          <w:lang w:val="sr-Cyrl-CS"/>
        </w:rPr>
        <w:t>„</w:t>
      </w:r>
      <w:r w:rsidR="006E4800" w:rsidRPr="00221978">
        <w:rPr>
          <w:rFonts w:ascii="Times New Roman" w:eastAsia="Calibri" w:hAnsi="Times New Roman" w:cs="Times New Roman"/>
          <w:color w:val="000000"/>
          <w:kern w:val="24"/>
          <w:sz w:val="24"/>
          <w:szCs w:val="24"/>
          <w:lang w:val="sr-Cyrl-CS" w:eastAsia="en-GB"/>
        </w:rPr>
        <w:t>При мерењу на основу овог показатеља биће обухваћени ОДУ и ЈЛС.</w:t>
      </w:r>
    </w:p>
    <w:p w14:paraId="7B3955F6" w14:textId="77777777" w:rsidR="006E4800" w:rsidRPr="00221978" w:rsidRDefault="006E4800" w:rsidP="00D405F8">
      <w:pPr>
        <w:spacing w:after="0"/>
        <w:ind w:left="720"/>
        <w:jc w:val="both"/>
        <w:rPr>
          <w:rFonts w:ascii="Times New Roman" w:eastAsia="Calibri" w:hAnsi="Times New Roman" w:cs="Times New Roman"/>
          <w:kern w:val="24"/>
          <w:sz w:val="24"/>
          <w:szCs w:val="24"/>
          <w:lang w:val="sr-Cyrl-CS" w:eastAsia="en-GB"/>
        </w:rPr>
      </w:pPr>
      <w:r w:rsidRPr="00221978">
        <w:rPr>
          <w:rFonts w:ascii="Times New Roman" w:eastAsia="Calibri" w:hAnsi="Times New Roman" w:cs="Times New Roman"/>
          <w:color w:val="000000"/>
          <w:kern w:val="24"/>
          <w:sz w:val="24"/>
          <w:szCs w:val="24"/>
          <w:lang w:val="sr-Cyrl-CS" w:eastAsia="en-GB"/>
        </w:rPr>
        <w:t xml:space="preserve">Показатељ прати број органа који је омогућио спровођење студентске стручне праксе и број студената који су прошли </w:t>
      </w:r>
      <w:r w:rsidRPr="00221978">
        <w:rPr>
          <w:rFonts w:ascii="Times New Roman" w:eastAsia="Calibri" w:hAnsi="Times New Roman" w:cs="Times New Roman"/>
          <w:kern w:val="24"/>
          <w:sz w:val="24"/>
          <w:szCs w:val="24"/>
          <w:lang w:val="sr-Cyrl-CS" w:eastAsia="en-GB"/>
        </w:rPr>
        <w:t xml:space="preserve">праксу у односу на годишњи план студентске стручне праксе у наведеним органима. </w:t>
      </w:r>
    </w:p>
    <w:p w14:paraId="6A078ACB" w14:textId="422A3368" w:rsidR="006E4800" w:rsidRPr="00221978" w:rsidRDefault="006E4800" w:rsidP="00D405F8">
      <w:pPr>
        <w:spacing w:after="0"/>
        <w:ind w:left="720"/>
        <w:jc w:val="both"/>
        <w:rPr>
          <w:rFonts w:ascii="Times New Roman" w:hAnsi="Times New Roman" w:cs="Times New Roman"/>
          <w:sz w:val="24"/>
          <w:szCs w:val="24"/>
          <w:lang w:val="sr-Cyrl-CS"/>
        </w:rPr>
      </w:pPr>
      <w:r w:rsidRPr="00221978">
        <w:rPr>
          <w:rFonts w:ascii="Times New Roman" w:eastAsia="Calibri" w:hAnsi="Times New Roman" w:cs="Times New Roman"/>
          <w:kern w:val="24"/>
          <w:sz w:val="24"/>
          <w:szCs w:val="24"/>
          <w:lang w:val="sr-Cyrl-CS"/>
        </w:rPr>
        <w:t>Вредност се израчунава на нивоу</w:t>
      </w:r>
      <w:r w:rsidRPr="00221978">
        <w:rPr>
          <w:rFonts w:ascii="Times New Roman" w:eastAsia="Calibri" w:hAnsi="Times New Roman" w:cs="Times New Roman"/>
          <w:bCs/>
          <w:kern w:val="24"/>
          <w:sz w:val="24"/>
          <w:szCs w:val="24"/>
          <w:lang w:val="sr-Cyrl-CS"/>
        </w:rPr>
        <w:t xml:space="preserve"> </w:t>
      </w:r>
      <w:r w:rsidRPr="00221978">
        <w:rPr>
          <w:rFonts w:ascii="Times New Roman" w:eastAsia="Calibri" w:hAnsi="Times New Roman" w:cs="Times New Roman"/>
          <w:kern w:val="24"/>
          <w:sz w:val="24"/>
          <w:szCs w:val="24"/>
          <w:lang w:val="sr-Cyrl-CS"/>
        </w:rPr>
        <w:t xml:space="preserve">узорка од најмање пет министарстава, </w:t>
      </w:r>
      <w:r w:rsidR="006A1CAB" w:rsidRPr="00221978">
        <w:rPr>
          <w:rFonts w:ascii="Times New Roman" w:eastAsia="Calibri" w:hAnsi="Times New Roman" w:cs="Times New Roman"/>
          <w:kern w:val="24"/>
          <w:sz w:val="24"/>
          <w:szCs w:val="24"/>
          <w:lang w:val="sr-Cyrl-CS"/>
        </w:rPr>
        <w:t>две посебне организације две слу</w:t>
      </w:r>
      <w:r w:rsidRPr="00221978">
        <w:rPr>
          <w:rFonts w:ascii="Times New Roman" w:eastAsia="Calibri" w:hAnsi="Times New Roman" w:cs="Times New Roman"/>
          <w:kern w:val="24"/>
          <w:sz w:val="24"/>
          <w:szCs w:val="24"/>
          <w:lang w:val="sr-Cyrl-CS"/>
        </w:rPr>
        <w:t>жбе Владе. Четири државна и независна органа и пет</w:t>
      </w:r>
      <w:r w:rsidR="000F2482" w:rsidRPr="00221978">
        <w:rPr>
          <w:rFonts w:ascii="Times New Roman" w:eastAsia="Calibri" w:hAnsi="Times New Roman" w:cs="Times New Roman"/>
          <w:kern w:val="24"/>
          <w:sz w:val="24"/>
          <w:szCs w:val="24"/>
          <w:lang w:val="sr-Cyrl-CS"/>
        </w:rPr>
        <w:t xml:space="preserve"> </w:t>
      </w:r>
      <w:r w:rsidRPr="00221978">
        <w:rPr>
          <w:rFonts w:ascii="Times New Roman" w:eastAsia="Calibri" w:hAnsi="Times New Roman" w:cs="Times New Roman"/>
          <w:kern w:val="24"/>
          <w:sz w:val="24"/>
          <w:szCs w:val="24"/>
          <w:lang w:val="sr-Cyrl-CS"/>
        </w:rPr>
        <w:t xml:space="preserve">ЈЛС. </w:t>
      </w:r>
    </w:p>
    <w:p w14:paraId="46CA0455" w14:textId="4952B9C2" w:rsidR="006E4800" w:rsidRPr="00221978" w:rsidRDefault="006E4800" w:rsidP="00D405F8">
      <w:pPr>
        <w:spacing w:after="0"/>
        <w:ind w:left="720"/>
        <w:jc w:val="both"/>
        <w:rPr>
          <w:rFonts w:ascii="Times New Roman" w:eastAsia="Calibri" w:hAnsi="Times New Roman" w:cs="Times New Roman"/>
          <w:color w:val="000000"/>
          <w:kern w:val="24"/>
          <w:sz w:val="24"/>
          <w:szCs w:val="24"/>
          <w:lang w:val="sr-Cyrl-CS" w:eastAsia="en-GB"/>
        </w:rPr>
      </w:pPr>
      <w:r w:rsidRPr="00221978">
        <w:rPr>
          <w:rFonts w:ascii="Times New Roman" w:eastAsia="Calibri" w:hAnsi="Times New Roman" w:cs="Times New Roman"/>
          <w:color w:val="000000"/>
          <w:kern w:val="24"/>
          <w:sz w:val="24"/>
          <w:szCs w:val="24"/>
          <w:lang w:val="sr-Cyrl-CS" w:eastAsia="en-GB"/>
        </w:rPr>
        <w:t>Сваки орган носи 5%, а резултат се добија сабирањем органа који су реализовали студентску</w:t>
      </w:r>
      <w:r w:rsidR="00AF5FC0" w:rsidRPr="00221978">
        <w:rPr>
          <w:rFonts w:ascii="Times New Roman" w:eastAsia="Calibri" w:hAnsi="Times New Roman" w:cs="Times New Roman"/>
          <w:color w:val="000000"/>
          <w:kern w:val="24"/>
          <w:sz w:val="24"/>
          <w:szCs w:val="24"/>
          <w:lang w:val="sr-Cyrl-CS" w:eastAsia="en-GB"/>
        </w:rPr>
        <w:t xml:space="preserve"> </w:t>
      </w:r>
      <w:r w:rsidRPr="00221978">
        <w:rPr>
          <w:rFonts w:ascii="Times New Roman" w:eastAsia="Calibri" w:hAnsi="Times New Roman" w:cs="Times New Roman"/>
          <w:color w:val="000000"/>
          <w:kern w:val="24"/>
          <w:sz w:val="24"/>
          <w:szCs w:val="24"/>
          <w:lang w:val="sr-Cyrl-CS" w:eastAsia="en-GB"/>
        </w:rPr>
        <w:t>стручну праксу према годишњем</w:t>
      </w:r>
      <w:r w:rsidR="00AF5FC0" w:rsidRPr="00221978">
        <w:rPr>
          <w:rFonts w:ascii="Times New Roman" w:eastAsia="Calibri" w:hAnsi="Times New Roman" w:cs="Times New Roman"/>
          <w:color w:val="000000"/>
          <w:kern w:val="24"/>
          <w:sz w:val="24"/>
          <w:szCs w:val="24"/>
          <w:lang w:val="sr-Cyrl-CS" w:eastAsia="en-GB"/>
        </w:rPr>
        <w:t xml:space="preserve"> </w:t>
      </w:r>
      <w:r w:rsidRPr="00221978">
        <w:rPr>
          <w:rFonts w:ascii="Times New Roman" w:eastAsia="Calibri" w:hAnsi="Times New Roman" w:cs="Times New Roman"/>
          <w:color w:val="000000"/>
          <w:kern w:val="24"/>
          <w:sz w:val="24"/>
          <w:szCs w:val="24"/>
          <w:lang w:val="sr-Cyrl-CS" w:eastAsia="en-GB"/>
        </w:rPr>
        <w:t>програму студентске</w:t>
      </w:r>
      <w:r w:rsidR="00E84098" w:rsidRPr="00221978">
        <w:rPr>
          <w:rFonts w:ascii="Times New Roman" w:eastAsia="Calibri" w:hAnsi="Times New Roman" w:cs="Times New Roman"/>
          <w:color w:val="000000"/>
          <w:kern w:val="24"/>
          <w:sz w:val="24"/>
          <w:szCs w:val="24"/>
          <w:lang w:val="sr-Cyrl-CS" w:eastAsia="en-GB"/>
        </w:rPr>
        <w:t xml:space="preserve"> стручне праксе у јавној управи.</w:t>
      </w:r>
      <w:r w:rsidR="009B73BA" w:rsidRPr="00221978">
        <w:rPr>
          <w:rFonts w:ascii="Times New Roman" w:eastAsia="Calibri" w:hAnsi="Times New Roman" w:cs="Times New Roman"/>
          <w:color w:val="000000"/>
          <w:kern w:val="24"/>
          <w:sz w:val="24"/>
          <w:szCs w:val="24"/>
          <w:lang w:val="sr-Cyrl-CS" w:eastAsia="en-GB"/>
        </w:rPr>
        <w:t xml:space="preserve">”    </w:t>
      </w:r>
    </w:p>
    <w:p w14:paraId="5635C783" w14:textId="77777777" w:rsidR="004A77D7" w:rsidRPr="00221978" w:rsidRDefault="004A77D7" w:rsidP="00150EE5">
      <w:pPr>
        <w:spacing w:after="0"/>
        <w:jc w:val="both"/>
        <w:rPr>
          <w:rFonts w:ascii="Times New Roman" w:eastAsia="Calibri" w:hAnsi="Times New Roman" w:cs="Times New Roman"/>
          <w:color w:val="000000"/>
          <w:kern w:val="24"/>
          <w:sz w:val="24"/>
          <w:szCs w:val="24"/>
          <w:lang w:val="sr-Cyrl-CS" w:eastAsia="en-GB"/>
        </w:rPr>
      </w:pPr>
    </w:p>
    <w:p w14:paraId="6FFA3BCB" w14:textId="7C777785" w:rsidR="006E7355" w:rsidRPr="00221978" w:rsidRDefault="006E7355" w:rsidP="00AF5FC0">
      <w:pPr>
        <w:pStyle w:val="ListParagraph"/>
        <w:numPr>
          <w:ilvl w:val="0"/>
          <w:numId w:val="2"/>
        </w:numPr>
        <w:suppressAutoHyphens/>
        <w:autoSpaceDN w:val="0"/>
        <w:spacing w:after="0" w:line="240" w:lineRule="auto"/>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8034ED" w:rsidRPr="00221978">
        <w:rPr>
          <w:rFonts w:ascii="Times New Roman" w:hAnsi="Times New Roman" w:cs="Times New Roman"/>
          <w:sz w:val="24"/>
          <w:szCs w:val="24"/>
          <w:lang w:val="sr-Cyrl-CS"/>
        </w:rPr>
        <w:t>Прилогу</w:t>
      </w:r>
      <w:r w:rsidRPr="00221978">
        <w:rPr>
          <w:rFonts w:ascii="Times New Roman" w:hAnsi="Times New Roman" w:cs="Times New Roman"/>
          <w:sz w:val="24"/>
          <w:szCs w:val="24"/>
          <w:lang w:val="sr-Cyrl-CS"/>
        </w:rPr>
        <w:t xml:space="preserve"> 8: Пасоши индикатора: Посебан циљ 5: Јавна управа на ефикасан и иновативан начин пружа услуге које одговарају на потребе крајњих корисника и унапређују њихово корисничко искуство</w:t>
      </w:r>
      <w:r w:rsidR="00AF5FC0" w:rsidRPr="00221978">
        <w:rPr>
          <w:rFonts w:ascii="Times New Roman" w:hAnsi="Times New Roman" w:cs="Times New Roman"/>
          <w:sz w:val="24"/>
          <w:szCs w:val="24"/>
          <w:lang w:val="sr-Cyrl-CS"/>
        </w:rPr>
        <w:t>, показатељ 1:</w:t>
      </w:r>
    </w:p>
    <w:p w14:paraId="30B7CB60" w14:textId="7B1F5C78" w:rsidR="00AF5FC0" w:rsidRPr="00221978" w:rsidRDefault="00AF5FC0" w:rsidP="00D405F8">
      <w:pPr>
        <w:suppressAutoHyphens/>
        <w:autoSpaceDN w:val="0"/>
        <w:spacing w:after="0" w:line="240" w:lineRule="auto"/>
        <w:ind w:left="720"/>
        <w:jc w:val="both"/>
        <w:textAlignment w:val="baseline"/>
        <w:rPr>
          <w:rFonts w:ascii="Times New Roman" w:eastAsia="Calibri" w:hAnsi="Times New Roman" w:cs="Times New Roman"/>
          <w:iCs/>
          <w:sz w:val="24"/>
          <w:szCs w:val="24"/>
          <w:lang w:val="sr-Cyrl-CS"/>
        </w:rPr>
      </w:pPr>
      <w:r w:rsidRPr="00221978">
        <w:rPr>
          <w:rFonts w:ascii="Times New Roman" w:hAnsi="Times New Roman" w:cs="Times New Roman"/>
          <w:sz w:val="24"/>
          <w:szCs w:val="24"/>
          <w:lang w:val="sr-Cyrl-CS"/>
        </w:rPr>
        <w:t>Мења се показатељ успешности и гласи:</w:t>
      </w:r>
      <w:r w:rsidR="0078529D" w:rsidRPr="00221978">
        <w:rPr>
          <w:rFonts w:ascii="Times New Roman" w:hAnsi="Times New Roman" w:cs="Times New Roman"/>
          <w:sz w:val="24"/>
          <w:szCs w:val="24"/>
          <w:lang w:val="sr-Cyrl-CS"/>
        </w:rPr>
        <w:t xml:space="preserve"> „</w:t>
      </w:r>
      <w:r w:rsidRPr="00221978">
        <w:rPr>
          <w:rFonts w:ascii="Times New Roman" w:eastAsia="Calibri" w:hAnsi="Times New Roman" w:cs="Times New Roman"/>
          <w:iCs/>
          <w:sz w:val="24"/>
          <w:szCs w:val="24"/>
          <w:lang w:val="sr-Cyrl-CS"/>
        </w:rPr>
        <w:t>О</w:t>
      </w:r>
      <w:r w:rsidR="0011314D" w:rsidRPr="00221978">
        <w:rPr>
          <w:rFonts w:ascii="Times New Roman" w:eastAsia="Calibri" w:hAnsi="Times New Roman" w:cs="Times New Roman"/>
          <w:iCs/>
          <w:sz w:val="24"/>
          <w:szCs w:val="24"/>
          <w:lang w:val="sr-Cyrl-CS"/>
        </w:rPr>
        <w:t>дступање до ±0,5</w:t>
      </w:r>
      <w:r w:rsidRPr="00221978">
        <w:rPr>
          <w:rFonts w:ascii="Times New Roman" w:eastAsia="Calibri" w:hAnsi="Times New Roman" w:cs="Times New Roman"/>
          <w:iCs/>
          <w:sz w:val="24"/>
          <w:szCs w:val="24"/>
          <w:lang w:val="sr-Cyrl-CS"/>
        </w:rPr>
        <w:t xml:space="preserve"> у односу на циљну вредност вредноваће се као успех.</w:t>
      </w:r>
      <w:r w:rsidR="009B73BA" w:rsidRPr="00221978">
        <w:rPr>
          <w:rFonts w:ascii="Times New Roman" w:eastAsia="Calibri" w:hAnsi="Times New Roman" w:cs="Times New Roman"/>
          <w:iCs/>
          <w:sz w:val="24"/>
          <w:szCs w:val="24"/>
          <w:lang w:val="sr-Cyrl-CS"/>
        </w:rPr>
        <w:t xml:space="preserve">”    </w:t>
      </w:r>
    </w:p>
    <w:p w14:paraId="5EAE0433" w14:textId="77777777" w:rsidR="00150EE5" w:rsidRPr="00221978" w:rsidRDefault="00150EE5" w:rsidP="00AF5FC0">
      <w:pPr>
        <w:suppressAutoHyphens/>
        <w:autoSpaceDN w:val="0"/>
        <w:spacing w:after="0" w:line="240" w:lineRule="auto"/>
        <w:jc w:val="both"/>
        <w:textAlignment w:val="baseline"/>
        <w:rPr>
          <w:rFonts w:ascii="Times New Roman" w:hAnsi="Times New Roman" w:cs="Times New Roman"/>
          <w:sz w:val="24"/>
          <w:szCs w:val="24"/>
          <w:lang w:val="sr-Cyrl-CS"/>
        </w:rPr>
      </w:pPr>
    </w:p>
    <w:p w14:paraId="7B53189B" w14:textId="2BD72F30" w:rsidR="00E36145" w:rsidRPr="00221978" w:rsidRDefault="004029B0" w:rsidP="00AF5FC0">
      <w:pPr>
        <w:pStyle w:val="ListParagraph"/>
        <w:numPr>
          <w:ilvl w:val="0"/>
          <w:numId w:val="2"/>
        </w:numPr>
        <w:suppressAutoHyphens/>
        <w:autoSpaceDN w:val="0"/>
        <w:spacing w:after="0" w:line="240" w:lineRule="auto"/>
        <w:jc w:val="both"/>
        <w:textAlignment w:val="baseline"/>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6E7355" w:rsidRPr="00221978">
        <w:rPr>
          <w:rFonts w:ascii="Times New Roman" w:hAnsi="Times New Roman" w:cs="Times New Roman"/>
          <w:sz w:val="24"/>
          <w:szCs w:val="24"/>
          <w:lang w:val="sr-Cyrl-CS"/>
        </w:rPr>
        <w:t>Прилог</w:t>
      </w:r>
      <w:r w:rsidR="008034ED" w:rsidRPr="00221978">
        <w:rPr>
          <w:rFonts w:ascii="Times New Roman" w:hAnsi="Times New Roman" w:cs="Times New Roman"/>
          <w:sz w:val="24"/>
          <w:szCs w:val="24"/>
          <w:lang w:val="sr-Cyrl-CS"/>
        </w:rPr>
        <w:t>у</w:t>
      </w:r>
      <w:r w:rsidR="006E7355" w:rsidRPr="00221978">
        <w:rPr>
          <w:rFonts w:ascii="Times New Roman" w:hAnsi="Times New Roman" w:cs="Times New Roman"/>
          <w:sz w:val="24"/>
          <w:szCs w:val="24"/>
          <w:lang w:val="sr-Cyrl-CS"/>
        </w:rPr>
        <w:t xml:space="preserve"> 8: Пасоши индикатора: </w:t>
      </w:r>
      <w:r w:rsidR="00F96D26" w:rsidRPr="00221978">
        <w:rPr>
          <w:rFonts w:ascii="Times New Roman" w:hAnsi="Times New Roman" w:cs="Times New Roman"/>
          <w:bCs/>
          <w:iCs/>
          <w:sz w:val="24"/>
          <w:szCs w:val="24"/>
          <w:lang w:val="sr-Cyrl-CS"/>
        </w:rPr>
        <w:t xml:space="preserve">Унапређен ниво одговорности и транспарентност на свим нивоима власти, </w:t>
      </w:r>
      <w:r w:rsidR="00F96D26" w:rsidRPr="00221978">
        <w:rPr>
          <w:rFonts w:ascii="Times New Roman" w:hAnsi="Times New Roman" w:cs="Times New Roman"/>
          <w:bCs/>
          <w:sz w:val="24"/>
          <w:szCs w:val="24"/>
          <w:lang w:val="sr-Cyrl-CS"/>
        </w:rPr>
        <w:t>Посебан циљ 6</w:t>
      </w:r>
      <w:r w:rsidR="00EC375A" w:rsidRPr="00221978">
        <w:rPr>
          <w:rFonts w:ascii="Times New Roman" w:hAnsi="Times New Roman" w:cs="Times New Roman"/>
          <w:bCs/>
          <w:sz w:val="24"/>
          <w:szCs w:val="24"/>
          <w:lang w:val="sr-Cyrl-CS"/>
        </w:rPr>
        <w:t>:</w:t>
      </w:r>
      <w:r w:rsidR="00F96D26" w:rsidRPr="00221978">
        <w:rPr>
          <w:rFonts w:ascii="Times New Roman" w:hAnsi="Times New Roman" w:cs="Times New Roman"/>
          <w:bCs/>
          <w:sz w:val="24"/>
          <w:szCs w:val="24"/>
          <w:lang w:val="sr-Cyrl-CS"/>
        </w:rPr>
        <w:t xml:space="preserve"> </w:t>
      </w:r>
    </w:p>
    <w:p w14:paraId="51CA0F33" w14:textId="20EC16AC" w:rsidR="00EC375A" w:rsidRPr="00221978" w:rsidRDefault="00E84098" w:rsidP="00D405F8">
      <w:pPr>
        <w:suppressAutoHyphens/>
        <w:autoSpaceDN w:val="0"/>
        <w:spacing w:after="0" w:line="240" w:lineRule="auto"/>
        <w:ind w:left="720"/>
        <w:jc w:val="both"/>
        <w:textAlignment w:val="baseline"/>
        <w:rPr>
          <w:rFonts w:ascii="Times New Roman" w:hAnsi="Times New Roman" w:cs="Times New Roman"/>
          <w:sz w:val="24"/>
          <w:szCs w:val="24"/>
          <w:lang w:val="sr-Cyrl-CS"/>
        </w:rPr>
      </w:pPr>
      <w:r w:rsidRPr="00221978">
        <w:rPr>
          <w:rFonts w:ascii="Times New Roman" w:hAnsi="Times New Roman" w:cs="Times New Roman"/>
          <w:bCs/>
          <w:sz w:val="24"/>
          <w:szCs w:val="24"/>
          <w:lang w:val="sr-Cyrl-CS"/>
        </w:rPr>
        <w:t xml:space="preserve">Мења се назив показатеља 11 и гласи: </w:t>
      </w:r>
      <w:r w:rsidRPr="00221978">
        <w:rPr>
          <w:rFonts w:ascii="Times New Roman" w:hAnsi="Times New Roman" w:cs="Times New Roman"/>
          <w:sz w:val="24"/>
          <w:szCs w:val="24"/>
          <w:lang w:val="sr-Cyrl-CS"/>
        </w:rPr>
        <w:t>„</w:t>
      </w:r>
      <w:r w:rsidR="0072106B" w:rsidRPr="00221978">
        <w:rPr>
          <w:rFonts w:ascii="Times New Roman" w:hAnsi="Times New Roman" w:cs="Times New Roman"/>
          <w:bCs/>
          <w:sz w:val="24"/>
          <w:szCs w:val="24"/>
          <w:lang w:val="sr-Cyrl-CS"/>
        </w:rPr>
        <w:t>Проценат  извршења аката Повереника за информације од јавног значаја и заштиту података о личности и Заштитника грађана</w:t>
      </w:r>
      <w:r w:rsidR="00904840" w:rsidRPr="00221978">
        <w:rPr>
          <w:rFonts w:ascii="Times New Roman" w:hAnsi="Times New Roman" w:cs="Times New Roman"/>
          <w:bCs/>
          <w:sz w:val="24"/>
          <w:szCs w:val="24"/>
          <w:lang w:val="sr-Cyrl-CS"/>
        </w:rPr>
        <w:t>.</w:t>
      </w:r>
      <w:r w:rsidR="00042BCC" w:rsidRPr="00221978">
        <w:rPr>
          <w:rFonts w:ascii="Times New Roman" w:eastAsia="Calibri" w:hAnsi="Times New Roman" w:cs="Times New Roman"/>
          <w:color w:val="000000"/>
          <w:kern w:val="24"/>
          <w:sz w:val="24"/>
          <w:szCs w:val="24"/>
          <w:lang w:val="sr-Cyrl-CS" w:eastAsia="en-GB"/>
        </w:rPr>
        <w:t>”</w:t>
      </w:r>
      <w:r w:rsidR="00904840" w:rsidRPr="00221978">
        <w:rPr>
          <w:rFonts w:ascii="Times New Roman" w:hAnsi="Times New Roman" w:cs="Times New Roman"/>
          <w:bCs/>
          <w:sz w:val="24"/>
          <w:szCs w:val="24"/>
          <w:lang w:val="sr-Cyrl-CS"/>
        </w:rPr>
        <w:t xml:space="preserve"> Корекција је извршена и у Акционом плану</w:t>
      </w:r>
      <w:r w:rsidR="0061376F" w:rsidRPr="00221978">
        <w:rPr>
          <w:rFonts w:ascii="Times New Roman" w:hAnsi="Times New Roman" w:cs="Times New Roman"/>
          <w:bCs/>
          <w:sz w:val="24"/>
          <w:szCs w:val="24"/>
          <w:lang w:val="sr-Cyrl-CS"/>
        </w:rPr>
        <w:t>.</w:t>
      </w:r>
    </w:p>
    <w:p w14:paraId="54155C7C" w14:textId="0805ADAD" w:rsidR="00B41C9F" w:rsidRPr="00221978" w:rsidRDefault="00E84098" w:rsidP="00042BCC">
      <w:pPr>
        <w:pStyle w:val="NoSpacing"/>
        <w:ind w:left="720"/>
        <w:rPr>
          <w:rFonts w:ascii="Times New Roman" w:hAnsi="Times New Roman"/>
          <w:sz w:val="24"/>
          <w:szCs w:val="24"/>
          <w:lang w:val="sr-Cyrl-CS"/>
        </w:rPr>
      </w:pPr>
      <w:r w:rsidRPr="00221978">
        <w:rPr>
          <w:rFonts w:ascii="Times New Roman" w:hAnsi="Times New Roman"/>
          <w:sz w:val="24"/>
          <w:szCs w:val="24"/>
          <w:lang w:val="sr-Cyrl-CS"/>
        </w:rPr>
        <w:t>Мења с</w:t>
      </w:r>
      <w:r w:rsidR="00B41C9F" w:rsidRPr="00221978">
        <w:rPr>
          <w:rFonts w:ascii="Times New Roman" w:hAnsi="Times New Roman"/>
          <w:sz w:val="24"/>
          <w:szCs w:val="24"/>
          <w:lang w:val="sr-Cyrl-CS"/>
        </w:rPr>
        <w:t>е назив но</w:t>
      </w:r>
      <w:r w:rsidR="0078529D" w:rsidRPr="00221978">
        <w:rPr>
          <w:rFonts w:ascii="Times New Roman" w:hAnsi="Times New Roman"/>
          <w:sz w:val="24"/>
          <w:szCs w:val="24"/>
          <w:lang w:val="sr-Cyrl-CS"/>
        </w:rPr>
        <w:t>сиоца прикупљања података и гласи: „</w:t>
      </w:r>
      <w:r w:rsidR="00B41C9F" w:rsidRPr="00221978">
        <w:rPr>
          <w:rFonts w:ascii="Times New Roman" w:hAnsi="Times New Roman"/>
          <w:sz w:val="24"/>
          <w:szCs w:val="24"/>
          <w:lang w:val="sr-Cyrl-CS"/>
        </w:rPr>
        <w:t>Повереник за информације од јавног значаја и заштиту података о личности, у делу који се тиче решења  Повереника: Сектор за сарадњу и извештавање</w:t>
      </w:r>
    </w:p>
    <w:p w14:paraId="60DB73D8" w14:textId="5CA8680E" w:rsidR="00150EE5" w:rsidRPr="00221978" w:rsidRDefault="00B41C9F" w:rsidP="00042BCC">
      <w:pPr>
        <w:pStyle w:val="NoSpacing"/>
        <w:ind w:firstLine="720"/>
        <w:rPr>
          <w:rFonts w:ascii="Times New Roman" w:hAnsi="Times New Roman"/>
          <w:sz w:val="24"/>
          <w:szCs w:val="24"/>
          <w:lang w:val="sr-Cyrl-CS"/>
        </w:rPr>
      </w:pPr>
      <w:r w:rsidRPr="00221978">
        <w:rPr>
          <w:rFonts w:ascii="Times New Roman" w:hAnsi="Times New Roman"/>
          <w:sz w:val="24"/>
          <w:szCs w:val="24"/>
          <w:lang w:val="sr-Cyrl-CS"/>
        </w:rPr>
        <w:t>Заштитник грађана, у делу који се тиче препорука Заштитника</w:t>
      </w:r>
      <w:r w:rsidR="00FC0AF2" w:rsidRPr="00221978">
        <w:rPr>
          <w:rFonts w:ascii="Times New Roman" w:hAnsi="Times New Roman"/>
          <w:sz w:val="24"/>
          <w:szCs w:val="24"/>
          <w:lang w:val="sr-Cyrl-CS"/>
        </w:rPr>
        <w:t>.</w:t>
      </w:r>
      <w:r w:rsidR="009B73BA" w:rsidRPr="00221978">
        <w:rPr>
          <w:rFonts w:ascii="Times New Roman" w:hAnsi="Times New Roman"/>
          <w:sz w:val="24"/>
          <w:szCs w:val="24"/>
          <w:lang w:val="sr-Cyrl-CS"/>
        </w:rPr>
        <w:t xml:space="preserve">”    </w:t>
      </w:r>
    </w:p>
    <w:p w14:paraId="1549E19B" w14:textId="5E60DB8E" w:rsidR="0072106B" w:rsidRPr="00221978" w:rsidRDefault="00FC0AF2" w:rsidP="00042BCC">
      <w:pPr>
        <w:pStyle w:val="NoSpacing"/>
        <w:ind w:left="720"/>
        <w:rPr>
          <w:rFonts w:ascii="Times New Roman" w:hAnsi="Times New Roman"/>
          <w:sz w:val="24"/>
          <w:szCs w:val="24"/>
          <w:lang w:val="sr-Cyrl-CS"/>
        </w:rPr>
      </w:pPr>
      <w:r w:rsidRPr="00221978">
        <w:rPr>
          <w:rFonts w:ascii="Times New Roman" w:hAnsi="Times New Roman"/>
          <w:sz w:val="24"/>
          <w:szCs w:val="24"/>
          <w:lang w:val="sr-Cyrl-CS"/>
        </w:rPr>
        <w:t>Мења с</w:t>
      </w:r>
      <w:r w:rsidR="00EC375A" w:rsidRPr="00221978">
        <w:rPr>
          <w:rFonts w:ascii="Times New Roman" w:hAnsi="Times New Roman"/>
          <w:bCs/>
          <w:sz w:val="24"/>
          <w:szCs w:val="24"/>
          <w:lang w:val="sr-Cyrl-CS"/>
        </w:rPr>
        <w:t xml:space="preserve">е кратак опис показатеља и </w:t>
      </w:r>
      <w:r w:rsidR="00F96D26" w:rsidRPr="00221978">
        <w:rPr>
          <w:rFonts w:ascii="Times New Roman" w:hAnsi="Times New Roman"/>
          <w:bCs/>
          <w:sz w:val="24"/>
          <w:szCs w:val="24"/>
          <w:lang w:val="sr-Cyrl-CS"/>
        </w:rPr>
        <w:t>методологија</w:t>
      </w:r>
      <w:r w:rsidR="0061376F" w:rsidRPr="00221978">
        <w:rPr>
          <w:rFonts w:ascii="Times New Roman" w:hAnsi="Times New Roman"/>
          <w:bCs/>
          <w:sz w:val="24"/>
          <w:szCs w:val="24"/>
          <w:lang w:val="sr-Cyrl-CS"/>
        </w:rPr>
        <w:t xml:space="preserve"> израчунавања и</w:t>
      </w:r>
      <w:r w:rsidR="00EC375A" w:rsidRPr="00221978">
        <w:rPr>
          <w:rFonts w:ascii="Times New Roman" w:hAnsi="Times New Roman"/>
          <w:bCs/>
          <w:sz w:val="24"/>
          <w:szCs w:val="24"/>
          <w:lang w:val="sr-Cyrl-CS"/>
        </w:rPr>
        <w:t xml:space="preserve"> гласи: </w:t>
      </w:r>
      <w:r w:rsidR="0078529D" w:rsidRPr="00221978">
        <w:rPr>
          <w:rFonts w:ascii="Times New Roman" w:hAnsi="Times New Roman"/>
          <w:sz w:val="24"/>
          <w:szCs w:val="24"/>
          <w:lang w:val="sr-Cyrl-CS"/>
        </w:rPr>
        <w:t>„</w:t>
      </w:r>
      <w:r w:rsidR="0072106B" w:rsidRPr="00221978">
        <w:rPr>
          <w:rFonts w:ascii="Times New Roman" w:hAnsi="Times New Roman"/>
          <w:sz w:val="24"/>
          <w:szCs w:val="24"/>
          <w:lang w:val="sr-Cyrl-CS"/>
        </w:rPr>
        <w:t>Формула/једначина</w:t>
      </w:r>
    </w:p>
    <w:p w14:paraId="670A2C40" w14:textId="65D3C743" w:rsidR="0072106B" w:rsidRPr="00221978" w:rsidRDefault="0072106B" w:rsidP="00042BCC">
      <w:pPr>
        <w:pStyle w:val="NoSpacing"/>
        <w:ind w:left="720"/>
        <w:rPr>
          <w:rFonts w:ascii="Times New Roman" w:hAnsi="Times New Roman"/>
          <w:sz w:val="24"/>
          <w:szCs w:val="24"/>
          <w:lang w:val="sr-Cyrl-CS"/>
        </w:rPr>
      </w:pPr>
      <w:r w:rsidRPr="00221978">
        <w:rPr>
          <w:rFonts w:ascii="Times New Roman" w:hAnsi="Times New Roman"/>
          <w:sz w:val="24"/>
          <w:szCs w:val="24"/>
          <w:lang w:val="sr-Cyrl-CS"/>
        </w:rPr>
        <w:t xml:space="preserve">Број решења Повереника за информације од јавног значаја и заштиту података о личности која су извршена (Х) у односу на укупан број донетих решења (Y) /број доспелих препорука Заштитника грађана по којима је поступљено (Х)  у односу на укупан број препорука доспелих на извршење (Y). </w:t>
      </w:r>
    </w:p>
    <w:p w14:paraId="60FE10CC" w14:textId="166CE8A4" w:rsidR="00947976" w:rsidRPr="00221978" w:rsidRDefault="0072106B" w:rsidP="00042BCC">
      <w:pPr>
        <w:pStyle w:val="NoSpacing"/>
        <w:ind w:firstLine="720"/>
        <w:rPr>
          <w:rFonts w:ascii="Times New Roman" w:hAnsi="Times New Roman"/>
          <w:sz w:val="24"/>
          <w:szCs w:val="24"/>
          <w:lang w:val="sr-Cyrl-CS"/>
        </w:rPr>
      </w:pPr>
      <w:r w:rsidRPr="00221978">
        <w:rPr>
          <w:rFonts w:ascii="Times New Roman" w:hAnsi="Times New Roman"/>
          <w:sz w:val="24"/>
          <w:szCs w:val="24"/>
          <w:lang w:val="sr-Cyrl-CS"/>
        </w:rPr>
        <w:t>Формула за израчунавање: X : Y x 100</w:t>
      </w:r>
      <w:r w:rsidR="00D405F8" w:rsidRPr="00221978">
        <w:rPr>
          <w:rFonts w:ascii="Times New Roman" w:hAnsi="Times New Roman"/>
          <w:sz w:val="24"/>
          <w:szCs w:val="24"/>
          <w:lang w:val="sr-Cyrl-CS"/>
        </w:rPr>
        <w:t>.</w:t>
      </w:r>
      <w:r w:rsidR="0078529D" w:rsidRPr="00221978">
        <w:rPr>
          <w:rFonts w:ascii="Times New Roman" w:eastAsia="Calibri" w:hAnsi="Times New Roman"/>
          <w:sz w:val="24"/>
          <w:szCs w:val="24"/>
          <w:lang w:val="sr-Cyrl-CS"/>
        </w:rPr>
        <w:t>”</w:t>
      </w:r>
    </w:p>
    <w:p w14:paraId="59F537DF" w14:textId="77777777" w:rsidR="0072106B" w:rsidRPr="00221978" w:rsidRDefault="0072106B" w:rsidP="0072106B">
      <w:pPr>
        <w:suppressAutoHyphens/>
        <w:autoSpaceDN w:val="0"/>
        <w:spacing w:after="0" w:line="240" w:lineRule="auto"/>
        <w:jc w:val="both"/>
        <w:textAlignment w:val="baseline"/>
        <w:rPr>
          <w:rFonts w:ascii="Times New Roman" w:hAnsi="Times New Roman" w:cs="Times New Roman"/>
          <w:sz w:val="24"/>
          <w:szCs w:val="24"/>
          <w:lang w:val="sr-Cyrl-CS"/>
        </w:rPr>
      </w:pPr>
    </w:p>
    <w:p w14:paraId="6168F322" w14:textId="3ED70875" w:rsidR="00A11866" w:rsidRPr="00221978" w:rsidRDefault="001F0EF3" w:rsidP="00AF5FC0">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Прилог</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8: Пасоши индикатора</w:t>
      </w:r>
      <w:bookmarkStart w:id="25" w:name="_Toc58855338"/>
      <w:bookmarkStart w:id="26" w:name="_Toc69741179"/>
      <w:r w:rsidR="00FC0AF2" w:rsidRPr="00221978">
        <w:rPr>
          <w:rFonts w:ascii="Times New Roman" w:hAnsi="Times New Roman" w:cs="Times New Roman"/>
          <w:sz w:val="24"/>
          <w:szCs w:val="24"/>
          <w:lang w:val="sr-Cyrl-CS"/>
        </w:rPr>
        <w:t>: Управљање јавним финансијама, мења се назив Посебног</w:t>
      </w:r>
      <w:r w:rsidRPr="00221978">
        <w:rPr>
          <w:rFonts w:ascii="Times New Roman" w:hAnsi="Times New Roman" w:cs="Times New Roman"/>
          <w:sz w:val="24"/>
          <w:szCs w:val="24"/>
          <w:lang w:val="sr-Cyrl-CS"/>
        </w:rPr>
        <w:t xml:space="preserve"> циљ</w:t>
      </w:r>
      <w:r w:rsidR="00FC0AF2" w:rsidRPr="00221978">
        <w:rPr>
          <w:rFonts w:ascii="Times New Roman" w:hAnsi="Times New Roman" w:cs="Times New Roman"/>
          <w:sz w:val="24"/>
          <w:szCs w:val="24"/>
          <w:lang w:val="sr-Cyrl-CS"/>
        </w:rPr>
        <w:t>а</w:t>
      </w:r>
      <w:r w:rsidRPr="00221978">
        <w:rPr>
          <w:rFonts w:ascii="Times New Roman" w:hAnsi="Times New Roman" w:cs="Times New Roman"/>
          <w:sz w:val="24"/>
          <w:szCs w:val="24"/>
          <w:lang w:val="sr-Cyrl-CS"/>
        </w:rPr>
        <w:t xml:space="preserve"> 7</w:t>
      </w:r>
      <w:r w:rsidR="00A11866" w:rsidRPr="00221978">
        <w:rPr>
          <w:rFonts w:ascii="Times New Roman" w:hAnsi="Times New Roman" w:cs="Times New Roman"/>
          <w:sz w:val="24"/>
          <w:szCs w:val="24"/>
          <w:lang w:val="sr-Cyrl-CS"/>
        </w:rPr>
        <w:t>.</w:t>
      </w:r>
      <w:r w:rsidR="00043227" w:rsidRPr="00221978">
        <w:rPr>
          <w:rFonts w:ascii="Times New Roman" w:hAnsi="Times New Roman" w:cs="Times New Roman"/>
          <w:sz w:val="24"/>
          <w:szCs w:val="24"/>
          <w:lang w:val="sr-Cyrl-CS"/>
        </w:rPr>
        <w:t xml:space="preserve"> </w:t>
      </w:r>
      <w:r w:rsidR="00FC0AF2" w:rsidRPr="00221978">
        <w:rPr>
          <w:rFonts w:ascii="Times New Roman" w:hAnsi="Times New Roman" w:cs="Times New Roman"/>
          <w:sz w:val="24"/>
          <w:szCs w:val="24"/>
          <w:lang w:val="sr-Cyrl-CS"/>
        </w:rPr>
        <w:t xml:space="preserve">и </w:t>
      </w:r>
      <w:r w:rsidR="00043227" w:rsidRPr="00221978">
        <w:rPr>
          <w:rFonts w:ascii="Times New Roman" w:hAnsi="Times New Roman" w:cs="Times New Roman"/>
          <w:sz w:val="24"/>
          <w:szCs w:val="24"/>
          <w:lang w:val="sr-Cyrl-CS"/>
        </w:rPr>
        <w:t>гласи</w:t>
      </w:r>
      <w:r w:rsidRPr="00221978">
        <w:rPr>
          <w:rFonts w:ascii="Times New Roman" w:hAnsi="Times New Roman" w:cs="Times New Roman"/>
          <w:sz w:val="24"/>
          <w:szCs w:val="24"/>
          <w:lang w:val="sr-Cyrl-CS"/>
        </w:rPr>
        <w:t>:</w:t>
      </w:r>
    </w:p>
    <w:p w14:paraId="5BC1F4CA" w14:textId="5640D41C" w:rsidR="001F0EF3" w:rsidRPr="00221978" w:rsidRDefault="00FC0AF2"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w:t>
      </w:r>
      <w:r w:rsidR="001F0EF3" w:rsidRPr="00221978">
        <w:rPr>
          <w:rFonts w:ascii="Times New Roman" w:hAnsi="Times New Roman" w:cs="Times New Roman"/>
          <w:sz w:val="24"/>
          <w:szCs w:val="24"/>
          <w:lang w:val="sr-Cyrl-CS"/>
        </w:rPr>
        <w:t>Остваривање одрживог буџета са стабилним јавним дугом у односу на БДП уз помоћ бољег финансијског управљања и контроле, процеса ревизије и повезивања буџетског планирања са политикама Владе</w:t>
      </w:r>
      <w:bookmarkEnd w:id="25"/>
      <w:bookmarkEnd w:id="26"/>
      <w:r w:rsidR="00A11866"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p>
    <w:p w14:paraId="169E12BF" w14:textId="49FE986F" w:rsidR="00743D73" w:rsidRPr="00221978" w:rsidRDefault="00FC0AF2"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п</w:t>
      </w:r>
      <w:r w:rsidR="001F0EF3" w:rsidRPr="00221978">
        <w:rPr>
          <w:rFonts w:ascii="Times New Roman" w:hAnsi="Times New Roman" w:cs="Times New Roman"/>
          <w:sz w:val="24"/>
          <w:szCs w:val="24"/>
          <w:lang w:val="sr-Cyrl-CS"/>
        </w:rPr>
        <w:t>оказатељ</w:t>
      </w:r>
      <w:r w:rsidR="00A95B84" w:rsidRPr="00221978">
        <w:rPr>
          <w:rFonts w:ascii="Times New Roman" w:hAnsi="Times New Roman" w:cs="Times New Roman"/>
          <w:sz w:val="24"/>
          <w:szCs w:val="24"/>
          <w:lang w:val="sr-Cyrl-CS"/>
        </w:rPr>
        <w:t>у</w:t>
      </w:r>
      <w:r w:rsidR="001F0EF3" w:rsidRPr="00221978">
        <w:rPr>
          <w:rFonts w:ascii="Times New Roman" w:hAnsi="Times New Roman" w:cs="Times New Roman"/>
          <w:sz w:val="24"/>
          <w:szCs w:val="24"/>
          <w:lang w:val="sr-Cyrl-CS"/>
        </w:rPr>
        <w:t xml:space="preserve"> </w:t>
      </w:r>
      <w:r w:rsidR="001F0EF3" w:rsidRPr="00221978">
        <w:rPr>
          <w:rFonts w:ascii="Times New Roman" w:eastAsia="Calibri" w:hAnsi="Times New Roman" w:cs="Times New Roman"/>
          <w:sz w:val="24"/>
          <w:szCs w:val="24"/>
          <w:lang w:val="sr-Cyrl-CS"/>
        </w:rPr>
        <w:t>Ниво дуга опште државе у БДП-у</w:t>
      </w:r>
      <w:r w:rsidRPr="00221978">
        <w:rPr>
          <w:rFonts w:ascii="Times New Roman" w:eastAsia="Calibri" w:hAnsi="Times New Roman" w:cs="Times New Roman"/>
          <w:sz w:val="24"/>
          <w:szCs w:val="24"/>
          <w:lang w:val="sr-Cyrl-CS"/>
        </w:rPr>
        <w:t>, мења с</w:t>
      </w:r>
      <w:r w:rsidR="001F0EF3" w:rsidRPr="00221978">
        <w:rPr>
          <w:rFonts w:ascii="Times New Roman" w:eastAsia="Calibri" w:hAnsi="Times New Roman" w:cs="Times New Roman"/>
          <w:sz w:val="24"/>
          <w:szCs w:val="24"/>
          <w:lang w:val="sr-Cyrl-CS"/>
        </w:rPr>
        <w:t xml:space="preserve">е ЦВ </w:t>
      </w:r>
      <w:r w:rsidRPr="00221978">
        <w:rPr>
          <w:rFonts w:ascii="Times New Roman" w:eastAsia="Calibri" w:hAnsi="Times New Roman" w:cs="Times New Roman"/>
          <w:sz w:val="24"/>
          <w:szCs w:val="24"/>
          <w:lang w:val="sr-Cyrl-CS"/>
        </w:rPr>
        <w:t>за 2021. и гласи:</w:t>
      </w:r>
      <w:r w:rsidR="0078529D" w:rsidRPr="00221978">
        <w:rPr>
          <w:rFonts w:ascii="Times New Roman" w:hAnsi="Times New Roman" w:cs="Times New Roman"/>
          <w:sz w:val="24"/>
          <w:szCs w:val="24"/>
          <w:lang w:val="sr-Cyrl-CS"/>
        </w:rPr>
        <w:t xml:space="preserve"> „</w:t>
      </w:r>
      <w:r w:rsidRPr="00221978">
        <w:rPr>
          <w:rFonts w:ascii="Times New Roman" w:eastAsia="Calibri" w:hAnsi="Times New Roman" w:cs="Times New Roman"/>
          <w:sz w:val="24"/>
          <w:szCs w:val="24"/>
          <w:lang w:val="sr-Cyrl-CS"/>
        </w:rPr>
        <w:t>58,7</w:t>
      </w:r>
      <w:r w:rsidR="007C60A5" w:rsidRPr="00221978">
        <w:rPr>
          <w:rFonts w:ascii="Times New Roman" w:eastAsia="Calibri" w:hAnsi="Times New Roman" w:cs="Times New Roman"/>
          <w:sz w:val="24"/>
          <w:szCs w:val="24"/>
          <w:lang w:val="sr-Cyrl-CS"/>
        </w:rPr>
        <w:t>%.</w:t>
      </w:r>
      <w:r w:rsidR="009B73BA" w:rsidRPr="00221978">
        <w:rPr>
          <w:rFonts w:ascii="Times New Roman" w:eastAsia="Calibri" w:hAnsi="Times New Roman" w:cs="Times New Roman"/>
          <w:sz w:val="24"/>
          <w:szCs w:val="24"/>
          <w:lang w:val="sr-Cyrl-CS"/>
        </w:rPr>
        <w:t xml:space="preserve">”    </w:t>
      </w:r>
    </w:p>
    <w:p w14:paraId="00B145B8" w14:textId="2342B102" w:rsidR="00743D73" w:rsidRPr="00221978" w:rsidRDefault="00743D73"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8034ED" w:rsidRPr="00221978">
        <w:rPr>
          <w:rFonts w:ascii="Times New Roman" w:hAnsi="Times New Roman" w:cs="Times New Roman"/>
          <w:sz w:val="24"/>
          <w:szCs w:val="24"/>
          <w:lang w:val="sr-Cyrl-CS"/>
        </w:rPr>
        <w:t>Пасошу</w:t>
      </w:r>
      <w:r w:rsidRPr="00221978">
        <w:rPr>
          <w:rFonts w:ascii="Times New Roman" w:hAnsi="Times New Roman" w:cs="Times New Roman"/>
          <w:sz w:val="24"/>
          <w:szCs w:val="24"/>
          <w:lang w:val="sr-Cyrl-CS"/>
        </w:rPr>
        <w:t xml:space="preserve"> показатељa за посебне циљеве Програма реформе управљања јавним финансијама, показатељ 1, мења се одговарајући општи циљ, посебан циљ или мера</w:t>
      </w:r>
      <w:r w:rsidR="00042BCC"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 xml:space="preserve"> и гласи:</w:t>
      </w:r>
      <w:r w:rsidR="009B73BA" w:rsidRPr="00221978">
        <w:rPr>
          <w:rFonts w:ascii="Times New Roman" w:hAnsi="Times New Roman" w:cs="Times New Roman"/>
          <w:sz w:val="24"/>
          <w:szCs w:val="24"/>
          <w:lang w:val="sr-Cyrl-CS"/>
        </w:rPr>
        <w:t xml:space="preserve"> </w:t>
      </w:r>
      <w:r w:rsidR="0078529D"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Посебан циљ 1: Даље унапређење програмског буџета, управљање јавним инвестицијама и праћење фискалних ризика.</w:t>
      </w:r>
      <w:r w:rsidR="009B73BA" w:rsidRPr="00221978">
        <w:rPr>
          <w:rFonts w:ascii="Times New Roman" w:hAnsi="Times New Roman" w:cs="Times New Roman"/>
          <w:sz w:val="24"/>
          <w:szCs w:val="24"/>
          <w:lang w:val="sr-Cyrl-CS"/>
        </w:rPr>
        <w:t xml:space="preserve">”    </w:t>
      </w:r>
    </w:p>
    <w:p w14:paraId="4DDC8ABE" w14:textId="3074ADCB" w:rsidR="00D338A1" w:rsidRPr="00221978" w:rsidRDefault="00D338A1" w:rsidP="0078529D">
      <w:pPr>
        <w:spacing w:after="0" w:line="240" w:lineRule="auto"/>
        <w:ind w:firstLine="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Додаје се полазна основа за 2020. </w:t>
      </w:r>
      <w:r w:rsidR="00042BCC" w:rsidRPr="00221978">
        <w:rPr>
          <w:rFonts w:ascii="Times New Roman" w:hAnsi="Times New Roman" w:cs="Times New Roman"/>
          <w:sz w:val="24"/>
          <w:szCs w:val="24"/>
          <w:lang w:val="sr-Cyrl-CS"/>
        </w:rPr>
        <w:t>која</w:t>
      </w:r>
      <w:r w:rsidRPr="00221978">
        <w:rPr>
          <w:rFonts w:ascii="Times New Roman" w:hAnsi="Times New Roman" w:cs="Times New Roman"/>
          <w:sz w:val="24"/>
          <w:szCs w:val="24"/>
          <w:lang w:val="sr-Cyrl-CS"/>
        </w:rPr>
        <w:t xml:space="preserve"> гласи:</w:t>
      </w:r>
      <w:r w:rsidR="0078529D"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Ц+.</w:t>
      </w:r>
      <w:r w:rsidR="009B73BA" w:rsidRPr="00221978">
        <w:rPr>
          <w:rFonts w:ascii="Times New Roman" w:hAnsi="Times New Roman" w:cs="Times New Roman"/>
          <w:sz w:val="24"/>
          <w:szCs w:val="24"/>
          <w:lang w:val="sr-Cyrl-CS"/>
        </w:rPr>
        <w:t xml:space="preserve">”    </w:t>
      </w:r>
    </w:p>
    <w:p w14:paraId="46158589" w14:textId="57D40CFC" w:rsidR="00743D73" w:rsidRPr="00221978" w:rsidRDefault="00743D73"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 се процена успешности и гласи:</w:t>
      </w:r>
      <w:r w:rsidR="0078529D"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Оцена је базирана на ПЕФА анализи и одступање није прихватљиво.</w:t>
      </w:r>
      <w:r w:rsidR="009B73BA" w:rsidRPr="00221978">
        <w:rPr>
          <w:rFonts w:ascii="Times New Roman" w:hAnsi="Times New Roman" w:cs="Times New Roman"/>
          <w:sz w:val="24"/>
          <w:szCs w:val="24"/>
          <w:lang w:val="sr-Cyrl-CS"/>
        </w:rPr>
        <w:t xml:space="preserve">”    </w:t>
      </w:r>
    </w:p>
    <w:p w14:paraId="47116A8B" w14:textId="4941E9C0" w:rsidR="00A11866" w:rsidRPr="00221978" w:rsidRDefault="001F0EF3" w:rsidP="0078529D">
      <w:pPr>
        <w:spacing w:after="0" w:line="240" w:lineRule="auto"/>
        <w:ind w:firstLine="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Развијени су показатељи</w:t>
      </w:r>
      <w:r w:rsidR="00FC0AF2" w:rsidRPr="00221978">
        <w:rPr>
          <w:rFonts w:ascii="Times New Roman" w:hAnsi="Times New Roman" w:cs="Times New Roman"/>
          <w:sz w:val="24"/>
          <w:szCs w:val="24"/>
          <w:lang w:val="sr-Cyrl-CS"/>
        </w:rPr>
        <w:t xml:space="preserve"> и гласе</w:t>
      </w:r>
      <w:r w:rsidR="00A11866" w:rsidRPr="00221978">
        <w:rPr>
          <w:rFonts w:ascii="Times New Roman" w:hAnsi="Times New Roman" w:cs="Times New Roman"/>
          <w:sz w:val="24"/>
          <w:szCs w:val="24"/>
          <w:lang w:val="sr-Cyrl-CS"/>
        </w:rPr>
        <w:t>:</w:t>
      </w:r>
    </w:p>
    <w:p w14:paraId="36580867" w14:textId="397B3E93" w:rsidR="00A11866" w:rsidRPr="00221978" w:rsidRDefault="00FC0AF2"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w:t>
      </w:r>
      <w:r w:rsidR="001F0EF3" w:rsidRPr="00221978">
        <w:rPr>
          <w:rFonts w:ascii="Times New Roman" w:hAnsi="Times New Roman" w:cs="Times New Roman"/>
          <w:sz w:val="24"/>
          <w:szCs w:val="24"/>
          <w:lang w:val="sr-Cyrl-CS"/>
        </w:rPr>
        <w:t>Годишњи трошкови сервисирања јавног дуга (плаћања камата – нето износ) као % БДП</w:t>
      </w:r>
      <w:r w:rsidR="00042BCC" w:rsidRPr="00221978">
        <w:rPr>
          <w:rFonts w:ascii="Times New Roman" w:hAnsi="Times New Roman" w:cs="Times New Roman"/>
          <w:sz w:val="24"/>
          <w:szCs w:val="24"/>
          <w:lang w:val="sr-Cyrl-CS"/>
        </w:rPr>
        <w:t xml:space="preserve">. </w:t>
      </w:r>
    </w:p>
    <w:p w14:paraId="1CB5AF84" w14:textId="18FD599C" w:rsidR="005F5879" w:rsidRPr="00221978" w:rsidRDefault="001F0EF3" w:rsidP="00042BCC">
      <w:pPr>
        <w:spacing w:after="0" w:line="240" w:lineRule="auto"/>
        <w:ind w:firstLine="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Просечно трајање отвореног поступка.</w:t>
      </w:r>
      <w:r w:rsidR="009B73BA" w:rsidRPr="00221978">
        <w:rPr>
          <w:rFonts w:ascii="Times New Roman" w:hAnsi="Times New Roman" w:cs="Times New Roman"/>
          <w:sz w:val="24"/>
          <w:szCs w:val="24"/>
          <w:lang w:val="sr-Cyrl-CS"/>
        </w:rPr>
        <w:t xml:space="preserve">   </w:t>
      </w:r>
    </w:p>
    <w:p w14:paraId="4A6378E2" w14:textId="15A823DF" w:rsidR="00A95B84" w:rsidRPr="00221978" w:rsidRDefault="00A95B84" w:rsidP="00042BCC">
      <w:pPr>
        <w:spacing w:after="0" w:line="240" w:lineRule="auto"/>
        <w:ind w:firstLine="720"/>
        <w:jc w:val="both"/>
        <w:rPr>
          <w:rFonts w:ascii="Times New Roman" w:hAnsi="Times New Roman" w:cs="Times New Roman"/>
          <w:sz w:val="24"/>
          <w:szCs w:val="24"/>
          <w:lang w:val="sr-Cyrl-CS"/>
        </w:rPr>
      </w:pPr>
    </w:p>
    <w:p w14:paraId="6E74CD78" w14:textId="77777777" w:rsidR="00A95B84" w:rsidRPr="00221978" w:rsidRDefault="00A95B84" w:rsidP="00042BCC">
      <w:pPr>
        <w:spacing w:after="0" w:line="240" w:lineRule="auto"/>
        <w:ind w:firstLine="720"/>
        <w:jc w:val="both"/>
        <w:rPr>
          <w:rFonts w:ascii="Times New Roman" w:hAnsi="Times New Roman" w:cs="Times New Roman"/>
          <w:sz w:val="24"/>
          <w:szCs w:val="24"/>
          <w:lang w:val="sr-Cyrl-CS"/>
        </w:rPr>
      </w:pPr>
    </w:p>
    <w:p w14:paraId="249E7772" w14:textId="77777777" w:rsidR="005F5879" w:rsidRPr="00221978" w:rsidRDefault="005F5879" w:rsidP="00FC0AF2">
      <w:pPr>
        <w:spacing w:after="0" w:line="240" w:lineRule="auto"/>
        <w:jc w:val="both"/>
        <w:rPr>
          <w:rFonts w:ascii="Times New Roman" w:hAnsi="Times New Roman" w:cs="Times New Roman"/>
          <w:sz w:val="24"/>
          <w:szCs w:val="24"/>
          <w:lang w:val="sr-Cyrl-CS"/>
        </w:rPr>
      </w:pPr>
    </w:p>
    <w:tbl>
      <w:tblPr>
        <w:tblW w:w="5031"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306"/>
        <w:gridCol w:w="756"/>
        <w:gridCol w:w="758"/>
        <w:gridCol w:w="400"/>
        <w:gridCol w:w="349"/>
        <w:gridCol w:w="759"/>
        <w:gridCol w:w="467"/>
        <w:gridCol w:w="283"/>
        <w:gridCol w:w="228"/>
        <w:gridCol w:w="438"/>
        <w:gridCol w:w="574"/>
        <w:gridCol w:w="92"/>
        <w:gridCol w:w="638"/>
        <w:gridCol w:w="28"/>
        <w:gridCol w:w="666"/>
        <w:gridCol w:w="666"/>
      </w:tblGrid>
      <w:tr w:rsidR="005F5879" w:rsidRPr="00221978" w14:paraId="31E7DBF6" w14:textId="77777777" w:rsidTr="006E7355">
        <w:tc>
          <w:tcPr>
            <w:tcW w:w="1231" w:type="pct"/>
            <w:tcBorders>
              <w:top w:val="single" w:sz="4" w:space="0" w:color="auto"/>
              <w:left w:val="single" w:sz="4" w:space="0" w:color="auto"/>
            </w:tcBorders>
            <w:shd w:val="clear" w:color="auto" w:fill="auto"/>
            <w:vAlign w:val="center"/>
          </w:tcPr>
          <w:p w14:paraId="1EFD87A2"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lastRenderedPageBreak/>
              <w:t>Назив индикатора</w:t>
            </w:r>
          </w:p>
        </w:tc>
        <w:tc>
          <w:tcPr>
            <w:tcW w:w="3769" w:type="pct"/>
            <w:gridSpan w:val="15"/>
            <w:tcBorders>
              <w:top w:val="single" w:sz="4" w:space="0" w:color="auto"/>
              <w:right w:val="single" w:sz="4" w:space="0" w:color="auto"/>
            </w:tcBorders>
            <w:shd w:val="clear" w:color="auto" w:fill="auto"/>
            <w:vAlign w:val="center"/>
          </w:tcPr>
          <w:p w14:paraId="7F491642" w14:textId="77777777" w:rsidR="005F5879" w:rsidRPr="00221978" w:rsidRDefault="005F5879" w:rsidP="006E7355">
            <w:pPr>
              <w:tabs>
                <w:tab w:val="right" w:pos="2140"/>
              </w:tabs>
              <w:rPr>
                <w:rFonts w:ascii="Times New Roman" w:eastAsia="Calibri" w:hAnsi="Times New Roman" w:cs="Times New Roman"/>
                <w:bCs/>
                <w:i/>
                <w:sz w:val="20"/>
                <w:szCs w:val="20"/>
                <w:lang w:val="sr-Cyrl-CS"/>
              </w:rPr>
            </w:pPr>
            <w:r w:rsidRPr="00221978">
              <w:rPr>
                <w:rFonts w:ascii="Times New Roman" w:hAnsi="Times New Roman" w:cs="Times New Roman"/>
                <w:bCs/>
                <w:sz w:val="20"/>
                <w:szCs w:val="20"/>
                <w:lang w:val="sr-Cyrl-CS"/>
              </w:rPr>
              <w:t>Годишњи трошкови сервисирања јавног дуга (плаћања камата – нето износ) као % БДП</w:t>
            </w:r>
          </w:p>
        </w:tc>
      </w:tr>
      <w:tr w:rsidR="005F5879" w:rsidRPr="00221978" w14:paraId="7A9495AA" w14:textId="77777777" w:rsidTr="006E7355">
        <w:tc>
          <w:tcPr>
            <w:tcW w:w="1231" w:type="pct"/>
            <w:tcBorders>
              <w:top w:val="single" w:sz="4" w:space="0" w:color="auto"/>
              <w:left w:val="single" w:sz="4" w:space="0" w:color="auto"/>
            </w:tcBorders>
            <w:shd w:val="clear" w:color="auto" w:fill="auto"/>
          </w:tcPr>
          <w:p w14:paraId="26EE3B1E"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Одговарајући општи циљ, посебан циљ или мера</w:t>
            </w:r>
          </w:p>
        </w:tc>
        <w:tc>
          <w:tcPr>
            <w:tcW w:w="3769" w:type="pct"/>
            <w:gridSpan w:val="15"/>
            <w:tcBorders>
              <w:top w:val="single" w:sz="4" w:space="0" w:color="auto"/>
              <w:right w:val="single" w:sz="4" w:space="0" w:color="auto"/>
            </w:tcBorders>
            <w:shd w:val="clear" w:color="auto" w:fill="auto"/>
          </w:tcPr>
          <w:p w14:paraId="1C5EC412"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 xml:space="preserve">Посебан циљ 2: </w:t>
            </w:r>
            <w:r w:rsidRPr="00221978">
              <w:rPr>
                <w:rFonts w:ascii="Times New Roman" w:hAnsi="Times New Roman" w:cs="Times New Roman"/>
                <w:bCs/>
                <w:sz w:val="20"/>
                <w:szCs w:val="20"/>
                <w:lang w:val="sr-Cyrl-CS"/>
              </w:rPr>
              <w:t>Ефикасно прикупљање и управљање буџетским средствима</w:t>
            </w:r>
          </w:p>
        </w:tc>
      </w:tr>
      <w:tr w:rsidR="005F5879" w:rsidRPr="00221978" w14:paraId="1FACDC90" w14:textId="77777777" w:rsidTr="006E7355">
        <w:tc>
          <w:tcPr>
            <w:tcW w:w="1231" w:type="pct"/>
            <w:tcBorders>
              <w:left w:val="single" w:sz="4" w:space="0" w:color="auto"/>
            </w:tcBorders>
            <w:shd w:val="clear" w:color="auto" w:fill="auto"/>
          </w:tcPr>
          <w:p w14:paraId="313EA4A1"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 xml:space="preserve">Тип показатеља </w:t>
            </w:r>
          </w:p>
        </w:tc>
        <w:tc>
          <w:tcPr>
            <w:tcW w:w="1884" w:type="pct"/>
            <w:gridSpan w:val="6"/>
            <w:tcBorders>
              <w:right w:val="single" w:sz="4" w:space="0" w:color="auto"/>
            </w:tcBorders>
            <w:shd w:val="clear" w:color="auto" w:fill="auto"/>
          </w:tcPr>
          <w:p w14:paraId="4B3E705B" w14:textId="77777777" w:rsidR="005F5879" w:rsidRPr="00221978" w:rsidRDefault="005F5879" w:rsidP="006E7355">
            <w:pPr>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Квантитативни</w:t>
            </w:r>
          </w:p>
        </w:tc>
        <w:tc>
          <w:tcPr>
            <w:tcW w:w="1884" w:type="pct"/>
            <w:gridSpan w:val="9"/>
            <w:tcBorders>
              <w:right w:val="single" w:sz="4" w:space="0" w:color="auto"/>
            </w:tcBorders>
            <w:shd w:val="clear" w:color="auto" w:fill="auto"/>
          </w:tcPr>
          <w:p w14:paraId="356931EB" w14:textId="77777777" w:rsidR="005F5879" w:rsidRPr="00221978" w:rsidRDefault="005F5879" w:rsidP="006E7355">
            <w:pPr>
              <w:rPr>
                <w:rFonts w:ascii="Times New Roman" w:hAnsi="Times New Roman" w:cs="Times New Roman"/>
                <w:bCs/>
                <w:sz w:val="20"/>
                <w:szCs w:val="20"/>
                <w:lang w:val="sr-Cyrl-CS"/>
              </w:rPr>
            </w:pPr>
            <w:r w:rsidRPr="00221978">
              <w:rPr>
                <w:rFonts w:ascii="Times New Roman" w:eastAsia="Calibri" w:hAnsi="Times New Roman" w:cs="Times New Roman"/>
                <w:bCs/>
                <w:iCs/>
                <w:kern w:val="24"/>
                <w:sz w:val="20"/>
                <w:szCs w:val="20"/>
                <w:lang w:val="sr-Cyrl-CS"/>
              </w:rPr>
              <w:t>Показатељ на нивоу мере</w:t>
            </w:r>
          </w:p>
        </w:tc>
      </w:tr>
      <w:tr w:rsidR="005F5879" w:rsidRPr="00221978" w14:paraId="69CAF0AA" w14:textId="77777777" w:rsidTr="006E7355">
        <w:tc>
          <w:tcPr>
            <w:tcW w:w="1231" w:type="pct"/>
            <w:tcBorders>
              <w:top w:val="single" w:sz="6" w:space="0" w:color="auto"/>
              <w:left w:val="single" w:sz="4" w:space="0" w:color="auto"/>
            </w:tcBorders>
            <w:shd w:val="clear" w:color="auto" w:fill="auto"/>
          </w:tcPr>
          <w:p w14:paraId="45965222"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Јединица мере и природа</w:t>
            </w:r>
          </w:p>
        </w:tc>
        <w:tc>
          <w:tcPr>
            <w:tcW w:w="1884" w:type="pct"/>
            <w:gridSpan w:val="6"/>
            <w:tcBorders>
              <w:top w:val="single" w:sz="6" w:space="0" w:color="auto"/>
              <w:right w:val="single" w:sz="4" w:space="0" w:color="auto"/>
            </w:tcBorders>
            <w:shd w:val="clear" w:color="auto" w:fill="auto"/>
          </w:tcPr>
          <w:p w14:paraId="32D9C9AE" w14:textId="77777777" w:rsidR="005F5879" w:rsidRPr="00221978" w:rsidRDefault="005F5879" w:rsidP="006E7355">
            <w:pPr>
              <w:rPr>
                <w:rFonts w:ascii="Times New Roman" w:hAnsi="Times New Roman" w:cs="Times New Roman"/>
                <w:bCs/>
                <w:sz w:val="20"/>
                <w:szCs w:val="20"/>
                <w:lang w:val="sr-Cyrl-CS"/>
              </w:rPr>
            </w:pPr>
            <w:r w:rsidRPr="00221978">
              <w:rPr>
                <w:rFonts w:ascii="Times New Roman" w:eastAsia="Calibri" w:hAnsi="Times New Roman" w:cs="Times New Roman"/>
                <w:bCs/>
                <w:iCs/>
                <w:sz w:val="20"/>
                <w:szCs w:val="20"/>
                <w:lang w:val="sr-Cyrl-CS"/>
              </w:rPr>
              <w:t>Проценат (%)</w:t>
            </w:r>
          </w:p>
        </w:tc>
        <w:tc>
          <w:tcPr>
            <w:tcW w:w="1884" w:type="pct"/>
            <w:gridSpan w:val="9"/>
            <w:tcBorders>
              <w:top w:val="single" w:sz="6" w:space="0" w:color="auto"/>
              <w:right w:val="single" w:sz="4" w:space="0" w:color="auto"/>
            </w:tcBorders>
            <w:shd w:val="clear" w:color="auto" w:fill="auto"/>
          </w:tcPr>
          <w:p w14:paraId="681ADE31" w14:textId="77777777" w:rsidR="005F5879" w:rsidRPr="00221978" w:rsidRDefault="005F5879" w:rsidP="006E7355">
            <w:pPr>
              <w:rPr>
                <w:rFonts w:ascii="Times New Roman" w:hAnsi="Times New Roman" w:cs="Times New Roman"/>
                <w:bCs/>
                <w:sz w:val="20"/>
                <w:szCs w:val="20"/>
                <w:lang w:val="sr-Cyrl-CS"/>
              </w:rPr>
            </w:pPr>
            <w:r w:rsidRPr="00221978">
              <w:rPr>
                <w:rFonts w:ascii="Times New Roman" w:eastAsia="Arial" w:hAnsi="Times New Roman" w:cs="Times New Roman"/>
                <w:bCs/>
                <w:iCs/>
                <w:color w:val="000000"/>
                <w:spacing w:val="-1"/>
                <w:kern w:val="24"/>
                <w:sz w:val="20"/>
                <w:szCs w:val="20"/>
                <w:lang w:val="sr-Cyrl-CS"/>
              </w:rPr>
              <w:t>Унапређење управљања јавним дугом, пожељна је мања вредност</w:t>
            </w:r>
          </w:p>
        </w:tc>
      </w:tr>
      <w:tr w:rsidR="005F5879" w:rsidRPr="00221978" w14:paraId="19583588" w14:textId="77777777" w:rsidTr="006E7355">
        <w:tc>
          <w:tcPr>
            <w:tcW w:w="1231" w:type="pct"/>
            <w:tcBorders>
              <w:left w:val="single" w:sz="4" w:space="0" w:color="auto"/>
              <w:bottom w:val="single" w:sz="4" w:space="0" w:color="auto"/>
            </w:tcBorders>
            <w:shd w:val="clear" w:color="auto" w:fill="auto"/>
          </w:tcPr>
          <w:p w14:paraId="297F950F"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Извор података</w:t>
            </w:r>
          </w:p>
        </w:tc>
        <w:tc>
          <w:tcPr>
            <w:tcW w:w="3769" w:type="pct"/>
            <w:gridSpan w:val="15"/>
            <w:tcBorders>
              <w:bottom w:val="single" w:sz="4" w:space="0" w:color="auto"/>
              <w:right w:val="single" w:sz="4" w:space="0" w:color="auto"/>
            </w:tcBorders>
            <w:shd w:val="clear" w:color="auto" w:fill="auto"/>
          </w:tcPr>
          <w:p w14:paraId="1E861820" w14:textId="77777777" w:rsidR="005F5879" w:rsidRPr="00221978" w:rsidRDefault="005F5879" w:rsidP="006E7355">
            <w:pPr>
              <w:rPr>
                <w:rFonts w:ascii="Times New Roman" w:hAnsi="Times New Roman" w:cs="Times New Roman"/>
                <w:bCs/>
                <w:sz w:val="20"/>
                <w:szCs w:val="20"/>
                <w:lang w:val="sr-Cyrl-CS"/>
              </w:rPr>
            </w:pPr>
            <w:r w:rsidRPr="00221978">
              <w:rPr>
                <w:rFonts w:ascii="Times New Roman" w:eastAsia="Calibri" w:hAnsi="Times New Roman" w:cs="Times New Roman"/>
                <w:bCs/>
                <w:sz w:val="20"/>
                <w:szCs w:val="20"/>
                <w:lang w:val="sr-Cyrl-CS"/>
              </w:rPr>
              <w:t>Годишњи извештај о раду Управе за јавни дуг</w:t>
            </w:r>
          </w:p>
        </w:tc>
      </w:tr>
      <w:tr w:rsidR="005F5879" w:rsidRPr="00221978" w14:paraId="1D1E0ADA" w14:textId="77777777" w:rsidTr="006E7355">
        <w:tc>
          <w:tcPr>
            <w:tcW w:w="1231" w:type="pct"/>
            <w:tcBorders>
              <w:left w:val="single" w:sz="4" w:space="0" w:color="auto"/>
              <w:bottom w:val="single" w:sz="6" w:space="0" w:color="auto"/>
            </w:tcBorders>
            <w:shd w:val="clear" w:color="auto" w:fill="auto"/>
          </w:tcPr>
          <w:p w14:paraId="680A54D5"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Назив носиоца прикупљања података</w:t>
            </w:r>
          </w:p>
        </w:tc>
        <w:tc>
          <w:tcPr>
            <w:tcW w:w="3769" w:type="pct"/>
            <w:gridSpan w:val="15"/>
            <w:tcBorders>
              <w:bottom w:val="single" w:sz="6" w:space="0" w:color="auto"/>
              <w:right w:val="single" w:sz="4" w:space="0" w:color="auto"/>
            </w:tcBorders>
            <w:shd w:val="clear" w:color="auto" w:fill="auto"/>
          </w:tcPr>
          <w:p w14:paraId="6F655295" w14:textId="77777777" w:rsidR="005F5879" w:rsidRPr="00221978" w:rsidRDefault="005F5879" w:rsidP="006E7355">
            <w:pPr>
              <w:rPr>
                <w:rFonts w:ascii="Times New Roman" w:hAnsi="Times New Roman" w:cs="Times New Roman"/>
                <w:bCs/>
                <w:sz w:val="20"/>
                <w:szCs w:val="20"/>
                <w:lang w:val="sr-Cyrl-CS"/>
              </w:rPr>
            </w:pPr>
            <w:r w:rsidRPr="00221978">
              <w:rPr>
                <w:rFonts w:ascii="Times New Roman" w:eastAsia="Calibri" w:hAnsi="Times New Roman" w:cs="Times New Roman"/>
                <w:bCs/>
                <w:sz w:val="20"/>
                <w:szCs w:val="20"/>
                <w:lang w:val="sr-Cyrl-CS"/>
              </w:rPr>
              <w:t>Министарство финансија- Управа за јавни дуг</w:t>
            </w:r>
          </w:p>
        </w:tc>
      </w:tr>
      <w:tr w:rsidR="005F5879" w:rsidRPr="00221978" w14:paraId="004A3070" w14:textId="77777777" w:rsidTr="006E7355">
        <w:tc>
          <w:tcPr>
            <w:tcW w:w="1231" w:type="pct"/>
            <w:tcBorders>
              <w:top w:val="single" w:sz="6" w:space="0" w:color="auto"/>
              <w:left w:val="single" w:sz="4" w:space="0" w:color="auto"/>
            </w:tcBorders>
            <w:shd w:val="clear" w:color="auto" w:fill="auto"/>
          </w:tcPr>
          <w:p w14:paraId="24931641"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Учесталост</w:t>
            </w:r>
          </w:p>
        </w:tc>
        <w:tc>
          <w:tcPr>
            <w:tcW w:w="3769" w:type="pct"/>
            <w:gridSpan w:val="15"/>
            <w:tcBorders>
              <w:top w:val="single" w:sz="6" w:space="0" w:color="auto"/>
              <w:bottom w:val="single" w:sz="6" w:space="0" w:color="auto"/>
              <w:right w:val="single" w:sz="4" w:space="0" w:color="auto"/>
            </w:tcBorders>
            <w:shd w:val="clear" w:color="auto" w:fill="auto"/>
          </w:tcPr>
          <w:p w14:paraId="39C972E9" w14:textId="77777777" w:rsidR="005F5879" w:rsidRPr="00221978" w:rsidRDefault="005F5879" w:rsidP="006E7355">
            <w:pPr>
              <w:rPr>
                <w:rFonts w:ascii="Times New Roman" w:hAnsi="Times New Roman" w:cs="Times New Roman"/>
                <w:bCs/>
                <w:sz w:val="20"/>
                <w:szCs w:val="20"/>
                <w:lang w:val="sr-Cyrl-CS"/>
              </w:rPr>
            </w:pPr>
            <w:r w:rsidRPr="00221978">
              <w:rPr>
                <w:rFonts w:ascii="Times New Roman" w:eastAsia="Calibri" w:hAnsi="Times New Roman" w:cs="Times New Roman"/>
                <w:bCs/>
                <w:sz w:val="20"/>
                <w:szCs w:val="20"/>
                <w:lang w:val="sr-Cyrl-CS"/>
              </w:rPr>
              <w:t>Годишње</w:t>
            </w:r>
          </w:p>
        </w:tc>
      </w:tr>
      <w:tr w:rsidR="005F5879" w:rsidRPr="00221978" w14:paraId="1195ECB3" w14:textId="77777777" w:rsidTr="006E7355">
        <w:trPr>
          <w:trHeight w:val="1181"/>
        </w:trPr>
        <w:tc>
          <w:tcPr>
            <w:tcW w:w="1231" w:type="pct"/>
            <w:tcBorders>
              <w:top w:val="single" w:sz="6" w:space="0" w:color="auto"/>
              <w:left w:val="single" w:sz="4" w:space="0" w:color="auto"/>
              <w:bottom w:val="single" w:sz="6" w:space="0" w:color="auto"/>
            </w:tcBorders>
            <w:shd w:val="clear" w:color="auto" w:fill="auto"/>
          </w:tcPr>
          <w:p w14:paraId="3930D95B" w14:textId="77777777" w:rsidR="005F5879" w:rsidRPr="00221978" w:rsidRDefault="005F5879" w:rsidP="006E7355">
            <w:pP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Кратак опис показатеља и методологије израчунавања</w:t>
            </w:r>
          </w:p>
          <w:p w14:paraId="220F5965"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(формуле/једначине)</w:t>
            </w:r>
          </w:p>
        </w:tc>
        <w:tc>
          <w:tcPr>
            <w:tcW w:w="3769" w:type="pct"/>
            <w:gridSpan w:val="15"/>
            <w:tcBorders>
              <w:top w:val="single" w:sz="6" w:space="0" w:color="auto"/>
              <w:right w:val="single" w:sz="4" w:space="0" w:color="auto"/>
            </w:tcBorders>
            <w:shd w:val="clear" w:color="auto" w:fill="auto"/>
          </w:tcPr>
          <w:p w14:paraId="41E537AE" w14:textId="77777777" w:rsidR="005F5879" w:rsidRPr="00221978" w:rsidRDefault="005F5879" w:rsidP="006E7355">
            <w:pPr>
              <w:rPr>
                <w:rFonts w:ascii="Times New Roman" w:hAnsi="Times New Roman" w:cs="Times New Roman"/>
                <w:bCs/>
                <w:sz w:val="20"/>
                <w:szCs w:val="20"/>
                <w:lang w:val="sr-Cyrl-CS"/>
              </w:rPr>
            </w:pPr>
            <w:r w:rsidRPr="00221978">
              <w:rPr>
                <w:rFonts w:ascii="Times New Roman" w:eastAsia="Calibri" w:hAnsi="Times New Roman" w:cs="Times New Roman"/>
                <w:bCs/>
                <w:sz w:val="20"/>
                <w:szCs w:val="20"/>
                <w:lang w:val="sr-Cyrl-CS"/>
              </w:rPr>
              <w:t>Показатељ указује на проценат годишњих трошкова сервисирања јавног дуга кроз плаћање камата, као проценат БДП-а. Узимајући у обзир ефекте пандемије болести Ковид-19 на путању јавног дуга у Републици Србији, очекује се да ће мања вредност трошкова сервисирања јавног дуга пратити целокупно смањење јавног дуга као проценат БДП-а, што доприноси стабилности система јавних финансија, будући да одрживост јавног дуга представља један од његових кључних елемената</w:t>
            </w:r>
          </w:p>
        </w:tc>
      </w:tr>
      <w:tr w:rsidR="005F5879" w:rsidRPr="00221978" w14:paraId="27282531" w14:textId="77777777" w:rsidTr="006E7355">
        <w:tc>
          <w:tcPr>
            <w:tcW w:w="1231" w:type="pct"/>
            <w:vMerge w:val="restart"/>
            <w:tcBorders>
              <w:top w:val="single" w:sz="6" w:space="0" w:color="auto"/>
              <w:left w:val="single" w:sz="4" w:space="0" w:color="auto"/>
            </w:tcBorders>
            <w:shd w:val="clear" w:color="auto" w:fill="auto"/>
          </w:tcPr>
          <w:p w14:paraId="3FA64460" w14:textId="77777777" w:rsidR="005F5879" w:rsidRPr="00221978" w:rsidRDefault="005F5879" w:rsidP="006E7355">
            <w:pP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Подаци о полазној вредности и години кад је измерена, као и о ранијем тренду</w:t>
            </w:r>
          </w:p>
        </w:tc>
        <w:tc>
          <w:tcPr>
            <w:tcW w:w="2683" w:type="pct"/>
            <w:gridSpan w:val="10"/>
            <w:tcBorders>
              <w:top w:val="single" w:sz="6" w:space="0" w:color="auto"/>
            </w:tcBorders>
            <w:shd w:val="clear" w:color="auto" w:fill="auto"/>
            <w:vAlign w:val="center"/>
          </w:tcPr>
          <w:p w14:paraId="6899FD4D"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Ранији тренд</w:t>
            </w:r>
          </w:p>
        </w:tc>
        <w:tc>
          <w:tcPr>
            <w:tcW w:w="1086" w:type="pct"/>
            <w:gridSpan w:val="5"/>
            <w:tcBorders>
              <w:top w:val="single" w:sz="6" w:space="0" w:color="auto"/>
              <w:right w:val="single" w:sz="4" w:space="0" w:color="auto"/>
            </w:tcBorders>
            <w:shd w:val="clear" w:color="auto" w:fill="auto"/>
            <w:vAlign w:val="center"/>
          </w:tcPr>
          <w:p w14:paraId="7697586C"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Полазна вредност</w:t>
            </w:r>
          </w:p>
        </w:tc>
      </w:tr>
      <w:tr w:rsidR="005F5879" w:rsidRPr="00221978" w14:paraId="37F1A075" w14:textId="77777777" w:rsidTr="006E7355">
        <w:tc>
          <w:tcPr>
            <w:tcW w:w="1231" w:type="pct"/>
            <w:vMerge/>
            <w:tcBorders>
              <w:left w:val="single" w:sz="4" w:space="0" w:color="auto"/>
            </w:tcBorders>
            <w:shd w:val="clear" w:color="auto" w:fill="auto"/>
          </w:tcPr>
          <w:p w14:paraId="4A278950" w14:textId="77777777" w:rsidR="005F5879" w:rsidRPr="00221978" w:rsidRDefault="005F5879" w:rsidP="006E7355">
            <w:pPr>
              <w:rPr>
                <w:rFonts w:ascii="Times New Roman" w:eastAsia="Calibri" w:hAnsi="Times New Roman" w:cs="Times New Roman"/>
                <w:bCs/>
                <w:sz w:val="20"/>
                <w:szCs w:val="20"/>
                <w:lang w:val="sr-Cyrl-CS"/>
              </w:rPr>
            </w:pPr>
          </w:p>
        </w:tc>
        <w:tc>
          <w:tcPr>
            <w:tcW w:w="1033" w:type="pct"/>
            <w:gridSpan w:val="3"/>
            <w:shd w:val="clear" w:color="auto" w:fill="auto"/>
          </w:tcPr>
          <w:p w14:paraId="69CBAAF6"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2016.</w:t>
            </w:r>
          </w:p>
        </w:tc>
        <w:tc>
          <w:tcPr>
            <w:tcW w:w="1124" w:type="pct"/>
            <w:gridSpan w:val="5"/>
            <w:shd w:val="clear" w:color="auto" w:fill="auto"/>
          </w:tcPr>
          <w:p w14:paraId="456A8498"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2017.</w:t>
            </w:r>
          </w:p>
        </w:tc>
        <w:tc>
          <w:tcPr>
            <w:tcW w:w="905" w:type="pct"/>
            <w:gridSpan w:val="4"/>
            <w:shd w:val="clear" w:color="auto" w:fill="auto"/>
          </w:tcPr>
          <w:p w14:paraId="226DA445"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2018.</w:t>
            </w:r>
          </w:p>
        </w:tc>
        <w:tc>
          <w:tcPr>
            <w:tcW w:w="707" w:type="pct"/>
            <w:gridSpan w:val="3"/>
            <w:tcBorders>
              <w:right w:val="single" w:sz="4" w:space="0" w:color="auto"/>
            </w:tcBorders>
            <w:shd w:val="clear" w:color="auto" w:fill="auto"/>
          </w:tcPr>
          <w:p w14:paraId="6343B7DE"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 xml:space="preserve">2020. </w:t>
            </w:r>
          </w:p>
        </w:tc>
      </w:tr>
      <w:tr w:rsidR="005F5879" w:rsidRPr="00221978" w14:paraId="7F9B63D0" w14:textId="77777777" w:rsidTr="006E7355">
        <w:tc>
          <w:tcPr>
            <w:tcW w:w="1231" w:type="pct"/>
            <w:vMerge/>
            <w:tcBorders>
              <w:left w:val="single" w:sz="4" w:space="0" w:color="auto"/>
            </w:tcBorders>
            <w:shd w:val="clear" w:color="auto" w:fill="auto"/>
          </w:tcPr>
          <w:p w14:paraId="4BA5760E" w14:textId="77777777" w:rsidR="005F5879" w:rsidRPr="00221978" w:rsidRDefault="005F5879" w:rsidP="006E7355">
            <w:pPr>
              <w:rPr>
                <w:rFonts w:ascii="Times New Roman" w:eastAsia="Calibri" w:hAnsi="Times New Roman" w:cs="Times New Roman"/>
                <w:bCs/>
                <w:sz w:val="20"/>
                <w:szCs w:val="20"/>
                <w:lang w:val="sr-Cyrl-CS"/>
              </w:rPr>
            </w:pPr>
          </w:p>
        </w:tc>
        <w:tc>
          <w:tcPr>
            <w:tcW w:w="1033" w:type="pct"/>
            <w:gridSpan w:val="3"/>
            <w:shd w:val="clear" w:color="auto" w:fill="auto"/>
          </w:tcPr>
          <w:p w14:paraId="25AED0DA"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p>
        </w:tc>
        <w:tc>
          <w:tcPr>
            <w:tcW w:w="1124" w:type="pct"/>
            <w:gridSpan w:val="5"/>
            <w:shd w:val="clear" w:color="auto" w:fill="auto"/>
          </w:tcPr>
          <w:p w14:paraId="3E8F05E6"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p>
        </w:tc>
        <w:tc>
          <w:tcPr>
            <w:tcW w:w="905" w:type="pct"/>
            <w:gridSpan w:val="4"/>
            <w:shd w:val="clear" w:color="auto" w:fill="auto"/>
          </w:tcPr>
          <w:p w14:paraId="0FE22612"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p>
        </w:tc>
        <w:tc>
          <w:tcPr>
            <w:tcW w:w="707" w:type="pct"/>
            <w:gridSpan w:val="3"/>
            <w:tcBorders>
              <w:right w:val="single" w:sz="4" w:space="0" w:color="auto"/>
            </w:tcBorders>
            <w:shd w:val="clear" w:color="auto" w:fill="auto"/>
          </w:tcPr>
          <w:p w14:paraId="71DB2806"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r w:rsidRPr="00221978">
              <w:rPr>
                <w:rFonts w:ascii="Times New Roman" w:hAnsi="Times New Roman" w:cs="Times New Roman"/>
                <w:bCs/>
                <w:sz w:val="20"/>
                <w:szCs w:val="20"/>
                <w:lang w:val="sr-Cyrl-CS"/>
              </w:rPr>
              <w:t>1.9%</w:t>
            </w:r>
          </w:p>
        </w:tc>
      </w:tr>
      <w:tr w:rsidR="005F5879" w:rsidRPr="00221978" w14:paraId="4CB8B7E0" w14:textId="77777777" w:rsidTr="006E7355">
        <w:tc>
          <w:tcPr>
            <w:tcW w:w="1231" w:type="pct"/>
            <w:vMerge w:val="restart"/>
            <w:tcBorders>
              <w:left w:val="single" w:sz="4" w:space="0" w:color="auto"/>
            </w:tcBorders>
            <w:shd w:val="clear" w:color="auto" w:fill="auto"/>
          </w:tcPr>
          <w:p w14:paraId="075129A9" w14:textId="77777777" w:rsidR="005F5879" w:rsidRPr="00221978" w:rsidRDefault="005F5879" w:rsidP="006E7355">
            <w:pP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Подаци о циљној вредност</w:t>
            </w:r>
          </w:p>
        </w:tc>
        <w:tc>
          <w:tcPr>
            <w:tcW w:w="407" w:type="pct"/>
            <w:shd w:val="clear" w:color="auto" w:fill="auto"/>
          </w:tcPr>
          <w:p w14:paraId="4FB7FF0D"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2021.</w:t>
            </w:r>
          </w:p>
        </w:tc>
        <w:tc>
          <w:tcPr>
            <w:tcW w:w="408" w:type="pct"/>
            <w:shd w:val="clear" w:color="auto" w:fill="auto"/>
          </w:tcPr>
          <w:p w14:paraId="60C07A93"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2022.</w:t>
            </w:r>
          </w:p>
        </w:tc>
        <w:tc>
          <w:tcPr>
            <w:tcW w:w="408" w:type="pct"/>
            <w:gridSpan w:val="2"/>
            <w:shd w:val="clear" w:color="auto" w:fill="auto"/>
          </w:tcPr>
          <w:p w14:paraId="532B45F9"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2023.</w:t>
            </w:r>
          </w:p>
        </w:tc>
        <w:tc>
          <w:tcPr>
            <w:tcW w:w="408" w:type="pct"/>
            <w:shd w:val="clear" w:color="auto" w:fill="auto"/>
          </w:tcPr>
          <w:p w14:paraId="3E2842DD"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2024.</w:t>
            </w:r>
          </w:p>
        </w:tc>
        <w:tc>
          <w:tcPr>
            <w:tcW w:w="408" w:type="pct"/>
            <w:gridSpan w:val="2"/>
            <w:shd w:val="clear" w:color="auto" w:fill="auto"/>
          </w:tcPr>
          <w:p w14:paraId="2999F739"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2025.</w:t>
            </w:r>
          </w:p>
        </w:tc>
        <w:tc>
          <w:tcPr>
            <w:tcW w:w="346" w:type="pct"/>
            <w:gridSpan w:val="2"/>
            <w:shd w:val="clear" w:color="auto" w:fill="auto"/>
          </w:tcPr>
          <w:p w14:paraId="12ADFE81"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2026.</w:t>
            </w:r>
          </w:p>
        </w:tc>
        <w:tc>
          <w:tcPr>
            <w:tcW w:w="346" w:type="pct"/>
            <w:gridSpan w:val="2"/>
            <w:shd w:val="clear" w:color="auto" w:fill="auto"/>
          </w:tcPr>
          <w:p w14:paraId="38096891"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2027.</w:t>
            </w:r>
          </w:p>
        </w:tc>
        <w:tc>
          <w:tcPr>
            <w:tcW w:w="346" w:type="pct"/>
            <w:gridSpan w:val="2"/>
            <w:shd w:val="clear" w:color="auto" w:fill="auto"/>
          </w:tcPr>
          <w:p w14:paraId="5BFD4403"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2028.</w:t>
            </w:r>
          </w:p>
        </w:tc>
        <w:tc>
          <w:tcPr>
            <w:tcW w:w="346" w:type="pct"/>
            <w:shd w:val="clear" w:color="auto" w:fill="auto"/>
          </w:tcPr>
          <w:p w14:paraId="1E270FEB"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2029.</w:t>
            </w:r>
          </w:p>
        </w:tc>
        <w:tc>
          <w:tcPr>
            <w:tcW w:w="346" w:type="pct"/>
            <w:tcBorders>
              <w:right w:val="single" w:sz="4" w:space="0" w:color="auto"/>
            </w:tcBorders>
            <w:shd w:val="clear" w:color="auto" w:fill="auto"/>
          </w:tcPr>
          <w:p w14:paraId="5B9A6244"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2030.</w:t>
            </w:r>
          </w:p>
        </w:tc>
      </w:tr>
      <w:tr w:rsidR="005F5879" w:rsidRPr="00221978" w14:paraId="6F83E044" w14:textId="77777777" w:rsidTr="006E7355">
        <w:tc>
          <w:tcPr>
            <w:tcW w:w="1231" w:type="pct"/>
            <w:vMerge/>
            <w:tcBorders>
              <w:left w:val="single" w:sz="4" w:space="0" w:color="auto"/>
            </w:tcBorders>
            <w:shd w:val="clear" w:color="auto" w:fill="auto"/>
          </w:tcPr>
          <w:p w14:paraId="6572D8CD" w14:textId="77777777" w:rsidR="005F5879" w:rsidRPr="00221978" w:rsidRDefault="005F5879" w:rsidP="006E7355">
            <w:pPr>
              <w:rPr>
                <w:rFonts w:ascii="Times New Roman" w:eastAsia="Calibri" w:hAnsi="Times New Roman" w:cs="Times New Roman"/>
                <w:bCs/>
                <w:sz w:val="20"/>
                <w:szCs w:val="20"/>
                <w:lang w:val="sr-Cyrl-CS"/>
              </w:rPr>
            </w:pPr>
          </w:p>
        </w:tc>
        <w:tc>
          <w:tcPr>
            <w:tcW w:w="407" w:type="pct"/>
            <w:shd w:val="clear" w:color="auto" w:fill="auto"/>
          </w:tcPr>
          <w:p w14:paraId="01F414CE" w14:textId="77777777" w:rsidR="005F5879" w:rsidRPr="00221978" w:rsidRDefault="005F5879" w:rsidP="006E7355">
            <w:pPr>
              <w:shd w:val="clear" w:color="auto" w:fill="FFFFFF"/>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1.9%</w:t>
            </w:r>
          </w:p>
        </w:tc>
        <w:tc>
          <w:tcPr>
            <w:tcW w:w="408" w:type="pct"/>
            <w:shd w:val="clear" w:color="auto" w:fill="auto"/>
          </w:tcPr>
          <w:p w14:paraId="0BCEDEA2" w14:textId="77777777" w:rsidR="005F5879" w:rsidRPr="00221978" w:rsidRDefault="005F5879" w:rsidP="006E7355">
            <w:pPr>
              <w:shd w:val="clear" w:color="auto" w:fill="FFFFFF"/>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1.9%</w:t>
            </w:r>
          </w:p>
        </w:tc>
        <w:tc>
          <w:tcPr>
            <w:tcW w:w="408" w:type="pct"/>
            <w:gridSpan w:val="2"/>
            <w:shd w:val="clear" w:color="auto" w:fill="auto"/>
          </w:tcPr>
          <w:p w14:paraId="1A3F9E62" w14:textId="77777777" w:rsidR="005F5879" w:rsidRPr="00221978" w:rsidRDefault="005F5879" w:rsidP="006E7355">
            <w:pPr>
              <w:shd w:val="clear" w:color="auto" w:fill="FFFFFF"/>
              <w:rPr>
                <w:rFonts w:ascii="Times New Roman" w:hAnsi="Times New Roman" w:cs="Times New Roman"/>
                <w:bCs/>
                <w:sz w:val="20"/>
                <w:szCs w:val="20"/>
                <w:lang w:val="sr-Cyrl-CS"/>
              </w:rPr>
            </w:pPr>
          </w:p>
        </w:tc>
        <w:tc>
          <w:tcPr>
            <w:tcW w:w="408" w:type="pct"/>
            <w:shd w:val="clear" w:color="auto" w:fill="auto"/>
          </w:tcPr>
          <w:p w14:paraId="15ABE28C" w14:textId="77777777" w:rsidR="005F5879" w:rsidRPr="00221978" w:rsidRDefault="005F5879" w:rsidP="006E7355">
            <w:pPr>
              <w:shd w:val="clear" w:color="auto" w:fill="FFFFFF"/>
              <w:rPr>
                <w:rFonts w:ascii="Times New Roman" w:hAnsi="Times New Roman" w:cs="Times New Roman"/>
                <w:bCs/>
                <w:sz w:val="20"/>
                <w:szCs w:val="20"/>
                <w:lang w:val="sr-Cyrl-CS"/>
              </w:rPr>
            </w:pPr>
          </w:p>
        </w:tc>
        <w:tc>
          <w:tcPr>
            <w:tcW w:w="408" w:type="pct"/>
            <w:gridSpan w:val="2"/>
            <w:shd w:val="clear" w:color="auto" w:fill="auto"/>
          </w:tcPr>
          <w:p w14:paraId="7E1ECDFD" w14:textId="77777777" w:rsidR="005F5879" w:rsidRPr="00221978" w:rsidRDefault="005F5879" w:rsidP="006E7355">
            <w:pPr>
              <w:shd w:val="clear" w:color="auto" w:fill="FFFFFF"/>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1.7%</w:t>
            </w:r>
          </w:p>
        </w:tc>
        <w:tc>
          <w:tcPr>
            <w:tcW w:w="346" w:type="pct"/>
            <w:gridSpan w:val="2"/>
            <w:shd w:val="clear" w:color="auto" w:fill="auto"/>
          </w:tcPr>
          <w:p w14:paraId="7ED16325" w14:textId="77777777" w:rsidR="005F5879" w:rsidRPr="00221978" w:rsidRDefault="005F5879" w:rsidP="006E7355">
            <w:pPr>
              <w:jc w:val="center"/>
              <w:rPr>
                <w:rFonts w:ascii="Times New Roman" w:eastAsia="Calibri" w:hAnsi="Times New Roman" w:cs="Times New Roman"/>
                <w:bCs/>
                <w:sz w:val="20"/>
                <w:szCs w:val="20"/>
                <w:lang w:val="sr-Cyrl-CS"/>
              </w:rPr>
            </w:pPr>
          </w:p>
        </w:tc>
        <w:tc>
          <w:tcPr>
            <w:tcW w:w="346" w:type="pct"/>
            <w:gridSpan w:val="2"/>
            <w:shd w:val="clear" w:color="auto" w:fill="auto"/>
          </w:tcPr>
          <w:p w14:paraId="41D5912E" w14:textId="77777777" w:rsidR="005F5879" w:rsidRPr="00221978" w:rsidRDefault="005F5879" w:rsidP="006E7355">
            <w:pPr>
              <w:jc w:val="center"/>
              <w:rPr>
                <w:rFonts w:ascii="Times New Roman" w:eastAsia="Calibri" w:hAnsi="Times New Roman" w:cs="Times New Roman"/>
                <w:bCs/>
                <w:sz w:val="20"/>
                <w:szCs w:val="20"/>
                <w:lang w:val="sr-Cyrl-CS"/>
              </w:rPr>
            </w:pPr>
          </w:p>
        </w:tc>
        <w:tc>
          <w:tcPr>
            <w:tcW w:w="346" w:type="pct"/>
            <w:gridSpan w:val="2"/>
            <w:shd w:val="clear" w:color="auto" w:fill="auto"/>
          </w:tcPr>
          <w:p w14:paraId="392F6C9A" w14:textId="77777777" w:rsidR="005F5879" w:rsidRPr="00221978" w:rsidRDefault="005F5879" w:rsidP="006E7355">
            <w:pPr>
              <w:jc w:val="center"/>
              <w:rPr>
                <w:rFonts w:ascii="Times New Roman" w:eastAsia="Calibri" w:hAnsi="Times New Roman" w:cs="Times New Roman"/>
                <w:bCs/>
                <w:sz w:val="20"/>
                <w:szCs w:val="20"/>
                <w:lang w:val="sr-Cyrl-CS"/>
              </w:rPr>
            </w:pPr>
          </w:p>
        </w:tc>
        <w:tc>
          <w:tcPr>
            <w:tcW w:w="346" w:type="pct"/>
            <w:shd w:val="clear" w:color="auto" w:fill="auto"/>
          </w:tcPr>
          <w:p w14:paraId="6B661015" w14:textId="77777777" w:rsidR="005F5879" w:rsidRPr="00221978" w:rsidRDefault="005F5879" w:rsidP="006E7355">
            <w:pPr>
              <w:jc w:val="center"/>
              <w:rPr>
                <w:rFonts w:ascii="Times New Roman" w:eastAsia="Calibri" w:hAnsi="Times New Roman" w:cs="Times New Roman"/>
                <w:bCs/>
                <w:sz w:val="20"/>
                <w:szCs w:val="20"/>
                <w:lang w:val="sr-Cyrl-CS"/>
              </w:rPr>
            </w:pPr>
          </w:p>
        </w:tc>
        <w:tc>
          <w:tcPr>
            <w:tcW w:w="346" w:type="pct"/>
            <w:tcBorders>
              <w:right w:val="single" w:sz="4" w:space="0" w:color="auto"/>
            </w:tcBorders>
            <w:shd w:val="clear" w:color="auto" w:fill="auto"/>
          </w:tcPr>
          <w:p w14:paraId="4583E20D" w14:textId="77777777" w:rsidR="005F5879" w:rsidRPr="00221978" w:rsidRDefault="005F5879" w:rsidP="006E7355">
            <w:pPr>
              <w:jc w:val="center"/>
              <w:rPr>
                <w:rFonts w:ascii="Times New Roman" w:eastAsia="Calibri" w:hAnsi="Times New Roman" w:cs="Times New Roman"/>
                <w:bCs/>
                <w:sz w:val="20"/>
                <w:szCs w:val="20"/>
                <w:lang w:val="sr-Cyrl-CS"/>
              </w:rPr>
            </w:pPr>
          </w:p>
        </w:tc>
      </w:tr>
      <w:tr w:rsidR="005F5879" w:rsidRPr="00221978" w14:paraId="438CAB1F" w14:textId="77777777" w:rsidTr="006E7355">
        <w:tc>
          <w:tcPr>
            <w:tcW w:w="1231" w:type="pct"/>
            <w:tcBorders>
              <w:left w:val="single" w:sz="4" w:space="0" w:color="auto"/>
              <w:bottom w:val="single" w:sz="4" w:space="0" w:color="auto"/>
            </w:tcBorders>
            <w:shd w:val="clear" w:color="auto" w:fill="auto"/>
          </w:tcPr>
          <w:p w14:paraId="313F7ED9" w14:textId="77777777" w:rsidR="005F5879" w:rsidRPr="00221978" w:rsidRDefault="005F5879" w:rsidP="006E7355">
            <w:pP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Процена успешности:</w:t>
            </w:r>
          </w:p>
        </w:tc>
        <w:tc>
          <w:tcPr>
            <w:tcW w:w="3769" w:type="pct"/>
            <w:gridSpan w:val="15"/>
            <w:tcBorders>
              <w:bottom w:val="single" w:sz="4" w:space="0" w:color="auto"/>
              <w:right w:val="single" w:sz="4" w:space="0" w:color="auto"/>
            </w:tcBorders>
            <w:shd w:val="clear" w:color="auto" w:fill="auto"/>
          </w:tcPr>
          <w:p w14:paraId="6BF22545" w14:textId="77777777" w:rsidR="005F5879" w:rsidRPr="00221978" w:rsidRDefault="005F5879" w:rsidP="006E7355">
            <w:pPr>
              <w:rPr>
                <w:rFonts w:ascii="Times New Roman" w:hAnsi="Times New Roman" w:cs="Times New Roman"/>
                <w:bCs/>
                <w:sz w:val="20"/>
                <w:szCs w:val="20"/>
                <w:lang w:val="sr-Cyrl-CS"/>
              </w:rPr>
            </w:pPr>
            <w:r w:rsidRPr="00221978">
              <w:rPr>
                <w:rFonts w:ascii="Times New Roman" w:eastAsia="Calibri" w:hAnsi="Times New Roman" w:cs="Times New Roman"/>
                <w:bCs/>
                <w:iCs/>
                <w:sz w:val="20"/>
                <w:szCs w:val="20"/>
                <w:lang w:val="sr-Cyrl-CS"/>
              </w:rPr>
              <w:t>Смањење годишњих трошкова сервисирања јавног дуга као проценат БДП-а, одступање od 0,1% поена је прихватљиво</w:t>
            </w:r>
          </w:p>
        </w:tc>
      </w:tr>
    </w:tbl>
    <w:p w14:paraId="068DA333" w14:textId="77777777" w:rsidR="005F5879" w:rsidRPr="00221978" w:rsidRDefault="005F5879" w:rsidP="005F5879">
      <w:pPr>
        <w:rPr>
          <w:rFonts w:ascii="Times New Roman" w:eastAsia="Calibri" w:hAnsi="Times New Roman" w:cs="Times New Roman"/>
          <w:bCs/>
          <w:sz w:val="24"/>
          <w:szCs w:val="24"/>
          <w:lang w:val="sr-Cyrl-CS"/>
        </w:rPr>
      </w:pPr>
    </w:p>
    <w:tbl>
      <w:tblPr>
        <w:tblW w:w="5031"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306"/>
        <w:gridCol w:w="756"/>
        <w:gridCol w:w="758"/>
        <w:gridCol w:w="399"/>
        <w:gridCol w:w="350"/>
        <w:gridCol w:w="758"/>
        <w:gridCol w:w="467"/>
        <w:gridCol w:w="284"/>
        <w:gridCol w:w="228"/>
        <w:gridCol w:w="438"/>
        <w:gridCol w:w="574"/>
        <w:gridCol w:w="92"/>
        <w:gridCol w:w="638"/>
        <w:gridCol w:w="28"/>
        <w:gridCol w:w="666"/>
        <w:gridCol w:w="666"/>
      </w:tblGrid>
      <w:tr w:rsidR="005F5879" w:rsidRPr="00221978" w14:paraId="0228EFE7" w14:textId="77777777" w:rsidTr="0078529D">
        <w:tc>
          <w:tcPr>
            <w:tcW w:w="1226" w:type="pct"/>
            <w:tcBorders>
              <w:top w:val="single" w:sz="4" w:space="0" w:color="auto"/>
              <w:left w:val="single" w:sz="4" w:space="0" w:color="auto"/>
            </w:tcBorders>
            <w:shd w:val="clear" w:color="auto" w:fill="auto"/>
            <w:vAlign w:val="center"/>
          </w:tcPr>
          <w:p w14:paraId="02BA9454"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Назив индикатора</w:t>
            </w:r>
          </w:p>
        </w:tc>
        <w:tc>
          <w:tcPr>
            <w:tcW w:w="3774" w:type="pct"/>
            <w:gridSpan w:val="15"/>
            <w:tcBorders>
              <w:top w:val="single" w:sz="4" w:space="0" w:color="auto"/>
              <w:right w:val="single" w:sz="4" w:space="0" w:color="auto"/>
            </w:tcBorders>
            <w:shd w:val="clear" w:color="auto" w:fill="auto"/>
            <w:vAlign w:val="center"/>
          </w:tcPr>
          <w:p w14:paraId="4AD901DA" w14:textId="77777777" w:rsidR="005F5879" w:rsidRPr="00221978" w:rsidRDefault="005F5879" w:rsidP="006E7355">
            <w:pPr>
              <w:tabs>
                <w:tab w:val="right" w:pos="2140"/>
              </w:tabs>
              <w:rPr>
                <w:rFonts w:ascii="Times New Roman" w:eastAsia="Calibri" w:hAnsi="Times New Roman" w:cs="Times New Roman"/>
                <w:bCs/>
                <w:i/>
                <w:sz w:val="20"/>
                <w:szCs w:val="20"/>
                <w:lang w:val="sr-Cyrl-CS"/>
              </w:rPr>
            </w:pPr>
            <w:r w:rsidRPr="00221978">
              <w:rPr>
                <w:rFonts w:ascii="Times New Roman" w:hAnsi="Times New Roman" w:cs="Times New Roman"/>
                <w:bCs/>
                <w:sz w:val="20"/>
                <w:szCs w:val="20"/>
                <w:lang w:val="sr-Cyrl-CS"/>
              </w:rPr>
              <w:t>Просечно трајање отвореног поступка</w:t>
            </w:r>
          </w:p>
        </w:tc>
      </w:tr>
      <w:tr w:rsidR="005F5879" w:rsidRPr="00221978" w14:paraId="2B92B6BA" w14:textId="77777777" w:rsidTr="0078529D">
        <w:tc>
          <w:tcPr>
            <w:tcW w:w="1226" w:type="pct"/>
            <w:tcBorders>
              <w:top w:val="single" w:sz="4" w:space="0" w:color="auto"/>
              <w:left w:val="single" w:sz="4" w:space="0" w:color="auto"/>
            </w:tcBorders>
            <w:shd w:val="clear" w:color="auto" w:fill="auto"/>
          </w:tcPr>
          <w:p w14:paraId="77882404"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Одговарајући општи циљ, посебан циљ или мера</w:t>
            </w:r>
          </w:p>
        </w:tc>
        <w:tc>
          <w:tcPr>
            <w:tcW w:w="3774" w:type="pct"/>
            <w:gridSpan w:val="15"/>
            <w:tcBorders>
              <w:top w:val="single" w:sz="4" w:space="0" w:color="auto"/>
              <w:right w:val="single" w:sz="4" w:space="0" w:color="auto"/>
            </w:tcBorders>
            <w:shd w:val="clear" w:color="auto" w:fill="auto"/>
          </w:tcPr>
          <w:p w14:paraId="3CDAA903"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 xml:space="preserve">Посебан циљ 2: </w:t>
            </w:r>
            <w:r w:rsidRPr="00221978">
              <w:rPr>
                <w:rFonts w:ascii="Times New Roman" w:hAnsi="Times New Roman" w:cs="Times New Roman"/>
                <w:bCs/>
                <w:sz w:val="20"/>
                <w:szCs w:val="20"/>
                <w:lang w:val="sr-Cyrl-CS"/>
              </w:rPr>
              <w:t>Ефикасно прикупљање и управљање буџетским средствима</w:t>
            </w:r>
          </w:p>
        </w:tc>
      </w:tr>
      <w:tr w:rsidR="005F5879" w:rsidRPr="00221978" w14:paraId="65A42B9E" w14:textId="77777777" w:rsidTr="0078529D">
        <w:tc>
          <w:tcPr>
            <w:tcW w:w="1226" w:type="pct"/>
            <w:tcBorders>
              <w:left w:val="single" w:sz="4" w:space="0" w:color="auto"/>
            </w:tcBorders>
            <w:shd w:val="clear" w:color="auto" w:fill="auto"/>
          </w:tcPr>
          <w:p w14:paraId="3678C0DB"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 xml:space="preserve">Тип показатеља </w:t>
            </w:r>
          </w:p>
        </w:tc>
        <w:tc>
          <w:tcPr>
            <w:tcW w:w="1854" w:type="pct"/>
            <w:gridSpan w:val="6"/>
            <w:tcBorders>
              <w:right w:val="single" w:sz="4" w:space="0" w:color="auto"/>
            </w:tcBorders>
            <w:shd w:val="clear" w:color="auto" w:fill="auto"/>
          </w:tcPr>
          <w:p w14:paraId="518B6FBE" w14:textId="77777777" w:rsidR="005F5879" w:rsidRPr="00221978" w:rsidRDefault="005F5879" w:rsidP="006E7355">
            <w:pPr>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Квантитативни</w:t>
            </w:r>
          </w:p>
        </w:tc>
        <w:tc>
          <w:tcPr>
            <w:tcW w:w="1920" w:type="pct"/>
            <w:gridSpan w:val="9"/>
            <w:tcBorders>
              <w:right w:val="single" w:sz="4" w:space="0" w:color="auto"/>
            </w:tcBorders>
            <w:shd w:val="clear" w:color="auto" w:fill="auto"/>
          </w:tcPr>
          <w:p w14:paraId="6D4AB239" w14:textId="77777777" w:rsidR="005F5879" w:rsidRPr="00221978" w:rsidRDefault="005F5879" w:rsidP="006E7355">
            <w:pPr>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Ниво посебног циља ПРУЈФ, мања вредност је боља</w:t>
            </w:r>
          </w:p>
        </w:tc>
      </w:tr>
      <w:tr w:rsidR="005F5879" w:rsidRPr="00221978" w14:paraId="21B55BA1" w14:textId="77777777" w:rsidTr="0078529D">
        <w:tc>
          <w:tcPr>
            <w:tcW w:w="1226" w:type="pct"/>
            <w:tcBorders>
              <w:top w:val="single" w:sz="6" w:space="0" w:color="auto"/>
              <w:left w:val="single" w:sz="4" w:space="0" w:color="auto"/>
            </w:tcBorders>
            <w:shd w:val="clear" w:color="auto" w:fill="auto"/>
          </w:tcPr>
          <w:p w14:paraId="662A306D"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Јединица мере и природа</w:t>
            </w:r>
          </w:p>
        </w:tc>
        <w:tc>
          <w:tcPr>
            <w:tcW w:w="1854" w:type="pct"/>
            <w:gridSpan w:val="6"/>
            <w:tcBorders>
              <w:top w:val="single" w:sz="6" w:space="0" w:color="auto"/>
              <w:right w:val="single" w:sz="4" w:space="0" w:color="auto"/>
            </w:tcBorders>
            <w:shd w:val="clear" w:color="auto" w:fill="auto"/>
          </w:tcPr>
          <w:p w14:paraId="7B90B23E" w14:textId="77777777" w:rsidR="005F5879" w:rsidRPr="00221978" w:rsidRDefault="005F5879" w:rsidP="006E7355">
            <w:pPr>
              <w:ind w:hanging="29"/>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Дан</w:t>
            </w:r>
          </w:p>
          <w:p w14:paraId="7912DCE5" w14:textId="77777777" w:rsidR="005F5879" w:rsidRPr="00221978" w:rsidRDefault="005F5879" w:rsidP="006E7355">
            <w:pPr>
              <w:rPr>
                <w:rFonts w:ascii="Times New Roman" w:hAnsi="Times New Roman" w:cs="Times New Roman"/>
                <w:bCs/>
                <w:sz w:val="20"/>
                <w:szCs w:val="20"/>
                <w:lang w:val="sr-Cyrl-CS"/>
              </w:rPr>
            </w:pPr>
          </w:p>
        </w:tc>
        <w:tc>
          <w:tcPr>
            <w:tcW w:w="1920" w:type="pct"/>
            <w:gridSpan w:val="9"/>
            <w:tcBorders>
              <w:top w:val="single" w:sz="6" w:space="0" w:color="auto"/>
              <w:right w:val="single" w:sz="4" w:space="0" w:color="auto"/>
            </w:tcBorders>
            <w:shd w:val="clear" w:color="auto" w:fill="auto"/>
          </w:tcPr>
          <w:p w14:paraId="63B13E71" w14:textId="77777777" w:rsidR="005F5879" w:rsidRPr="00221978" w:rsidRDefault="005F5879" w:rsidP="006E7355">
            <w:pPr>
              <w:rPr>
                <w:rFonts w:ascii="Times New Roman" w:hAnsi="Times New Roman" w:cs="Times New Roman"/>
                <w:bCs/>
                <w:sz w:val="20"/>
                <w:szCs w:val="20"/>
                <w:lang w:val="sr-Cyrl-CS"/>
              </w:rPr>
            </w:pPr>
          </w:p>
        </w:tc>
      </w:tr>
      <w:tr w:rsidR="005F5879" w:rsidRPr="00221978" w14:paraId="0AF32887" w14:textId="77777777" w:rsidTr="0078529D">
        <w:tc>
          <w:tcPr>
            <w:tcW w:w="1226" w:type="pct"/>
            <w:tcBorders>
              <w:left w:val="single" w:sz="4" w:space="0" w:color="auto"/>
              <w:bottom w:val="single" w:sz="4" w:space="0" w:color="auto"/>
            </w:tcBorders>
            <w:shd w:val="clear" w:color="auto" w:fill="auto"/>
          </w:tcPr>
          <w:p w14:paraId="4588FC84"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Извор података</w:t>
            </w:r>
          </w:p>
        </w:tc>
        <w:tc>
          <w:tcPr>
            <w:tcW w:w="3774" w:type="pct"/>
            <w:gridSpan w:val="15"/>
            <w:tcBorders>
              <w:bottom w:val="single" w:sz="4" w:space="0" w:color="auto"/>
              <w:right w:val="single" w:sz="4" w:space="0" w:color="auto"/>
            </w:tcBorders>
            <w:shd w:val="clear" w:color="auto" w:fill="auto"/>
          </w:tcPr>
          <w:p w14:paraId="334C234E" w14:textId="77777777" w:rsidR="005F5879" w:rsidRPr="00221978" w:rsidRDefault="005F5879" w:rsidP="006E7355">
            <w:pPr>
              <w:rPr>
                <w:rFonts w:ascii="Times New Roman" w:hAnsi="Times New Roman" w:cs="Times New Roman"/>
                <w:bCs/>
                <w:sz w:val="20"/>
                <w:szCs w:val="20"/>
                <w:lang w:val="sr-Cyrl-CS"/>
              </w:rPr>
            </w:pPr>
            <w:r w:rsidRPr="00221978">
              <w:rPr>
                <w:rFonts w:ascii="Times New Roman" w:eastAsia="Times New Roman" w:hAnsi="Times New Roman" w:cs="Times New Roman"/>
                <w:bCs/>
                <w:color w:val="000000"/>
                <w:sz w:val="20"/>
                <w:szCs w:val="20"/>
                <w:lang w:val="sr-Cyrl-CS" w:eastAsia="en-GB"/>
              </w:rPr>
              <w:t>Годишњи извештај о јавним набавкама</w:t>
            </w:r>
          </w:p>
        </w:tc>
      </w:tr>
      <w:tr w:rsidR="005F5879" w:rsidRPr="00221978" w14:paraId="2EDC96C5" w14:textId="77777777" w:rsidTr="0078529D">
        <w:tc>
          <w:tcPr>
            <w:tcW w:w="1226" w:type="pct"/>
            <w:tcBorders>
              <w:left w:val="single" w:sz="4" w:space="0" w:color="auto"/>
              <w:bottom w:val="single" w:sz="6" w:space="0" w:color="auto"/>
            </w:tcBorders>
            <w:shd w:val="clear" w:color="auto" w:fill="auto"/>
          </w:tcPr>
          <w:p w14:paraId="2D667792"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lastRenderedPageBreak/>
              <w:t>Назив носиоца прикупљања података</w:t>
            </w:r>
          </w:p>
        </w:tc>
        <w:tc>
          <w:tcPr>
            <w:tcW w:w="3774" w:type="pct"/>
            <w:gridSpan w:val="15"/>
            <w:tcBorders>
              <w:bottom w:val="single" w:sz="6" w:space="0" w:color="auto"/>
              <w:right w:val="single" w:sz="4" w:space="0" w:color="auto"/>
            </w:tcBorders>
            <w:shd w:val="clear" w:color="auto" w:fill="auto"/>
          </w:tcPr>
          <w:p w14:paraId="4F05DC2D" w14:textId="77777777" w:rsidR="005F5879" w:rsidRPr="00221978" w:rsidRDefault="005F5879" w:rsidP="006E7355">
            <w:pPr>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Канцеларија за јавне набавке</w:t>
            </w:r>
          </w:p>
        </w:tc>
      </w:tr>
      <w:tr w:rsidR="005F5879" w:rsidRPr="00221978" w14:paraId="6D3F02D2" w14:textId="77777777" w:rsidTr="0078529D">
        <w:tc>
          <w:tcPr>
            <w:tcW w:w="1226" w:type="pct"/>
            <w:tcBorders>
              <w:top w:val="single" w:sz="6" w:space="0" w:color="auto"/>
              <w:left w:val="single" w:sz="4" w:space="0" w:color="auto"/>
            </w:tcBorders>
            <w:shd w:val="clear" w:color="auto" w:fill="auto"/>
          </w:tcPr>
          <w:p w14:paraId="5F90D709"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Учесталост</w:t>
            </w:r>
          </w:p>
        </w:tc>
        <w:tc>
          <w:tcPr>
            <w:tcW w:w="3774" w:type="pct"/>
            <w:gridSpan w:val="15"/>
            <w:tcBorders>
              <w:top w:val="single" w:sz="6" w:space="0" w:color="auto"/>
              <w:bottom w:val="single" w:sz="6" w:space="0" w:color="auto"/>
              <w:right w:val="single" w:sz="4" w:space="0" w:color="auto"/>
            </w:tcBorders>
            <w:shd w:val="clear" w:color="auto" w:fill="auto"/>
          </w:tcPr>
          <w:p w14:paraId="52965B72" w14:textId="77777777" w:rsidR="005F5879" w:rsidRPr="00221978" w:rsidRDefault="005F5879" w:rsidP="006E7355">
            <w:pPr>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Једном годишње</w:t>
            </w:r>
          </w:p>
        </w:tc>
      </w:tr>
      <w:tr w:rsidR="005F5879" w:rsidRPr="00221978" w14:paraId="2C47C42A" w14:textId="77777777" w:rsidTr="0078529D">
        <w:trPr>
          <w:trHeight w:val="1181"/>
        </w:trPr>
        <w:tc>
          <w:tcPr>
            <w:tcW w:w="1226" w:type="pct"/>
            <w:tcBorders>
              <w:top w:val="single" w:sz="6" w:space="0" w:color="auto"/>
              <w:left w:val="single" w:sz="4" w:space="0" w:color="auto"/>
              <w:bottom w:val="single" w:sz="6" w:space="0" w:color="auto"/>
            </w:tcBorders>
            <w:shd w:val="clear" w:color="auto" w:fill="auto"/>
          </w:tcPr>
          <w:p w14:paraId="255C2D66" w14:textId="77777777" w:rsidR="005F5879" w:rsidRPr="00221978" w:rsidRDefault="005F5879" w:rsidP="006E7355">
            <w:pP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Кратак опис показатеља и методологије израчунавања</w:t>
            </w:r>
          </w:p>
          <w:p w14:paraId="5C466650"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(формуле/једначине)</w:t>
            </w:r>
          </w:p>
        </w:tc>
        <w:tc>
          <w:tcPr>
            <w:tcW w:w="3774" w:type="pct"/>
            <w:gridSpan w:val="15"/>
            <w:tcBorders>
              <w:top w:val="single" w:sz="6" w:space="0" w:color="auto"/>
              <w:right w:val="single" w:sz="4" w:space="0" w:color="auto"/>
            </w:tcBorders>
            <w:shd w:val="clear" w:color="auto" w:fill="auto"/>
          </w:tcPr>
          <w:p w14:paraId="13CFF71D" w14:textId="77777777" w:rsidR="005F5879" w:rsidRPr="00221978" w:rsidRDefault="005F5879" w:rsidP="006E7355">
            <w:pPr>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Показатељ представља просечну дужину трајања отвореног поступка, односно приказује колико се дужина трајања отвореног поступка скраћује из године у годину.</w:t>
            </w:r>
          </w:p>
        </w:tc>
      </w:tr>
      <w:tr w:rsidR="005F5879" w:rsidRPr="00221978" w14:paraId="56000520" w14:textId="77777777" w:rsidTr="0078529D">
        <w:tc>
          <w:tcPr>
            <w:tcW w:w="1226" w:type="pct"/>
            <w:vMerge w:val="restart"/>
            <w:tcBorders>
              <w:top w:val="single" w:sz="6" w:space="0" w:color="auto"/>
              <w:left w:val="single" w:sz="4" w:space="0" w:color="auto"/>
            </w:tcBorders>
            <w:shd w:val="clear" w:color="auto" w:fill="auto"/>
          </w:tcPr>
          <w:p w14:paraId="583D54AD" w14:textId="77777777" w:rsidR="005F5879" w:rsidRPr="00221978" w:rsidRDefault="005F5879" w:rsidP="006E7355">
            <w:pP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Подаци о полазној вредности и години кад је измерена, као и о ранијем тренду</w:t>
            </w:r>
          </w:p>
        </w:tc>
        <w:tc>
          <w:tcPr>
            <w:tcW w:w="2664" w:type="pct"/>
            <w:gridSpan w:val="10"/>
            <w:tcBorders>
              <w:top w:val="single" w:sz="6" w:space="0" w:color="auto"/>
            </w:tcBorders>
            <w:shd w:val="clear" w:color="auto" w:fill="auto"/>
            <w:vAlign w:val="center"/>
          </w:tcPr>
          <w:p w14:paraId="43E64D62" w14:textId="77777777" w:rsidR="005F5879" w:rsidRPr="00221978" w:rsidRDefault="005F5879" w:rsidP="006E7355">
            <w:pPr>
              <w:tabs>
                <w:tab w:val="right" w:pos="2140"/>
              </w:tabs>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Ранији тренд</w:t>
            </w:r>
          </w:p>
        </w:tc>
        <w:tc>
          <w:tcPr>
            <w:tcW w:w="1111" w:type="pct"/>
            <w:gridSpan w:val="5"/>
            <w:tcBorders>
              <w:top w:val="single" w:sz="6" w:space="0" w:color="auto"/>
              <w:right w:val="single" w:sz="4" w:space="0" w:color="auto"/>
            </w:tcBorders>
            <w:shd w:val="clear" w:color="auto" w:fill="auto"/>
            <w:vAlign w:val="center"/>
          </w:tcPr>
          <w:p w14:paraId="75338EF3"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Полазна вредност</w:t>
            </w:r>
          </w:p>
        </w:tc>
      </w:tr>
      <w:tr w:rsidR="005F5879" w:rsidRPr="00221978" w14:paraId="6D8AD0BD" w14:textId="77777777" w:rsidTr="0078529D">
        <w:tc>
          <w:tcPr>
            <w:tcW w:w="1226" w:type="pct"/>
            <w:vMerge/>
            <w:tcBorders>
              <w:left w:val="single" w:sz="4" w:space="0" w:color="auto"/>
            </w:tcBorders>
            <w:shd w:val="clear" w:color="auto" w:fill="auto"/>
          </w:tcPr>
          <w:p w14:paraId="59D17869" w14:textId="77777777" w:rsidR="005F5879" w:rsidRPr="00221978" w:rsidRDefault="005F5879" w:rsidP="006E7355">
            <w:pPr>
              <w:rPr>
                <w:rFonts w:ascii="Times New Roman" w:eastAsia="Calibri" w:hAnsi="Times New Roman" w:cs="Times New Roman"/>
                <w:bCs/>
                <w:sz w:val="20"/>
                <w:szCs w:val="20"/>
                <w:lang w:val="sr-Cyrl-CS"/>
              </w:rPr>
            </w:pPr>
          </w:p>
        </w:tc>
        <w:tc>
          <w:tcPr>
            <w:tcW w:w="1017" w:type="pct"/>
            <w:gridSpan w:val="3"/>
            <w:shd w:val="clear" w:color="auto" w:fill="auto"/>
          </w:tcPr>
          <w:p w14:paraId="5405418A"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2016.</w:t>
            </w:r>
          </w:p>
        </w:tc>
        <w:tc>
          <w:tcPr>
            <w:tcW w:w="1109" w:type="pct"/>
            <w:gridSpan w:val="5"/>
            <w:shd w:val="clear" w:color="auto" w:fill="auto"/>
          </w:tcPr>
          <w:p w14:paraId="68B02C76"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2017.</w:t>
            </w:r>
          </w:p>
        </w:tc>
        <w:tc>
          <w:tcPr>
            <w:tcW w:w="926" w:type="pct"/>
            <w:gridSpan w:val="4"/>
            <w:shd w:val="clear" w:color="auto" w:fill="auto"/>
          </w:tcPr>
          <w:p w14:paraId="49A6A932"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2019.</w:t>
            </w:r>
          </w:p>
        </w:tc>
        <w:tc>
          <w:tcPr>
            <w:tcW w:w="723" w:type="pct"/>
            <w:gridSpan w:val="3"/>
            <w:tcBorders>
              <w:right w:val="single" w:sz="4" w:space="0" w:color="auto"/>
            </w:tcBorders>
            <w:shd w:val="clear" w:color="auto" w:fill="auto"/>
          </w:tcPr>
          <w:p w14:paraId="19B5C672"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 xml:space="preserve">2020. </w:t>
            </w:r>
          </w:p>
        </w:tc>
      </w:tr>
      <w:tr w:rsidR="005F5879" w:rsidRPr="00221978" w14:paraId="15193A71" w14:textId="77777777" w:rsidTr="0078529D">
        <w:tc>
          <w:tcPr>
            <w:tcW w:w="1226" w:type="pct"/>
            <w:vMerge/>
            <w:tcBorders>
              <w:left w:val="single" w:sz="4" w:space="0" w:color="auto"/>
            </w:tcBorders>
            <w:shd w:val="clear" w:color="auto" w:fill="auto"/>
          </w:tcPr>
          <w:p w14:paraId="0176CDE3" w14:textId="77777777" w:rsidR="005F5879" w:rsidRPr="00221978" w:rsidRDefault="005F5879" w:rsidP="006E7355">
            <w:pPr>
              <w:rPr>
                <w:rFonts w:ascii="Times New Roman" w:eastAsia="Calibri" w:hAnsi="Times New Roman" w:cs="Times New Roman"/>
                <w:bCs/>
                <w:sz w:val="20"/>
                <w:szCs w:val="20"/>
                <w:lang w:val="sr-Cyrl-CS"/>
              </w:rPr>
            </w:pPr>
          </w:p>
        </w:tc>
        <w:tc>
          <w:tcPr>
            <w:tcW w:w="1017" w:type="pct"/>
            <w:gridSpan w:val="3"/>
            <w:shd w:val="clear" w:color="auto" w:fill="auto"/>
          </w:tcPr>
          <w:p w14:paraId="45C52E3E"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p>
        </w:tc>
        <w:tc>
          <w:tcPr>
            <w:tcW w:w="1109" w:type="pct"/>
            <w:gridSpan w:val="5"/>
            <w:shd w:val="clear" w:color="auto" w:fill="auto"/>
          </w:tcPr>
          <w:p w14:paraId="388BE3E1"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p>
        </w:tc>
        <w:tc>
          <w:tcPr>
            <w:tcW w:w="926" w:type="pct"/>
            <w:gridSpan w:val="4"/>
            <w:shd w:val="clear" w:color="auto" w:fill="auto"/>
          </w:tcPr>
          <w:p w14:paraId="69B20E7F"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p>
        </w:tc>
        <w:tc>
          <w:tcPr>
            <w:tcW w:w="723" w:type="pct"/>
            <w:gridSpan w:val="3"/>
            <w:tcBorders>
              <w:right w:val="single" w:sz="4" w:space="0" w:color="auto"/>
            </w:tcBorders>
            <w:shd w:val="clear" w:color="auto" w:fill="auto"/>
          </w:tcPr>
          <w:p w14:paraId="6EE2FD38" w14:textId="77777777" w:rsidR="005F5879" w:rsidRPr="00221978" w:rsidRDefault="005F5879" w:rsidP="006E7355">
            <w:pPr>
              <w:tabs>
                <w:tab w:val="right" w:pos="2140"/>
              </w:tabs>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52</w:t>
            </w:r>
          </w:p>
        </w:tc>
      </w:tr>
      <w:tr w:rsidR="005F5879" w:rsidRPr="00221978" w14:paraId="1A1D7BC0" w14:textId="77777777" w:rsidTr="0078529D">
        <w:tc>
          <w:tcPr>
            <w:tcW w:w="1226" w:type="pct"/>
            <w:vMerge w:val="restart"/>
            <w:tcBorders>
              <w:left w:val="single" w:sz="4" w:space="0" w:color="auto"/>
            </w:tcBorders>
            <w:shd w:val="clear" w:color="auto" w:fill="auto"/>
          </w:tcPr>
          <w:p w14:paraId="03E3C683" w14:textId="77777777" w:rsidR="005F5879" w:rsidRPr="00221978" w:rsidRDefault="005F5879" w:rsidP="006E7355">
            <w:pP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Подаци о циљној вредност</w:t>
            </w:r>
          </w:p>
        </w:tc>
        <w:tc>
          <w:tcPr>
            <w:tcW w:w="402" w:type="pct"/>
            <w:shd w:val="clear" w:color="auto" w:fill="auto"/>
          </w:tcPr>
          <w:p w14:paraId="544351AD"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2021.</w:t>
            </w:r>
          </w:p>
        </w:tc>
        <w:tc>
          <w:tcPr>
            <w:tcW w:w="403" w:type="pct"/>
            <w:shd w:val="clear" w:color="auto" w:fill="auto"/>
          </w:tcPr>
          <w:p w14:paraId="35A13BA1"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2022.</w:t>
            </w:r>
          </w:p>
        </w:tc>
        <w:tc>
          <w:tcPr>
            <w:tcW w:w="398" w:type="pct"/>
            <w:gridSpan w:val="2"/>
            <w:shd w:val="clear" w:color="auto" w:fill="auto"/>
          </w:tcPr>
          <w:p w14:paraId="05796AE8"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2023.</w:t>
            </w:r>
          </w:p>
        </w:tc>
        <w:tc>
          <w:tcPr>
            <w:tcW w:w="403" w:type="pct"/>
            <w:shd w:val="clear" w:color="auto" w:fill="auto"/>
          </w:tcPr>
          <w:p w14:paraId="1E06EA79"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2024.</w:t>
            </w:r>
          </w:p>
        </w:tc>
        <w:tc>
          <w:tcPr>
            <w:tcW w:w="399" w:type="pct"/>
            <w:gridSpan w:val="2"/>
            <w:shd w:val="clear" w:color="auto" w:fill="auto"/>
          </w:tcPr>
          <w:p w14:paraId="0A5DF389"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2025.</w:t>
            </w:r>
          </w:p>
        </w:tc>
        <w:tc>
          <w:tcPr>
            <w:tcW w:w="354" w:type="pct"/>
            <w:gridSpan w:val="2"/>
            <w:shd w:val="clear" w:color="auto" w:fill="auto"/>
          </w:tcPr>
          <w:p w14:paraId="51547E80"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2026.</w:t>
            </w:r>
          </w:p>
        </w:tc>
        <w:tc>
          <w:tcPr>
            <w:tcW w:w="354" w:type="pct"/>
            <w:gridSpan w:val="2"/>
            <w:shd w:val="clear" w:color="auto" w:fill="auto"/>
          </w:tcPr>
          <w:p w14:paraId="3185C307"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2027.</w:t>
            </w:r>
          </w:p>
        </w:tc>
        <w:tc>
          <w:tcPr>
            <w:tcW w:w="354" w:type="pct"/>
            <w:gridSpan w:val="2"/>
            <w:shd w:val="clear" w:color="auto" w:fill="auto"/>
          </w:tcPr>
          <w:p w14:paraId="7397A4CD"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2028.</w:t>
            </w:r>
          </w:p>
        </w:tc>
        <w:tc>
          <w:tcPr>
            <w:tcW w:w="354" w:type="pct"/>
            <w:shd w:val="clear" w:color="auto" w:fill="auto"/>
          </w:tcPr>
          <w:p w14:paraId="1B9A54B2"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2029.</w:t>
            </w:r>
          </w:p>
        </w:tc>
        <w:tc>
          <w:tcPr>
            <w:tcW w:w="354" w:type="pct"/>
            <w:tcBorders>
              <w:right w:val="single" w:sz="4" w:space="0" w:color="auto"/>
            </w:tcBorders>
            <w:shd w:val="clear" w:color="auto" w:fill="auto"/>
          </w:tcPr>
          <w:p w14:paraId="0AAFECD6" w14:textId="77777777" w:rsidR="005F5879" w:rsidRPr="00221978" w:rsidRDefault="005F5879" w:rsidP="006E7355">
            <w:pPr>
              <w:jc w:val="cente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2030.</w:t>
            </w:r>
          </w:p>
        </w:tc>
      </w:tr>
      <w:tr w:rsidR="005F5879" w:rsidRPr="00221978" w14:paraId="1D632956" w14:textId="77777777" w:rsidTr="0078529D">
        <w:tc>
          <w:tcPr>
            <w:tcW w:w="1226" w:type="pct"/>
            <w:vMerge/>
            <w:tcBorders>
              <w:left w:val="single" w:sz="4" w:space="0" w:color="auto"/>
            </w:tcBorders>
            <w:shd w:val="clear" w:color="auto" w:fill="auto"/>
          </w:tcPr>
          <w:p w14:paraId="78213C74" w14:textId="77777777" w:rsidR="005F5879" w:rsidRPr="00221978" w:rsidRDefault="005F5879" w:rsidP="006E7355">
            <w:pPr>
              <w:rPr>
                <w:rFonts w:ascii="Times New Roman" w:eastAsia="Calibri" w:hAnsi="Times New Roman" w:cs="Times New Roman"/>
                <w:bCs/>
                <w:sz w:val="20"/>
                <w:szCs w:val="20"/>
                <w:lang w:val="sr-Cyrl-CS"/>
              </w:rPr>
            </w:pPr>
          </w:p>
        </w:tc>
        <w:tc>
          <w:tcPr>
            <w:tcW w:w="402" w:type="pct"/>
            <w:shd w:val="clear" w:color="auto" w:fill="auto"/>
          </w:tcPr>
          <w:p w14:paraId="2E1927D3" w14:textId="77777777" w:rsidR="005F5879" w:rsidRPr="00221978" w:rsidRDefault="005F5879" w:rsidP="006E7355">
            <w:pPr>
              <w:shd w:val="clear" w:color="auto" w:fill="FFFFFF"/>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50</w:t>
            </w:r>
          </w:p>
        </w:tc>
        <w:tc>
          <w:tcPr>
            <w:tcW w:w="403" w:type="pct"/>
            <w:shd w:val="clear" w:color="auto" w:fill="auto"/>
          </w:tcPr>
          <w:p w14:paraId="1619A2E5" w14:textId="77777777" w:rsidR="005F5879" w:rsidRPr="00221978" w:rsidRDefault="005F5879" w:rsidP="006E7355">
            <w:pPr>
              <w:shd w:val="clear" w:color="auto" w:fill="FFFFFF"/>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48</w:t>
            </w:r>
          </w:p>
        </w:tc>
        <w:tc>
          <w:tcPr>
            <w:tcW w:w="398" w:type="pct"/>
            <w:gridSpan w:val="2"/>
            <w:shd w:val="clear" w:color="auto" w:fill="auto"/>
          </w:tcPr>
          <w:p w14:paraId="708AEB7A" w14:textId="77777777" w:rsidR="005F5879" w:rsidRPr="00221978" w:rsidRDefault="005F5879" w:rsidP="006E7355">
            <w:pPr>
              <w:shd w:val="clear" w:color="auto" w:fill="FFFFFF"/>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46</w:t>
            </w:r>
          </w:p>
        </w:tc>
        <w:tc>
          <w:tcPr>
            <w:tcW w:w="403" w:type="pct"/>
            <w:shd w:val="clear" w:color="auto" w:fill="auto"/>
          </w:tcPr>
          <w:p w14:paraId="1C78A1AE" w14:textId="77777777" w:rsidR="005F5879" w:rsidRPr="00221978" w:rsidRDefault="005F5879" w:rsidP="006E7355">
            <w:pPr>
              <w:shd w:val="clear" w:color="auto" w:fill="FFFFFF"/>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45</w:t>
            </w:r>
          </w:p>
        </w:tc>
        <w:tc>
          <w:tcPr>
            <w:tcW w:w="399" w:type="pct"/>
            <w:gridSpan w:val="2"/>
            <w:shd w:val="clear" w:color="auto" w:fill="auto"/>
          </w:tcPr>
          <w:p w14:paraId="5ADF5B83" w14:textId="77777777" w:rsidR="005F5879" w:rsidRPr="00221978" w:rsidRDefault="005F5879" w:rsidP="006E7355">
            <w:pPr>
              <w:shd w:val="clear" w:color="auto" w:fill="FFFFFF"/>
              <w:rPr>
                <w:rFonts w:ascii="Times New Roman" w:hAnsi="Times New Roman" w:cs="Times New Roman"/>
                <w:bCs/>
                <w:sz w:val="20"/>
                <w:szCs w:val="20"/>
                <w:lang w:val="sr-Cyrl-CS"/>
              </w:rPr>
            </w:pPr>
            <w:r w:rsidRPr="00221978">
              <w:rPr>
                <w:rFonts w:ascii="Times New Roman" w:hAnsi="Times New Roman" w:cs="Times New Roman"/>
                <w:bCs/>
                <w:sz w:val="20"/>
                <w:szCs w:val="20"/>
                <w:lang w:val="sr-Cyrl-CS"/>
              </w:rPr>
              <w:t>44</w:t>
            </w:r>
          </w:p>
        </w:tc>
        <w:tc>
          <w:tcPr>
            <w:tcW w:w="354" w:type="pct"/>
            <w:gridSpan w:val="2"/>
            <w:shd w:val="clear" w:color="auto" w:fill="auto"/>
          </w:tcPr>
          <w:p w14:paraId="45C69F7C" w14:textId="77777777" w:rsidR="005F5879" w:rsidRPr="00221978" w:rsidRDefault="005F5879" w:rsidP="006E7355">
            <w:pPr>
              <w:jc w:val="center"/>
              <w:rPr>
                <w:rFonts w:ascii="Times New Roman" w:eastAsia="Calibri" w:hAnsi="Times New Roman" w:cs="Times New Roman"/>
                <w:bCs/>
                <w:sz w:val="20"/>
                <w:szCs w:val="20"/>
                <w:lang w:val="sr-Cyrl-CS"/>
              </w:rPr>
            </w:pPr>
          </w:p>
        </w:tc>
        <w:tc>
          <w:tcPr>
            <w:tcW w:w="354" w:type="pct"/>
            <w:gridSpan w:val="2"/>
            <w:shd w:val="clear" w:color="auto" w:fill="auto"/>
          </w:tcPr>
          <w:p w14:paraId="6FE12B4A" w14:textId="77777777" w:rsidR="005F5879" w:rsidRPr="00221978" w:rsidRDefault="005F5879" w:rsidP="006E7355">
            <w:pPr>
              <w:jc w:val="center"/>
              <w:rPr>
                <w:rFonts w:ascii="Times New Roman" w:eastAsia="Calibri" w:hAnsi="Times New Roman" w:cs="Times New Roman"/>
                <w:bCs/>
                <w:sz w:val="20"/>
                <w:szCs w:val="20"/>
                <w:lang w:val="sr-Cyrl-CS"/>
              </w:rPr>
            </w:pPr>
          </w:p>
        </w:tc>
        <w:tc>
          <w:tcPr>
            <w:tcW w:w="354" w:type="pct"/>
            <w:gridSpan w:val="2"/>
            <w:shd w:val="clear" w:color="auto" w:fill="auto"/>
          </w:tcPr>
          <w:p w14:paraId="2C46AE85" w14:textId="77777777" w:rsidR="005F5879" w:rsidRPr="00221978" w:rsidRDefault="005F5879" w:rsidP="006E7355">
            <w:pPr>
              <w:jc w:val="center"/>
              <w:rPr>
                <w:rFonts w:ascii="Times New Roman" w:eastAsia="Calibri" w:hAnsi="Times New Roman" w:cs="Times New Roman"/>
                <w:bCs/>
                <w:sz w:val="20"/>
                <w:szCs w:val="20"/>
                <w:lang w:val="sr-Cyrl-CS"/>
              </w:rPr>
            </w:pPr>
          </w:p>
        </w:tc>
        <w:tc>
          <w:tcPr>
            <w:tcW w:w="354" w:type="pct"/>
            <w:shd w:val="clear" w:color="auto" w:fill="auto"/>
          </w:tcPr>
          <w:p w14:paraId="2EA1E8E1" w14:textId="77777777" w:rsidR="005F5879" w:rsidRPr="00221978" w:rsidRDefault="005F5879" w:rsidP="006E7355">
            <w:pPr>
              <w:jc w:val="center"/>
              <w:rPr>
                <w:rFonts w:ascii="Times New Roman" w:eastAsia="Calibri" w:hAnsi="Times New Roman" w:cs="Times New Roman"/>
                <w:bCs/>
                <w:sz w:val="20"/>
                <w:szCs w:val="20"/>
                <w:lang w:val="sr-Cyrl-CS"/>
              </w:rPr>
            </w:pPr>
          </w:p>
        </w:tc>
        <w:tc>
          <w:tcPr>
            <w:tcW w:w="354" w:type="pct"/>
            <w:tcBorders>
              <w:right w:val="single" w:sz="4" w:space="0" w:color="auto"/>
            </w:tcBorders>
            <w:shd w:val="clear" w:color="auto" w:fill="auto"/>
          </w:tcPr>
          <w:p w14:paraId="146FBAEF" w14:textId="77777777" w:rsidR="005F5879" w:rsidRPr="00221978" w:rsidRDefault="005F5879" w:rsidP="006E7355">
            <w:pPr>
              <w:jc w:val="center"/>
              <w:rPr>
                <w:rFonts w:ascii="Times New Roman" w:eastAsia="Calibri" w:hAnsi="Times New Roman" w:cs="Times New Roman"/>
                <w:bCs/>
                <w:sz w:val="20"/>
                <w:szCs w:val="20"/>
                <w:lang w:val="sr-Cyrl-CS"/>
              </w:rPr>
            </w:pPr>
          </w:p>
        </w:tc>
      </w:tr>
      <w:tr w:rsidR="005F5879" w:rsidRPr="00221978" w14:paraId="15B7669C" w14:textId="77777777" w:rsidTr="0078529D">
        <w:tc>
          <w:tcPr>
            <w:tcW w:w="1226" w:type="pct"/>
            <w:tcBorders>
              <w:left w:val="single" w:sz="4" w:space="0" w:color="auto"/>
              <w:bottom w:val="single" w:sz="4" w:space="0" w:color="auto"/>
            </w:tcBorders>
            <w:shd w:val="clear" w:color="auto" w:fill="auto"/>
          </w:tcPr>
          <w:p w14:paraId="003578CD" w14:textId="77777777" w:rsidR="005F5879" w:rsidRPr="00221978" w:rsidRDefault="005F5879" w:rsidP="006E7355">
            <w:pPr>
              <w:rPr>
                <w:rFonts w:ascii="Times New Roman" w:eastAsia="Calibri" w:hAnsi="Times New Roman" w:cs="Times New Roman"/>
                <w:bCs/>
                <w:sz w:val="20"/>
                <w:szCs w:val="20"/>
                <w:lang w:val="sr-Cyrl-CS"/>
              </w:rPr>
            </w:pPr>
            <w:r w:rsidRPr="00221978">
              <w:rPr>
                <w:rFonts w:ascii="Times New Roman" w:eastAsia="Calibri" w:hAnsi="Times New Roman" w:cs="Times New Roman"/>
                <w:bCs/>
                <w:sz w:val="20"/>
                <w:szCs w:val="20"/>
                <w:lang w:val="sr-Cyrl-CS"/>
              </w:rPr>
              <w:t>Процена успешности:</w:t>
            </w:r>
          </w:p>
        </w:tc>
        <w:tc>
          <w:tcPr>
            <w:tcW w:w="3774" w:type="pct"/>
            <w:gridSpan w:val="15"/>
            <w:tcBorders>
              <w:bottom w:val="single" w:sz="4" w:space="0" w:color="auto"/>
              <w:right w:val="single" w:sz="4" w:space="0" w:color="auto"/>
            </w:tcBorders>
            <w:shd w:val="clear" w:color="auto" w:fill="auto"/>
          </w:tcPr>
          <w:p w14:paraId="1E67F890" w14:textId="77777777" w:rsidR="005F5879" w:rsidRPr="00221978" w:rsidRDefault="005F5879" w:rsidP="006E7355">
            <w:pPr>
              <w:rPr>
                <w:rFonts w:ascii="Times New Roman" w:hAnsi="Times New Roman" w:cs="Times New Roman"/>
                <w:bCs/>
                <w:sz w:val="20"/>
                <w:szCs w:val="20"/>
                <w:lang w:val="sr-Cyrl-CS"/>
              </w:rPr>
            </w:pPr>
            <w:r w:rsidRPr="00221978">
              <w:rPr>
                <w:rFonts w:ascii="Times New Roman" w:eastAsia="Calibri" w:hAnsi="Times New Roman" w:cs="Times New Roman"/>
                <w:bCs/>
                <w:sz w:val="20"/>
                <w:szCs w:val="20"/>
                <w:lang w:val="sr-Cyrl-CS"/>
              </w:rPr>
              <w:t>Одступање од 1 дана је прихватљиво</w:t>
            </w:r>
          </w:p>
        </w:tc>
      </w:tr>
    </w:tbl>
    <w:p w14:paraId="763FCF16" w14:textId="269F1F12" w:rsidR="005F5879" w:rsidRPr="00221978" w:rsidRDefault="0078529D" w:rsidP="0078529D">
      <w:pPr>
        <w:spacing w:after="0" w:line="240" w:lineRule="auto"/>
        <w:jc w:val="right"/>
        <w:rPr>
          <w:rFonts w:ascii="Times New Roman" w:hAnsi="Times New Roman" w:cs="Times New Roman"/>
          <w:sz w:val="24"/>
          <w:szCs w:val="24"/>
          <w:lang w:val="sr-Cyrl-CS"/>
        </w:rPr>
      </w:pPr>
      <w:r w:rsidRPr="00221978">
        <w:rPr>
          <w:rFonts w:ascii="Times New Roman" w:eastAsia="Calibri" w:hAnsi="Times New Roman" w:cs="Times New Roman"/>
          <w:sz w:val="24"/>
          <w:szCs w:val="24"/>
          <w:lang w:val="sr-Cyrl-CS"/>
        </w:rPr>
        <w:t>”.</w:t>
      </w:r>
    </w:p>
    <w:p w14:paraId="305B8A7D" w14:textId="1C4AD48B" w:rsidR="00FC0AF2" w:rsidRPr="00221978" w:rsidRDefault="001F7AEB"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показатељ</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3. м</w:t>
      </w:r>
      <w:r w:rsidR="00FC0AF2" w:rsidRPr="00221978">
        <w:rPr>
          <w:rFonts w:ascii="Times New Roman" w:hAnsi="Times New Roman" w:cs="Times New Roman"/>
          <w:sz w:val="24"/>
          <w:szCs w:val="24"/>
          <w:lang w:val="sr-Cyrl-CS"/>
        </w:rPr>
        <w:t>ења с</w:t>
      </w:r>
      <w:r w:rsidR="001F0EF3" w:rsidRPr="00221978">
        <w:rPr>
          <w:rFonts w:ascii="Times New Roman" w:hAnsi="Times New Roman" w:cs="Times New Roman"/>
          <w:sz w:val="24"/>
          <w:szCs w:val="24"/>
          <w:lang w:val="sr-Cyrl-CS"/>
        </w:rPr>
        <w:t>е назив индикатора</w:t>
      </w:r>
      <w:r w:rsidR="00FC0AF2" w:rsidRPr="00221978">
        <w:rPr>
          <w:rFonts w:ascii="Times New Roman" w:hAnsi="Times New Roman" w:cs="Times New Roman"/>
          <w:sz w:val="24"/>
          <w:szCs w:val="24"/>
          <w:lang w:val="sr-Cyrl-CS"/>
        </w:rPr>
        <w:t xml:space="preserve"> и гласи: „</w:t>
      </w:r>
      <w:r w:rsidR="001F0EF3" w:rsidRPr="00221978">
        <w:rPr>
          <w:rFonts w:ascii="Times New Roman" w:hAnsi="Times New Roman" w:cs="Times New Roman"/>
          <w:sz w:val="24"/>
          <w:szCs w:val="24"/>
          <w:lang w:val="sr-Cyrl-CS"/>
        </w:rPr>
        <w:t>Просечан број незаконитости и неправилности по контроли у односу на укупан број извршених контрола (Показатељ на општем нивоу мери ефикасност буџетске инспекције, потребно је задржати га будући да број незаконитости зависи искључиво од буџетске инспекције, док спровођење мера зависи од других регулаторних органа (судова) - ранији тренд 2017. 6, 2018. 6</w:t>
      </w:r>
      <w:r w:rsidR="00A11866" w:rsidRPr="00221978">
        <w:rPr>
          <w:rFonts w:ascii="Times New Roman" w:hAnsi="Times New Roman" w:cs="Times New Roman"/>
          <w:sz w:val="24"/>
          <w:szCs w:val="24"/>
          <w:lang w:val="sr-Cyrl-CS"/>
        </w:rPr>
        <w:t xml:space="preserve">, </w:t>
      </w:r>
      <w:r w:rsidR="001F0EF3" w:rsidRPr="00221978">
        <w:rPr>
          <w:rFonts w:ascii="Times New Roman" w:hAnsi="Times New Roman" w:cs="Times New Roman"/>
          <w:sz w:val="24"/>
          <w:szCs w:val="24"/>
          <w:lang w:val="sr-Cyrl-CS"/>
        </w:rPr>
        <w:t>2019. 3, 2020. ПВ 2</w:t>
      </w:r>
      <w:r w:rsidR="00042BCC" w:rsidRPr="00221978">
        <w:rPr>
          <w:rFonts w:ascii="Times New Roman" w:hAnsi="Times New Roman" w:cs="Times New Roman"/>
          <w:sz w:val="24"/>
          <w:szCs w:val="24"/>
          <w:lang w:val="sr-Cyrl-CS"/>
        </w:rPr>
        <w:t>”.</w:t>
      </w:r>
    </w:p>
    <w:p w14:paraId="76151380" w14:textId="4354CFEF" w:rsidR="001F0EF3" w:rsidRPr="00221978" w:rsidRDefault="00FC0AF2"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 се</w:t>
      </w:r>
      <w:r w:rsidR="0061376F" w:rsidRPr="00221978">
        <w:rPr>
          <w:rFonts w:ascii="Times New Roman" w:hAnsi="Times New Roman" w:cs="Times New Roman"/>
          <w:sz w:val="24"/>
          <w:szCs w:val="24"/>
          <w:lang w:val="sr-Cyrl-CS"/>
        </w:rPr>
        <w:t xml:space="preserve"> </w:t>
      </w:r>
      <w:r w:rsidR="00EC3786" w:rsidRPr="00221978">
        <w:rPr>
          <w:rFonts w:ascii="Times New Roman" w:hAnsi="Times New Roman" w:cs="Times New Roman"/>
          <w:sz w:val="24"/>
          <w:szCs w:val="24"/>
          <w:lang w:val="sr-Cyrl-CS"/>
        </w:rPr>
        <w:t>п</w:t>
      </w:r>
      <w:r w:rsidR="0061376F" w:rsidRPr="00221978">
        <w:rPr>
          <w:rFonts w:ascii="Times New Roman" w:hAnsi="Times New Roman" w:cs="Times New Roman"/>
          <w:sz w:val="24"/>
          <w:szCs w:val="24"/>
          <w:lang w:val="sr-Cyrl-CS"/>
        </w:rPr>
        <w:t>роцена успешности и</w:t>
      </w:r>
      <w:r w:rsidR="001F0EF3" w:rsidRPr="00221978">
        <w:rPr>
          <w:rFonts w:ascii="Times New Roman" w:hAnsi="Times New Roman" w:cs="Times New Roman"/>
          <w:sz w:val="24"/>
          <w:szCs w:val="24"/>
          <w:lang w:val="sr-Cyrl-CS"/>
        </w:rPr>
        <w:t xml:space="preserve"> гласи: </w:t>
      </w:r>
      <w:r w:rsidRPr="00221978">
        <w:rPr>
          <w:rFonts w:ascii="Times New Roman" w:hAnsi="Times New Roman" w:cs="Times New Roman"/>
          <w:sz w:val="24"/>
          <w:szCs w:val="24"/>
          <w:lang w:val="sr-Cyrl-CS"/>
        </w:rPr>
        <w:t>„</w:t>
      </w:r>
      <w:r w:rsidR="001F0EF3" w:rsidRPr="00221978">
        <w:rPr>
          <w:rFonts w:ascii="Times New Roman" w:hAnsi="Times New Roman" w:cs="Times New Roman"/>
          <w:sz w:val="24"/>
          <w:szCs w:val="24"/>
          <w:lang w:val="sr-Cyrl-CS"/>
        </w:rPr>
        <w:t>Смањени број установљених неправилности, одступање од 10% је прихватљиво.</w:t>
      </w:r>
      <w:r w:rsidR="009B73BA" w:rsidRPr="00221978">
        <w:rPr>
          <w:rFonts w:ascii="Times New Roman" w:hAnsi="Times New Roman" w:cs="Times New Roman"/>
          <w:sz w:val="24"/>
          <w:szCs w:val="24"/>
          <w:lang w:val="sr-Cyrl-CS"/>
        </w:rPr>
        <w:t xml:space="preserve">”    </w:t>
      </w:r>
    </w:p>
    <w:p w14:paraId="3B7B9B92" w14:textId="3956E303" w:rsidR="00FC0AF2" w:rsidRPr="00221978" w:rsidRDefault="00FC0AF2"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 с</w:t>
      </w:r>
      <w:r w:rsidR="001F0EF3" w:rsidRPr="00221978">
        <w:rPr>
          <w:rFonts w:ascii="Times New Roman" w:hAnsi="Times New Roman" w:cs="Times New Roman"/>
          <w:sz w:val="24"/>
          <w:szCs w:val="24"/>
          <w:lang w:val="sr-Cyrl-CS"/>
        </w:rPr>
        <w:t xml:space="preserve">е </w:t>
      </w:r>
      <w:r w:rsidRPr="00221978">
        <w:rPr>
          <w:rFonts w:ascii="Times New Roman" w:hAnsi="Times New Roman" w:cs="Times New Roman"/>
          <w:sz w:val="24"/>
          <w:szCs w:val="24"/>
          <w:lang w:val="sr-Cyrl-CS"/>
        </w:rPr>
        <w:t xml:space="preserve">назив </w:t>
      </w:r>
      <w:r w:rsidR="001F0EF3" w:rsidRPr="00221978">
        <w:rPr>
          <w:rFonts w:ascii="Times New Roman" w:hAnsi="Times New Roman" w:cs="Times New Roman"/>
          <w:sz w:val="24"/>
          <w:szCs w:val="24"/>
          <w:lang w:val="sr-Cyrl-CS"/>
        </w:rPr>
        <w:t>показатељ</w:t>
      </w:r>
      <w:r w:rsidRPr="00221978">
        <w:rPr>
          <w:rFonts w:ascii="Times New Roman" w:hAnsi="Times New Roman" w:cs="Times New Roman"/>
          <w:sz w:val="24"/>
          <w:szCs w:val="24"/>
          <w:lang w:val="sr-Cyrl-CS"/>
        </w:rPr>
        <w:t>а</w:t>
      </w:r>
      <w:r w:rsidR="001F7AEB" w:rsidRPr="00221978">
        <w:rPr>
          <w:rFonts w:ascii="Times New Roman" w:hAnsi="Times New Roman" w:cs="Times New Roman"/>
          <w:sz w:val="24"/>
          <w:szCs w:val="24"/>
          <w:lang w:val="sr-Cyrl-CS"/>
        </w:rPr>
        <w:t xml:space="preserve"> 4.</w:t>
      </w:r>
      <w:r w:rsidRPr="00221978">
        <w:rPr>
          <w:rFonts w:ascii="Times New Roman" w:hAnsi="Times New Roman" w:cs="Times New Roman"/>
          <w:sz w:val="24"/>
          <w:szCs w:val="24"/>
          <w:lang w:val="sr-Cyrl-CS"/>
        </w:rPr>
        <w:t xml:space="preserve"> и гласи</w:t>
      </w:r>
      <w:r w:rsidR="001F0EF3"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w:t>
      </w:r>
      <w:r w:rsidR="001F0EF3" w:rsidRPr="00221978">
        <w:rPr>
          <w:rFonts w:ascii="Times New Roman" w:hAnsi="Times New Roman" w:cs="Times New Roman"/>
          <w:sz w:val="24"/>
          <w:szCs w:val="24"/>
          <w:lang w:val="sr-Cyrl-CS"/>
        </w:rPr>
        <w:t>Проценат прихваћених и спроведених препорука које субјектима индиректног управљања средствима ЕУ даје ревизорско тело</w:t>
      </w:r>
      <w:r w:rsidR="0078529D" w:rsidRPr="00221978">
        <w:rPr>
          <w:rFonts w:ascii="Times New Roman" w:eastAsia="Calibri" w:hAnsi="Times New Roman" w:cs="Times New Roman"/>
          <w:sz w:val="24"/>
          <w:szCs w:val="24"/>
          <w:lang w:val="sr-Cyrl-CS"/>
        </w:rPr>
        <w:t>”.</w:t>
      </w:r>
      <w:r w:rsidR="001F0EF3" w:rsidRPr="00221978">
        <w:rPr>
          <w:rFonts w:ascii="Times New Roman" w:hAnsi="Times New Roman" w:cs="Times New Roman"/>
          <w:sz w:val="24"/>
          <w:szCs w:val="24"/>
          <w:lang w:val="sr-Cyrl-CS"/>
        </w:rPr>
        <w:t xml:space="preserve"> </w:t>
      </w:r>
    </w:p>
    <w:p w14:paraId="2A687B5C" w14:textId="58FE0A61" w:rsidR="00FC0AF2" w:rsidRPr="00221978" w:rsidRDefault="00FC0AF2" w:rsidP="0078529D">
      <w:pPr>
        <w:spacing w:after="0" w:line="240" w:lineRule="auto"/>
        <w:ind w:firstLine="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Мења се </w:t>
      </w:r>
      <w:r w:rsidR="00EC3786" w:rsidRPr="00221978">
        <w:rPr>
          <w:rFonts w:ascii="Times New Roman" w:hAnsi="Times New Roman" w:cs="Times New Roman"/>
          <w:sz w:val="24"/>
          <w:szCs w:val="24"/>
          <w:lang w:val="sr-Cyrl-CS"/>
        </w:rPr>
        <w:t>и</w:t>
      </w:r>
      <w:r w:rsidR="001F0EF3" w:rsidRPr="00221978">
        <w:rPr>
          <w:rFonts w:ascii="Times New Roman" w:hAnsi="Times New Roman" w:cs="Times New Roman"/>
          <w:sz w:val="24"/>
          <w:szCs w:val="24"/>
          <w:lang w:val="sr-Cyrl-CS"/>
        </w:rPr>
        <w:t>звор података</w:t>
      </w:r>
      <w:r w:rsidRPr="00221978">
        <w:rPr>
          <w:rFonts w:ascii="Times New Roman" w:hAnsi="Times New Roman" w:cs="Times New Roman"/>
          <w:sz w:val="24"/>
          <w:szCs w:val="24"/>
          <w:lang w:val="sr-Cyrl-CS"/>
        </w:rPr>
        <w:t xml:space="preserve"> и гласи</w:t>
      </w:r>
      <w:r w:rsidR="00A11866" w:rsidRPr="00221978">
        <w:rPr>
          <w:rFonts w:ascii="Times New Roman" w:hAnsi="Times New Roman" w:cs="Times New Roman"/>
          <w:sz w:val="24"/>
          <w:szCs w:val="24"/>
          <w:lang w:val="sr-Cyrl-CS"/>
        </w:rPr>
        <w:t>:</w:t>
      </w:r>
      <w:r w:rsidR="001F0EF3"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w:t>
      </w:r>
      <w:r w:rsidR="001F0EF3" w:rsidRPr="00221978">
        <w:rPr>
          <w:rFonts w:ascii="Times New Roman" w:hAnsi="Times New Roman" w:cs="Times New Roman"/>
          <w:sz w:val="24"/>
          <w:szCs w:val="24"/>
          <w:lang w:val="sr-Cyrl-CS"/>
        </w:rPr>
        <w:t>Годишњи извештај о ревизији</w:t>
      </w:r>
      <w:r w:rsidR="0078529D" w:rsidRPr="00221978">
        <w:rPr>
          <w:rFonts w:ascii="Times New Roman" w:hAnsi="Times New Roman" w:cs="Times New Roman"/>
          <w:sz w:val="24"/>
          <w:szCs w:val="24"/>
          <w:lang w:val="sr-Cyrl-CS"/>
        </w:rPr>
        <w:t>”.</w:t>
      </w:r>
      <w:r w:rsidR="001F0EF3" w:rsidRPr="00221978">
        <w:rPr>
          <w:rFonts w:ascii="Times New Roman" w:hAnsi="Times New Roman" w:cs="Times New Roman"/>
          <w:sz w:val="24"/>
          <w:szCs w:val="24"/>
          <w:lang w:val="sr-Cyrl-CS"/>
        </w:rPr>
        <w:t xml:space="preserve"> </w:t>
      </w:r>
    </w:p>
    <w:p w14:paraId="03591FD0" w14:textId="60117871" w:rsidR="00FC0AF2" w:rsidRPr="00221978" w:rsidRDefault="00FC0AF2"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Мења се </w:t>
      </w:r>
      <w:r w:rsidR="00EC3786" w:rsidRPr="00221978">
        <w:rPr>
          <w:rFonts w:ascii="Times New Roman" w:hAnsi="Times New Roman" w:cs="Times New Roman"/>
          <w:sz w:val="24"/>
          <w:szCs w:val="24"/>
          <w:lang w:val="sr-Cyrl-CS"/>
        </w:rPr>
        <w:t>н</w:t>
      </w:r>
      <w:r w:rsidR="001F0EF3" w:rsidRPr="00221978">
        <w:rPr>
          <w:rFonts w:ascii="Times New Roman" w:hAnsi="Times New Roman" w:cs="Times New Roman"/>
          <w:sz w:val="24"/>
          <w:szCs w:val="24"/>
          <w:lang w:val="sr-Cyrl-CS"/>
        </w:rPr>
        <w:t>азив носиоца прикупљања података</w:t>
      </w:r>
      <w:r w:rsidRPr="00221978">
        <w:rPr>
          <w:rFonts w:ascii="Times New Roman" w:hAnsi="Times New Roman" w:cs="Times New Roman"/>
          <w:sz w:val="24"/>
          <w:szCs w:val="24"/>
          <w:lang w:val="sr-Cyrl-CS"/>
        </w:rPr>
        <w:t xml:space="preserve"> и гласи</w:t>
      </w:r>
      <w:r w:rsidR="001F0EF3"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w:t>
      </w:r>
      <w:r w:rsidR="001F0EF3" w:rsidRPr="00221978">
        <w:rPr>
          <w:rFonts w:ascii="Times New Roman" w:hAnsi="Times New Roman" w:cs="Times New Roman"/>
          <w:sz w:val="24"/>
          <w:szCs w:val="24"/>
          <w:lang w:val="sr-Cyrl-CS"/>
        </w:rPr>
        <w:t>Канцеларија за ревизију система управљања средствима ЕУ и МФ</w:t>
      </w:r>
      <w:r w:rsidR="00A11866" w:rsidRPr="00221978">
        <w:rPr>
          <w:rFonts w:ascii="Times New Roman" w:hAnsi="Times New Roman" w:cs="Times New Roman"/>
          <w:sz w:val="24"/>
          <w:szCs w:val="24"/>
          <w:lang w:val="sr-Cyrl-CS"/>
        </w:rPr>
        <w:t xml:space="preserve">; </w:t>
      </w:r>
      <w:r w:rsidR="001F0EF3" w:rsidRPr="00221978">
        <w:rPr>
          <w:rFonts w:ascii="Times New Roman" w:hAnsi="Times New Roman" w:cs="Times New Roman"/>
          <w:sz w:val="24"/>
          <w:szCs w:val="24"/>
          <w:lang w:val="sr-Cyrl-CS"/>
        </w:rPr>
        <w:t>Сектор за управљање средствима ЕУ</w:t>
      </w:r>
      <w:r w:rsidR="0078529D" w:rsidRPr="00221978">
        <w:rPr>
          <w:rFonts w:ascii="Times New Roman" w:hAnsi="Times New Roman" w:cs="Times New Roman"/>
          <w:sz w:val="24"/>
          <w:szCs w:val="24"/>
          <w:lang w:val="sr-Cyrl-CS"/>
        </w:rPr>
        <w:t>”.</w:t>
      </w:r>
    </w:p>
    <w:p w14:paraId="3CF6AAF8" w14:textId="1F9BC5BC" w:rsidR="00FC0AF2" w:rsidRPr="00221978" w:rsidRDefault="00FC0AF2"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Мења се </w:t>
      </w:r>
      <w:r w:rsidR="00EC3786" w:rsidRPr="00221978">
        <w:rPr>
          <w:rFonts w:ascii="Times New Roman" w:hAnsi="Times New Roman" w:cs="Times New Roman"/>
          <w:sz w:val="24"/>
          <w:szCs w:val="24"/>
          <w:lang w:val="sr-Cyrl-CS"/>
        </w:rPr>
        <w:t>к</w:t>
      </w:r>
      <w:r w:rsidR="001F0EF3" w:rsidRPr="00221978">
        <w:rPr>
          <w:rFonts w:ascii="Times New Roman" w:hAnsi="Times New Roman" w:cs="Times New Roman"/>
          <w:sz w:val="24"/>
          <w:szCs w:val="24"/>
          <w:lang w:val="sr-Cyrl-CS"/>
        </w:rPr>
        <w:t>ратак опис показатеља и методологије израчунавања (формуле/једначине)</w:t>
      </w:r>
      <w:r w:rsidR="0078529D"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 xml:space="preserve">и </w:t>
      </w:r>
      <w:r w:rsidR="001F7AEB" w:rsidRPr="00221978">
        <w:rPr>
          <w:rFonts w:ascii="Times New Roman" w:hAnsi="Times New Roman" w:cs="Times New Roman"/>
          <w:sz w:val="24"/>
          <w:szCs w:val="24"/>
          <w:lang w:val="sr-Cyrl-CS"/>
        </w:rPr>
        <w:t>гласи:</w:t>
      </w:r>
      <w:r w:rsidR="0078529D"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w:t>
      </w:r>
      <w:r w:rsidR="001F0EF3" w:rsidRPr="00221978">
        <w:rPr>
          <w:rFonts w:ascii="Times New Roman" w:hAnsi="Times New Roman" w:cs="Times New Roman"/>
          <w:sz w:val="24"/>
          <w:szCs w:val="24"/>
          <w:lang w:val="sr-Cyrl-CS"/>
        </w:rPr>
        <w:t>Показатељ указује на ефикасност целокупног система управљања средствима Европске уније будући да истовремено показује ефикасност ревизорског тела и свих субјеката индиректног управљања средствима ЕУ. Ревизорске препоруке су усмерене на унапређење целокупног система.</w:t>
      </w:r>
      <w:r w:rsidR="00551402" w:rsidRPr="00221978">
        <w:rPr>
          <w:rFonts w:ascii="Times New Roman" w:hAnsi="Times New Roman" w:cs="Times New Roman"/>
          <w:sz w:val="24"/>
          <w:szCs w:val="24"/>
          <w:lang w:val="sr-Cyrl-CS"/>
        </w:rPr>
        <w:t xml:space="preserve"> Показатељ се мери се на годишњем нивоу, узимајући у обзир препоруке које су дате у текућој години и затворене у n+2 (Усвајање препорука датих у 2018. години мери се у 2020. години).</w:t>
      </w:r>
      <w:r w:rsidR="009B73BA" w:rsidRPr="00221978">
        <w:rPr>
          <w:rFonts w:ascii="Times New Roman" w:hAnsi="Times New Roman" w:cs="Times New Roman"/>
          <w:sz w:val="24"/>
          <w:szCs w:val="24"/>
          <w:lang w:val="sr-Cyrl-CS"/>
        </w:rPr>
        <w:t xml:space="preserve">”    </w:t>
      </w:r>
    </w:p>
    <w:p w14:paraId="7D4EFB3F" w14:textId="71F9BEE1" w:rsidR="00FC0AF2" w:rsidRPr="00221978" w:rsidRDefault="00FC0AF2"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Мењају се</w:t>
      </w:r>
      <w:r w:rsidR="001F0EF3" w:rsidRPr="00221978">
        <w:rPr>
          <w:rFonts w:ascii="Times New Roman" w:hAnsi="Times New Roman" w:cs="Times New Roman"/>
          <w:sz w:val="24"/>
          <w:szCs w:val="24"/>
          <w:lang w:val="sr-Cyrl-CS"/>
        </w:rPr>
        <w:t xml:space="preserve"> </w:t>
      </w:r>
      <w:r w:rsidR="00EC3786" w:rsidRPr="00221978">
        <w:rPr>
          <w:rFonts w:ascii="Times New Roman" w:hAnsi="Times New Roman" w:cs="Times New Roman"/>
          <w:sz w:val="24"/>
          <w:szCs w:val="24"/>
          <w:lang w:val="sr-Cyrl-CS"/>
        </w:rPr>
        <w:t>п</w:t>
      </w:r>
      <w:r w:rsidR="001F0EF3" w:rsidRPr="00221978">
        <w:rPr>
          <w:rFonts w:ascii="Times New Roman" w:hAnsi="Times New Roman" w:cs="Times New Roman"/>
          <w:sz w:val="24"/>
          <w:szCs w:val="24"/>
          <w:lang w:val="sr-Cyrl-CS"/>
        </w:rPr>
        <w:t>одаци о полазној вредности и години кад је измерена, као и о ранијем тренду</w:t>
      </w:r>
      <w:r w:rsidRPr="00221978">
        <w:rPr>
          <w:rFonts w:ascii="Times New Roman" w:hAnsi="Times New Roman" w:cs="Times New Roman"/>
          <w:sz w:val="24"/>
          <w:szCs w:val="24"/>
          <w:lang w:val="sr-Cyrl-CS"/>
        </w:rPr>
        <w:t xml:space="preserve"> и глас</w:t>
      </w:r>
      <w:r w:rsidR="0078529D" w:rsidRPr="00221978">
        <w:rPr>
          <w:rFonts w:ascii="Times New Roman" w:hAnsi="Times New Roman" w:cs="Times New Roman"/>
          <w:sz w:val="24"/>
          <w:szCs w:val="24"/>
          <w:lang w:val="sr-Cyrl-CS"/>
        </w:rPr>
        <w:t>е</w:t>
      </w:r>
      <w:r w:rsidRPr="00221978">
        <w:rPr>
          <w:rFonts w:ascii="Times New Roman" w:hAnsi="Times New Roman" w:cs="Times New Roman"/>
          <w:sz w:val="24"/>
          <w:szCs w:val="24"/>
          <w:lang w:val="sr-Cyrl-CS"/>
        </w:rPr>
        <w:t>: „</w:t>
      </w:r>
      <w:r w:rsidR="001F0EF3" w:rsidRPr="00221978">
        <w:rPr>
          <w:rFonts w:ascii="Times New Roman" w:hAnsi="Times New Roman" w:cs="Times New Roman"/>
          <w:sz w:val="24"/>
          <w:szCs w:val="24"/>
          <w:lang w:val="sr-Cyrl-CS"/>
        </w:rPr>
        <w:t>2020. 0, 2021. 50%, 2022. 55%, 2023. 60%, 2024. 65%, 2025. 70%</w:t>
      </w:r>
      <w:r w:rsidR="0078529D" w:rsidRPr="00221978">
        <w:rPr>
          <w:rFonts w:ascii="Times New Roman" w:hAnsi="Times New Roman" w:cs="Times New Roman"/>
          <w:sz w:val="24"/>
          <w:szCs w:val="24"/>
          <w:lang w:val="sr-Cyrl-CS"/>
        </w:rPr>
        <w:t>”.</w:t>
      </w:r>
    </w:p>
    <w:p w14:paraId="219A1F12" w14:textId="3FAA4615" w:rsidR="001F0EF3" w:rsidRPr="00221978" w:rsidRDefault="00FC0AF2"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Мења се </w:t>
      </w:r>
      <w:r w:rsidR="00EC3786" w:rsidRPr="00221978">
        <w:rPr>
          <w:rFonts w:ascii="Times New Roman" w:hAnsi="Times New Roman" w:cs="Times New Roman"/>
          <w:sz w:val="24"/>
          <w:szCs w:val="24"/>
          <w:lang w:val="sr-Cyrl-CS"/>
        </w:rPr>
        <w:t>п</w:t>
      </w:r>
      <w:r w:rsidR="001F0EF3" w:rsidRPr="00221978">
        <w:rPr>
          <w:rFonts w:ascii="Times New Roman" w:hAnsi="Times New Roman" w:cs="Times New Roman"/>
          <w:sz w:val="24"/>
          <w:szCs w:val="24"/>
          <w:lang w:val="sr-Cyrl-CS"/>
        </w:rPr>
        <w:t>роцена успешности</w:t>
      </w:r>
      <w:r w:rsidRPr="00221978">
        <w:rPr>
          <w:rFonts w:ascii="Times New Roman" w:hAnsi="Times New Roman" w:cs="Times New Roman"/>
          <w:sz w:val="24"/>
          <w:szCs w:val="24"/>
          <w:lang w:val="sr-Cyrl-CS"/>
        </w:rPr>
        <w:t xml:space="preserve"> и гласи</w:t>
      </w:r>
      <w:r w:rsidR="001F0EF3"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w:t>
      </w:r>
      <w:r w:rsidR="001F0EF3" w:rsidRPr="00221978">
        <w:rPr>
          <w:rFonts w:ascii="Times New Roman" w:hAnsi="Times New Roman" w:cs="Times New Roman"/>
          <w:sz w:val="24"/>
          <w:szCs w:val="24"/>
          <w:lang w:val="sr-Cyrl-CS"/>
        </w:rPr>
        <w:t>Повећање и одржавање прихваћених и спроведених препорука, одступање од 10% је прихватљиво.</w:t>
      </w:r>
      <w:r w:rsidR="009B73BA" w:rsidRPr="00221978">
        <w:rPr>
          <w:rFonts w:ascii="Times New Roman" w:hAnsi="Times New Roman" w:cs="Times New Roman"/>
          <w:sz w:val="24"/>
          <w:szCs w:val="24"/>
          <w:lang w:val="sr-Cyrl-CS"/>
        </w:rPr>
        <w:t xml:space="preserve">”    </w:t>
      </w:r>
    </w:p>
    <w:p w14:paraId="52321453" w14:textId="6A97F368" w:rsidR="00EC3786" w:rsidRPr="00221978" w:rsidRDefault="00EC3786"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показатељ</w:t>
      </w:r>
      <w:r w:rsidR="008034ED"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5. мењају се подаци о полазној вредности и години кад је измерена, као и о ранијем тренду и гласе:</w:t>
      </w:r>
    </w:p>
    <w:p w14:paraId="0833AECA" w14:textId="32221E15" w:rsidR="00EC3786" w:rsidRPr="00221978" w:rsidRDefault="0078529D" w:rsidP="00FC0AF2">
      <w:p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lastRenderedPageBreak/>
        <w:t>„</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047"/>
        <w:gridCol w:w="1973"/>
        <w:gridCol w:w="1537"/>
        <w:gridCol w:w="1644"/>
        <w:gridCol w:w="2149"/>
      </w:tblGrid>
      <w:tr w:rsidR="00EC3786" w:rsidRPr="00221978" w14:paraId="1A6610EA" w14:textId="77777777" w:rsidTr="0078529D">
        <w:tc>
          <w:tcPr>
            <w:tcW w:w="1095" w:type="pct"/>
            <w:vMerge w:val="restart"/>
            <w:tcBorders>
              <w:top w:val="single" w:sz="6" w:space="0" w:color="auto"/>
              <w:left w:val="single" w:sz="4" w:space="0" w:color="auto"/>
            </w:tcBorders>
            <w:shd w:val="clear" w:color="auto" w:fill="auto"/>
          </w:tcPr>
          <w:p w14:paraId="3509EEFD" w14:textId="77777777" w:rsidR="00EC3786" w:rsidRPr="00221978" w:rsidRDefault="00EC3786" w:rsidP="003F4BEE">
            <w:pPr>
              <w:rPr>
                <w:rFonts w:ascii="Times New Roman" w:eastAsia="Calibri" w:hAnsi="Times New Roman" w:cs="Times New Roman"/>
                <w:sz w:val="20"/>
                <w:szCs w:val="20"/>
                <w:lang w:val="sr-Cyrl-CS"/>
              </w:rPr>
            </w:pPr>
            <w:bookmarkStart w:id="27" w:name="_Hlk93043563"/>
            <w:r w:rsidRPr="00221978">
              <w:rPr>
                <w:rFonts w:ascii="Times New Roman" w:eastAsia="Calibri" w:hAnsi="Times New Roman" w:cs="Times New Roman"/>
                <w:sz w:val="20"/>
                <w:szCs w:val="20"/>
                <w:lang w:val="sr-Cyrl-CS"/>
              </w:rPr>
              <w:t>Подаци о полазној вредности и години кад је измерена, као и о ранијем тренду</w:t>
            </w:r>
            <w:bookmarkEnd w:id="27"/>
          </w:p>
        </w:tc>
        <w:tc>
          <w:tcPr>
            <w:tcW w:w="2756" w:type="pct"/>
            <w:gridSpan w:val="3"/>
            <w:tcBorders>
              <w:top w:val="single" w:sz="6" w:space="0" w:color="auto"/>
            </w:tcBorders>
            <w:shd w:val="clear" w:color="auto" w:fill="auto"/>
            <w:vAlign w:val="center"/>
          </w:tcPr>
          <w:p w14:paraId="592224FE" w14:textId="77777777" w:rsidR="00EC3786" w:rsidRPr="00221978" w:rsidRDefault="00EC3786" w:rsidP="003F4BEE">
            <w:pPr>
              <w:tabs>
                <w:tab w:val="right" w:pos="2140"/>
              </w:tabs>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Ранији тренд</w:t>
            </w:r>
          </w:p>
        </w:tc>
        <w:tc>
          <w:tcPr>
            <w:tcW w:w="1149" w:type="pct"/>
            <w:tcBorders>
              <w:top w:val="single" w:sz="6" w:space="0" w:color="auto"/>
              <w:right w:val="single" w:sz="4" w:space="0" w:color="auto"/>
            </w:tcBorders>
            <w:shd w:val="clear" w:color="auto" w:fill="auto"/>
            <w:vAlign w:val="center"/>
          </w:tcPr>
          <w:p w14:paraId="0DF21040" w14:textId="77777777" w:rsidR="00EC3786" w:rsidRPr="00221978" w:rsidRDefault="00EC3786" w:rsidP="003F4BEE">
            <w:pPr>
              <w:tabs>
                <w:tab w:val="right" w:pos="2140"/>
              </w:tabs>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Полазна вредност</w:t>
            </w:r>
          </w:p>
        </w:tc>
      </w:tr>
      <w:tr w:rsidR="00EC3786" w:rsidRPr="00221978" w14:paraId="5486702D" w14:textId="77777777" w:rsidTr="0078529D">
        <w:tc>
          <w:tcPr>
            <w:tcW w:w="1095" w:type="pct"/>
            <w:vMerge/>
            <w:tcBorders>
              <w:left w:val="single" w:sz="4" w:space="0" w:color="auto"/>
            </w:tcBorders>
            <w:shd w:val="clear" w:color="auto" w:fill="auto"/>
          </w:tcPr>
          <w:p w14:paraId="58A3942F" w14:textId="77777777" w:rsidR="00EC3786" w:rsidRPr="00221978" w:rsidRDefault="00EC3786" w:rsidP="003F4BEE">
            <w:pPr>
              <w:rPr>
                <w:rFonts w:ascii="Times New Roman" w:eastAsia="Calibri" w:hAnsi="Times New Roman" w:cs="Times New Roman"/>
                <w:sz w:val="20"/>
                <w:szCs w:val="20"/>
                <w:lang w:val="sr-Cyrl-CS"/>
              </w:rPr>
            </w:pPr>
          </w:p>
        </w:tc>
        <w:tc>
          <w:tcPr>
            <w:tcW w:w="1055" w:type="pct"/>
            <w:shd w:val="clear" w:color="auto" w:fill="auto"/>
          </w:tcPr>
          <w:p w14:paraId="1678AB3D" w14:textId="77777777" w:rsidR="00EC3786" w:rsidRPr="00221978" w:rsidRDefault="00EC3786" w:rsidP="003F4BEE">
            <w:pPr>
              <w:tabs>
                <w:tab w:val="right" w:pos="2140"/>
              </w:tabs>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2017.</w:t>
            </w:r>
          </w:p>
        </w:tc>
        <w:tc>
          <w:tcPr>
            <w:tcW w:w="822" w:type="pct"/>
            <w:shd w:val="clear" w:color="auto" w:fill="auto"/>
          </w:tcPr>
          <w:p w14:paraId="2E4E06AC" w14:textId="77777777" w:rsidR="00EC3786" w:rsidRPr="00221978" w:rsidRDefault="00EC3786" w:rsidP="003F4BEE">
            <w:pPr>
              <w:tabs>
                <w:tab w:val="right" w:pos="2140"/>
              </w:tabs>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2018.</w:t>
            </w:r>
          </w:p>
        </w:tc>
        <w:tc>
          <w:tcPr>
            <w:tcW w:w="879" w:type="pct"/>
            <w:shd w:val="clear" w:color="auto" w:fill="auto"/>
          </w:tcPr>
          <w:p w14:paraId="0262C137" w14:textId="77777777" w:rsidR="00EC3786" w:rsidRPr="00221978" w:rsidRDefault="00EC3786" w:rsidP="003F4BEE">
            <w:pPr>
              <w:tabs>
                <w:tab w:val="right" w:pos="2140"/>
              </w:tabs>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2019.</w:t>
            </w:r>
          </w:p>
        </w:tc>
        <w:tc>
          <w:tcPr>
            <w:tcW w:w="1149" w:type="pct"/>
            <w:tcBorders>
              <w:right w:val="single" w:sz="4" w:space="0" w:color="auto"/>
            </w:tcBorders>
            <w:shd w:val="clear" w:color="auto" w:fill="auto"/>
          </w:tcPr>
          <w:p w14:paraId="219B0E75" w14:textId="77777777" w:rsidR="00EC3786" w:rsidRPr="00221978" w:rsidRDefault="00EC3786" w:rsidP="003F4BEE">
            <w:pPr>
              <w:tabs>
                <w:tab w:val="right" w:pos="2140"/>
              </w:tabs>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 xml:space="preserve">2020. </w:t>
            </w:r>
          </w:p>
        </w:tc>
      </w:tr>
      <w:tr w:rsidR="00EC3786" w:rsidRPr="00221978" w14:paraId="3F40B448" w14:textId="77777777" w:rsidTr="0078529D">
        <w:tc>
          <w:tcPr>
            <w:tcW w:w="1095" w:type="pct"/>
            <w:vMerge/>
            <w:tcBorders>
              <w:left w:val="single" w:sz="4" w:space="0" w:color="auto"/>
            </w:tcBorders>
            <w:shd w:val="clear" w:color="auto" w:fill="auto"/>
          </w:tcPr>
          <w:p w14:paraId="448A5EBD" w14:textId="77777777" w:rsidR="00EC3786" w:rsidRPr="00221978" w:rsidRDefault="00EC3786" w:rsidP="003F4BEE">
            <w:pPr>
              <w:rPr>
                <w:rFonts w:ascii="Times New Roman" w:eastAsia="Calibri" w:hAnsi="Times New Roman" w:cs="Times New Roman"/>
                <w:sz w:val="20"/>
                <w:szCs w:val="20"/>
                <w:lang w:val="sr-Cyrl-CS"/>
              </w:rPr>
            </w:pPr>
          </w:p>
        </w:tc>
        <w:tc>
          <w:tcPr>
            <w:tcW w:w="1055" w:type="pct"/>
            <w:shd w:val="clear" w:color="auto" w:fill="auto"/>
          </w:tcPr>
          <w:p w14:paraId="0B616430" w14:textId="77777777" w:rsidR="00EC3786" w:rsidRPr="00221978" w:rsidRDefault="00EC3786" w:rsidP="003F4BEE">
            <w:pPr>
              <w:tabs>
                <w:tab w:val="right" w:pos="2140"/>
              </w:tabs>
              <w:jc w:val="center"/>
              <w:rPr>
                <w:rFonts w:ascii="Times New Roman" w:eastAsia="Calibri" w:hAnsi="Times New Roman" w:cs="Times New Roman"/>
                <w:sz w:val="20"/>
                <w:szCs w:val="20"/>
                <w:lang w:val="sr-Cyrl-CS"/>
              </w:rPr>
            </w:pPr>
          </w:p>
        </w:tc>
        <w:tc>
          <w:tcPr>
            <w:tcW w:w="822" w:type="pct"/>
            <w:shd w:val="clear" w:color="auto" w:fill="auto"/>
          </w:tcPr>
          <w:p w14:paraId="324D2BA7" w14:textId="77777777" w:rsidR="00EC3786" w:rsidRPr="00221978" w:rsidRDefault="00EC3786" w:rsidP="003F4BEE">
            <w:pPr>
              <w:tabs>
                <w:tab w:val="right" w:pos="2140"/>
              </w:tabs>
              <w:jc w:val="center"/>
              <w:rPr>
                <w:rFonts w:ascii="Times New Roman" w:eastAsia="Calibri" w:hAnsi="Times New Roman" w:cs="Times New Roman"/>
                <w:sz w:val="20"/>
                <w:szCs w:val="20"/>
                <w:lang w:val="sr-Cyrl-CS"/>
              </w:rPr>
            </w:pPr>
          </w:p>
        </w:tc>
        <w:tc>
          <w:tcPr>
            <w:tcW w:w="879" w:type="pct"/>
            <w:shd w:val="clear" w:color="auto" w:fill="auto"/>
          </w:tcPr>
          <w:p w14:paraId="55907192" w14:textId="77777777" w:rsidR="00EC3786" w:rsidRPr="00221978" w:rsidRDefault="00EC3786" w:rsidP="003F4BEE">
            <w:pPr>
              <w:tabs>
                <w:tab w:val="right" w:pos="2140"/>
              </w:tabs>
              <w:jc w:val="center"/>
              <w:rPr>
                <w:rFonts w:ascii="Times New Roman" w:eastAsia="Calibri" w:hAnsi="Times New Roman" w:cs="Times New Roman"/>
                <w:sz w:val="20"/>
                <w:szCs w:val="20"/>
                <w:lang w:val="sr-Cyrl-CS"/>
              </w:rPr>
            </w:pPr>
            <w:r w:rsidRPr="00221978">
              <w:rPr>
                <w:rFonts w:ascii="Times New Roman" w:hAnsi="Times New Roman" w:cs="Times New Roman"/>
                <w:sz w:val="20"/>
                <w:szCs w:val="20"/>
                <w:lang w:val="sr-Cyrl-CS"/>
              </w:rPr>
              <w:t>Умерена припремљеност</w:t>
            </w:r>
          </w:p>
        </w:tc>
        <w:tc>
          <w:tcPr>
            <w:tcW w:w="1149" w:type="pct"/>
            <w:tcBorders>
              <w:right w:val="single" w:sz="4" w:space="0" w:color="auto"/>
            </w:tcBorders>
            <w:shd w:val="clear" w:color="auto" w:fill="auto"/>
          </w:tcPr>
          <w:p w14:paraId="2161C7F5" w14:textId="77777777" w:rsidR="00EC3786" w:rsidRPr="00221978" w:rsidRDefault="00EC3786" w:rsidP="003F4BEE">
            <w:pPr>
              <w:tabs>
                <w:tab w:val="right" w:pos="2140"/>
              </w:tabs>
              <w:jc w:val="center"/>
              <w:rPr>
                <w:rFonts w:ascii="Times New Roman" w:eastAsia="Calibri" w:hAnsi="Times New Roman" w:cs="Times New Roman"/>
                <w:sz w:val="20"/>
                <w:szCs w:val="20"/>
                <w:lang w:val="sr-Cyrl-CS"/>
              </w:rPr>
            </w:pPr>
            <w:r w:rsidRPr="00221978">
              <w:rPr>
                <w:rFonts w:ascii="Times New Roman" w:hAnsi="Times New Roman" w:cs="Times New Roman"/>
                <w:sz w:val="20"/>
                <w:szCs w:val="20"/>
                <w:lang w:val="sr-Cyrl-CS"/>
              </w:rPr>
              <w:t>Умерена припремљеност</w:t>
            </w:r>
          </w:p>
        </w:tc>
      </w:tr>
    </w:tbl>
    <w:p w14:paraId="73935EB9" w14:textId="3ECA71BD" w:rsidR="00EC3786" w:rsidRPr="00221978" w:rsidRDefault="0078529D" w:rsidP="0078529D">
      <w:pPr>
        <w:spacing w:after="0" w:line="240" w:lineRule="auto"/>
        <w:jc w:val="right"/>
        <w:rPr>
          <w:rFonts w:ascii="Times New Roman" w:hAnsi="Times New Roman" w:cs="Times New Roman"/>
          <w:sz w:val="24"/>
          <w:szCs w:val="24"/>
          <w:lang w:val="sr-Cyrl-CS"/>
        </w:rPr>
      </w:pPr>
      <w:r w:rsidRPr="00221978">
        <w:rPr>
          <w:rFonts w:ascii="Times New Roman" w:eastAsia="Calibri" w:hAnsi="Times New Roman" w:cs="Times New Roman"/>
          <w:sz w:val="24"/>
          <w:szCs w:val="24"/>
          <w:lang w:val="sr-Cyrl-CS"/>
        </w:rPr>
        <w:t>”.</w:t>
      </w:r>
    </w:p>
    <w:p w14:paraId="45D431E3" w14:textId="62036676" w:rsidR="00EC3786" w:rsidRPr="00221978" w:rsidRDefault="00EC3786" w:rsidP="00D405F8">
      <w:pPr>
        <w:spacing w:after="0" w:line="240" w:lineRule="auto"/>
        <w:ind w:left="720"/>
        <w:jc w:val="both"/>
        <w:rPr>
          <w:rFonts w:ascii="Times New Roman" w:hAnsi="Times New Roman" w:cs="Times New Roman"/>
          <w:bCs/>
          <w:sz w:val="24"/>
          <w:szCs w:val="24"/>
          <w:lang w:val="sr-Cyrl-CS"/>
        </w:rPr>
      </w:pPr>
      <w:r w:rsidRPr="00221978">
        <w:rPr>
          <w:rFonts w:ascii="Times New Roman" w:hAnsi="Times New Roman" w:cs="Times New Roman"/>
          <w:sz w:val="24"/>
          <w:szCs w:val="24"/>
          <w:lang w:val="sr-Cyrl-CS"/>
        </w:rPr>
        <w:t xml:space="preserve">У </w:t>
      </w:r>
      <w:r w:rsidR="008034ED" w:rsidRPr="00221978">
        <w:rPr>
          <w:rFonts w:ascii="Times New Roman" w:hAnsi="Times New Roman" w:cs="Times New Roman"/>
          <w:sz w:val="24"/>
          <w:szCs w:val="24"/>
          <w:lang w:val="sr-Cyrl-CS"/>
        </w:rPr>
        <w:t>показатељу</w:t>
      </w:r>
      <w:r w:rsidRPr="00221978">
        <w:rPr>
          <w:rFonts w:ascii="Times New Roman" w:hAnsi="Times New Roman" w:cs="Times New Roman"/>
          <w:sz w:val="24"/>
          <w:szCs w:val="24"/>
          <w:lang w:val="sr-Cyrl-CS"/>
        </w:rPr>
        <w:t xml:space="preserve"> 6. мења се назив индикатора и гласи:</w:t>
      </w:r>
      <w:r w:rsidR="0078529D" w:rsidRPr="00221978">
        <w:rPr>
          <w:rFonts w:ascii="Times New Roman" w:hAnsi="Times New Roman" w:cs="Times New Roman"/>
          <w:sz w:val="24"/>
          <w:szCs w:val="24"/>
          <w:lang w:val="sr-Cyrl-CS"/>
        </w:rPr>
        <w:t xml:space="preserve"> „</w:t>
      </w:r>
      <w:r w:rsidRPr="00221978">
        <w:rPr>
          <w:b/>
          <w:sz w:val="20"/>
          <w:szCs w:val="20"/>
          <w:lang w:val="sr-Cyrl-CS"/>
        </w:rPr>
        <w:t xml:space="preserve"> </w:t>
      </w:r>
      <w:r w:rsidRPr="00221978">
        <w:rPr>
          <w:rFonts w:ascii="Times New Roman" w:hAnsi="Times New Roman" w:cs="Times New Roman"/>
          <w:bCs/>
          <w:sz w:val="24"/>
          <w:szCs w:val="24"/>
          <w:lang w:val="sr-Cyrl-CS"/>
        </w:rPr>
        <w:t>Финансијски извештај припремљен и презентован Министарству финансија Републике Србије у складу са захтевима IPSAS за готовинску основу.</w:t>
      </w:r>
      <w:r w:rsidR="009B73BA" w:rsidRPr="00221978">
        <w:rPr>
          <w:rFonts w:ascii="Times New Roman" w:hAnsi="Times New Roman" w:cs="Times New Roman"/>
          <w:bCs/>
          <w:sz w:val="24"/>
          <w:szCs w:val="24"/>
          <w:lang w:val="sr-Cyrl-CS"/>
        </w:rPr>
        <w:t xml:space="preserve">”    </w:t>
      </w:r>
    </w:p>
    <w:p w14:paraId="58E08704" w14:textId="19F55C76" w:rsidR="00EC3786" w:rsidRPr="00221978" w:rsidRDefault="00EC3786" w:rsidP="00D405F8">
      <w:pPr>
        <w:spacing w:after="0" w:line="240" w:lineRule="auto"/>
        <w:ind w:left="720"/>
        <w:jc w:val="both"/>
        <w:rPr>
          <w:rFonts w:ascii="Times New Roman" w:hAnsi="Times New Roman" w:cs="Times New Roman"/>
          <w:bCs/>
          <w:sz w:val="24"/>
          <w:szCs w:val="24"/>
          <w:lang w:val="sr-Cyrl-CS"/>
        </w:rPr>
      </w:pPr>
      <w:r w:rsidRPr="00221978">
        <w:rPr>
          <w:rFonts w:ascii="Times New Roman" w:hAnsi="Times New Roman" w:cs="Times New Roman"/>
          <w:sz w:val="24"/>
          <w:szCs w:val="24"/>
          <w:lang w:val="sr-Cyrl-CS"/>
        </w:rPr>
        <w:t>Мења се одговарајући општи циљ, посебан циљ или мера и гласи:</w:t>
      </w:r>
      <w:r w:rsidR="0078529D" w:rsidRPr="00221978">
        <w:rPr>
          <w:rFonts w:ascii="Times New Roman" w:hAnsi="Times New Roman" w:cs="Times New Roman"/>
          <w:sz w:val="24"/>
          <w:szCs w:val="24"/>
          <w:lang w:val="sr-Cyrl-CS"/>
        </w:rPr>
        <w:t xml:space="preserve"> „</w:t>
      </w:r>
      <w:r w:rsidRPr="00221978">
        <w:rPr>
          <w:rFonts w:ascii="Times New Roman" w:eastAsia="Calibri" w:hAnsi="Times New Roman" w:cs="Times New Roman"/>
          <w:sz w:val="24"/>
          <w:szCs w:val="24"/>
          <w:lang w:val="sr-Cyrl-CS"/>
        </w:rPr>
        <w:t>Посебан циљ 5</w:t>
      </w:r>
      <w:r w:rsidRPr="00221978">
        <w:rPr>
          <w:rFonts w:ascii="Times New Roman" w:eastAsia="Calibri" w:hAnsi="Times New Roman" w:cs="Times New Roman"/>
          <w:bCs/>
          <w:sz w:val="24"/>
          <w:szCs w:val="24"/>
          <w:lang w:val="sr-Cyrl-CS"/>
        </w:rPr>
        <w:t xml:space="preserve">: </w:t>
      </w:r>
      <w:r w:rsidRPr="00221978">
        <w:rPr>
          <w:rFonts w:ascii="Times New Roman" w:hAnsi="Times New Roman" w:cs="Times New Roman"/>
          <w:bCs/>
          <w:sz w:val="24"/>
          <w:szCs w:val="24"/>
          <w:lang w:val="sr-Cyrl-CS"/>
        </w:rPr>
        <w:t>Унапређено рачуноводство у јавном сектору применом међународних рачуноводствених стандарда за јавни сектор (IPSAS) и увођење рачуноводствених стандарда.</w:t>
      </w:r>
      <w:r w:rsidR="009B73BA" w:rsidRPr="00221978">
        <w:rPr>
          <w:rFonts w:ascii="Times New Roman" w:hAnsi="Times New Roman" w:cs="Times New Roman"/>
          <w:bCs/>
          <w:sz w:val="24"/>
          <w:szCs w:val="24"/>
          <w:lang w:val="sr-Cyrl-CS"/>
        </w:rPr>
        <w:t xml:space="preserve">”    </w:t>
      </w:r>
    </w:p>
    <w:p w14:paraId="240DA43A" w14:textId="55CC3B9B" w:rsidR="00701C64" w:rsidRPr="00221978" w:rsidRDefault="00EC3786" w:rsidP="00042BCC">
      <w:pPr>
        <w:spacing w:after="0" w:line="240" w:lineRule="auto"/>
        <w:ind w:firstLine="720"/>
        <w:jc w:val="both"/>
        <w:rPr>
          <w:rFonts w:ascii="Times New Roman" w:hAnsi="Times New Roman" w:cs="Times New Roman"/>
          <w:bCs/>
          <w:sz w:val="24"/>
          <w:szCs w:val="24"/>
          <w:lang w:val="sr-Cyrl-CS"/>
        </w:rPr>
      </w:pPr>
      <w:r w:rsidRPr="00221978">
        <w:rPr>
          <w:rFonts w:ascii="Times New Roman" w:hAnsi="Times New Roman" w:cs="Times New Roman"/>
          <w:bCs/>
          <w:sz w:val="24"/>
          <w:szCs w:val="24"/>
          <w:lang w:val="sr-Cyrl-CS"/>
        </w:rPr>
        <w:t>Мења се јединица мере и природ</w:t>
      </w:r>
      <w:r w:rsidR="008F457C" w:rsidRPr="00221978">
        <w:rPr>
          <w:rFonts w:ascii="Times New Roman" w:hAnsi="Times New Roman" w:cs="Times New Roman"/>
          <w:bCs/>
          <w:sz w:val="24"/>
          <w:szCs w:val="24"/>
          <w:lang w:val="sr-Cyrl-CS"/>
        </w:rPr>
        <w:t>а</w:t>
      </w:r>
      <w:r w:rsidRPr="00221978">
        <w:rPr>
          <w:rFonts w:ascii="Times New Roman" w:hAnsi="Times New Roman" w:cs="Times New Roman"/>
          <w:bCs/>
          <w:sz w:val="24"/>
          <w:szCs w:val="24"/>
          <w:lang w:val="sr-Cyrl-CS"/>
        </w:rPr>
        <w:t xml:space="preserve"> и гласи:</w:t>
      </w:r>
    </w:p>
    <w:p w14:paraId="364EEEE6" w14:textId="608921D5" w:rsidR="00EC3786" w:rsidRPr="00221978" w:rsidRDefault="00701C64" w:rsidP="00EC3786">
      <w:pPr>
        <w:spacing w:after="0" w:line="240" w:lineRule="auto"/>
        <w:jc w:val="both"/>
        <w:rPr>
          <w:rFonts w:ascii="Times New Roman" w:hAnsi="Times New Roman" w:cs="Times New Roman"/>
          <w:bCs/>
          <w:sz w:val="24"/>
          <w:szCs w:val="24"/>
          <w:lang w:val="sr-Cyrl-CS"/>
        </w:rPr>
      </w:pPr>
      <w:r w:rsidRPr="00221978">
        <w:rPr>
          <w:rFonts w:ascii="Times New Roman" w:hAnsi="Times New Roman" w:cs="Times New Roman"/>
          <w:sz w:val="24"/>
          <w:szCs w:val="24"/>
          <w:lang w:val="sr-Cyrl-CS"/>
        </w:rPr>
        <w:t>„</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046"/>
        <w:gridCol w:w="3912"/>
        <w:gridCol w:w="3392"/>
      </w:tblGrid>
      <w:tr w:rsidR="00EC3786" w:rsidRPr="00221978" w14:paraId="1582CB02" w14:textId="77777777" w:rsidTr="003F4BEE">
        <w:tc>
          <w:tcPr>
            <w:tcW w:w="1094" w:type="pct"/>
            <w:tcBorders>
              <w:left w:val="single" w:sz="4" w:space="0" w:color="auto"/>
            </w:tcBorders>
            <w:shd w:val="clear" w:color="auto" w:fill="auto"/>
          </w:tcPr>
          <w:p w14:paraId="0D2FB09E" w14:textId="77777777" w:rsidR="00EC3786" w:rsidRPr="00221978" w:rsidRDefault="00EC3786" w:rsidP="003F4BEE">
            <w:pPr>
              <w:tabs>
                <w:tab w:val="right" w:pos="2140"/>
              </w:tabs>
              <w:rPr>
                <w:rFonts w:ascii="Times New Roman" w:eastAsia="Calibri" w:hAnsi="Times New Roman" w:cs="Times New Roman"/>
                <w:b/>
                <w:sz w:val="20"/>
                <w:szCs w:val="20"/>
                <w:lang w:val="sr-Cyrl-CS"/>
              </w:rPr>
            </w:pPr>
            <w:r w:rsidRPr="00221978">
              <w:rPr>
                <w:rFonts w:ascii="Times New Roman" w:eastAsia="Calibri" w:hAnsi="Times New Roman" w:cs="Times New Roman"/>
                <w:b/>
                <w:sz w:val="20"/>
                <w:szCs w:val="20"/>
                <w:lang w:val="sr-Cyrl-CS"/>
              </w:rPr>
              <w:t>Јединица мере и природа</w:t>
            </w:r>
          </w:p>
        </w:tc>
        <w:tc>
          <w:tcPr>
            <w:tcW w:w="2092" w:type="pct"/>
            <w:tcBorders>
              <w:right w:val="single" w:sz="4" w:space="0" w:color="auto"/>
            </w:tcBorders>
            <w:shd w:val="clear" w:color="auto" w:fill="auto"/>
          </w:tcPr>
          <w:p w14:paraId="799766AD" w14:textId="77777777" w:rsidR="00EC3786" w:rsidRPr="00221978" w:rsidRDefault="00EC3786" w:rsidP="003F4BEE">
            <w:pPr>
              <w:ind w:hanging="29"/>
              <w:rPr>
                <w:rFonts w:ascii="Times New Roman" w:hAnsi="Times New Roman" w:cs="Times New Roman"/>
                <w:sz w:val="20"/>
                <w:szCs w:val="20"/>
                <w:lang w:val="sr-Cyrl-CS"/>
              </w:rPr>
            </w:pPr>
            <w:r w:rsidRPr="00221978">
              <w:rPr>
                <w:rFonts w:ascii="Times New Roman" w:hAnsi="Times New Roman" w:cs="Times New Roman"/>
                <w:sz w:val="20"/>
                <w:szCs w:val="20"/>
                <w:lang w:val="sr-Cyrl-CS"/>
              </w:rPr>
              <w:t xml:space="preserve">Број </w:t>
            </w:r>
          </w:p>
        </w:tc>
        <w:tc>
          <w:tcPr>
            <w:tcW w:w="1814" w:type="pct"/>
            <w:tcBorders>
              <w:right w:val="single" w:sz="4" w:space="0" w:color="auto"/>
            </w:tcBorders>
            <w:shd w:val="clear" w:color="auto" w:fill="auto"/>
          </w:tcPr>
          <w:p w14:paraId="404AED6A" w14:textId="77777777" w:rsidR="00EC3786" w:rsidRPr="00221978" w:rsidRDefault="00EC3786" w:rsidP="003F4BEE">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0 – не постоји</w:t>
            </w:r>
          </w:p>
        </w:tc>
      </w:tr>
    </w:tbl>
    <w:p w14:paraId="4233DE91" w14:textId="26A3193D" w:rsidR="00701C64" w:rsidRPr="00221978" w:rsidRDefault="00701C64" w:rsidP="00701C64">
      <w:pPr>
        <w:spacing w:before="240" w:after="0" w:line="256" w:lineRule="auto"/>
        <w:jc w:val="right"/>
        <w:rPr>
          <w:rFonts w:ascii="Times New Roman" w:hAnsi="Times New Roman" w:cs="Times New Roman"/>
          <w:sz w:val="24"/>
          <w:szCs w:val="24"/>
          <w:lang w:val="sr-Cyrl-CS"/>
        </w:rPr>
      </w:pPr>
      <w:r w:rsidRPr="00221978">
        <w:rPr>
          <w:rFonts w:ascii="Times New Roman" w:eastAsia="Calibri" w:hAnsi="Times New Roman" w:cs="Times New Roman"/>
          <w:sz w:val="24"/>
          <w:szCs w:val="24"/>
          <w:lang w:val="sr-Cyrl-CS"/>
        </w:rPr>
        <w:t>”.</w:t>
      </w:r>
    </w:p>
    <w:p w14:paraId="55B2DADA" w14:textId="6517E0B1" w:rsidR="00EC3786" w:rsidRPr="00221978" w:rsidRDefault="00EC3786" w:rsidP="00D405F8">
      <w:pPr>
        <w:spacing w:before="240" w:after="0" w:line="256" w:lineRule="auto"/>
        <w:ind w:left="720"/>
        <w:jc w:val="both"/>
        <w:rPr>
          <w:rFonts w:ascii="Times New Roman" w:hAnsi="Times New Roman" w:cs="Times New Roman"/>
          <w:bCs/>
          <w:sz w:val="24"/>
          <w:szCs w:val="24"/>
          <w:lang w:val="sr-Cyrl-CS"/>
        </w:rPr>
      </w:pPr>
      <w:r w:rsidRPr="00221978">
        <w:rPr>
          <w:rFonts w:ascii="Times New Roman" w:hAnsi="Times New Roman" w:cs="Times New Roman"/>
          <w:sz w:val="24"/>
          <w:szCs w:val="24"/>
          <w:lang w:val="sr-Cyrl-CS"/>
        </w:rPr>
        <w:t>Мења се кратак опис показатеља и методологије израчунавања и гласи:</w:t>
      </w:r>
      <w:r w:rsidR="00701C64" w:rsidRPr="00221978">
        <w:rPr>
          <w:rFonts w:ascii="Times New Roman" w:eastAsia="Calibri" w:hAnsi="Times New Roman" w:cs="Times New Roman"/>
          <w:sz w:val="24"/>
          <w:szCs w:val="24"/>
          <w:lang w:val="sr-Cyrl-CS"/>
        </w:rPr>
        <w:t xml:space="preserve"> </w:t>
      </w:r>
      <w:r w:rsidR="009B73BA" w:rsidRPr="00221978">
        <w:rPr>
          <w:rFonts w:ascii="Times New Roman" w:hAnsi="Times New Roman" w:cs="Times New Roman"/>
          <w:sz w:val="24"/>
          <w:szCs w:val="24"/>
          <w:lang w:val="sr-Cyrl-CS"/>
        </w:rPr>
        <w:t xml:space="preserve">    </w:t>
      </w:r>
      <w:r w:rsidR="00701C64"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 xml:space="preserve">Објављивањем </w:t>
      </w:r>
      <w:r w:rsidRPr="00221978">
        <w:rPr>
          <w:rFonts w:ascii="Times New Roman" w:hAnsi="Times New Roman" w:cs="Times New Roman"/>
          <w:bCs/>
          <w:sz w:val="24"/>
          <w:szCs w:val="24"/>
          <w:lang w:val="sr-Cyrl-CS"/>
        </w:rPr>
        <w:t xml:space="preserve">Финансијских извештаја заснованих на готовинској основи у складу са IPSAS, повећава се квалитет извештаја увођењем стандарда. Информације о приливима готовине, готовинским одливима и готовинским салдима ентитета, омогућавају утврђивање одговорности и пружају податке корисне за процену способности ентитета да генерише довољно готовине у будућности, као и вероватних извора и употребе готовине. </w:t>
      </w:r>
    </w:p>
    <w:p w14:paraId="4982AFD7" w14:textId="77777777" w:rsidR="00EC3786" w:rsidRPr="00221978" w:rsidRDefault="00EC3786" w:rsidP="00D405F8">
      <w:pPr>
        <w:pStyle w:val="clan"/>
        <w:spacing w:before="0" w:beforeAutospacing="0" w:after="0" w:afterAutospacing="0"/>
        <w:ind w:left="720"/>
        <w:jc w:val="both"/>
        <w:rPr>
          <w:color w:val="000000"/>
          <w:lang w:val="sr-Cyrl-CS"/>
        </w:rPr>
      </w:pPr>
      <w:r w:rsidRPr="00221978">
        <w:rPr>
          <w:color w:val="000000"/>
          <w:lang w:val="sr-Cyrl-CS"/>
        </w:rPr>
        <w:t>Влада ближе уређује буџетско рачуноводство и начин вођења консолидованог рачуна трезора (члан 75. Закона о буџетском систему).</w:t>
      </w:r>
    </w:p>
    <w:p w14:paraId="35A0B25C" w14:textId="77777777" w:rsidR="00EC3786" w:rsidRPr="00221978" w:rsidRDefault="00EC3786" w:rsidP="00D405F8">
      <w:pPr>
        <w:pStyle w:val="clan"/>
        <w:spacing w:before="0" w:beforeAutospacing="0" w:after="0" w:afterAutospacing="0"/>
        <w:ind w:left="720"/>
        <w:jc w:val="both"/>
        <w:rPr>
          <w:color w:val="000000"/>
          <w:lang w:val="sr-Cyrl-CS"/>
        </w:rPr>
      </w:pPr>
      <w:r w:rsidRPr="00221978">
        <w:rPr>
          <w:color w:val="000000"/>
          <w:lang w:val="sr-Cyrl-CS"/>
        </w:rPr>
        <w:t xml:space="preserve">Влада, на предлог Министарства, образује Комисију за примену међународних рачуноводствених стандарда за јавни сектор (члан 75а Закона о буџетском систему). </w:t>
      </w:r>
    </w:p>
    <w:p w14:paraId="70E7326F" w14:textId="77777777" w:rsidR="00EC3786" w:rsidRPr="00221978" w:rsidRDefault="00EC3786" w:rsidP="00D405F8">
      <w:pPr>
        <w:pStyle w:val="clan"/>
        <w:spacing w:before="0" w:beforeAutospacing="0" w:after="0" w:afterAutospacing="0"/>
        <w:ind w:left="720"/>
        <w:jc w:val="both"/>
        <w:rPr>
          <w:color w:val="000000"/>
          <w:lang w:val="sr-Cyrl-CS"/>
        </w:rPr>
      </w:pPr>
      <w:r w:rsidRPr="00221978">
        <w:rPr>
          <w:color w:val="000000"/>
          <w:lang w:val="sr-Cyrl-CS"/>
        </w:rPr>
        <w:t xml:space="preserve">Комисија даје мишљење на нацрте аката министра, који се односе на примену Међународних рачуноводствених стандарда за јавни сектор. </w:t>
      </w:r>
    </w:p>
    <w:p w14:paraId="7086C34F" w14:textId="77777777" w:rsidR="00EC3786" w:rsidRPr="00221978" w:rsidRDefault="00EC3786" w:rsidP="00D405F8">
      <w:pPr>
        <w:spacing w:after="0" w:line="256" w:lineRule="auto"/>
        <w:ind w:left="720"/>
        <w:jc w:val="both"/>
        <w:rPr>
          <w:rFonts w:ascii="Times New Roman" w:hAnsi="Times New Roman" w:cs="Times New Roman"/>
          <w:bCs/>
          <w:sz w:val="24"/>
          <w:szCs w:val="24"/>
          <w:lang w:val="sr-Cyrl-CS"/>
        </w:rPr>
      </w:pPr>
      <w:r w:rsidRPr="00221978">
        <w:rPr>
          <w:rFonts w:ascii="Times New Roman" w:hAnsi="Times New Roman" w:cs="Times New Roman"/>
          <w:bCs/>
          <w:sz w:val="24"/>
          <w:szCs w:val="24"/>
          <w:lang w:val="sr-Cyrl-CS"/>
        </w:rPr>
        <w:t xml:space="preserve">Усаглашеност са захтевима и препорукама IPSAS побољшаће свеобухватно и транспарентно финансијско извештавање о приливима готовине, одливима готовине и готовинским салдима ентитета. </w:t>
      </w:r>
    </w:p>
    <w:p w14:paraId="7CFF989E" w14:textId="7C339411" w:rsidR="00EC3786" w:rsidRPr="00221978" w:rsidRDefault="00EC3786" w:rsidP="00D405F8">
      <w:pPr>
        <w:spacing w:after="0" w:line="240" w:lineRule="auto"/>
        <w:ind w:left="720"/>
        <w:jc w:val="both"/>
        <w:rPr>
          <w:rFonts w:ascii="Times New Roman" w:hAnsi="Times New Roman" w:cs="Times New Roman"/>
          <w:bCs/>
          <w:sz w:val="24"/>
          <w:szCs w:val="24"/>
          <w:lang w:val="sr-Cyrl-CS"/>
        </w:rPr>
      </w:pPr>
      <w:r w:rsidRPr="00221978">
        <w:rPr>
          <w:rFonts w:ascii="Times New Roman" w:hAnsi="Times New Roman" w:cs="Times New Roman"/>
          <w:bCs/>
          <w:sz w:val="24"/>
          <w:szCs w:val="24"/>
          <w:lang w:val="sr-Cyrl-CS"/>
        </w:rPr>
        <w:t>Такође ће побољшати упоредивост са финансијским извештајима ентитета из претходних периода, као и са финансијским извештајима осталих ентитета који су усвојили стандарде за готовинско рачуноводство.</w:t>
      </w:r>
      <w:r w:rsidR="009B73BA" w:rsidRPr="00221978">
        <w:rPr>
          <w:rFonts w:ascii="Times New Roman" w:hAnsi="Times New Roman" w:cs="Times New Roman"/>
          <w:bCs/>
          <w:sz w:val="24"/>
          <w:szCs w:val="24"/>
          <w:lang w:val="sr-Cyrl-CS"/>
        </w:rPr>
        <w:t xml:space="preserve">”    </w:t>
      </w:r>
    </w:p>
    <w:p w14:paraId="748EED64" w14:textId="2FD867D4" w:rsidR="00EC3786" w:rsidRPr="00221978" w:rsidRDefault="00EC3786"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bCs/>
          <w:sz w:val="24"/>
          <w:szCs w:val="24"/>
          <w:lang w:val="sr-Cyrl-CS"/>
        </w:rPr>
        <w:t>Мења се процена успешности и гласи:</w:t>
      </w:r>
      <w:r w:rsidR="009B73BA" w:rsidRPr="00221978">
        <w:rPr>
          <w:rFonts w:ascii="Times New Roman" w:hAnsi="Times New Roman" w:cs="Times New Roman"/>
          <w:bCs/>
          <w:sz w:val="24"/>
          <w:szCs w:val="24"/>
          <w:lang w:val="sr-Cyrl-CS"/>
        </w:rPr>
        <w:t xml:space="preserve"> </w:t>
      </w:r>
      <w:r w:rsidR="00701C64"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 xml:space="preserve">Успешност остварења циља у највећој мери зависи од формирања Комисије за примену међународних рачуноводствених стандарда за јавни сектор </w:t>
      </w:r>
      <w:r w:rsidRPr="00221978">
        <w:rPr>
          <w:rFonts w:ascii="Times New Roman" w:hAnsi="Times New Roman" w:cs="Times New Roman"/>
          <w:color w:val="000000"/>
          <w:sz w:val="24"/>
          <w:szCs w:val="24"/>
          <w:lang w:val="sr-Cyrl-CS"/>
        </w:rPr>
        <w:t>(члан 75а Закона о буџетском систему).</w:t>
      </w:r>
      <w:r w:rsidR="009B73BA" w:rsidRPr="00221978">
        <w:rPr>
          <w:rFonts w:ascii="Times New Roman" w:hAnsi="Times New Roman" w:cs="Times New Roman"/>
          <w:color w:val="000000"/>
          <w:sz w:val="24"/>
          <w:szCs w:val="24"/>
          <w:lang w:val="sr-Cyrl-CS"/>
        </w:rPr>
        <w:t xml:space="preserve">”    </w:t>
      </w:r>
    </w:p>
    <w:p w14:paraId="4F051B8E" w14:textId="701FA690" w:rsidR="007A7A24" w:rsidRPr="00221978" w:rsidRDefault="007A7A24"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На нивоу Посебног циља 6: „</w:t>
      </w:r>
      <w:r w:rsidRPr="00221978">
        <w:rPr>
          <w:rFonts w:ascii="Times New Roman" w:hAnsi="Times New Roman" w:cs="Times New Roman"/>
          <w:bCs/>
          <w:sz w:val="24"/>
          <w:szCs w:val="24"/>
          <w:lang w:val="sr-Cyrl-CS"/>
        </w:rPr>
        <w:t>Јачање спољног надзора над јавним финансијама</w:t>
      </w:r>
      <w:r w:rsidR="009B73BA" w:rsidRPr="00221978">
        <w:rPr>
          <w:rFonts w:ascii="Times New Roman" w:hAnsi="Times New Roman" w:cs="Times New Roman"/>
          <w:bCs/>
          <w:sz w:val="24"/>
          <w:szCs w:val="24"/>
          <w:lang w:val="sr-Cyrl-CS"/>
        </w:rPr>
        <w:t xml:space="preserve">”    </w:t>
      </w:r>
      <w:r w:rsidRPr="00221978">
        <w:rPr>
          <w:rFonts w:ascii="Times New Roman" w:hAnsi="Times New Roman" w:cs="Times New Roman"/>
          <w:sz w:val="24"/>
          <w:szCs w:val="24"/>
          <w:lang w:val="sr-Cyrl-CS"/>
        </w:rPr>
        <w:t xml:space="preserve"> мења се показатељ и гласи: </w:t>
      </w:r>
    </w:p>
    <w:p w14:paraId="11FEFE97" w14:textId="3ABB1526" w:rsidR="007A7A24" w:rsidRPr="00221978" w:rsidRDefault="00701C64" w:rsidP="007A7A24">
      <w:pPr>
        <w:spacing w:after="120"/>
        <w:rPr>
          <w:rFonts w:ascii="Times New Roman" w:hAnsi="Times New Roman" w:cs="Times New Roman"/>
          <w:sz w:val="24"/>
          <w:szCs w:val="24"/>
          <w:lang w:val="sr-Cyrl-CS"/>
        </w:rPr>
      </w:pPr>
      <w:r w:rsidRPr="00221978">
        <w:rPr>
          <w:rFonts w:ascii="Times New Roman" w:hAnsi="Times New Roman" w:cs="Times New Roman"/>
          <w:sz w:val="24"/>
          <w:szCs w:val="24"/>
          <w:lang w:val="sr-Cyrl-CS"/>
        </w:rPr>
        <w:lastRenderedPageBreak/>
        <w:t>„</w:t>
      </w:r>
      <w:r w:rsidR="007A7A24" w:rsidRPr="00221978">
        <w:rPr>
          <w:rFonts w:ascii="Times New Roman" w:hAnsi="Times New Roman" w:cs="Times New Roman"/>
          <w:sz w:val="24"/>
          <w:szCs w:val="24"/>
          <w:lang w:val="sr-Cyrl-CS"/>
        </w:rPr>
        <w:t>Показатељ 7.</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049"/>
        <w:gridCol w:w="731"/>
        <w:gridCol w:w="731"/>
        <w:gridCol w:w="363"/>
        <w:gridCol w:w="368"/>
        <w:gridCol w:w="731"/>
        <w:gridCol w:w="731"/>
        <w:gridCol w:w="254"/>
        <w:gridCol w:w="477"/>
        <w:gridCol w:w="731"/>
        <w:gridCol w:w="363"/>
        <w:gridCol w:w="368"/>
        <w:gridCol w:w="731"/>
        <w:gridCol w:w="722"/>
      </w:tblGrid>
      <w:tr w:rsidR="007A7A24" w:rsidRPr="00221978" w14:paraId="112B4C34" w14:textId="77777777" w:rsidTr="00701C64">
        <w:tc>
          <w:tcPr>
            <w:tcW w:w="1095" w:type="pct"/>
            <w:tcBorders>
              <w:top w:val="single" w:sz="4" w:space="0" w:color="auto"/>
              <w:left w:val="single" w:sz="4" w:space="0" w:color="auto"/>
            </w:tcBorders>
            <w:shd w:val="clear" w:color="auto" w:fill="auto"/>
            <w:vAlign w:val="center"/>
          </w:tcPr>
          <w:p w14:paraId="7E799ED3" w14:textId="77777777" w:rsidR="007A7A24" w:rsidRPr="00221978" w:rsidRDefault="007A7A24" w:rsidP="003F4BEE">
            <w:pPr>
              <w:tabs>
                <w:tab w:val="right" w:pos="2140"/>
              </w:tabs>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Назив индикатора</w:t>
            </w:r>
          </w:p>
        </w:tc>
        <w:tc>
          <w:tcPr>
            <w:tcW w:w="3905" w:type="pct"/>
            <w:gridSpan w:val="13"/>
            <w:tcBorders>
              <w:top w:val="single" w:sz="4" w:space="0" w:color="auto"/>
              <w:right w:val="single" w:sz="4" w:space="0" w:color="auto"/>
            </w:tcBorders>
            <w:shd w:val="clear" w:color="auto" w:fill="auto"/>
            <w:vAlign w:val="center"/>
          </w:tcPr>
          <w:p w14:paraId="1ACEF8CB" w14:textId="77777777" w:rsidR="007A7A24" w:rsidRPr="00221978" w:rsidRDefault="007A7A24" w:rsidP="003F4BEE">
            <w:pPr>
              <w:tabs>
                <w:tab w:val="right" w:pos="2140"/>
              </w:tabs>
              <w:rPr>
                <w:rFonts w:ascii="Times New Roman" w:hAnsi="Times New Roman" w:cs="Times New Roman"/>
                <w:sz w:val="20"/>
                <w:szCs w:val="20"/>
                <w:lang w:val="sr-Cyrl-CS"/>
              </w:rPr>
            </w:pPr>
            <w:r w:rsidRPr="00221978">
              <w:rPr>
                <w:rFonts w:ascii="Times New Roman" w:hAnsi="Times New Roman" w:cs="Times New Roman"/>
                <w:sz w:val="20"/>
                <w:szCs w:val="20"/>
                <w:lang w:val="sr-Cyrl-CS"/>
              </w:rPr>
              <w:t>Број разматраних извештаја о ревизији</w:t>
            </w:r>
          </w:p>
        </w:tc>
      </w:tr>
      <w:tr w:rsidR="007A7A24" w:rsidRPr="00221978" w14:paraId="3A9C907D" w14:textId="77777777" w:rsidTr="00701C64">
        <w:tc>
          <w:tcPr>
            <w:tcW w:w="1095" w:type="pct"/>
            <w:tcBorders>
              <w:top w:val="single" w:sz="4" w:space="0" w:color="auto"/>
              <w:left w:val="single" w:sz="4" w:space="0" w:color="auto"/>
            </w:tcBorders>
            <w:shd w:val="clear" w:color="auto" w:fill="auto"/>
          </w:tcPr>
          <w:p w14:paraId="4517332B" w14:textId="77777777" w:rsidR="007A7A24" w:rsidRPr="00221978" w:rsidRDefault="007A7A24" w:rsidP="003F4BEE">
            <w:pPr>
              <w:tabs>
                <w:tab w:val="right" w:pos="2140"/>
              </w:tabs>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Одговарајући општи циљ, посебан циљ или мера</w:t>
            </w:r>
          </w:p>
        </w:tc>
        <w:tc>
          <w:tcPr>
            <w:tcW w:w="3905" w:type="pct"/>
            <w:gridSpan w:val="13"/>
            <w:tcBorders>
              <w:top w:val="single" w:sz="4" w:space="0" w:color="auto"/>
              <w:right w:val="single" w:sz="4" w:space="0" w:color="auto"/>
            </w:tcBorders>
            <w:shd w:val="clear" w:color="auto" w:fill="auto"/>
          </w:tcPr>
          <w:p w14:paraId="2612CF04" w14:textId="77777777" w:rsidR="007A7A24" w:rsidRPr="00221978" w:rsidRDefault="007A7A24" w:rsidP="003F4BEE">
            <w:pPr>
              <w:tabs>
                <w:tab w:val="right" w:pos="2140"/>
              </w:tabs>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 xml:space="preserve">Посебан циљ 6: </w:t>
            </w:r>
            <w:r w:rsidRPr="00221978">
              <w:rPr>
                <w:rFonts w:ascii="Times New Roman" w:hAnsi="Times New Roman" w:cs="Times New Roman"/>
                <w:sz w:val="20"/>
                <w:szCs w:val="20"/>
                <w:lang w:val="sr-Cyrl-CS"/>
              </w:rPr>
              <w:t xml:space="preserve">Јачање спољног надзора над јавним финансијама  </w:t>
            </w:r>
          </w:p>
        </w:tc>
      </w:tr>
      <w:tr w:rsidR="007A7A24" w:rsidRPr="00221978" w14:paraId="6F2B6E8C" w14:textId="77777777" w:rsidTr="00701C64">
        <w:tc>
          <w:tcPr>
            <w:tcW w:w="1095" w:type="pct"/>
            <w:tcBorders>
              <w:left w:val="single" w:sz="4" w:space="0" w:color="auto"/>
            </w:tcBorders>
            <w:shd w:val="clear" w:color="auto" w:fill="auto"/>
          </w:tcPr>
          <w:p w14:paraId="235FE28E" w14:textId="77777777" w:rsidR="007A7A24" w:rsidRPr="00221978" w:rsidRDefault="007A7A24" w:rsidP="003F4BEE">
            <w:pPr>
              <w:tabs>
                <w:tab w:val="right" w:pos="2140"/>
              </w:tabs>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 xml:space="preserve">Тип показатеља </w:t>
            </w:r>
          </w:p>
        </w:tc>
        <w:tc>
          <w:tcPr>
            <w:tcW w:w="2091" w:type="pct"/>
            <w:gridSpan w:val="7"/>
            <w:tcBorders>
              <w:right w:val="single" w:sz="4" w:space="0" w:color="auto"/>
            </w:tcBorders>
            <w:shd w:val="clear" w:color="auto" w:fill="auto"/>
          </w:tcPr>
          <w:p w14:paraId="30831E94" w14:textId="77777777" w:rsidR="007A7A24" w:rsidRPr="00221978" w:rsidRDefault="007A7A24" w:rsidP="003F4BEE">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Квантитативни</w:t>
            </w:r>
          </w:p>
        </w:tc>
        <w:tc>
          <w:tcPr>
            <w:tcW w:w="1814" w:type="pct"/>
            <w:gridSpan w:val="6"/>
            <w:tcBorders>
              <w:right w:val="single" w:sz="4" w:space="0" w:color="auto"/>
            </w:tcBorders>
            <w:shd w:val="clear" w:color="auto" w:fill="auto"/>
          </w:tcPr>
          <w:p w14:paraId="3138E810" w14:textId="77777777" w:rsidR="007A7A24" w:rsidRPr="00221978" w:rsidRDefault="007A7A24" w:rsidP="003F4BEE">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Показатељ на нивоу посебног циља ПРУЈФ</w:t>
            </w:r>
          </w:p>
        </w:tc>
      </w:tr>
      <w:tr w:rsidR="007A7A24" w:rsidRPr="00221978" w14:paraId="0E8D3AEB" w14:textId="77777777" w:rsidTr="00701C64">
        <w:tc>
          <w:tcPr>
            <w:tcW w:w="1095" w:type="pct"/>
            <w:tcBorders>
              <w:left w:val="single" w:sz="4" w:space="0" w:color="auto"/>
            </w:tcBorders>
            <w:shd w:val="clear" w:color="auto" w:fill="auto"/>
          </w:tcPr>
          <w:p w14:paraId="703CEEA9" w14:textId="77777777" w:rsidR="007A7A24" w:rsidRPr="00221978" w:rsidRDefault="007A7A24" w:rsidP="003F4BEE">
            <w:pPr>
              <w:tabs>
                <w:tab w:val="right" w:pos="2140"/>
              </w:tabs>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Јединица мере и природа</w:t>
            </w:r>
          </w:p>
        </w:tc>
        <w:tc>
          <w:tcPr>
            <w:tcW w:w="2091" w:type="pct"/>
            <w:gridSpan w:val="7"/>
            <w:tcBorders>
              <w:right w:val="single" w:sz="4" w:space="0" w:color="auto"/>
            </w:tcBorders>
            <w:shd w:val="clear" w:color="auto" w:fill="auto"/>
          </w:tcPr>
          <w:p w14:paraId="6C9CC8B2" w14:textId="77777777" w:rsidR="007A7A24" w:rsidRPr="00221978" w:rsidRDefault="007A7A24" w:rsidP="003F4BEE">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 xml:space="preserve">Број </w:t>
            </w:r>
          </w:p>
        </w:tc>
        <w:tc>
          <w:tcPr>
            <w:tcW w:w="1814" w:type="pct"/>
            <w:gridSpan w:val="6"/>
            <w:tcBorders>
              <w:right w:val="single" w:sz="4" w:space="0" w:color="auto"/>
            </w:tcBorders>
            <w:shd w:val="clear" w:color="auto" w:fill="auto"/>
          </w:tcPr>
          <w:p w14:paraId="55CC45E1" w14:textId="77777777" w:rsidR="007A7A24" w:rsidRPr="00221978" w:rsidRDefault="007A7A24" w:rsidP="003F4BEE">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Побољшање праћења поступања по препорукама и мерама наведених у закључцима Народне скупштине</w:t>
            </w:r>
          </w:p>
          <w:p w14:paraId="18A1B443" w14:textId="77777777" w:rsidR="007A7A24" w:rsidRPr="00221978" w:rsidRDefault="007A7A24" w:rsidP="003F4BEE">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Већи број је бољи.</w:t>
            </w:r>
          </w:p>
        </w:tc>
      </w:tr>
      <w:tr w:rsidR="007A7A24" w:rsidRPr="00221978" w14:paraId="5D7A209C" w14:textId="77777777" w:rsidTr="00701C64">
        <w:tc>
          <w:tcPr>
            <w:tcW w:w="1095" w:type="pct"/>
            <w:tcBorders>
              <w:left w:val="single" w:sz="4" w:space="0" w:color="auto"/>
              <w:bottom w:val="single" w:sz="4" w:space="0" w:color="auto"/>
            </w:tcBorders>
            <w:shd w:val="clear" w:color="auto" w:fill="auto"/>
          </w:tcPr>
          <w:p w14:paraId="5B1A1546" w14:textId="77777777" w:rsidR="007A7A24" w:rsidRPr="00221978" w:rsidRDefault="007A7A24" w:rsidP="003F4BEE">
            <w:pPr>
              <w:tabs>
                <w:tab w:val="right" w:pos="2140"/>
              </w:tabs>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Извор података</w:t>
            </w:r>
          </w:p>
        </w:tc>
        <w:tc>
          <w:tcPr>
            <w:tcW w:w="3905" w:type="pct"/>
            <w:gridSpan w:val="13"/>
            <w:tcBorders>
              <w:bottom w:val="single" w:sz="4" w:space="0" w:color="auto"/>
              <w:right w:val="single" w:sz="4" w:space="0" w:color="auto"/>
            </w:tcBorders>
            <w:shd w:val="clear" w:color="auto" w:fill="auto"/>
          </w:tcPr>
          <w:p w14:paraId="12AEF859" w14:textId="77777777" w:rsidR="007A7A24" w:rsidRPr="00221978" w:rsidRDefault="007A7A24" w:rsidP="003F4BEE">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Извештаји Одбора/Записници са седница Одбора</w:t>
            </w:r>
            <w:r w:rsidRPr="00221978" w:rsidDel="00224939">
              <w:rPr>
                <w:rFonts w:ascii="Times New Roman" w:hAnsi="Times New Roman" w:cs="Times New Roman"/>
                <w:sz w:val="20"/>
                <w:szCs w:val="20"/>
                <w:lang w:val="sr-Cyrl-CS"/>
              </w:rPr>
              <w:t xml:space="preserve"> </w:t>
            </w:r>
          </w:p>
        </w:tc>
      </w:tr>
      <w:tr w:rsidR="007A7A24" w:rsidRPr="00221978" w14:paraId="70D19965" w14:textId="77777777" w:rsidTr="00701C64">
        <w:tc>
          <w:tcPr>
            <w:tcW w:w="1095" w:type="pct"/>
            <w:tcBorders>
              <w:left w:val="single" w:sz="4" w:space="0" w:color="auto"/>
              <w:bottom w:val="single" w:sz="4" w:space="0" w:color="auto"/>
            </w:tcBorders>
            <w:shd w:val="clear" w:color="auto" w:fill="auto"/>
          </w:tcPr>
          <w:p w14:paraId="3141D5F1" w14:textId="77777777" w:rsidR="007A7A24" w:rsidRPr="00221978" w:rsidRDefault="007A7A24" w:rsidP="003F4BEE">
            <w:pPr>
              <w:tabs>
                <w:tab w:val="right" w:pos="2140"/>
              </w:tabs>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Назив носиоца прикупљања података</w:t>
            </w:r>
          </w:p>
        </w:tc>
        <w:tc>
          <w:tcPr>
            <w:tcW w:w="3905" w:type="pct"/>
            <w:gridSpan w:val="13"/>
            <w:tcBorders>
              <w:bottom w:val="single" w:sz="4" w:space="0" w:color="auto"/>
              <w:right w:val="single" w:sz="4" w:space="0" w:color="auto"/>
            </w:tcBorders>
            <w:shd w:val="clear" w:color="auto" w:fill="auto"/>
          </w:tcPr>
          <w:p w14:paraId="45B94D27" w14:textId="77777777" w:rsidR="007A7A24" w:rsidRPr="00221978" w:rsidRDefault="007A7A24" w:rsidP="003F4BEE">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Одбор за финансије, републички буџет и контролу трошења јавних средстава Народне скупштине</w:t>
            </w:r>
            <w:r w:rsidRPr="00221978" w:rsidDel="00224939">
              <w:rPr>
                <w:rFonts w:ascii="Times New Roman" w:hAnsi="Times New Roman" w:cs="Times New Roman"/>
                <w:sz w:val="20"/>
                <w:szCs w:val="20"/>
                <w:lang w:val="sr-Cyrl-CS"/>
              </w:rPr>
              <w:t xml:space="preserve"> </w:t>
            </w:r>
          </w:p>
        </w:tc>
      </w:tr>
      <w:tr w:rsidR="007A7A24" w:rsidRPr="00221978" w14:paraId="5B7A62DC" w14:textId="77777777" w:rsidTr="00701C64">
        <w:tc>
          <w:tcPr>
            <w:tcW w:w="1095" w:type="pct"/>
            <w:tcBorders>
              <w:top w:val="single" w:sz="4" w:space="0" w:color="auto"/>
              <w:left w:val="single" w:sz="4" w:space="0" w:color="auto"/>
            </w:tcBorders>
            <w:shd w:val="clear" w:color="auto" w:fill="auto"/>
          </w:tcPr>
          <w:p w14:paraId="33F6BBCB" w14:textId="77777777" w:rsidR="007A7A24" w:rsidRPr="00221978" w:rsidRDefault="007A7A24" w:rsidP="003F4BEE">
            <w:pPr>
              <w:tabs>
                <w:tab w:val="right" w:pos="2140"/>
              </w:tabs>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Учесталост</w:t>
            </w:r>
          </w:p>
        </w:tc>
        <w:tc>
          <w:tcPr>
            <w:tcW w:w="3905" w:type="pct"/>
            <w:gridSpan w:val="13"/>
            <w:tcBorders>
              <w:top w:val="single" w:sz="4" w:space="0" w:color="auto"/>
              <w:right w:val="single" w:sz="4" w:space="0" w:color="auto"/>
            </w:tcBorders>
            <w:shd w:val="clear" w:color="auto" w:fill="auto"/>
          </w:tcPr>
          <w:p w14:paraId="1B8F1737" w14:textId="77777777" w:rsidR="007A7A24" w:rsidRPr="00221978" w:rsidRDefault="007A7A24" w:rsidP="003F4BEE">
            <w:pPr>
              <w:rPr>
                <w:rFonts w:ascii="Times New Roman" w:hAnsi="Times New Roman" w:cs="Times New Roman"/>
                <w:sz w:val="20"/>
                <w:szCs w:val="20"/>
                <w:lang w:val="sr-Cyrl-CS"/>
              </w:rPr>
            </w:pPr>
            <w:r w:rsidRPr="00221978">
              <w:rPr>
                <w:rFonts w:ascii="Times New Roman" w:eastAsia="Calibri" w:hAnsi="Times New Roman" w:cs="Times New Roman"/>
                <w:sz w:val="20"/>
                <w:szCs w:val="20"/>
                <w:lang w:val="sr-Cyrl-CS"/>
              </w:rPr>
              <w:t>Подаци се прикупљају на годишњем нивоу.</w:t>
            </w:r>
          </w:p>
        </w:tc>
      </w:tr>
      <w:tr w:rsidR="007A7A24" w:rsidRPr="00221978" w14:paraId="02EB640D" w14:textId="77777777" w:rsidTr="00701C64">
        <w:trPr>
          <w:trHeight w:val="1223"/>
        </w:trPr>
        <w:tc>
          <w:tcPr>
            <w:tcW w:w="1095" w:type="pct"/>
            <w:tcBorders>
              <w:left w:val="single" w:sz="4" w:space="0" w:color="auto"/>
              <w:bottom w:val="single" w:sz="6" w:space="0" w:color="auto"/>
            </w:tcBorders>
            <w:shd w:val="clear" w:color="auto" w:fill="auto"/>
          </w:tcPr>
          <w:p w14:paraId="012F6F83" w14:textId="77777777" w:rsidR="007A7A24" w:rsidRPr="00221978" w:rsidRDefault="007A7A24" w:rsidP="003F4BEE">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Кратак опис показатеља и методологије израчунавања</w:t>
            </w:r>
          </w:p>
          <w:p w14:paraId="13D5A30C" w14:textId="77777777" w:rsidR="007A7A24" w:rsidRPr="00221978" w:rsidRDefault="007A7A24" w:rsidP="003F4BEE">
            <w:pPr>
              <w:tabs>
                <w:tab w:val="right" w:pos="2140"/>
              </w:tabs>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(формуле/једначине)</w:t>
            </w:r>
          </w:p>
        </w:tc>
        <w:tc>
          <w:tcPr>
            <w:tcW w:w="3905" w:type="pct"/>
            <w:gridSpan w:val="13"/>
            <w:tcBorders>
              <w:right w:val="single" w:sz="4" w:space="0" w:color="auto"/>
            </w:tcBorders>
            <w:shd w:val="clear" w:color="auto" w:fill="auto"/>
          </w:tcPr>
          <w:p w14:paraId="05DCCE84" w14:textId="77777777" w:rsidR="007A7A24" w:rsidRPr="00221978" w:rsidRDefault="007A7A24" w:rsidP="003F4BEE">
            <w:pPr>
              <w:rPr>
                <w:rFonts w:ascii="Times New Roman" w:hAnsi="Times New Roman" w:cs="Times New Roman"/>
                <w:sz w:val="20"/>
                <w:szCs w:val="20"/>
                <w:lang w:val="sr-Cyrl-CS"/>
              </w:rPr>
            </w:pPr>
            <w:r w:rsidRPr="00221978">
              <w:rPr>
                <w:rFonts w:ascii="Times New Roman" w:hAnsi="Times New Roman" w:cs="Times New Roman"/>
                <w:sz w:val="20"/>
                <w:szCs w:val="20"/>
                <w:lang w:val="sr-Cyrl-CS"/>
              </w:rPr>
              <w:t>Показатељ се односи на праћење поступања Владе/Министарства финансија по препорукама и мерама наведеним у закључцима Народне скупштине поводом разматрања и усвајања извештаја ДРИ.</w:t>
            </w:r>
          </w:p>
        </w:tc>
      </w:tr>
      <w:tr w:rsidR="007A7A24" w:rsidRPr="00221978" w14:paraId="578892F5" w14:textId="77777777" w:rsidTr="00701C64">
        <w:tc>
          <w:tcPr>
            <w:tcW w:w="1095" w:type="pct"/>
            <w:vMerge w:val="restart"/>
            <w:tcBorders>
              <w:top w:val="single" w:sz="6" w:space="0" w:color="auto"/>
              <w:left w:val="single" w:sz="4" w:space="0" w:color="auto"/>
            </w:tcBorders>
            <w:shd w:val="clear" w:color="auto" w:fill="auto"/>
          </w:tcPr>
          <w:p w14:paraId="1B6A0A7F" w14:textId="77777777" w:rsidR="007A7A24" w:rsidRPr="00221978" w:rsidRDefault="007A7A24" w:rsidP="003F4BEE">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Подаци о полазној вредности и години кад је измерена, као и о ранијем тренду</w:t>
            </w:r>
          </w:p>
        </w:tc>
        <w:tc>
          <w:tcPr>
            <w:tcW w:w="2930" w:type="pct"/>
            <w:gridSpan w:val="10"/>
            <w:tcBorders>
              <w:top w:val="single" w:sz="6" w:space="0" w:color="auto"/>
            </w:tcBorders>
            <w:shd w:val="clear" w:color="auto" w:fill="auto"/>
            <w:vAlign w:val="center"/>
          </w:tcPr>
          <w:p w14:paraId="4E217C13" w14:textId="77777777" w:rsidR="007A7A24" w:rsidRPr="00221978" w:rsidRDefault="007A7A24" w:rsidP="003F4BEE">
            <w:pPr>
              <w:tabs>
                <w:tab w:val="right" w:pos="2140"/>
              </w:tabs>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Ранији тренд</w:t>
            </w:r>
          </w:p>
        </w:tc>
        <w:tc>
          <w:tcPr>
            <w:tcW w:w="975" w:type="pct"/>
            <w:gridSpan w:val="3"/>
            <w:tcBorders>
              <w:top w:val="single" w:sz="6" w:space="0" w:color="auto"/>
              <w:right w:val="single" w:sz="4" w:space="0" w:color="auto"/>
            </w:tcBorders>
            <w:shd w:val="clear" w:color="auto" w:fill="auto"/>
            <w:vAlign w:val="center"/>
          </w:tcPr>
          <w:p w14:paraId="75A1B423" w14:textId="77777777" w:rsidR="007A7A24" w:rsidRPr="00221978" w:rsidRDefault="007A7A24" w:rsidP="003F4BEE">
            <w:pPr>
              <w:tabs>
                <w:tab w:val="right" w:pos="2140"/>
              </w:tabs>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Полазна вредност</w:t>
            </w:r>
          </w:p>
        </w:tc>
      </w:tr>
      <w:tr w:rsidR="007A7A24" w:rsidRPr="00221978" w14:paraId="4D29862F" w14:textId="77777777" w:rsidTr="00701C64">
        <w:tc>
          <w:tcPr>
            <w:tcW w:w="1095" w:type="pct"/>
            <w:vMerge/>
            <w:tcBorders>
              <w:left w:val="single" w:sz="4" w:space="0" w:color="auto"/>
            </w:tcBorders>
            <w:shd w:val="clear" w:color="auto" w:fill="auto"/>
          </w:tcPr>
          <w:p w14:paraId="2D7A9EBE" w14:textId="77777777" w:rsidR="007A7A24" w:rsidRPr="00221978" w:rsidRDefault="007A7A24" w:rsidP="003F4BEE">
            <w:pPr>
              <w:rPr>
                <w:rFonts w:ascii="Times New Roman" w:eastAsia="Calibri" w:hAnsi="Times New Roman" w:cs="Times New Roman"/>
                <w:sz w:val="20"/>
                <w:szCs w:val="20"/>
                <w:lang w:val="sr-Cyrl-CS"/>
              </w:rPr>
            </w:pPr>
          </w:p>
        </w:tc>
        <w:tc>
          <w:tcPr>
            <w:tcW w:w="976" w:type="pct"/>
            <w:gridSpan w:val="3"/>
            <w:shd w:val="clear" w:color="auto" w:fill="auto"/>
          </w:tcPr>
          <w:p w14:paraId="54289B6A" w14:textId="77777777" w:rsidR="007A7A24" w:rsidRPr="00221978" w:rsidRDefault="007A7A24" w:rsidP="003F4BEE">
            <w:pPr>
              <w:tabs>
                <w:tab w:val="right" w:pos="2140"/>
              </w:tabs>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2016.</w:t>
            </w:r>
          </w:p>
        </w:tc>
        <w:tc>
          <w:tcPr>
            <w:tcW w:w="979" w:type="pct"/>
            <w:gridSpan w:val="3"/>
            <w:shd w:val="clear" w:color="auto" w:fill="auto"/>
          </w:tcPr>
          <w:p w14:paraId="34DF1AC8" w14:textId="77777777" w:rsidR="007A7A24" w:rsidRPr="00221978" w:rsidRDefault="007A7A24" w:rsidP="003F4BEE">
            <w:pPr>
              <w:tabs>
                <w:tab w:val="right" w:pos="2140"/>
              </w:tabs>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2018.</w:t>
            </w:r>
          </w:p>
        </w:tc>
        <w:tc>
          <w:tcPr>
            <w:tcW w:w="976" w:type="pct"/>
            <w:gridSpan w:val="4"/>
            <w:shd w:val="clear" w:color="auto" w:fill="auto"/>
          </w:tcPr>
          <w:p w14:paraId="6E134C5C" w14:textId="77777777" w:rsidR="007A7A24" w:rsidRPr="00221978" w:rsidRDefault="007A7A24" w:rsidP="003F4BEE">
            <w:pPr>
              <w:tabs>
                <w:tab w:val="right" w:pos="2140"/>
              </w:tabs>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2019.</w:t>
            </w:r>
          </w:p>
        </w:tc>
        <w:tc>
          <w:tcPr>
            <w:tcW w:w="975" w:type="pct"/>
            <w:gridSpan w:val="3"/>
            <w:tcBorders>
              <w:right w:val="single" w:sz="4" w:space="0" w:color="auto"/>
            </w:tcBorders>
            <w:shd w:val="clear" w:color="auto" w:fill="auto"/>
          </w:tcPr>
          <w:p w14:paraId="7565603A" w14:textId="77777777" w:rsidR="007A7A24" w:rsidRPr="00221978" w:rsidRDefault="007A7A24" w:rsidP="003F4BEE">
            <w:pPr>
              <w:tabs>
                <w:tab w:val="right" w:pos="2140"/>
              </w:tabs>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 xml:space="preserve">2020. </w:t>
            </w:r>
          </w:p>
        </w:tc>
      </w:tr>
      <w:tr w:rsidR="007A7A24" w:rsidRPr="00221978" w14:paraId="5CB04420" w14:textId="77777777" w:rsidTr="00701C64">
        <w:tc>
          <w:tcPr>
            <w:tcW w:w="1095" w:type="pct"/>
            <w:vMerge/>
            <w:tcBorders>
              <w:left w:val="single" w:sz="4" w:space="0" w:color="auto"/>
            </w:tcBorders>
            <w:shd w:val="clear" w:color="auto" w:fill="auto"/>
          </w:tcPr>
          <w:p w14:paraId="4D0D8F51" w14:textId="77777777" w:rsidR="007A7A24" w:rsidRPr="00221978" w:rsidRDefault="007A7A24" w:rsidP="003F4BEE">
            <w:pPr>
              <w:rPr>
                <w:rFonts w:ascii="Times New Roman" w:eastAsia="Calibri" w:hAnsi="Times New Roman" w:cs="Times New Roman"/>
                <w:sz w:val="20"/>
                <w:szCs w:val="20"/>
                <w:lang w:val="sr-Cyrl-CS"/>
              </w:rPr>
            </w:pPr>
          </w:p>
        </w:tc>
        <w:tc>
          <w:tcPr>
            <w:tcW w:w="976" w:type="pct"/>
            <w:gridSpan w:val="3"/>
            <w:shd w:val="clear" w:color="auto" w:fill="auto"/>
          </w:tcPr>
          <w:p w14:paraId="1C3FF2E4" w14:textId="77777777" w:rsidR="007A7A24" w:rsidRPr="00221978" w:rsidRDefault="007A7A24" w:rsidP="003F4BEE">
            <w:pPr>
              <w:tabs>
                <w:tab w:val="right" w:pos="2140"/>
              </w:tabs>
              <w:jc w:val="center"/>
              <w:rPr>
                <w:rFonts w:ascii="Times New Roman" w:eastAsia="Calibri" w:hAnsi="Times New Roman" w:cs="Times New Roman"/>
                <w:sz w:val="20"/>
                <w:szCs w:val="20"/>
                <w:lang w:val="sr-Cyrl-CS"/>
              </w:rPr>
            </w:pPr>
          </w:p>
        </w:tc>
        <w:tc>
          <w:tcPr>
            <w:tcW w:w="979" w:type="pct"/>
            <w:gridSpan w:val="3"/>
            <w:shd w:val="clear" w:color="auto" w:fill="auto"/>
          </w:tcPr>
          <w:p w14:paraId="5C55CDD9" w14:textId="77777777" w:rsidR="007A7A24" w:rsidRPr="00221978" w:rsidRDefault="007A7A24" w:rsidP="003F4BEE">
            <w:pPr>
              <w:tabs>
                <w:tab w:val="right" w:pos="2140"/>
              </w:tabs>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9</w:t>
            </w:r>
          </w:p>
        </w:tc>
        <w:tc>
          <w:tcPr>
            <w:tcW w:w="976" w:type="pct"/>
            <w:gridSpan w:val="4"/>
            <w:shd w:val="clear" w:color="auto" w:fill="auto"/>
          </w:tcPr>
          <w:p w14:paraId="62C6E070" w14:textId="77777777" w:rsidR="007A7A24" w:rsidRPr="00221978" w:rsidRDefault="007A7A24" w:rsidP="003F4BEE">
            <w:pPr>
              <w:tabs>
                <w:tab w:val="right" w:pos="2140"/>
              </w:tabs>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115</w:t>
            </w:r>
          </w:p>
        </w:tc>
        <w:tc>
          <w:tcPr>
            <w:tcW w:w="975" w:type="pct"/>
            <w:gridSpan w:val="3"/>
            <w:tcBorders>
              <w:right w:val="single" w:sz="4" w:space="0" w:color="auto"/>
            </w:tcBorders>
            <w:shd w:val="clear" w:color="auto" w:fill="auto"/>
          </w:tcPr>
          <w:p w14:paraId="029D0407" w14:textId="77777777" w:rsidR="007A7A24" w:rsidRPr="00221978" w:rsidRDefault="007A7A24" w:rsidP="003F4BEE">
            <w:pPr>
              <w:tabs>
                <w:tab w:val="right" w:pos="2140"/>
              </w:tabs>
              <w:jc w:val="center"/>
              <w:rPr>
                <w:rFonts w:ascii="Times New Roman" w:eastAsia="Calibri" w:hAnsi="Times New Roman" w:cs="Times New Roman"/>
                <w:sz w:val="20"/>
                <w:szCs w:val="20"/>
                <w:lang w:val="sr-Cyrl-CS"/>
              </w:rPr>
            </w:pPr>
            <w:r w:rsidRPr="00221978">
              <w:rPr>
                <w:rFonts w:ascii="Times New Roman" w:hAnsi="Times New Roman" w:cs="Times New Roman"/>
                <w:sz w:val="20"/>
                <w:szCs w:val="20"/>
                <w:lang w:val="sr-Cyrl-CS"/>
              </w:rPr>
              <w:t>194</w:t>
            </w:r>
          </w:p>
        </w:tc>
      </w:tr>
      <w:tr w:rsidR="007A7A24" w:rsidRPr="00221978" w14:paraId="2F3A867E" w14:textId="77777777" w:rsidTr="00701C64">
        <w:tc>
          <w:tcPr>
            <w:tcW w:w="1095" w:type="pct"/>
            <w:vMerge w:val="restart"/>
            <w:tcBorders>
              <w:left w:val="single" w:sz="4" w:space="0" w:color="auto"/>
            </w:tcBorders>
            <w:shd w:val="clear" w:color="auto" w:fill="auto"/>
          </w:tcPr>
          <w:p w14:paraId="713279AF" w14:textId="77777777" w:rsidR="007A7A24" w:rsidRPr="00221978" w:rsidRDefault="007A7A24" w:rsidP="003F4BEE">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Подаци о циљној вредност</w:t>
            </w:r>
          </w:p>
        </w:tc>
        <w:tc>
          <w:tcPr>
            <w:tcW w:w="391" w:type="pct"/>
            <w:shd w:val="clear" w:color="auto" w:fill="auto"/>
          </w:tcPr>
          <w:p w14:paraId="38731B4C" w14:textId="77777777" w:rsidR="007A7A24" w:rsidRPr="00221978" w:rsidRDefault="007A7A24" w:rsidP="003F4BEE">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2021.</w:t>
            </w:r>
          </w:p>
        </w:tc>
        <w:tc>
          <w:tcPr>
            <w:tcW w:w="391" w:type="pct"/>
            <w:shd w:val="clear" w:color="auto" w:fill="auto"/>
          </w:tcPr>
          <w:p w14:paraId="32EAFBAA" w14:textId="77777777" w:rsidR="007A7A24" w:rsidRPr="00221978" w:rsidRDefault="007A7A24" w:rsidP="003F4BEE">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2022.</w:t>
            </w:r>
          </w:p>
        </w:tc>
        <w:tc>
          <w:tcPr>
            <w:tcW w:w="391" w:type="pct"/>
            <w:gridSpan w:val="2"/>
            <w:shd w:val="clear" w:color="auto" w:fill="auto"/>
          </w:tcPr>
          <w:p w14:paraId="7BC5866A" w14:textId="77777777" w:rsidR="007A7A24" w:rsidRPr="00221978" w:rsidRDefault="007A7A24" w:rsidP="003F4BEE">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2023.</w:t>
            </w:r>
          </w:p>
        </w:tc>
        <w:tc>
          <w:tcPr>
            <w:tcW w:w="391" w:type="pct"/>
            <w:shd w:val="clear" w:color="auto" w:fill="auto"/>
          </w:tcPr>
          <w:p w14:paraId="63C292A8" w14:textId="77777777" w:rsidR="007A7A24" w:rsidRPr="00221978" w:rsidRDefault="007A7A24" w:rsidP="003F4BEE">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2024.</w:t>
            </w:r>
          </w:p>
        </w:tc>
        <w:tc>
          <w:tcPr>
            <w:tcW w:w="391" w:type="pct"/>
            <w:shd w:val="clear" w:color="auto" w:fill="auto"/>
          </w:tcPr>
          <w:p w14:paraId="3A812481" w14:textId="77777777" w:rsidR="007A7A24" w:rsidRPr="00221978" w:rsidRDefault="007A7A24" w:rsidP="003F4BEE">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2025.</w:t>
            </w:r>
          </w:p>
        </w:tc>
        <w:tc>
          <w:tcPr>
            <w:tcW w:w="391" w:type="pct"/>
            <w:gridSpan w:val="2"/>
            <w:shd w:val="clear" w:color="auto" w:fill="auto"/>
          </w:tcPr>
          <w:p w14:paraId="07622ACE" w14:textId="77777777" w:rsidR="007A7A24" w:rsidRPr="00221978" w:rsidRDefault="007A7A24" w:rsidP="003F4BEE">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2026.</w:t>
            </w:r>
          </w:p>
        </w:tc>
        <w:tc>
          <w:tcPr>
            <w:tcW w:w="391" w:type="pct"/>
            <w:shd w:val="clear" w:color="auto" w:fill="auto"/>
          </w:tcPr>
          <w:p w14:paraId="5C10CE51" w14:textId="77777777" w:rsidR="007A7A24" w:rsidRPr="00221978" w:rsidRDefault="007A7A24" w:rsidP="003F4BEE">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2027.</w:t>
            </w:r>
          </w:p>
        </w:tc>
        <w:tc>
          <w:tcPr>
            <w:tcW w:w="391" w:type="pct"/>
            <w:gridSpan w:val="2"/>
            <w:shd w:val="clear" w:color="auto" w:fill="auto"/>
          </w:tcPr>
          <w:p w14:paraId="0BC7DD15" w14:textId="77777777" w:rsidR="007A7A24" w:rsidRPr="00221978" w:rsidRDefault="007A7A24" w:rsidP="003F4BEE">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2028.</w:t>
            </w:r>
          </w:p>
        </w:tc>
        <w:tc>
          <w:tcPr>
            <w:tcW w:w="391" w:type="pct"/>
            <w:shd w:val="clear" w:color="auto" w:fill="auto"/>
          </w:tcPr>
          <w:p w14:paraId="0D793870" w14:textId="77777777" w:rsidR="007A7A24" w:rsidRPr="00221978" w:rsidRDefault="007A7A24" w:rsidP="003F4BEE">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2029.</w:t>
            </w:r>
          </w:p>
        </w:tc>
        <w:tc>
          <w:tcPr>
            <w:tcW w:w="387" w:type="pct"/>
            <w:tcBorders>
              <w:right w:val="single" w:sz="4" w:space="0" w:color="auto"/>
            </w:tcBorders>
            <w:shd w:val="clear" w:color="auto" w:fill="auto"/>
          </w:tcPr>
          <w:p w14:paraId="7E76D0F0" w14:textId="77777777" w:rsidR="007A7A24" w:rsidRPr="00221978" w:rsidRDefault="007A7A24" w:rsidP="003F4BEE">
            <w:pPr>
              <w:jc w:val="cente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2030.</w:t>
            </w:r>
          </w:p>
        </w:tc>
      </w:tr>
      <w:tr w:rsidR="007A7A24" w:rsidRPr="00221978" w14:paraId="0A99A88E" w14:textId="77777777" w:rsidTr="00701C64">
        <w:tc>
          <w:tcPr>
            <w:tcW w:w="1095" w:type="pct"/>
            <w:vMerge/>
            <w:tcBorders>
              <w:left w:val="single" w:sz="4" w:space="0" w:color="auto"/>
            </w:tcBorders>
            <w:shd w:val="clear" w:color="auto" w:fill="auto"/>
          </w:tcPr>
          <w:p w14:paraId="73465AA0" w14:textId="77777777" w:rsidR="007A7A24" w:rsidRPr="00221978" w:rsidRDefault="007A7A24" w:rsidP="003F4BEE">
            <w:pPr>
              <w:rPr>
                <w:rFonts w:ascii="Times New Roman" w:eastAsia="Calibri" w:hAnsi="Times New Roman" w:cs="Times New Roman"/>
                <w:sz w:val="20"/>
                <w:szCs w:val="20"/>
                <w:lang w:val="sr-Cyrl-CS"/>
              </w:rPr>
            </w:pPr>
          </w:p>
        </w:tc>
        <w:tc>
          <w:tcPr>
            <w:tcW w:w="391" w:type="pct"/>
            <w:shd w:val="clear" w:color="auto" w:fill="auto"/>
          </w:tcPr>
          <w:p w14:paraId="6D0F9792" w14:textId="77777777" w:rsidR="007A7A24" w:rsidRPr="00221978" w:rsidRDefault="007A7A24" w:rsidP="003F4BEE">
            <w:pPr>
              <w:shd w:val="clear" w:color="auto" w:fill="FFFFFF"/>
              <w:jc w:val="center"/>
              <w:rPr>
                <w:rFonts w:ascii="Times New Roman" w:hAnsi="Times New Roman" w:cs="Times New Roman"/>
                <w:sz w:val="20"/>
                <w:szCs w:val="20"/>
                <w:lang w:val="sr-Cyrl-CS"/>
              </w:rPr>
            </w:pPr>
            <w:r w:rsidRPr="00221978">
              <w:rPr>
                <w:rFonts w:ascii="Times New Roman" w:hAnsi="Times New Roman" w:cs="Times New Roman"/>
                <w:sz w:val="20"/>
                <w:szCs w:val="20"/>
                <w:lang w:val="sr-Cyrl-CS"/>
              </w:rPr>
              <w:t>205</w:t>
            </w:r>
          </w:p>
        </w:tc>
        <w:tc>
          <w:tcPr>
            <w:tcW w:w="391" w:type="pct"/>
            <w:shd w:val="clear" w:color="auto" w:fill="auto"/>
          </w:tcPr>
          <w:p w14:paraId="0A36A82A" w14:textId="77777777" w:rsidR="007A7A24" w:rsidRPr="00221978" w:rsidRDefault="007A7A24" w:rsidP="003F4BEE">
            <w:pPr>
              <w:shd w:val="clear" w:color="auto" w:fill="FFFFFF"/>
              <w:jc w:val="center"/>
              <w:rPr>
                <w:rFonts w:ascii="Times New Roman" w:hAnsi="Times New Roman" w:cs="Times New Roman"/>
                <w:sz w:val="20"/>
                <w:szCs w:val="20"/>
                <w:lang w:val="sr-Cyrl-CS"/>
              </w:rPr>
            </w:pPr>
            <w:r w:rsidRPr="00221978">
              <w:rPr>
                <w:rFonts w:ascii="Times New Roman" w:hAnsi="Times New Roman" w:cs="Times New Roman"/>
                <w:sz w:val="20"/>
                <w:szCs w:val="20"/>
                <w:lang w:val="sr-Cyrl-CS"/>
              </w:rPr>
              <w:t>215</w:t>
            </w:r>
          </w:p>
        </w:tc>
        <w:tc>
          <w:tcPr>
            <w:tcW w:w="391" w:type="pct"/>
            <w:gridSpan w:val="2"/>
            <w:shd w:val="clear" w:color="auto" w:fill="auto"/>
          </w:tcPr>
          <w:p w14:paraId="6DDE0AED" w14:textId="77777777" w:rsidR="007A7A24" w:rsidRPr="00221978" w:rsidRDefault="007A7A24" w:rsidP="003F4BEE">
            <w:pPr>
              <w:shd w:val="clear" w:color="auto" w:fill="FFFFFF"/>
              <w:jc w:val="center"/>
              <w:rPr>
                <w:rFonts w:ascii="Times New Roman" w:hAnsi="Times New Roman" w:cs="Times New Roman"/>
                <w:sz w:val="20"/>
                <w:szCs w:val="20"/>
                <w:lang w:val="sr-Cyrl-CS"/>
              </w:rPr>
            </w:pPr>
            <w:r w:rsidRPr="00221978">
              <w:rPr>
                <w:rFonts w:ascii="Times New Roman" w:hAnsi="Times New Roman" w:cs="Times New Roman"/>
                <w:sz w:val="20"/>
                <w:szCs w:val="20"/>
                <w:lang w:val="sr-Cyrl-CS"/>
              </w:rPr>
              <w:t>225</w:t>
            </w:r>
          </w:p>
        </w:tc>
        <w:tc>
          <w:tcPr>
            <w:tcW w:w="391" w:type="pct"/>
            <w:shd w:val="clear" w:color="auto" w:fill="auto"/>
          </w:tcPr>
          <w:p w14:paraId="7A5624B9" w14:textId="77777777" w:rsidR="007A7A24" w:rsidRPr="00221978" w:rsidRDefault="007A7A24" w:rsidP="003F4BEE">
            <w:pPr>
              <w:shd w:val="clear" w:color="auto" w:fill="FFFFFF"/>
              <w:jc w:val="center"/>
              <w:rPr>
                <w:rFonts w:ascii="Times New Roman" w:hAnsi="Times New Roman" w:cs="Times New Roman"/>
                <w:sz w:val="20"/>
                <w:szCs w:val="20"/>
                <w:lang w:val="sr-Cyrl-CS"/>
              </w:rPr>
            </w:pPr>
            <w:r w:rsidRPr="00221978">
              <w:rPr>
                <w:rFonts w:ascii="Times New Roman" w:hAnsi="Times New Roman" w:cs="Times New Roman"/>
                <w:sz w:val="20"/>
                <w:szCs w:val="20"/>
                <w:lang w:val="sr-Cyrl-CS"/>
              </w:rPr>
              <w:t>235</w:t>
            </w:r>
          </w:p>
        </w:tc>
        <w:tc>
          <w:tcPr>
            <w:tcW w:w="391" w:type="pct"/>
            <w:shd w:val="clear" w:color="auto" w:fill="auto"/>
          </w:tcPr>
          <w:p w14:paraId="55CBCC82" w14:textId="77777777" w:rsidR="007A7A24" w:rsidRPr="00221978" w:rsidRDefault="007A7A24" w:rsidP="003F4BEE">
            <w:pPr>
              <w:shd w:val="clear" w:color="auto" w:fill="FFFFFF"/>
              <w:jc w:val="center"/>
              <w:rPr>
                <w:rFonts w:ascii="Times New Roman" w:hAnsi="Times New Roman" w:cs="Times New Roman"/>
                <w:sz w:val="20"/>
                <w:szCs w:val="20"/>
                <w:lang w:val="sr-Cyrl-CS"/>
              </w:rPr>
            </w:pPr>
            <w:r w:rsidRPr="00221978">
              <w:rPr>
                <w:rFonts w:ascii="Times New Roman" w:hAnsi="Times New Roman" w:cs="Times New Roman"/>
                <w:sz w:val="20"/>
                <w:szCs w:val="20"/>
                <w:lang w:val="sr-Cyrl-CS"/>
              </w:rPr>
              <w:t>245</w:t>
            </w:r>
          </w:p>
        </w:tc>
        <w:tc>
          <w:tcPr>
            <w:tcW w:w="391" w:type="pct"/>
            <w:gridSpan w:val="2"/>
            <w:shd w:val="clear" w:color="auto" w:fill="auto"/>
          </w:tcPr>
          <w:p w14:paraId="06718872" w14:textId="77777777" w:rsidR="007A7A24" w:rsidRPr="00221978" w:rsidRDefault="007A7A24" w:rsidP="003F4BEE">
            <w:pPr>
              <w:jc w:val="center"/>
              <w:rPr>
                <w:rFonts w:ascii="Times New Roman" w:eastAsia="Calibri" w:hAnsi="Times New Roman" w:cs="Times New Roman"/>
                <w:sz w:val="20"/>
                <w:szCs w:val="20"/>
                <w:lang w:val="sr-Cyrl-CS"/>
              </w:rPr>
            </w:pPr>
          </w:p>
        </w:tc>
        <w:tc>
          <w:tcPr>
            <w:tcW w:w="391" w:type="pct"/>
            <w:shd w:val="clear" w:color="auto" w:fill="auto"/>
          </w:tcPr>
          <w:p w14:paraId="4C8C427F" w14:textId="77777777" w:rsidR="007A7A24" w:rsidRPr="00221978" w:rsidRDefault="007A7A24" w:rsidP="003F4BEE">
            <w:pPr>
              <w:jc w:val="center"/>
              <w:rPr>
                <w:rFonts w:ascii="Times New Roman" w:eastAsia="Calibri" w:hAnsi="Times New Roman" w:cs="Times New Roman"/>
                <w:sz w:val="20"/>
                <w:szCs w:val="20"/>
                <w:lang w:val="sr-Cyrl-CS"/>
              </w:rPr>
            </w:pPr>
          </w:p>
        </w:tc>
        <w:tc>
          <w:tcPr>
            <w:tcW w:w="391" w:type="pct"/>
            <w:gridSpan w:val="2"/>
            <w:shd w:val="clear" w:color="auto" w:fill="auto"/>
          </w:tcPr>
          <w:p w14:paraId="3BDFEE1C" w14:textId="77777777" w:rsidR="007A7A24" w:rsidRPr="00221978" w:rsidRDefault="007A7A24" w:rsidP="003F4BEE">
            <w:pPr>
              <w:jc w:val="center"/>
              <w:rPr>
                <w:rFonts w:ascii="Times New Roman" w:eastAsia="Calibri" w:hAnsi="Times New Roman" w:cs="Times New Roman"/>
                <w:sz w:val="20"/>
                <w:szCs w:val="20"/>
                <w:lang w:val="sr-Cyrl-CS"/>
              </w:rPr>
            </w:pPr>
          </w:p>
        </w:tc>
        <w:tc>
          <w:tcPr>
            <w:tcW w:w="391" w:type="pct"/>
            <w:shd w:val="clear" w:color="auto" w:fill="auto"/>
          </w:tcPr>
          <w:p w14:paraId="18BE7833" w14:textId="77777777" w:rsidR="007A7A24" w:rsidRPr="00221978" w:rsidRDefault="007A7A24" w:rsidP="003F4BEE">
            <w:pPr>
              <w:jc w:val="center"/>
              <w:rPr>
                <w:rFonts w:ascii="Times New Roman" w:eastAsia="Calibri" w:hAnsi="Times New Roman" w:cs="Times New Roman"/>
                <w:sz w:val="20"/>
                <w:szCs w:val="20"/>
                <w:lang w:val="sr-Cyrl-CS"/>
              </w:rPr>
            </w:pPr>
          </w:p>
        </w:tc>
        <w:tc>
          <w:tcPr>
            <w:tcW w:w="387" w:type="pct"/>
            <w:tcBorders>
              <w:right w:val="single" w:sz="4" w:space="0" w:color="auto"/>
            </w:tcBorders>
            <w:shd w:val="clear" w:color="auto" w:fill="auto"/>
          </w:tcPr>
          <w:p w14:paraId="5E15EFB4" w14:textId="77777777" w:rsidR="007A7A24" w:rsidRPr="00221978" w:rsidRDefault="007A7A24" w:rsidP="003F4BEE">
            <w:pPr>
              <w:jc w:val="center"/>
              <w:rPr>
                <w:rFonts w:ascii="Times New Roman" w:eastAsia="Calibri" w:hAnsi="Times New Roman" w:cs="Times New Roman"/>
                <w:sz w:val="20"/>
                <w:szCs w:val="20"/>
                <w:lang w:val="sr-Cyrl-CS"/>
              </w:rPr>
            </w:pPr>
          </w:p>
        </w:tc>
      </w:tr>
      <w:tr w:rsidR="007A7A24" w:rsidRPr="00221978" w14:paraId="41EA490A" w14:textId="77777777" w:rsidTr="00701C64">
        <w:tc>
          <w:tcPr>
            <w:tcW w:w="1095" w:type="pct"/>
            <w:tcBorders>
              <w:left w:val="single" w:sz="4" w:space="0" w:color="auto"/>
              <w:bottom w:val="single" w:sz="4" w:space="0" w:color="auto"/>
            </w:tcBorders>
            <w:shd w:val="clear" w:color="auto" w:fill="auto"/>
          </w:tcPr>
          <w:p w14:paraId="43E41319" w14:textId="77777777" w:rsidR="007A7A24" w:rsidRPr="00221978" w:rsidRDefault="007A7A24" w:rsidP="003F4BEE">
            <w:pPr>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Процена успешности:</w:t>
            </w:r>
          </w:p>
        </w:tc>
        <w:tc>
          <w:tcPr>
            <w:tcW w:w="3905" w:type="pct"/>
            <w:gridSpan w:val="13"/>
            <w:tcBorders>
              <w:bottom w:val="single" w:sz="4" w:space="0" w:color="auto"/>
              <w:right w:val="single" w:sz="4" w:space="0" w:color="auto"/>
            </w:tcBorders>
            <w:shd w:val="clear" w:color="auto" w:fill="auto"/>
          </w:tcPr>
          <w:p w14:paraId="1FBD72D0" w14:textId="77777777" w:rsidR="007A7A24" w:rsidRPr="00221978" w:rsidRDefault="007A7A24" w:rsidP="003F4BEE">
            <w:pPr>
              <w:tabs>
                <w:tab w:val="right" w:pos="2140"/>
              </w:tabs>
              <w:rPr>
                <w:rFonts w:ascii="Times New Roman" w:eastAsia="Calibri" w:hAnsi="Times New Roman" w:cs="Times New Roman"/>
                <w:sz w:val="20"/>
                <w:szCs w:val="20"/>
                <w:lang w:val="sr-Cyrl-CS"/>
              </w:rPr>
            </w:pPr>
            <w:r w:rsidRPr="00221978">
              <w:rPr>
                <w:rFonts w:ascii="Times New Roman" w:eastAsia="Calibri" w:hAnsi="Times New Roman" w:cs="Times New Roman"/>
                <w:sz w:val="20"/>
                <w:szCs w:val="20"/>
                <w:lang w:val="sr-Cyrl-CS"/>
              </w:rPr>
              <w:t>Одступање до 5 је прихватљиво.</w:t>
            </w:r>
          </w:p>
        </w:tc>
      </w:tr>
    </w:tbl>
    <w:p w14:paraId="6CAA1E47" w14:textId="58C4CBD1" w:rsidR="00EC3786" w:rsidRPr="00221978" w:rsidRDefault="00701C64" w:rsidP="00701C64">
      <w:pPr>
        <w:spacing w:after="0" w:line="240" w:lineRule="auto"/>
        <w:jc w:val="right"/>
        <w:rPr>
          <w:rFonts w:ascii="Times New Roman" w:hAnsi="Times New Roman" w:cs="Times New Roman"/>
          <w:sz w:val="20"/>
          <w:szCs w:val="20"/>
          <w:lang w:val="sr-Cyrl-CS"/>
        </w:rPr>
      </w:pPr>
      <w:r w:rsidRPr="00221978">
        <w:rPr>
          <w:rFonts w:ascii="Times New Roman" w:eastAsia="Calibri" w:hAnsi="Times New Roman" w:cs="Times New Roman"/>
          <w:sz w:val="24"/>
          <w:szCs w:val="24"/>
          <w:lang w:val="sr-Cyrl-CS"/>
        </w:rPr>
        <w:t>”.</w:t>
      </w:r>
    </w:p>
    <w:p w14:paraId="08CACAFA" w14:textId="3B3185DB" w:rsidR="00E065CA" w:rsidRPr="00221978" w:rsidRDefault="00FC0AF2"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Брише с</w:t>
      </w:r>
      <w:r w:rsidR="00E065CA" w:rsidRPr="00221978">
        <w:rPr>
          <w:rFonts w:ascii="Times New Roman" w:hAnsi="Times New Roman" w:cs="Times New Roman"/>
          <w:sz w:val="24"/>
          <w:szCs w:val="24"/>
          <w:lang w:val="sr-Cyrl-CS"/>
        </w:rPr>
        <w:t>е Показатељ 8</w:t>
      </w:r>
      <w:r w:rsidR="00042BCC" w:rsidRPr="00221978">
        <w:rPr>
          <w:rFonts w:ascii="Times New Roman" w:hAnsi="Times New Roman" w:cs="Times New Roman"/>
          <w:sz w:val="24"/>
          <w:szCs w:val="24"/>
          <w:lang w:val="sr-Cyrl-CS"/>
        </w:rPr>
        <w:t xml:space="preserve"> који гласи</w:t>
      </w:r>
      <w:r w:rsidR="00E065CA"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w:t>
      </w:r>
      <w:r w:rsidR="00E065CA" w:rsidRPr="00221978">
        <w:rPr>
          <w:rFonts w:ascii="Times New Roman" w:hAnsi="Times New Roman" w:cs="Times New Roman"/>
          <w:sz w:val="24"/>
          <w:szCs w:val="24"/>
          <w:lang w:val="sr-Cyrl-CS"/>
        </w:rPr>
        <w:t>Удео извршених препорука наведених у закључцима Народне скупштине поводом разматрања и усвајања извештаја ДРИ.</w:t>
      </w:r>
      <w:r w:rsidR="009B73BA" w:rsidRPr="00221978">
        <w:rPr>
          <w:rFonts w:ascii="Times New Roman" w:hAnsi="Times New Roman" w:cs="Times New Roman"/>
          <w:sz w:val="24"/>
          <w:szCs w:val="24"/>
          <w:lang w:val="sr-Cyrl-CS"/>
        </w:rPr>
        <w:t xml:space="preserve">”    </w:t>
      </w:r>
    </w:p>
    <w:p w14:paraId="4840A8D3" w14:textId="77777777" w:rsidR="001F0EF3" w:rsidRPr="00221978" w:rsidRDefault="001F0EF3" w:rsidP="0001141D">
      <w:pPr>
        <w:pStyle w:val="ListParagraph"/>
        <w:spacing w:after="0" w:line="240" w:lineRule="auto"/>
        <w:ind w:left="1080"/>
        <w:jc w:val="both"/>
        <w:rPr>
          <w:rFonts w:ascii="Times New Roman" w:hAnsi="Times New Roman" w:cs="Times New Roman"/>
          <w:sz w:val="24"/>
          <w:szCs w:val="24"/>
          <w:lang w:val="sr-Cyrl-CS"/>
        </w:rPr>
      </w:pPr>
    </w:p>
    <w:p w14:paraId="11B417AA" w14:textId="45E9B832" w:rsidR="001F0EF3" w:rsidRPr="00221978" w:rsidRDefault="001F0EF3" w:rsidP="00AF5FC0">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8034ED" w:rsidRPr="00221978">
        <w:rPr>
          <w:rFonts w:ascii="Times New Roman" w:hAnsi="Times New Roman" w:cs="Times New Roman"/>
          <w:sz w:val="24"/>
          <w:szCs w:val="24"/>
          <w:lang w:val="sr-Cyrl-CS"/>
        </w:rPr>
        <w:t>Прилогу</w:t>
      </w:r>
      <w:r w:rsidRPr="00221978">
        <w:rPr>
          <w:rFonts w:ascii="Times New Roman" w:hAnsi="Times New Roman" w:cs="Times New Roman"/>
          <w:sz w:val="24"/>
          <w:szCs w:val="24"/>
          <w:lang w:val="sr-Cyrl-CS"/>
        </w:rPr>
        <w:t xml:space="preserve"> 8: Пасоши индикатора: Систем локалне самоуправе, извршено је усклађивање:</w:t>
      </w:r>
    </w:p>
    <w:p w14:paraId="286F80B4" w14:textId="3A120C70" w:rsidR="00042BCC" w:rsidRPr="00221978" w:rsidRDefault="00017734" w:rsidP="00D405F8">
      <w:pPr>
        <w:spacing w:after="0"/>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E0064B" w:rsidRPr="00221978">
        <w:rPr>
          <w:rFonts w:ascii="Times New Roman" w:hAnsi="Times New Roman" w:cs="Times New Roman"/>
          <w:sz w:val="24"/>
          <w:szCs w:val="24"/>
          <w:lang w:val="sr-Cyrl-CS"/>
        </w:rPr>
        <w:t>п</w:t>
      </w:r>
      <w:r w:rsidR="001F0EF3" w:rsidRPr="00221978">
        <w:rPr>
          <w:rFonts w:ascii="Times New Roman" w:hAnsi="Times New Roman" w:cs="Times New Roman"/>
          <w:sz w:val="24"/>
          <w:szCs w:val="24"/>
          <w:lang w:val="sr-Cyrl-CS"/>
        </w:rPr>
        <w:t>оказатељ</w:t>
      </w:r>
      <w:r w:rsidR="008034ED" w:rsidRPr="00221978">
        <w:rPr>
          <w:rFonts w:ascii="Times New Roman" w:hAnsi="Times New Roman" w:cs="Times New Roman"/>
          <w:sz w:val="24"/>
          <w:szCs w:val="24"/>
          <w:lang w:val="sr-Cyrl-CS"/>
        </w:rPr>
        <w:t>у</w:t>
      </w:r>
      <w:r w:rsidR="001F0EF3" w:rsidRPr="00221978">
        <w:rPr>
          <w:rFonts w:ascii="Times New Roman" w:hAnsi="Times New Roman" w:cs="Times New Roman"/>
          <w:sz w:val="24"/>
          <w:szCs w:val="24"/>
          <w:lang w:val="sr-Cyrl-CS"/>
        </w:rPr>
        <w:t xml:space="preserve"> 3. Капацитет ЈЛС за примену </w:t>
      </w:r>
      <w:r w:rsidR="00B97699" w:rsidRPr="00221978">
        <w:rPr>
          <w:rFonts w:ascii="Times New Roman" w:hAnsi="Times New Roman" w:cs="Times New Roman"/>
          <w:sz w:val="24"/>
          <w:szCs w:val="24"/>
          <w:lang w:val="sr-Cyrl-CS"/>
        </w:rPr>
        <w:t>начела доброг управљања, мења се крат</w:t>
      </w:r>
      <w:r w:rsidR="0061376F" w:rsidRPr="00221978">
        <w:rPr>
          <w:rFonts w:ascii="Times New Roman" w:hAnsi="Times New Roman" w:cs="Times New Roman"/>
          <w:sz w:val="24"/>
          <w:szCs w:val="24"/>
          <w:lang w:val="sr-Cyrl-CS"/>
        </w:rPr>
        <w:t>а</w:t>
      </w:r>
      <w:r w:rsidR="00B97699" w:rsidRPr="00221978">
        <w:rPr>
          <w:rFonts w:ascii="Times New Roman" w:hAnsi="Times New Roman" w:cs="Times New Roman"/>
          <w:sz w:val="24"/>
          <w:szCs w:val="24"/>
          <w:lang w:val="sr-Cyrl-CS"/>
        </w:rPr>
        <w:t>к опис</w:t>
      </w:r>
      <w:r w:rsidR="001F0EF3" w:rsidRPr="00221978">
        <w:rPr>
          <w:rFonts w:ascii="Times New Roman" w:hAnsi="Times New Roman" w:cs="Times New Roman"/>
          <w:sz w:val="24"/>
          <w:szCs w:val="24"/>
          <w:lang w:val="sr-Cyrl-CS"/>
        </w:rPr>
        <w:t xml:space="preserve"> показатеља и мет</w:t>
      </w:r>
      <w:r w:rsidR="00B97699" w:rsidRPr="00221978">
        <w:rPr>
          <w:rFonts w:ascii="Times New Roman" w:hAnsi="Times New Roman" w:cs="Times New Roman"/>
          <w:sz w:val="24"/>
          <w:szCs w:val="24"/>
          <w:lang w:val="sr-Cyrl-CS"/>
        </w:rPr>
        <w:t>одологије израчунавања и гласи</w:t>
      </w:r>
      <w:r w:rsidR="001F0EF3" w:rsidRPr="00221978">
        <w:rPr>
          <w:rFonts w:ascii="Times New Roman" w:hAnsi="Times New Roman" w:cs="Times New Roman"/>
          <w:sz w:val="24"/>
          <w:szCs w:val="24"/>
          <w:lang w:val="sr-Cyrl-CS"/>
        </w:rPr>
        <w:t>:</w:t>
      </w:r>
    </w:p>
    <w:p w14:paraId="65710E0C" w14:textId="532AD9F4" w:rsidR="00C25B05" w:rsidRPr="00221978" w:rsidRDefault="00701C64" w:rsidP="00D405F8">
      <w:pPr>
        <w:spacing w:after="0"/>
        <w:ind w:left="720"/>
        <w:jc w:val="both"/>
        <w:rPr>
          <w:rFonts w:ascii="Times New Roman" w:eastAsia="Calibri" w:hAnsi="Times New Roman" w:cs="Times New Roman"/>
          <w:sz w:val="24"/>
          <w:szCs w:val="24"/>
          <w:lang w:val="sr-Cyrl-CS"/>
        </w:rPr>
      </w:pPr>
      <w:r w:rsidRPr="00221978">
        <w:rPr>
          <w:rFonts w:ascii="Times New Roman" w:hAnsi="Times New Roman" w:cs="Times New Roman"/>
          <w:sz w:val="24"/>
          <w:szCs w:val="24"/>
          <w:lang w:val="sr-Cyrl-CS"/>
        </w:rPr>
        <w:t>„</w:t>
      </w:r>
      <w:r w:rsidR="00C25B05" w:rsidRPr="00221978">
        <w:rPr>
          <w:rFonts w:ascii="Times New Roman" w:eastAsia="Calibri" w:hAnsi="Times New Roman" w:cs="Times New Roman"/>
          <w:sz w:val="24"/>
          <w:szCs w:val="24"/>
          <w:lang w:val="sr-Cyrl-CS"/>
        </w:rPr>
        <w:t xml:space="preserve">Овај показатељ показује степен просечног капацитета ЈЛС за испуњавање појединачних административних, функционалних и процесних захтева који се пред </w:t>
      </w:r>
      <w:r w:rsidR="00C25B05" w:rsidRPr="00221978">
        <w:rPr>
          <w:rFonts w:ascii="Times New Roman" w:eastAsia="Calibri" w:hAnsi="Times New Roman" w:cs="Times New Roman"/>
          <w:sz w:val="24"/>
          <w:szCs w:val="24"/>
          <w:lang w:val="sr-Cyrl-CS"/>
        </w:rPr>
        <w:lastRenderedPageBreak/>
        <w:t xml:space="preserve">њих постављају, ради примене начела доброг управљања и уочавања недостатака у тој примени. </w:t>
      </w:r>
    </w:p>
    <w:p w14:paraId="3D34DBF8" w14:textId="56124344" w:rsidR="00C25B05" w:rsidRPr="00221978" w:rsidRDefault="00C25B05" w:rsidP="00D405F8">
      <w:pPr>
        <w:spacing w:after="0"/>
        <w:ind w:left="720"/>
        <w:jc w:val="both"/>
        <w:rPr>
          <w:rFonts w:ascii="Times New Roman" w:eastAsia="Calibri" w:hAnsi="Times New Roman" w:cs="Times New Roman"/>
          <w:sz w:val="24"/>
          <w:szCs w:val="24"/>
          <w:lang w:val="sr-Cyrl-CS"/>
        </w:rPr>
      </w:pPr>
      <w:r w:rsidRPr="00221978">
        <w:rPr>
          <w:rFonts w:ascii="Times New Roman" w:eastAsia="Calibri" w:hAnsi="Times New Roman" w:cs="Times New Roman"/>
          <w:sz w:val="24"/>
          <w:szCs w:val="24"/>
          <w:lang w:val="sr-Cyrl-CS"/>
        </w:rPr>
        <w:t xml:space="preserve">Композитни индекс који за сваку појединачну локалну самоуправу показује разлику између 1) тренутног  - достигнутог и 2) пожељног – </w:t>
      </w:r>
      <w:r w:rsidR="00701C64" w:rsidRPr="00221978">
        <w:rPr>
          <w:rFonts w:ascii="Times New Roman" w:hAnsi="Times New Roman" w:cs="Times New Roman"/>
          <w:sz w:val="24"/>
          <w:szCs w:val="24"/>
          <w:lang w:val="sr-Cyrl-CS"/>
        </w:rPr>
        <w:t>„</w:t>
      </w:r>
      <w:r w:rsidRPr="00221978">
        <w:rPr>
          <w:rFonts w:ascii="Times New Roman" w:eastAsia="Calibri" w:hAnsi="Times New Roman" w:cs="Times New Roman"/>
          <w:sz w:val="24"/>
          <w:szCs w:val="24"/>
          <w:lang w:val="sr-Cyrl-CS"/>
        </w:rPr>
        <w:t>идеалног</w:t>
      </w:r>
      <w:r w:rsidR="00701C64" w:rsidRPr="00221978">
        <w:rPr>
          <w:rFonts w:ascii="Times New Roman" w:eastAsia="Calibri" w:hAnsi="Times New Roman" w:cs="Times New Roman"/>
          <w:sz w:val="24"/>
          <w:szCs w:val="24"/>
          <w:lang w:val="sr-Cyrl-CS"/>
        </w:rPr>
        <w:t xml:space="preserve">” </w:t>
      </w:r>
      <w:r w:rsidRPr="00221978">
        <w:rPr>
          <w:rFonts w:ascii="Times New Roman" w:eastAsia="Calibri" w:hAnsi="Times New Roman" w:cs="Times New Roman"/>
          <w:sz w:val="24"/>
          <w:szCs w:val="24"/>
          <w:lang w:val="sr-Cyrl-CS"/>
        </w:rPr>
        <w:t>стања добре управе, према унапред одређеним параметрима. Исказује се у процентима у односу на максимални могућ скор. Индекс обухвата укупно 134 показатеља у пет области добре управе: (1) Одговорност; (2) Транспарентност и партиципација; (3) Равноправност; (4) Предвидивост, економичност/ефикасност и делотворност локалне самоуправе и (5) Антикорупција. Мерења вредности индекса се спроводе на репрезентативном узорку локалних самоуправа.</w:t>
      </w:r>
    </w:p>
    <w:p w14:paraId="3BCDC1FC" w14:textId="777F2C01" w:rsidR="00C25B05" w:rsidRPr="00221978" w:rsidRDefault="00C25B05" w:rsidP="00D405F8">
      <w:pPr>
        <w:spacing w:after="0" w:line="240" w:lineRule="auto"/>
        <w:ind w:left="720"/>
        <w:jc w:val="both"/>
        <w:rPr>
          <w:rFonts w:ascii="Times New Roman" w:eastAsia="Times New Roman" w:hAnsi="Times New Roman" w:cs="Times New Roman"/>
          <w:color w:val="000000"/>
          <w:sz w:val="24"/>
          <w:szCs w:val="24"/>
          <w:lang w:val="sr-Cyrl-CS" w:eastAsia="en-GB"/>
        </w:rPr>
      </w:pPr>
      <w:r w:rsidRPr="00221978">
        <w:rPr>
          <w:rFonts w:ascii="Times New Roman" w:eastAsia="Calibri" w:hAnsi="Times New Roman" w:cs="Times New Roman"/>
          <w:sz w:val="24"/>
          <w:szCs w:val="24"/>
          <w:lang w:val="sr-Cyrl-CS"/>
        </w:rPr>
        <w:t xml:space="preserve">Индекс служи за самопроцењивање од стране градова и општина а може  користити и за независну екстерну процену. Имајући у виду карактер и функцију овог индекса, његова садржина прати еволуцију система јавне управе и усклађује се са њом, како би овај алат могао да прати капацитет ЛС у складу са актуелним захтевима из јавних политика и прописа и са најбољом праксом. </w:t>
      </w:r>
      <w:r w:rsidRPr="00221978">
        <w:rPr>
          <w:rFonts w:ascii="Times New Roman" w:eastAsia="Times New Roman" w:hAnsi="Times New Roman" w:cs="Times New Roman"/>
          <w:sz w:val="24"/>
          <w:szCs w:val="24"/>
          <w:lang w:val="sr-Cyrl-CS" w:eastAsia="en-GB"/>
        </w:rPr>
        <w:t xml:space="preserve">Кретање на индексу се прати кроз периодичну (двогодишњу) екстерну процену од стране СКГО и мери као </w:t>
      </w:r>
      <w:r w:rsidRPr="00221978">
        <w:rPr>
          <w:rFonts w:ascii="Times New Roman" w:eastAsia="Times New Roman" w:hAnsi="Times New Roman" w:cs="Times New Roman"/>
          <w:color w:val="000000"/>
          <w:sz w:val="24"/>
          <w:szCs w:val="24"/>
          <w:lang w:val="sr-Cyrl-CS" w:eastAsia="en-GB"/>
        </w:rPr>
        <w:t>просечна процентуална вредност индекса на нивоу узорка ЈЛС.</w:t>
      </w:r>
      <w:r w:rsidR="009B73BA" w:rsidRPr="00221978">
        <w:rPr>
          <w:rFonts w:ascii="Times New Roman" w:eastAsia="Times New Roman" w:hAnsi="Times New Roman" w:cs="Times New Roman"/>
          <w:color w:val="000000"/>
          <w:sz w:val="24"/>
          <w:szCs w:val="24"/>
          <w:lang w:val="sr-Cyrl-CS" w:eastAsia="en-GB"/>
        </w:rPr>
        <w:t xml:space="preserve">”    </w:t>
      </w:r>
    </w:p>
    <w:p w14:paraId="0F17E011" w14:textId="763DC131" w:rsidR="00042BCC" w:rsidRPr="00221978" w:rsidRDefault="001F0EF3" w:rsidP="00D405F8">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A95B84" w:rsidRPr="00221978">
        <w:rPr>
          <w:rFonts w:ascii="Times New Roman" w:hAnsi="Times New Roman" w:cs="Times New Roman"/>
          <w:sz w:val="24"/>
          <w:szCs w:val="24"/>
          <w:lang w:val="sr-Cyrl-CS"/>
        </w:rPr>
        <w:t>показатељу</w:t>
      </w:r>
      <w:r w:rsidRPr="00221978">
        <w:rPr>
          <w:rFonts w:ascii="Times New Roman" w:hAnsi="Times New Roman" w:cs="Times New Roman"/>
          <w:sz w:val="24"/>
          <w:szCs w:val="24"/>
          <w:lang w:val="sr-Cyrl-CS"/>
        </w:rPr>
        <w:t xml:space="preserve"> 4. </w:t>
      </w:r>
      <w:r w:rsidRPr="00221978">
        <w:rPr>
          <w:rFonts w:ascii="Times New Roman" w:eastAsia="Calibri" w:hAnsi="Times New Roman" w:cs="Times New Roman"/>
          <w:iCs/>
          <w:sz w:val="24"/>
          <w:szCs w:val="24"/>
          <w:lang w:val="sr-Cyrl-CS"/>
        </w:rPr>
        <w:t>Доступност и квалитет спровођења приоритетних јавних услуга локалне самоуправе</w:t>
      </w:r>
      <w:r w:rsidR="00B97699" w:rsidRPr="00221978">
        <w:rPr>
          <w:rFonts w:ascii="Times New Roman" w:eastAsia="Calibri" w:hAnsi="Times New Roman" w:cs="Times New Roman"/>
          <w:iCs/>
          <w:sz w:val="24"/>
          <w:szCs w:val="24"/>
          <w:lang w:val="sr-Cyrl-CS"/>
        </w:rPr>
        <w:t xml:space="preserve"> мења с</w:t>
      </w:r>
      <w:r w:rsidRPr="00221978">
        <w:rPr>
          <w:rFonts w:ascii="Times New Roman" w:eastAsia="Calibri" w:hAnsi="Times New Roman" w:cs="Times New Roman"/>
          <w:iCs/>
          <w:sz w:val="24"/>
          <w:szCs w:val="24"/>
          <w:lang w:val="sr-Cyrl-CS"/>
        </w:rPr>
        <w:t xml:space="preserve">е </w:t>
      </w:r>
      <w:r w:rsidRPr="00221978">
        <w:rPr>
          <w:rFonts w:ascii="Times New Roman" w:hAnsi="Times New Roman" w:cs="Times New Roman"/>
          <w:sz w:val="24"/>
          <w:szCs w:val="24"/>
          <w:lang w:val="sr-Cyrl-CS"/>
        </w:rPr>
        <w:t xml:space="preserve">кратак опис показатеља и методологије израчунавања и гласи: </w:t>
      </w:r>
    </w:p>
    <w:p w14:paraId="2A5BD0EE" w14:textId="01C574A0" w:rsidR="001F0EF3" w:rsidRPr="00221978" w:rsidRDefault="001F0EF3" w:rsidP="00D405F8">
      <w:pPr>
        <w:spacing w:after="0" w:line="240" w:lineRule="auto"/>
        <w:ind w:left="720"/>
        <w:jc w:val="both"/>
        <w:rPr>
          <w:rFonts w:ascii="Times New Roman" w:eastAsia="Times New Roman" w:hAnsi="Times New Roman" w:cs="Times New Roman"/>
          <w:color w:val="000000"/>
          <w:sz w:val="24"/>
          <w:szCs w:val="24"/>
          <w:lang w:val="sr-Cyrl-CS" w:eastAsia="en-GB"/>
        </w:rPr>
      </w:pPr>
      <w:r w:rsidRPr="00221978">
        <w:rPr>
          <w:rFonts w:ascii="Times New Roman" w:hAnsi="Times New Roman" w:cs="Times New Roman"/>
          <w:sz w:val="24"/>
          <w:szCs w:val="24"/>
          <w:lang w:val="sr-Cyrl-CS"/>
        </w:rPr>
        <w:t>„</w:t>
      </w:r>
      <w:r w:rsidRPr="00221978">
        <w:rPr>
          <w:rFonts w:ascii="Times New Roman" w:eastAsia="Times New Roman" w:hAnsi="Times New Roman" w:cs="Times New Roman"/>
          <w:color w:val="000000"/>
          <w:sz w:val="24"/>
          <w:szCs w:val="24"/>
          <w:lang w:val="sr-Cyrl-CS" w:eastAsia="en-GB"/>
        </w:rPr>
        <w:t>Овај показатељ биће развијен до краја 2022. године. Требало би да показује степен доступности и квалитета јавних услуга ЈЛС. Показатељ ће бити развијен у форми композитне скале која ће мерити доступност и квалитет пружања 1) управних услуга ЈЛС, 2) услуга јавних установа које оснива и чији рад организује и финансира ЈЛС и 3) комуналних услуга. Планирано је да композитна скала, односно истраживање обухвати приоритетне јавне услуге у све три области. Само мерење ће се вршити на нивоу свих ЈЛС, а верификација налаза биће извршена путем организације екстерне провере на репрезентативном узорку ЈЛС који неће бити мањи од 30% укупног броја ЈЛС. Налази истраживања биће исказани као вредности на скали од 1 до 10.</w:t>
      </w:r>
      <w:r w:rsidR="009B73BA" w:rsidRPr="00221978">
        <w:rPr>
          <w:rFonts w:ascii="Times New Roman" w:eastAsia="Times New Roman" w:hAnsi="Times New Roman" w:cs="Times New Roman"/>
          <w:color w:val="000000"/>
          <w:sz w:val="24"/>
          <w:szCs w:val="24"/>
          <w:lang w:val="sr-Cyrl-CS" w:eastAsia="en-GB"/>
        </w:rPr>
        <w:t xml:space="preserve">”    </w:t>
      </w:r>
    </w:p>
    <w:p w14:paraId="04790BEB" w14:textId="038CD9D1" w:rsidR="00362C4F" w:rsidRPr="00221978" w:rsidRDefault="00362C4F" w:rsidP="00D405F8">
      <w:pPr>
        <w:spacing w:after="0" w:line="240" w:lineRule="auto"/>
        <w:ind w:left="720"/>
        <w:jc w:val="both"/>
        <w:rPr>
          <w:rFonts w:ascii="Times New Roman" w:hAnsi="Times New Roman" w:cs="Times New Roman"/>
          <w:sz w:val="24"/>
          <w:szCs w:val="24"/>
          <w:lang w:val="sr-Cyrl-CS"/>
        </w:rPr>
      </w:pPr>
      <w:r w:rsidRPr="00221978">
        <w:rPr>
          <w:rFonts w:ascii="Times New Roman" w:eastAsia="Times New Roman" w:hAnsi="Times New Roman" w:cs="Times New Roman"/>
          <w:color w:val="000000"/>
          <w:sz w:val="24"/>
          <w:szCs w:val="24"/>
          <w:lang w:val="sr-Cyrl-CS" w:eastAsia="en-GB"/>
        </w:rPr>
        <w:t>Мења се процена успешности и гласи:</w:t>
      </w:r>
      <w:r w:rsidR="00701C64" w:rsidRPr="00221978">
        <w:rPr>
          <w:rFonts w:ascii="Times New Roman" w:hAnsi="Times New Roman" w:cs="Times New Roman"/>
          <w:sz w:val="24"/>
          <w:szCs w:val="24"/>
          <w:lang w:val="sr-Cyrl-CS"/>
        </w:rPr>
        <w:t xml:space="preserve"> „</w:t>
      </w:r>
      <w:r w:rsidRPr="00221978">
        <w:rPr>
          <w:rFonts w:ascii="Times New Roman" w:eastAsia="Calibri" w:hAnsi="Times New Roman" w:cs="Times New Roman"/>
          <w:color w:val="000000"/>
          <w:sz w:val="24"/>
          <w:szCs w:val="24"/>
          <w:lang w:val="sr-Cyrl-CS"/>
        </w:rPr>
        <w:t>Прихватљиво одступање од планираних вредности биће утврђено након израде и спровођења првог мерења стања.</w:t>
      </w:r>
      <w:r w:rsidR="009B73BA" w:rsidRPr="00221978">
        <w:rPr>
          <w:rFonts w:ascii="Times New Roman" w:eastAsia="Calibri" w:hAnsi="Times New Roman" w:cs="Times New Roman"/>
          <w:color w:val="000000"/>
          <w:sz w:val="24"/>
          <w:szCs w:val="24"/>
          <w:lang w:val="sr-Cyrl-CS"/>
        </w:rPr>
        <w:t xml:space="preserve">”    </w:t>
      </w:r>
    </w:p>
    <w:p w14:paraId="1F6B1367" w14:textId="244268F6" w:rsidR="001F0EF3" w:rsidRPr="00221978" w:rsidRDefault="001F0EF3" w:rsidP="00D405F8">
      <w:pPr>
        <w:spacing w:after="0" w:line="240" w:lineRule="auto"/>
        <w:ind w:left="720"/>
        <w:jc w:val="both"/>
        <w:rPr>
          <w:rFonts w:ascii="Times New Roman" w:hAnsi="Times New Roman" w:cs="Times New Roman"/>
          <w:bCs/>
          <w:sz w:val="24"/>
          <w:szCs w:val="24"/>
          <w:lang w:val="sr-Cyrl-CS"/>
        </w:rPr>
      </w:pPr>
      <w:r w:rsidRPr="00221978">
        <w:rPr>
          <w:rFonts w:ascii="Times New Roman" w:hAnsi="Times New Roman" w:cs="Times New Roman"/>
          <w:sz w:val="24"/>
          <w:szCs w:val="24"/>
          <w:lang w:val="sr-Cyrl-CS"/>
        </w:rPr>
        <w:t>У показатељ</w:t>
      </w:r>
      <w:r w:rsidR="00581303"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1. на нивоу Посебног циља: </w:t>
      </w:r>
      <w:r w:rsidRPr="00221978">
        <w:rPr>
          <w:rFonts w:ascii="Times New Roman" w:eastAsia="Times New Roman" w:hAnsi="Times New Roman" w:cs="Times New Roman"/>
          <w:bCs/>
          <w:sz w:val="24"/>
          <w:szCs w:val="24"/>
          <w:lang w:val="sr-Cyrl-CS" w:eastAsia="en-GB"/>
        </w:rPr>
        <w:t>Степен ратификације Европске повеље о локалној самоуправи</w:t>
      </w:r>
      <w:r w:rsidR="00B97699" w:rsidRPr="00221978">
        <w:rPr>
          <w:rFonts w:ascii="Times New Roman" w:eastAsia="Times New Roman" w:hAnsi="Times New Roman" w:cs="Times New Roman"/>
          <w:bCs/>
          <w:sz w:val="24"/>
          <w:szCs w:val="24"/>
          <w:lang w:val="sr-Cyrl-CS" w:eastAsia="en-GB"/>
        </w:rPr>
        <w:t xml:space="preserve"> мења с</w:t>
      </w:r>
      <w:r w:rsidRPr="00221978">
        <w:rPr>
          <w:rFonts w:ascii="Times New Roman" w:eastAsia="Times New Roman" w:hAnsi="Times New Roman" w:cs="Times New Roman"/>
          <w:bCs/>
          <w:sz w:val="24"/>
          <w:szCs w:val="24"/>
          <w:lang w:val="sr-Cyrl-CS" w:eastAsia="en-GB"/>
        </w:rPr>
        <w:t>е извор података за праћење показатеља у</w:t>
      </w:r>
      <w:r w:rsidR="00B97699" w:rsidRPr="00221978">
        <w:rPr>
          <w:rFonts w:ascii="Times New Roman" w:eastAsia="Times New Roman" w:hAnsi="Times New Roman" w:cs="Times New Roman"/>
          <w:bCs/>
          <w:sz w:val="24"/>
          <w:szCs w:val="24"/>
          <w:lang w:val="sr-Cyrl-CS" w:eastAsia="en-GB"/>
        </w:rPr>
        <w:t>чинка и гласи: „Правно</w:t>
      </w:r>
      <w:r w:rsidR="00E669EE" w:rsidRPr="00221978">
        <w:rPr>
          <w:rFonts w:ascii="Times New Roman" w:eastAsia="Times New Roman" w:hAnsi="Times New Roman" w:cs="Times New Roman"/>
          <w:bCs/>
          <w:sz w:val="24"/>
          <w:szCs w:val="24"/>
          <w:lang w:val="sr-Cyrl-CS" w:eastAsia="en-GB"/>
        </w:rPr>
        <w:t>-</w:t>
      </w:r>
      <w:r w:rsidRPr="00221978">
        <w:rPr>
          <w:rFonts w:ascii="Times New Roman" w:eastAsia="Times New Roman" w:hAnsi="Times New Roman" w:cs="Times New Roman"/>
          <w:bCs/>
          <w:sz w:val="24"/>
          <w:szCs w:val="24"/>
          <w:lang w:val="sr-Cyrl-CS" w:eastAsia="en-GB"/>
        </w:rPr>
        <w:t>информа</w:t>
      </w:r>
      <w:r w:rsidR="0001141D" w:rsidRPr="00221978">
        <w:rPr>
          <w:rFonts w:ascii="Times New Roman" w:eastAsia="Times New Roman" w:hAnsi="Times New Roman" w:cs="Times New Roman"/>
          <w:bCs/>
          <w:sz w:val="24"/>
          <w:szCs w:val="24"/>
          <w:lang w:val="sr-Cyrl-CS" w:eastAsia="en-GB"/>
        </w:rPr>
        <w:t>ц</w:t>
      </w:r>
      <w:r w:rsidRPr="00221978">
        <w:rPr>
          <w:rFonts w:ascii="Times New Roman" w:eastAsia="Times New Roman" w:hAnsi="Times New Roman" w:cs="Times New Roman"/>
          <w:bCs/>
          <w:sz w:val="24"/>
          <w:szCs w:val="24"/>
          <w:lang w:val="sr-Cyrl-CS" w:eastAsia="en-GB"/>
        </w:rPr>
        <w:t>иони систем Републике Србије.</w:t>
      </w:r>
      <w:r w:rsidR="009B73BA" w:rsidRPr="00221978">
        <w:rPr>
          <w:rFonts w:ascii="Times New Roman" w:eastAsia="Times New Roman" w:hAnsi="Times New Roman" w:cs="Times New Roman"/>
          <w:bCs/>
          <w:sz w:val="24"/>
          <w:szCs w:val="24"/>
          <w:lang w:val="sr-Cyrl-CS" w:eastAsia="en-GB"/>
        </w:rPr>
        <w:t xml:space="preserve">”    </w:t>
      </w:r>
    </w:p>
    <w:p w14:paraId="69D42132" w14:textId="223BD363" w:rsidR="001F0EF3" w:rsidRPr="00221978" w:rsidRDefault="001F0EF3" w:rsidP="00701C64">
      <w:pPr>
        <w:spacing w:after="0" w:line="240" w:lineRule="auto"/>
        <w:ind w:firstLine="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Ранији тренд </w:t>
      </w:r>
      <w:r w:rsidR="00E669EE" w:rsidRPr="00221978">
        <w:rPr>
          <w:rFonts w:ascii="Times New Roman" w:hAnsi="Times New Roman" w:cs="Times New Roman"/>
          <w:sz w:val="24"/>
          <w:szCs w:val="24"/>
          <w:lang w:val="sr-Cyrl-CS"/>
        </w:rPr>
        <w:t xml:space="preserve"> мења се и гласи: </w:t>
      </w:r>
      <w:r w:rsidR="00E669EE" w:rsidRPr="00221978">
        <w:rPr>
          <w:rFonts w:ascii="Times New Roman" w:eastAsia="Times New Roman" w:hAnsi="Times New Roman" w:cs="Times New Roman"/>
          <w:lang w:val="sr-Cyrl-CS" w:eastAsia="ar-SA"/>
        </w:rPr>
        <w:t>„</w:t>
      </w:r>
      <w:r w:rsidR="00E669EE" w:rsidRPr="00221978">
        <w:rPr>
          <w:rFonts w:ascii="Times New Roman" w:hAnsi="Times New Roman" w:cs="Times New Roman"/>
          <w:sz w:val="24"/>
          <w:szCs w:val="24"/>
          <w:lang w:val="sr-Cyrl-CS"/>
        </w:rPr>
        <w:t>2017</w:t>
      </w:r>
      <w:r w:rsidRPr="00221978">
        <w:rPr>
          <w:rFonts w:ascii="Times New Roman" w:hAnsi="Times New Roman" w:cs="Times New Roman"/>
          <w:sz w:val="24"/>
          <w:szCs w:val="24"/>
          <w:lang w:val="sr-Cyrl-CS"/>
        </w:rPr>
        <w:t xml:space="preserve"> </w:t>
      </w:r>
      <w:r w:rsidR="00E669EE"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3.</w:t>
      </w:r>
      <w:r w:rsidR="00E669EE" w:rsidRPr="00221978">
        <w:rPr>
          <w:rFonts w:ascii="Times New Roman" w:hAnsi="Times New Roman" w:cs="Times New Roman"/>
          <w:lang w:val="sr-Cyrl-CS"/>
        </w:rPr>
        <w:t>”</w:t>
      </w:r>
      <w:r w:rsidRPr="00221978">
        <w:rPr>
          <w:rFonts w:ascii="Times New Roman" w:hAnsi="Times New Roman" w:cs="Times New Roman"/>
          <w:sz w:val="24"/>
          <w:szCs w:val="24"/>
          <w:lang w:val="sr-Cyrl-CS"/>
        </w:rPr>
        <w:t xml:space="preserve"> </w:t>
      </w:r>
    </w:p>
    <w:p w14:paraId="30869ED4" w14:textId="584CFF01" w:rsidR="004F3C0F" w:rsidRPr="00221978" w:rsidRDefault="00B97699" w:rsidP="00D405F8">
      <w:pPr>
        <w:spacing w:after="0" w:line="240" w:lineRule="auto"/>
        <w:ind w:left="720"/>
        <w:jc w:val="both"/>
        <w:rPr>
          <w:rFonts w:eastAsia="Calibri"/>
          <w:iCs/>
          <w:sz w:val="20"/>
          <w:szCs w:val="20"/>
          <w:lang w:val="sr-Cyrl-CS"/>
        </w:rPr>
      </w:pPr>
      <w:r w:rsidRPr="00221978">
        <w:rPr>
          <w:rFonts w:ascii="Times New Roman" w:hAnsi="Times New Roman" w:cs="Times New Roman"/>
          <w:bCs/>
          <w:sz w:val="24"/>
          <w:szCs w:val="24"/>
          <w:lang w:val="sr-Cyrl-CS"/>
        </w:rPr>
        <w:t>Мења се реченица у</w:t>
      </w:r>
      <w:r w:rsidR="001F0EF3" w:rsidRPr="00221978">
        <w:rPr>
          <w:rFonts w:ascii="Times New Roman" w:hAnsi="Times New Roman" w:cs="Times New Roman"/>
          <w:bCs/>
          <w:sz w:val="24"/>
          <w:szCs w:val="24"/>
          <w:lang w:val="sr-Cyrl-CS"/>
        </w:rPr>
        <w:t xml:space="preserve"> оквиру процене успешности</w:t>
      </w:r>
      <w:r w:rsidRPr="00221978">
        <w:rPr>
          <w:rFonts w:ascii="Times New Roman" w:hAnsi="Times New Roman" w:cs="Times New Roman"/>
          <w:bCs/>
          <w:sz w:val="24"/>
          <w:szCs w:val="24"/>
          <w:lang w:val="sr-Cyrl-CS"/>
        </w:rPr>
        <w:t xml:space="preserve"> и гласи</w:t>
      </w:r>
      <w:r w:rsidR="004F3C0F" w:rsidRPr="00221978">
        <w:rPr>
          <w:rFonts w:ascii="Times New Roman" w:hAnsi="Times New Roman" w:cs="Times New Roman"/>
          <w:bCs/>
          <w:sz w:val="24"/>
          <w:szCs w:val="24"/>
          <w:lang w:val="sr-Cyrl-CS"/>
        </w:rPr>
        <w:t>:</w:t>
      </w:r>
      <w:r w:rsidR="00701C64" w:rsidRPr="00221978">
        <w:rPr>
          <w:rFonts w:ascii="Times New Roman" w:hAnsi="Times New Roman" w:cs="Times New Roman"/>
          <w:sz w:val="24"/>
          <w:szCs w:val="24"/>
          <w:lang w:val="sr-Cyrl-CS"/>
        </w:rPr>
        <w:t xml:space="preserve"> „</w:t>
      </w:r>
      <w:r w:rsidR="004F3C0F" w:rsidRPr="00221978">
        <w:rPr>
          <w:rFonts w:ascii="Times New Roman" w:eastAsia="Calibri" w:hAnsi="Times New Roman" w:cs="Times New Roman"/>
          <w:iCs/>
          <w:sz w:val="24"/>
          <w:szCs w:val="24"/>
          <w:lang w:val="sr-Cyrl-CS"/>
        </w:rPr>
        <w:t>Прихватљиво је одступање од једне оцене на планираној скали</w:t>
      </w:r>
      <w:r w:rsidR="004F3C0F" w:rsidRPr="00221978">
        <w:rPr>
          <w:rFonts w:ascii="Times New Roman" w:hAnsi="Times New Roman" w:cs="Times New Roman"/>
          <w:sz w:val="24"/>
          <w:szCs w:val="24"/>
          <w:lang w:val="sr-Cyrl-CS" w:eastAsia="en-GB"/>
        </w:rPr>
        <w:t xml:space="preserve"> током периода спровођења Стратегије односно на крају 2030. године.</w:t>
      </w:r>
      <w:r w:rsidR="009B73BA" w:rsidRPr="00221978">
        <w:rPr>
          <w:rFonts w:ascii="Times New Roman" w:hAnsi="Times New Roman" w:cs="Times New Roman"/>
          <w:sz w:val="24"/>
          <w:szCs w:val="24"/>
          <w:lang w:val="sr-Cyrl-CS" w:eastAsia="en-GB"/>
        </w:rPr>
        <w:t xml:space="preserve">”    </w:t>
      </w:r>
      <w:r w:rsidR="004F3C0F" w:rsidRPr="00221978">
        <w:rPr>
          <w:rFonts w:eastAsia="Calibri"/>
          <w:iCs/>
          <w:sz w:val="20"/>
          <w:szCs w:val="20"/>
          <w:lang w:val="sr-Cyrl-CS"/>
        </w:rPr>
        <w:t xml:space="preserve"> </w:t>
      </w:r>
    </w:p>
    <w:p w14:paraId="13DB2D06" w14:textId="2A99AB30" w:rsidR="004F592E" w:rsidRPr="00221978" w:rsidRDefault="00B97699" w:rsidP="00D405F8">
      <w:pPr>
        <w:spacing w:after="0" w:line="240" w:lineRule="auto"/>
        <w:ind w:left="720"/>
        <w:jc w:val="both"/>
        <w:rPr>
          <w:rFonts w:ascii="Times New Roman" w:hAnsi="Times New Roman" w:cs="Times New Roman"/>
          <w:sz w:val="24"/>
          <w:szCs w:val="24"/>
          <w:lang w:val="sr-Cyrl-CS" w:eastAsia="en-GB"/>
        </w:rPr>
      </w:pPr>
      <w:r w:rsidRPr="00221978">
        <w:rPr>
          <w:rFonts w:ascii="Times New Roman" w:hAnsi="Times New Roman" w:cs="Times New Roman"/>
          <w:sz w:val="24"/>
          <w:szCs w:val="24"/>
          <w:lang w:val="sr-Cyrl-CS" w:eastAsia="en-GB"/>
        </w:rPr>
        <w:t>Мења с</w:t>
      </w:r>
      <w:r w:rsidR="001F0EF3" w:rsidRPr="00221978">
        <w:rPr>
          <w:rFonts w:ascii="Times New Roman" w:hAnsi="Times New Roman" w:cs="Times New Roman"/>
          <w:sz w:val="24"/>
          <w:szCs w:val="24"/>
          <w:lang w:val="sr-Cyrl-CS" w:eastAsia="en-GB"/>
        </w:rPr>
        <w:t xml:space="preserve">е назив </w:t>
      </w:r>
      <w:r w:rsidR="0001141D" w:rsidRPr="00221978">
        <w:rPr>
          <w:rFonts w:ascii="Times New Roman" w:hAnsi="Times New Roman" w:cs="Times New Roman"/>
          <w:sz w:val="24"/>
          <w:szCs w:val="24"/>
          <w:lang w:val="sr-Cyrl-CS" w:eastAsia="en-GB"/>
        </w:rPr>
        <w:t>п</w:t>
      </w:r>
      <w:r w:rsidR="001F0EF3" w:rsidRPr="00221978">
        <w:rPr>
          <w:rFonts w:ascii="Times New Roman" w:hAnsi="Times New Roman" w:cs="Times New Roman"/>
          <w:sz w:val="24"/>
          <w:szCs w:val="24"/>
          <w:lang w:val="sr-Cyrl-CS" w:eastAsia="en-GB"/>
        </w:rPr>
        <w:t xml:space="preserve">оказатеља 3. и гласи: </w:t>
      </w:r>
      <w:r w:rsidRPr="00221978">
        <w:rPr>
          <w:rFonts w:ascii="Times New Roman" w:hAnsi="Times New Roman" w:cs="Times New Roman"/>
          <w:sz w:val="24"/>
          <w:szCs w:val="24"/>
          <w:lang w:val="sr-Cyrl-CS" w:eastAsia="en-GB"/>
        </w:rPr>
        <w:t>„</w:t>
      </w:r>
      <w:r w:rsidR="001F0EF3" w:rsidRPr="00221978">
        <w:rPr>
          <w:rFonts w:ascii="Times New Roman" w:hAnsi="Times New Roman" w:cs="Times New Roman"/>
          <w:sz w:val="24"/>
          <w:szCs w:val="24"/>
          <w:lang w:val="sr-Cyrl-CS" w:eastAsia="en-GB"/>
        </w:rPr>
        <w:t xml:space="preserve">Удео усвојених закона у односу на укупни број усвојених закона који се у већој мери односе на ЛС, у чијој припреми су учествовале ЈЛС, и </w:t>
      </w:r>
      <w:r w:rsidR="00E669EE" w:rsidRPr="00221978">
        <w:rPr>
          <w:rFonts w:ascii="Times New Roman" w:hAnsi="Times New Roman" w:cs="Times New Roman"/>
          <w:sz w:val="24"/>
          <w:szCs w:val="24"/>
          <w:lang w:val="sr-Cyrl-CS" w:eastAsia="en-GB"/>
        </w:rPr>
        <w:t xml:space="preserve">мења се </w:t>
      </w:r>
      <w:r w:rsidR="001F0EF3" w:rsidRPr="00221978">
        <w:rPr>
          <w:rFonts w:ascii="Times New Roman" w:hAnsi="Times New Roman" w:cs="Times New Roman"/>
          <w:sz w:val="24"/>
          <w:szCs w:val="24"/>
          <w:lang w:val="sr-Cyrl-CS" w:eastAsia="en-GB"/>
        </w:rPr>
        <w:t>реченица за процену успешности</w:t>
      </w:r>
      <w:r w:rsidR="00E669EE" w:rsidRPr="00221978">
        <w:rPr>
          <w:rFonts w:ascii="Times New Roman" w:hAnsi="Times New Roman" w:cs="Times New Roman"/>
          <w:sz w:val="24"/>
          <w:szCs w:val="24"/>
          <w:lang w:val="sr-Cyrl-CS" w:eastAsia="en-GB"/>
        </w:rPr>
        <w:t xml:space="preserve"> и гласи</w:t>
      </w:r>
      <w:r w:rsidR="00E71542" w:rsidRPr="00221978">
        <w:rPr>
          <w:rFonts w:ascii="Times New Roman" w:hAnsi="Times New Roman" w:cs="Times New Roman"/>
          <w:sz w:val="24"/>
          <w:szCs w:val="24"/>
          <w:lang w:val="sr-Cyrl-CS" w:eastAsia="en-GB"/>
        </w:rPr>
        <w:t>:</w:t>
      </w:r>
      <w:r w:rsidR="00701C64" w:rsidRPr="00221978">
        <w:rPr>
          <w:rFonts w:ascii="Times New Roman" w:hAnsi="Times New Roman" w:cs="Times New Roman"/>
          <w:sz w:val="24"/>
          <w:szCs w:val="24"/>
          <w:lang w:val="sr-Cyrl-CS"/>
        </w:rPr>
        <w:t xml:space="preserve"> „</w:t>
      </w:r>
      <w:r w:rsidR="00E71542" w:rsidRPr="00221978">
        <w:rPr>
          <w:rFonts w:ascii="Times New Roman" w:hAnsi="Times New Roman" w:cs="Times New Roman"/>
          <w:sz w:val="24"/>
          <w:szCs w:val="24"/>
          <w:lang w:val="sr-Cyrl-CS" w:eastAsia="en-GB"/>
        </w:rPr>
        <w:t>Прихватљиво је одступање од једне оцене на планираној скали током периода спровођења Стратегије односно на крају 2030. године.</w:t>
      </w:r>
      <w:r w:rsidR="009B73BA" w:rsidRPr="00221978">
        <w:rPr>
          <w:rFonts w:ascii="Times New Roman" w:hAnsi="Times New Roman" w:cs="Times New Roman"/>
          <w:sz w:val="24"/>
          <w:szCs w:val="24"/>
          <w:lang w:val="sr-Cyrl-CS" w:eastAsia="en-GB"/>
        </w:rPr>
        <w:t xml:space="preserve">”    </w:t>
      </w:r>
    </w:p>
    <w:p w14:paraId="2137C459" w14:textId="6ED6CACE" w:rsidR="004F592E" w:rsidRPr="00221978" w:rsidRDefault="004F592E" w:rsidP="00D405F8">
      <w:pPr>
        <w:tabs>
          <w:tab w:val="left" w:pos="182"/>
        </w:tabs>
        <w:spacing w:after="0"/>
        <w:ind w:left="720"/>
        <w:jc w:val="both"/>
        <w:rPr>
          <w:rFonts w:ascii="Times New Roman" w:eastAsia="Times New Roman" w:hAnsi="Times New Roman" w:cs="Times New Roman"/>
          <w:color w:val="000000"/>
          <w:sz w:val="24"/>
          <w:szCs w:val="24"/>
          <w:lang w:val="sr-Cyrl-CS" w:eastAsia="en-GB"/>
        </w:rPr>
      </w:pPr>
      <w:r w:rsidRPr="00221978">
        <w:rPr>
          <w:rFonts w:ascii="Times New Roman" w:hAnsi="Times New Roman" w:cs="Times New Roman"/>
          <w:sz w:val="24"/>
          <w:szCs w:val="24"/>
          <w:lang w:val="sr-Cyrl-CS" w:eastAsia="en-GB"/>
        </w:rPr>
        <w:t xml:space="preserve">Мења се </w:t>
      </w:r>
      <w:r w:rsidR="00C156C1" w:rsidRPr="00221978">
        <w:rPr>
          <w:rFonts w:ascii="Times New Roman" w:hAnsi="Times New Roman" w:cs="Times New Roman"/>
          <w:sz w:val="24"/>
          <w:szCs w:val="24"/>
          <w:lang w:val="sr-Cyrl-CS" w:eastAsia="en-GB"/>
        </w:rPr>
        <w:t>о</w:t>
      </w:r>
      <w:r w:rsidRPr="00221978">
        <w:rPr>
          <w:rFonts w:ascii="Times New Roman" w:hAnsi="Times New Roman" w:cs="Times New Roman"/>
          <w:sz w:val="24"/>
          <w:szCs w:val="24"/>
          <w:lang w:val="sr-Cyrl-CS" w:eastAsia="en-GB"/>
        </w:rPr>
        <w:t xml:space="preserve">дговарајући општи циљ, посебан циљ или мера </w:t>
      </w:r>
      <w:r w:rsidR="009A0128" w:rsidRPr="00221978">
        <w:rPr>
          <w:rFonts w:ascii="Times New Roman" w:hAnsi="Times New Roman" w:cs="Times New Roman"/>
          <w:sz w:val="24"/>
          <w:szCs w:val="24"/>
          <w:lang w:val="sr-Cyrl-CS" w:eastAsia="en-GB"/>
        </w:rPr>
        <w:t xml:space="preserve">показатеља </w:t>
      </w:r>
      <w:r w:rsidRPr="00221978">
        <w:rPr>
          <w:rFonts w:ascii="Times New Roman" w:hAnsi="Times New Roman" w:cs="Times New Roman"/>
          <w:sz w:val="24"/>
          <w:szCs w:val="24"/>
          <w:lang w:val="sr-Cyrl-CS" w:eastAsia="en-GB"/>
        </w:rPr>
        <w:t>4. и гласи:</w:t>
      </w:r>
      <w:r w:rsidR="00701C64" w:rsidRPr="00221978">
        <w:rPr>
          <w:rFonts w:ascii="Times New Roman" w:hAnsi="Times New Roman" w:cs="Times New Roman"/>
          <w:sz w:val="24"/>
          <w:szCs w:val="24"/>
          <w:lang w:val="sr-Cyrl-CS"/>
        </w:rPr>
        <w:t xml:space="preserve"> „</w:t>
      </w:r>
      <w:r w:rsidRPr="00221978">
        <w:rPr>
          <w:rFonts w:ascii="Times New Roman" w:eastAsia="Calibri" w:hAnsi="Times New Roman" w:cs="Times New Roman"/>
          <w:iCs/>
          <w:kern w:val="24"/>
          <w:sz w:val="24"/>
          <w:szCs w:val="24"/>
          <w:lang w:val="sr-Cyrl-CS"/>
        </w:rPr>
        <w:t>Посебан циљ 2</w:t>
      </w:r>
      <w:r w:rsidRPr="00221978">
        <w:rPr>
          <w:rFonts w:ascii="Times New Roman" w:eastAsia="Calibri" w:hAnsi="Times New Roman" w:cs="Times New Roman"/>
          <w:bCs/>
          <w:iCs/>
          <w:kern w:val="24"/>
          <w:sz w:val="24"/>
          <w:szCs w:val="24"/>
          <w:lang w:val="sr-Cyrl-CS"/>
        </w:rPr>
        <w:t xml:space="preserve">: </w:t>
      </w:r>
      <w:r w:rsidRPr="00221978">
        <w:rPr>
          <w:rFonts w:ascii="Times New Roman" w:eastAsia="Times New Roman" w:hAnsi="Times New Roman" w:cs="Times New Roman"/>
          <w:color w:val="000000"/>
          <w:sz w:val="24"/>
          <w:szCs w:val="24"/>
          <w:lang w:val="sr-Cyrl-CS" w:eastAsia="en-GB"/>
        </w:rPr>
        <w:t>Унапређење система финансирања локалне самоуправе</w:t>
      </w:r>
      <w:r w:rsidR="00E3723A" w:rsidRPr="00221978">
        <w:rPr>
          <w:rFonts w:ascii="Times New Roman" w:eastAsia="Times New Roman" w:hAnsi="Times New Roman" w:cs="Times New Roman"/>
          <w:color w:val="000000"/>
          <w:sz w:val="24"/>
          <w:szCs w:val="24"/>
          <w:lang w:val="sr-Cyrl-CS" w:eastAsia="en-GB"/>
        </w:rPr>
        <w:t>.</w:t>
      </w:r>
      <w:r w:rsidR="009B73BA" w:rsidRPr="00221978">
        <w:rPr>
          <w:rFonts w:ascii="Times New Roman" w:eastAsia="Times New Roman" w:hAnsi="Times New Roman" w:cs="Times New Roman"/>
          <w:color w:val="000000"/>
          <w:sz w:val="24"/>
          <w:szCs w:val="24"/>
          <w:lang w:val="sr-Cyrl-CS" w:eastAsia="en-GB"/>
        </w:rPr>
        <w:t xml:space="preserve">”    </w:t>
      </w:r>
    </w:p>
    <w:p w14:paraId="48C54004" w14:textId="3283AAA8" w:rsidR="00E3723A" w:rsidRPr="00221978" w:rsidRDefault="00701C64" w:rsidP="00E3723A">
      <w:pPr>
        <w:tabs>
          <w:tab w:val="left" w:pos="182"/>
        </w:tabs>
        <w:spacing w:after="0"/>
        <w:jc w:val="both"/>
        <w:rPr>
          <w:rFonts w:ascii="Times New Roman" w:eastAsia="Times New Roman" w:hAnsi="Times New Roman" w:cs="Times New Roman"/>
          <w:bCs/>
          <w:kern w:val="24"/>
          <w:sz w:val="24"/>
          <w:szCs w:val="24"/>
          <w:lang w:val="sr-Cyrl-CS" w:eastAsia="en-GB"/>
        </w:rPr>
      </w:pPr>
      <w:r w:rsidRPr="00221978">
        <w:rPr>
          <w:rFonts w:ascii="Times New Roman" w:eastAsia="Times New Roman" w:hAnsi="Times New Roman" w:cs="Times New Roman"/>
          <w:color w:val="000000"/>
          <w:sz w:val="24"/>
          <w:szCs w:val="24"/>
          <w:lang w:val="sr-Cyrl-CS" w:eastAsia="en-GB"/>
        </w:rPr>
        <w:tab/>
      </w:r>
      <w:r w:rsidRPr="00221978">
        <w:rPr>
          <w:rFonts w:ascii="Times New Roman" w:eastAsia="Times New Roman" w:hAnsi="Times New Roman" w:cs="Times New Roman"/>
          <w:color w:val="000000"/>
          <w:sz w:val="24"/>
          <w:szCs w:val="24"/>
          <w:lang w:val="sr-Cyrl-CS" w:eastAsia="en-GB"/>
        </w:rPr>
        <w:tab/>
      </w:r>
      <w:r w:rsidR="00E3723A" w:rsidRPr="00221978">
        <w:rPr>
          <w:rFonts w:ascii="Times New Roman" w:eastAsia="Times New Roman" w:hAnsi="Times New Roman" w:cs="Times New Roman"/>
          <w:color w:val="000000"/>
          <w:sz w:val="24"/>
          <w:szCs w:val="24"/>
          <w:lang w:val="sr-Cyrl-CS" w:eastAsia="en-GB"/>
        </w:rPr>
        <w:t xml:space="preserve">Мења се </w:t>
      </w:r>
      <w:r w:rsidR="00C156C1" w:rsidRPr="00221978">
        <w:rPr>
          <w:rFonts w:ascii="Times New Roman" w:eastAsia="Times New Roman" w:hAnsi="Times New Roman" w:cs="Times New Roman"/>
          <w:color w:val="000000"/>
          <w:sz w:val="24"/>
          <w:szCs w:val="24"/>
          <w:lang w:val="sr-Cyrl-CS" w:eastAsia="en-GB"/>
        </w:rPr>
        <w:t>ј</w:t>
      </w:r>
      <w:r w:rsidR="00E3723A" w:rsidRPr="00221978">
        <w:rPr>
          <w:rFonts w:ascii="Times New Roman" w:eastAsia="Times New Roman" w:hAnsi="Times New Roman" w:cs="Times New Roman"/>
          <w:color w:val="000000"/>
          <w:sz w:val="24"/>
          <w:szCs w:val="24"/>
          <w:lang w:val="sr-Cyrl-CS" w:eastAsia="en-GB"/>
        </w:rPr>
        <w:t>единица мере и природа и гласи:</w:t>
      </w:r>
      <w:r w:rsidRPr="00221978">
        <w:rPr>
          <w:rFonts w:ascii="Times New Roman" w:hAnsi="Times New Roman" w:cs="Times New Roman"/>
          <w:sz w:val="24"/>
          <w:szCs w:val="24"/>
          <w:lang w:val="sr-Cyrl-CS"/>
        </w:rPr>
        <w:t xml:space="preserve"> „</w:t>
      </w:r>
      <w:r w:rsidR="00E3723A" w:rsidRPr="00221978">
        <w:rPr>
          <w:rFonts w:ascii="Times New Roman" w:eastAsia="Times New Roman" w:hAnsi="Times New Roman" w:cs="Times New Roman"/>
          <w:color w:val="000000"/>
          <w:sz w:val="24"/>
          <w:szCs w:val="24"/>
          <w:lang w:val="sr-Cyrl-CS" w:eastAsia="en-GB"/>
        </w:rPr>
        <w:t>%.</w:t>
      </w:r>
      <w:r w:rsidR="009B73BA" w:rsidRPr="00221978">
        <w:rPr>
          <w:rFonts w:ascii="Times New Roman" w:eastAsia="Times New Roman" w:hAnsi="Times New Roman" w:cs="Times New Roman"/>
          <w:color w:val="000000"/>
          <w:sz w:val="24"/>
          <w:szCs w:val="24"/>
          <w:lang w:val="sr-Cyrl-CS" w:eastAsia="en-GB"/>
        </w:rPr>
        <w:t xml:space="preserve">”    </w:t>
      </w:r>
    </w:p>
    <w:p w14:paraId="33BD8072" w14:textId="62C7C86F" w:rsidR="00B7551F" w:rsidRPr="00221978" w:rsidRDefault="00FF1D80" w:rsidP="00D405F8">
      <w:pPr>
        <w:spacing w:after="0" w:line="240" w:lineRule="auto"/>
        <w:ind w:left="720"/>
        <w:jc w:val="both"/>
        <w:rPr>
          <w:rFonts w:ascii="Times New Roman" w:hAnsi="Times New Roman" w:cs="Times New Roman"/>
          <w:sz w:val="24"/>
          <w:szCs w:val="24"/>
          <w:lang w:val="sr-Cyrl-CS" w:eastAsia="en-GB"/>
        </w:rPr>
      </w:pPr>
      <w:r w:rsidRPr="00221978">
        <w:rPr>
          <w:rFonts w:ascii="Times New Roman" w:hAnsi="Times New Roman" w:cs="Times New Roman"/>
          <w:sz w:val="24"/>
          <w:szCs w:val="24"/>
          <w:lang w:val="sr-Cyrl-CS" w:eastAsia="en-GB"/>
        </w:rPr>
        <w:lastRenderedPageBreak/>
        <w:t xml:space="preserve">У </w:t>
      </w:r>
      <w:r w:rsidR="0001141D" w:rsidRPr="00221978">
        <w:rPr>
          <w:rFonts w:ascii="Times New Roman" w:hAnsi="Times New Roman" w:cs="Times New Roman"/>
          <w:sz w:val="24"/>
          <w:szCs w:val="24"/>
          <w:lang w:val="sr-Cyrl-CS" w:eastAsia="en-GB"/>
        </w:rPr>
        <w:t>п</w:t>
      </w:r>
      <w:r w:rsidRPr="00221978">
        <w:rPr>
          <w:rFonts w:ascii="Times New Roman" w:hAnsi="Times New Roman" w:cs="Times New Roman"/>
          <w:sz w:val="24"/>
          <w:szCs w:val="24"/>
          <w:lang w:val="sr-Cyrl-CS" w:eastAsia="en-GB"/>
        </w:rPr>
        <w:t>оказатељ</w:t>
      </w:r>
      <w:r w:rsidR="00581303" w:rsidRPr="00221978">
        <w:rPr>
          <w:rFonts w:ascii="Times New Roman" w:hAnsi="Times New Roman" w:cs="Times New Roman"/>
          <w:sz w:val="24"/>
          <w:szCs w:val="24"/>
          <w:lang w:val="sr-Cyrl-CS" w:eastAsia="en-GB"/>
        </w:rPr>
        <w:t>у</w:t>
      </w:r>
      <w:r w:rsidRPr="00221978">
        <w:rPr>
          <w:rFonts w:ascii="Times New Roman" w:hAnsi="Times New Roman" w:cs="Times New Roman"/>
          <w:sz w:val="24"/>
          <w:szCs w:val="24"/>
          <w:lang w:val="sr-Cyrl-CS" w:eastAsia="en-GB"/>
        </w:rPr>
        <w:t xml:space="preserve"> 5. </w:t>
      </w:r>
      <w:r w:rsidR="00B7551F" w:rsidRPr="00221978">
        <w:rPr>
          <w:rFonts w:ascii="Times New Roman" w:hAnsi="Times New Roman" w:cs="Times New Roman"/>
          <w:sz w:val="24"/>
          <w:szCs w:val="24"/>
          <w:lang w:val="sr-Cyrl-CS" w:eastAsia="en-GB"/>
        </w:rPr>
        <w:t>мења се одговарајући општи циљ, посебан циљ или мера и гласи:</w:t>
      </w:r>
      <w:r w:rsidR="00701C64" w:rsidRPr="00221978">
        <w:rPr>
          <w:rFonts w:ascii="Times New Roman" w:hAnsi="Times New Roman" w:cs="Times New Roman"/>
          <w:sz w:val="24"/>
          <w:szCs w:val="24"/>
          <w:lang w:val="sr-Cyrl-CS"/>
        </w:rPr>
        <w:t xml:space="preserve"> „</w:t>
      </w:r>
      <w:r w:rsidR="00B7551F" w:rsidRPr="00221978">
        <w:rPr>
          <w:rFonts w:ascii="Times New Roman" w:eastAsia="Times New Roman" w:hAnsi="Times New Roman" w:cs="Times New Roman"/>
          <w:color w:val="000000"/>
          <w:sz w:val="24"/>
          <w:szCs w:val="24"/>
          <w:lang w:val="sr-Cyrl-CS" w:eastAsia="en-GB"/>
        </w:rPr>
        <w:t>Унапређење система финансирања локалне самоуправе.</w:t>
      </w:r>
      <w:r w:rsidR="009B73BA" w:rsidRPr="00221978">
        <w:rPr>
          <w:rFonts w:ascii="Times New Roman" w:eastAsia="Times New Roman" w:hAnsi="Times New Roman" w:cs="Times New Roman"/>
          <w:color w:val="000000"/>
          <w:sz w:val="24"/>
          <w:szCs w:val="24"/>
          <w:lang w:val="sr-Cyrl-CS" w:eastAsia="en-GB"/>
        </w:rPr>
        <w:t xml:space="preserve">”    </w:t>
      </w:r>
      <w:r w:rsidR="00B7551F" w:rsidRPr="00221978">
        <w:rPr>
          <w:rFonts w:ascii="Times New Roman" w:hAnsi="Times New Roman" w:cs="Times New Roman"/>
          <w:sz w:val="24"/>
          <w:szCs w:val="24"/>
          <w:lang w:val="sr-Cyrl-CS" w:eastAsia="en-GB"/>
        </w:rPr>
        <w:t xml:space="preserve"> </w:t>
      </w:r>
    </w:p>
    <w:p w14:paraId="26D0FEDE" w14:textId="4867AC56" w:rsidR="001F0EF3" w:rsidRPr="00221978" w:rsidRDefault="00E3723A" w:rsidP="00701C64">
      <w:pPr>
        <w:spacing w:after="0" w:line="240" w:lineRule="auto"/>
        <w:ind w:firstLine="720"/>
        <w:jc w:val="both"/>
        <w:rPr>
          <w:rFonts w:ascii="Times New Roman" w:hAnsi="Times New Roman" w:cs="Times New Roman"/>
          <w:sz w:val="24"/>
          <w:szCs w:val="24"/>
          <w:lang w:val="sr-Cyrl-CS" w:eastAsia="en-GB"/>
        </w:rPr>
      </w:pPr>
      <w:r w:rsidRPr="00221978">
        <w:rPr>
          <w:rFonts w:ascii="Times New Roman" w:hAnsi="Times New Roman" w:cs="Times New Roman"/>
          <w:sz w:val="24"/>
          <w:szCs w:val="24"/>
          <w:lang w:val="sr-Cyrl-CS" w:eastAsia="en-GB"/>
        </w:rPr>
        <w:t xml:space="preserve">Мења се </w:t>
      </w:r>
      <w:r w:rsidR="00CA0BCB" w:rsidRPr="00221978">
        <w:rPr>
          <w:rFonts w:ascii="Times New Roman" w:hAnsi="Times New Roman" w:cs="Times New Roman"/>
          <w:sz w:val="24"/>
          <w:szCs w:val="24"/>
          <w:lang w:val="sr-Cyrl-CS" w:eastAsia="en-GB"/>
        </w:rPr>
        <w:t>ј</w:t>
      </w:r>
      <w:r w:rsidRPr="00221978">
        <w:rPr>
          <w:rFonts w:ascii="Times New Roman" w:hAnsi="Times New Roman" w:cs="Times New Roman"/>
          <w:sz w:val="24"/>
          <w:szCs w:val="24"/>
          <w:lang w:val="sr-Cyrl-CS" w:eastAsia="en-GB"/>
        </w:rPr>
        <w:t>единица мере и природ</w:t>
      </w:r>
      <w:r w:rsidR="004208F0" w:rsidRPr="00221978">
        <w:rPr>
          <w:rFonts w:ascii="Times New Roman" w:hAnsi="Times New Roman" w:cs="Times New Roman"/>
          <w:sz w:val="24"/>
          <w:szCs w:val="24"/>
          <w:lang w:val="sr-Cyrl-CS" w:eastAsia="en-GB"/>
        </w:rPr>
        <w:t>а</w:t>
      </w:r>
      <w:r w:rsidRPr="00221978">
        <w:rPr>
          <w:rFonts w:ascii="Times New Roman" w:hAnsi="Times New Roman" w:cs="Times New Roman"/>
          <w:sz w:val="24"/>
          <w:szCs w:val="24"/>
          <w:lang w:val="sr-Cyrl-CS" w:eastAsia="en-GB"/>
        </w:rPr>
        <w:t xml:space="preserve"> и гласи:</w:t>
      </w:r>
      <w:r w:rsidR="00701C64" w:rsidRPr="00221978">
        <w:rPr>
          <w:rFonts w:ascii="Times New Roman" w:hAnsi="Times New Roman" w:cs="Times New Roman"/>
          <w:sz w:val="24"/>
          <w:szCs w:val="24"/>
          <w:lang w:val="sr-Cyrl-CS"/>
        </w:rPr>
        <w:t xml:space="preserve"> „</w:t>
      </w:r>
      <w:r w:rsidR="00FF1D80" w:rsidRPr="00221978">
        <w:rPr>
          <w:rFonts w:ascii="Times New Roman" w:hAnsi="Times New Roman" w:cs="Times New Roman"/>
          <w:sz w:val="24"/>
          <w:szCs w:val="24"/>
          <w:lang w:val="sr-Cyrl-CS" w:eastAsia="en-GB"/>
        </w:rPr>
        <w:t>%.</w:t>
      </w:r>
      <w:r w:rsidR="009B73BA" w:rsidRPr="00221978">
        <w:rPr>
          <w:rFonts w:ascii="Times New Roman" w:hAnsi="Times New Roman" w:cs="Times New Roman"/>
          <w:sz w:val="24"/>
          <w:szCs w:val="24"/>
          <w:lang w:val="sr-Cyrl-CS" w:eastAsia="en-GB"/>
        </w:rPr>
        <w:t xml:space="preserve">”    </w:t>
      </w:r>
    </w:p>
    <w:p w14:paraId="7ECC846B" w14:textId="5960AE48" w:rsidR="00E93FCB" w:rsidRPr="00221978" w:rsidRDefault="001D022A" w:rsidP="00D405F8">
      <w:pPr>
        <w:spacing w:after="0" w:line="240" w:lineRule="auto"/>
        <w:ind w:left="720"/>
        <w:jc w:val="both"/>
        <w:rPr>
          <w:rFonts w:ascii="Times New Roman" w:hAnsi="Times New Roman" w:cs="Times New Roman"/>
          <w:sz w:val="24"/>
          <w:szCs w:val="24"/>
          <w:lang w:val="sr-Cyrl-CS" w:eastAsia="en-GB"/>
        </w:rPr>
      </w:pPr>
      <w:r w:rsidRPr="00221978">
        <w:rPr>
          <w:rFonts w:ascii="Times New Roman" w:hAnsi="Times New Roman" w:cs="Times New Roman"/>
          <w:sz w:val="24"/>
          <w:szCs w:val="24"/>
          <w:lang w:val="sr-Cyrl-CS" w:eastAsia="en-GB"/>
        </w:rPr>
        <w:t xml:space="preserve">У </w:t>
      </w:r>
      <w:r w:rsidR="0001141D" w:rsidRPr="00221978">
        <w:rPr>
          <w:rFonts w:ascii="Times New Roman" w:hAnsi="Times New Roman" w:cs="Times New Roman"/>
          <w:sz w:val="24"/>
          <w:szCs w:val="24"/>
          <w:lang w:val="sr-Cyrl-CS" w:eastAsia="en-GB"/>
        </w:rPr>
        <w:t>п</w:t>
      </w:r>
      <w:r w:rsidRPr="00221978">
        <w:rPr>
          <w:rFonts w:ascii="Times New Roman" w:hAnsi="Times New Roman" w:cs="Times New Roman"/>
          <w:sz w:val="24"/>
          <w:szCs w:val="24"/>
          <w:lang w:val="sr-Cyrl-CS" w:eastAsia="en-GB"/>
        </w:rPr>
        <w:t>оказатељ</w:t>
      </w:r>
      <w:r w:rsidR="00A95B84" w:rsidRPr="00221978">
        <w:rPr>
          <w:rFonts w:ascii="Times New Roman" w:hAnsi="Times New Roman" w:cs="Times New Roman"/>
          <w:sz w:val="24"/>
          <w:szCs w:val="24"/>
          <w:lang w:val="sr-Cyrl-CS" w:eastAsia="en-GB"/>
        </w:rPr>
        <w:t>у</w:t>
      </w:r>
      <w:r w:rsidRPr="00221978">
        <w:rPr>
          <w:rFonts w:ascii="Times New Roman" w:hAnsi="Times New Roman" w:cs="Times New Roman"/>
          <w:sz w:val="24"/>
          <w:szCs w:val="24"/>
          <w:lang w:val="sr-Cyrl-CS" w:eastAsia="en-GB"/>
        </w:rPr>
        <w:t xml:space="preserve"> 6. </w:t>
      </w:r>
      <w:r w:rsidR="00E93FCB" w:rsidRPr="00221978">
        <w:rPr>
          <w:rFonts w:ascii="Times New Roman" w:hAnsi="Times New Roman" w:cs="Times New Roman"/>
          <w:sz w:val="24"/>
          <w:szCs w:val="24"/>
          <w:lang w:val="sr-Cyrl-CS" w:eastAsia="en-GB"/>
        </w:rPr>
        <w:t>мења се одговарајући општи циљ, посебан циљ или мера и гласи:</w:t>
      </w:r>
      <w:r w:rsidR="00701C64" w:rsidRPr="00221978">
        <w:rPr>
          <w:rFonts w:ascii="Times New Roman" w:hAnsi="Times New Roman" w:cs="Times New Roman"/>
          <w:sz w:val="24"/>
          <w:szCs w:val="24"/>
          <w:lang w:val="sr-Cyrl-CS"/>
        </w:rPr>
        <w:t xml:space="preserve"> „</w:t>
      </w:r>
      <w:r w:rsidR="00E93FCB" w:rsidRPr="00221978">
        <w:rPr>
          <w:rFonts w:ascii="Times New Roman" w:eastAsia="Calibri" w:hAnsi="Times New Roman" w:cs="Times New Roman"/>
          <w:iCs/>
          <w:kern w:val="24"/>
          <w:sz w:val="24"/>
          <w:szCs w:val="24"/>
          <w:lang w:val="sr-Cyrl-CS"/>
        </w:rPr>
        <w:t xml:space="preserve">Посебан циљ 2: </w:t>
      </w:r>
      <w:r w:rsidR="00E93FCB" w:rsidRPr="00221978">
        <w:rPr>
          <w:rFonts w:ascii="Times New Roman" w:eastAsia="Times New Roman" w:hAnsi="Times New Roman" w:cs="Times New Roman"/>
          <w:color w:val="000000"/>
          <w:sz w:val="24"/>
          <w:szCs w:val="24"/>
          <w:lang w:val="sr-Cyrl-CS" w:eastAsia="en-GB"/>
        </w:rPr>
        <w:t>Унапређење система финансирања локалне самоуправе.</w:t>
      </w:r>
      <w:r w:rsidR="009B73BA" w:rsidRPr="00221978">
        <w:rPr>
          <w:rFonts w:ascii="Times New Roman" w:eastAsia="Times New Roman" w:hAnsi="Times New Roman" w:cs="Times New Roman"/>
          <w:color w:val="000000"/>
          <w:sz w:val="24"/>
          <w:szCs w:val="24"/>
          <w:lang w:val="sr-Cyrl-CS" w:eastAsia="en-GB"/>
        </w:rPr>
        <w:t xml:space="preserve">”    </w:t>
      </w:r>
      <w:r w:rsidR="00E93FCB" w:rsidRPr="00221978">
        <w:rPr>
          <w:rFonts w:ascii="Times New Roman" w:hAnsi="Times New Roman" w:cs="Times New Roman"/>
          <w:sz w:val="24"/>
          <w:szCs w:val="24"/>
          <w:lang w:val="sr-Cyrl-CS" w:eastAsia="en-GB"/>
        </w:rPr>
        <w:t xml:space="preserve"> </w:t>
      </w:r>
    </w:p>
    <w:p w14:paraId="2ADDD381" w14:textId="1A7C3ED9" w:rsidR="00432D07" w:rsidRPr="00221978" w:rsidRDefault="00432D07" w:rsidP="00D405F8">
      <w:pPr>
        <w:spacing w:after="0" w:line="240" w:lineRule="auto"/>
        <w:ind w:firstLine="720"/>
        <w:jc w:val="both"/>
        <w:rPr>
          <w:rFonts w:ascii="Times New Roman" w:hAnsi="Times New Roman" w:cs="Times New Roman"/>
          <w:sz w:val="24"/>
          <w:szCs w:val="24"/>
          <w:lang w:val="sr-Cyrl-CS" w:eastAsia="en-GB"/>
        </w:rPr>
      </w:pPr>
      <w:r w:rsidRPr="00221978">
        <w:rPr>
          <w:rFonts w:ascii="Times New Roman" w:hAnsi="Times New Roman" w:cs="Times New Roman"/>
          <w:sz w:val="24"/>
          <w:szCs w:val="24"/>
          <w:lang w:val="sr-Cyrl-CS" w:eastAsia="en-GB"/>
        </w:rPr>
        <w:t>Мењају се подаци о ЦВ који гласе:</w:t>
      </w:r>
    </w:p>
    <w:p w14:paraId="2B83D2D7" w14:textId="56355968" w:rsidR="00432D07" w:rsidRPr="00221978" w:rsidRDefault="00701C64" w:rsidP="006F7303">
      <w:pPr>
        <w:spacing w:after="0" w:line="240" w:lineRule="auto"/>
        <w:jc w:val="both"/>
        <w:rPr>
          <w:rFonts w:ascii="Times New Roman" w:hAnsi="Times New Roman" w:cs="Times New Roman"/>
          <w:sz w:val="24"/>
          <w:szCs w:val="24"/>
          <w:lang w:val="sr-Cyrl-CS" w:eastAsia="en-GB"/>
        </w:rPr>
      </w:pPr>
      <w:r w:rsidRPr="00221978">
        <w:rPr>
          <w:rFonts w:ascii="Times New Roman" w:hAnsi="Times New Roman" w:cs="Times New Roman"/>
          <w:sz w:val="24"/>
          <w:szCs w:val="24"/>
          <w:lang w:val="sr-Cyrl-C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4"/>
        <w:gridCol w:w="726"/>
        <w:gridCol w:w="800"/>
        <w:gridCol w:w="800"/>
        <w:gridCol w:w="800"/>
        <w:gridCol w:w="800"/>
        <w:gridCol w:w="666"/>
        <w:gridCol w:w="666"/>
        <w:gridCol w:w="666"/>
        <w:gridCol w:w="666"/>
        <w:gridCol w:w="666"/>
      </w:tblGrid>
      <w:tr w:rsidR="00432D07" w:rsidRPr="00221978" w14:paraId="77FFE189" w14:textId="77777777" w:rsidTr="00701C64">
        <w:trPr>
          <w:trHeight w:val="274"/>
          <w:jc w:val="center"/>
        </w:trPr>
        <w:tc>
          <w:tcPr>
            <w:tcW w:w="1119" w:type="pct"/>
            <w:vMerge w:val="restart"/>
            <w:shd w:val="clear" w:color="auto" w:fill="auto"/>
          </w:tcPr>
          <w:p w14:paraId="55B1CBC0" w14:textId="77777777" w:rsidR="00432D07" w:rsidRPr="00221978" w:rsidRDefault="00432D07" w:rsidP="006E7355">
            <w:pPr>
              <w:spacing w:after="50"/>
              <w:rPr>
                <w:rFonts w:ascii="Times New Roman" w:eastAsia="Calibri" w:hAnsi="Times New Roman" w:cs="Times New Roman"/>
                <w:b/>
                <w:bCs/>
                <w:sz w:val="20"/>
                <w:szCs w:val="20"/>
                <w:lang w:val="sr-Cyrl-CS"/>
              </w:rPr>
            </w:pPr>
            <w:r w:rsidRPr="00221978">
              <w:rPr>
                <w:rFonts w:ascii="Times New Roman" w:eastAsia="Calibri" w:hAnsi="Times New Roman" w:cs="Times New Roman"/>
                <w:b/>
                <w:bCs/>
                <w:sz w:val="20"/>
                <w:szCs w:val="20"/>
                <w:lang w:val="sr-Cyrl-CS"/>
              </w:rPr>
              <w:t>Подаци о циљним вредностима</w:t>
            </w:r>
          </w:p>
        </w:tc>
        <w:tc>
          <w:tcPr>
            <w:tcW w:w="388" w:type="pct"/>
            <w:shd w:val="clear" w:color="auto" w:fill="FFFFFF"/>
            <w:vAlign w:val="center"/>
          </w:tcPr>
          <w:p w14:paraId="20E267F5" w14:textId="77777777" w:rsidR="00432D07" w:rsidRPr="00221978" w:rsidRDefault="00432D07"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2021.</w:t>
            </w:r>
          </w:p>
        </w:tc>
        <w:tc>
          <w:tcPr>
            <w:tcW w:w="428" w:type="pct"/>
            <w:shd w:val="clear" w:color="auto" w:fill="FFFFFF"/>
            <w:vAlign w:val="center"/>
          </w:tcPr>
          <w:p w14:paraId="28BAE85D" w14:textId="77777777" w:rsidR="00432D07" w:rsidRPr="00221978" w:rsidRDefault="00432D07"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2022.</w:t>
            </w:r>
          </w:p>
        </w:tc>
        <w:tc>
          <w:tcPr>
            <w:tcW w:w="428" w:type="pct"/>
            <w:shd w:val="clear" w:color="auto" w:fill="FFFFFF"/>
            <w:vAlign w:val="center"/>
          </w:tcPr>
          <w:p w14:paraId="257100C4" w14:textId="77777777" w:rsidR="00432D07" w:rsidRPr="00221978" w:rsidRDefault="00432D07"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2023.</w:t>
            </w:r>
          </w:p>
        </w:tc>
        <w:tc>
          <w:tcPr>
            <w:tcW w:w="428" w:type="pct"/>
            <w:shd w:val="clear" w:color="auto" w:fill="FFFFFF"/>
            <w:vAlign w:val="center"/>
          </w:tcPr>
          <w:p w14:paraId="7B3735E4" w14:textId="77777777" w:rsidR="00432D07" w:rsidRPr="00221978" w:rsidRDefault="00432D07"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2024.</w:t>
            </w:r>
          </w:p>
        </w:tc>
        <w:tc>
          <w:tcPr>
            <w:tcW w:w="428" w:type="pct"/>
            <w:shd w:val="clear" w:color="auto" w:fill="FFFFFF"/>
            <w:vAlign w:val="center"/>
          </w:tcPr>
          <w:p w14:paraId="101B721A" w14:textId="77777777" w:rsidR="00432D07" w:rsidRPr="00221978" w:rsidRDefault="00432D07"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2025.</w:t>
            </w:r>
          </w:p>
        </w:tc>
        <w:tc>
          <w:tcPr>
            <w:tcW w:w="356" w:type="pct"/>
            <w:shd w:val="clear" w:color="auto" w:fill="FFFFFF"/>
            <w:vAlign w:val="center"/>
          </w:tcPr>
          <w:p w14:paraId="07F5161B" w14:textId="77777777" w:rsidR="00432D07" w:rsidRPr="00221978" w:rsidRDefault="00432D07"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2026.</w:t>
            </w:r>
          </w:p>
        </w:tc>
        <w:tc>
          <w:tcPr>
            <w:tcW w:w="356" w:type="pct"/>
            <w:shd w:val="clear" w:color="auto" w:fill="FFFFFF"/>
            <w:vAlign w:val="center"/>
          </w:tcPr>
          <w:p w14:paraId="605DC84C" w14:textId="77777777" w:rsidR="00432D07" w:rsidRPr="00221978" w:rsidRDefault="00432D07"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2027.</w:t>
            </w:r>
          </w:p>
        </w:tc>
        <w:tc>
          <w:tcPr>
            <w:tcW w:w="356" w:type="pct"/>
            <w:shd w:val="clear" w:color="auto" w:fill="FFFFFF"/>
            <w:vAlign w:val="center"/>
          </w:tcPr>
          <w:p w14:paraId="08D9F82F" w14:textId="77777777" w:rsidR="00432D07" w:rsidRPr="00221978" w:rsidRDefault="00432D07"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2028.</w:t>
            </w:r>
          </w:p>
        </w:tc>
        <w:tc>
          <w:tcPr>
            <w:tcW w:w="356" w:type="pct"/>
            <w:shd w:val="clear" w:color="auto" w:fill="FFFFFF"/>
            <w:vAlign w:val="center"/>
          </w:tcPr>
          <w:p w14:paraId="2D12DE1F" w14:textId="77777777" w:rsidR="00432D07" w:rsidRPr="00221978" w:rsidRDefault="00432D07"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2029.</w:t>
            </w:r>
          </w:p>
        </w:tc>
        <w:tc>
          <w:tcPr>
            <w:tcW w:w="356" w:type="pct"/>
            <w:shd w:val="clear" w:color="auto" w:fill="FFFFFF"/>
            <w:vAlign w:val="center"/>
          </w:tcPr>
          <w:p w14:paraId="47E003D5" w14:textId="77777777" w:rsidR="00432D07" w:rsidRPr="00221978" w:rsidRDefault="00432D07"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2030.</w:t>
            </w:r>
          </w:p>
        </w:tc>
      </w:tr>
      <w:tr w:rsidR="00432D07" w:rsidRPr="00221978" w14:paraId="3A5F19F3" w14:textId="77777777" w:rsidTr="00701C64">
        <w:trPr>
          <w:trHeight w:val="160"/>
          <w:jc w:val="center"/>
        </w:trPr>
        <w:tc>
          <w:tcPr>
            <w:tcW w:w="1119" w:type="pct"/>
            <w:vMerge/>
            <w:shd w:val="clear" w:color="auto" w:fill="auto"/>
          </w:tcPr>
          <w:p w14:paraId="2E7C38D6" w14:textId="77777777" w:rsidR="00432D07" w:rsidRPr="00221978" w:rsidRDefault="00432D07" w:rsidP="006E7355">
            <w:pPr>
              <w:spacing w:before="50" w:after="50"/>
              <w:rPr>
                <w:rFonts w:ascii="Times New Roman" w:eastAsia="Calibri" w:hAnsi="Times New Roman" w:cs="Times New Roman"/>
                <w:b/>
                <w:bCs/>
                <w:sz w:val="20"/>
                <w:szCs w:val="20"/>
                <w:lang w:val="sr-Cyrl-CS"/>
              </w:rPr>
            </w:pPr>
          </w:p>
        </w:tc>
        <w:tc>
          <w:tcPr>
            <w:tcW w:w="388" w:type="pct"/>
            <w:shd w:val="clear" w:color="auto" w:fill="FFFFFF"/>
          </w:tcPr>
          <w:p w14:paraId="6E9D2B27" w14:textId="77777777" w:rsidR="00432D07" w:rsidRPr="00221978" w:rsidRDefault="00432D07" w:rsidP="006E7355">
            <w:pPr>
              <w:spacing w:after="0"/>
              <w:jc w:val="center"/>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0%</w:t>
            </w:r>
          </w:p>
        </w:tc>
        <w:tc>
          <w:tcPr>
            <w:tcW w:w="428" w:type="pct"/>
            <w:shd w:val="clear" w:color="auto" w:fill="FFFFFF"/>
          </w:tcPr>
          <w:p w14:paraId="1E8D66F7" w14:textId="77777777" w:rsidR="00432D07" w:rsidRPr="00221978" w:rsidRDefault="00432D07" w:rsidP="006E7355">
            <w:pPr>
              <w:spacing w:after="0"/>
              <w:jc w:val="center"/>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3%</w:t>
            </w:r>
          </w:p>
        </w:tc>
        <w:tc>
          <w:tcPr>
            <w:tcW w:w="428" w:type="pct"/>
            <w:shd w:val="clear" w:color="auto" w:fill="FFFFFF"/>
          </w:tcPr>
          <w:p w14:paraId="31B3C582" w14:textId="77777777" w:rsidR="00432D07" w:rsidRPr="00221978" w:rsidRDefault="00432D07" w:rsidP="006E7355">
            <w:pPr>
              <w:spacing w:after="0"/>
              <w:jc w:val="center"/>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20%</w:t>
            </w:r>
          </w:p>
        </w:tc>
        <w:tc>
          <w:tcPr>
            <w:tcW w:w="428" w:type="pct"/>
            <w:shd w:val="clear" w:color="auto" w:fill="FFFFFF"/>
          </w:tcPr>
          <w:p w14:paraId="58ACD368" w14:textId="77777777" w:rsidR="00432D07" w:rsidRPr="00221978" w:rsidRDefault="00432D07" w:rsidP="006E7355">
            <w:pPr>
              <w:spacing w:after="0"/>
              <w:jc w:val="center"/>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30%</w:t>
            </w:r>
          </w:p>
        </w:tc>
        <w:tc>
          <w:tcPr>
            <w:tcW w:w="428" w:type="pct"/>
            <w:shd w:val="clear" w:color="auto" w:fill="FFFFFF"/>
          </w:tcPr>
          <w:p w14:paraId="79372C0C" w14:textId="77777777" w:rsidR="00432D07" w:rsidRPr="00221978" w:rsidRDefault="00432D07" w:rsidP="006E7355">
            <w:pPr>
              <w:spacing w:after="0"/>
              <w:jc w:val="center"/>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40%</w:t>
            </w:r>
          </w:p>
        </w:tc>
        <w:tc>
          <w:tcPr>
            <w:tcW w:w="356" w:type="pct"/>
            <w:shd w:val="clear" w:color="auto" w:fill="FFFFFF"/>
          </w:tcPr>
          <w:p w14:paraId="54A1BE72" w14:textId="77777777" w:rsidR="00432D07" w:rsidRPr="00221978" w:rsidRDefault="00432D07" w:rsidP="006E7355">
            <w:pPr>
              <w:spacing w:before="50" w:after="50"/>
              <w:jc w:val="center"/>
              <w:rPr>
                <w:rFonts w:ascii="Times New Roman" w:eastAsia="Calibri" w:hAnsi="Times New Roman" w:cs="Times New Roman"/>
                <w:iCs/>
                <w:sz w:val="20"/>
                <w:szCs w:val="20"/>
                <w:lang w:val="sr-Cyrl-CS"/>
              </w:rPr>
            </w:pPr>
          </w:p>
        </w:tc>
        <w:tc>
          <w:tcPr>
            <w:tcW w:w="356" w:type="pct"/>
            <w:shd w:val="clear" w:color="auto" w:fill="FFFFFF"/>
          </w:tcPr>
          <w:p w14:paraId="5C13FF71" w14:textId="77777777" w:rsidR="00432D07" w:rsidRPr="00221978" w:rsidRDefault="00432D07" w:rsidP="006E7355">
            <w:pPr>
              <w:spacing w:before="50" w:after="50"/>
              <w:jc w:val="center"/>
              <w:rPr>
                <w:rFonts w:ascii="Times New Roman" w:eastAsia="Calibri" w:hAnsi="Times New Roman" w:cs="Times New Roman"/>
                <w:iCs/>
                <w:sz w:val="20"/>
                <w:szCs w:val="20"/>
                <w:lang w:val="sr-Cyrl-CS"/>
              </w:rPr>
            </w:pPr>
          </w:p>
        </w:tc>
        <w:tc>
          <w:tcPr>
            <w:tcW w:w="356" w:type="pct"/>
            <w:shd w:val="clear" w:color="auto" w:fill="FFFFFF"/>
          </w:tcPr>
          <w:p w14:paraId="063B7EB3" w14:textId="77777777" w:rsidR="00432D07" w:rsidRPr="00221978" w:rsidRDefault="00432D07" w:rsidP="006E7355">
            <w:pPr>
              <w:spacing w:before="50" w:after="50"/>
              <w:jc w:val="center"/>
              <w:rPr>
                <w:rFonts w:ascii="Times New Roman" w:eastAsia="Calibri" w:hAnsi="Times New Roman" w:cs="Times New Roman"/>
                <w:iCs/>
                <w:sz w:val="20"/>
                <w:szCs w:val="20"/>
                <w:lang w:val="sr-Cyrl-CS"/>
              </w:rPr>
            </w:pPr>
          </w:p>
        </w:tc>
        <w:tc>
          <w:tcPr>
            <w:tcW w:w="356" w:type="pct"/>
            <w:shd w:val="clear" w:color="auto" w:fill="FFFFFF"/>
          </w:tcPr>
          <w:p w14:paraId="33785B0A" w14:textId="77777777" w:rsidR="00432D07" w:rsidRPr="00221978" w:rsidRDefault="00432D07" w:rsidP="006E7355">
            <w:pPr>
              <w:spacing w:before="50" w:after="50"/>
              <w:jc w:val="center"/>
              <w:rPr>
                <w:rFonts w:ascii="Times New Roman" w:eastAsia="Calibri" w:hAnsi="Times New Roman" w:cs="Times New Roman"/>
                <w:iCs/>
                <w:sz w:val="20"/>
                <w:szCs w:val="20"/>
                <w:lang w:val="sr-Cyrl-CS"/>
              </w:rPr>
            </w:pPr>
          </w:p>
        </w:tc>
        <w:tc>
          <w:tcPr>
            <w:tcW w:w="356" w:type="pct"/>
            <w:shd w:val="clear" w:color="auto" w:fill="FFFFFF"/>
          </w:tcPr>
          <w:p w14:paraId="2B496973" w14:textId="77777777" w:rsidR="00432D07" w:rsidRPr="00221978" w:rsidRDefault="00432D07" w:rsidP="006E7355">
            <w:pPr>
              <w:spacing w:before="50" w:after="50"/>
              <w:jc w:val="center"/>
              <w:rPr>
                <w:rFonts w:ascii="Times New Roman" w:eastAsia="Calibri" w:hAnsi="Times New Roman" w:cs="Times New Roman"/>
                <w:iCs/>
                <w:sz w:val="20"/>
                <w:szCs w:val="20"/>
                <w:lang w:val="sr-Cyrl-CS"/>
              </w:rPr>
            </w:pPr>
          </w:p>
        </w:tc>
      </w:tr>
    </w:tbl>
    <w:p w14:paraId="3CED2DC7" w14:textId="4F08B312" w:rsidR="00432D07" w:rsidRPr="00221978" w:rsidRDefault="00701C64" w:rsidP="00701C64">
      <w:pPr>
        <w:spacing w:after="0" w:line="240" w:lineRule="auto"/>
        <w:jc w:val="right"/>
        <w:rPr>
          <w:rFonts w:ascii="Times New Roman" w:hAnsi="Times New Roman" w:cs="Times New Roman"/>
          <w:sz w:val="24"/>
          <w:szCs w:val="24"/>
          <w:lang w:val="sr-Cyrl-CS" w:eastAsia="en-GB"/>
        </w:rPr>
      </w:pPr>
      <w:r w:rsidRPr="00221978">
        <w:rPr>
          <w:rFonts w:ascii="Times New Roman" w:eastAsia="Calibri" w:hAnsi="Times New Roman" w:cs="Times New Roman"/>
          <w:sz w:val="24"/>
          <w:szCs w:val="24"/>
          <w:lang w:val="sr-Cyrl-CS"/>
        </w:rPr>
        <w:t>”.</w:t>
      </w:r>
    </w:p>
    <w:p w14:paraId="13040124" w14:textId="308E9949" w:rsidR="00FF1D80" w:rsidRPr="00221978" w:rsidRDefault="00E93FCB" w:rsidP="00D405F8">
      <w:pPr>
        <w:spacing w:after="0" w:line="240" w:lineRule="auto"/>
        <w:ind w:left="720"/>
        <w:jc w:val="both"/>
        <w:rPr>
          <w:rFonts w:ascii="Times New Roman" w:hAnsi="Times New Roman" w:cs="Times New Roman"/>
          <w:sz w:val="24"/>
          <w:szCs w:val="24"/>
          <w:lang w:val="sr-Cyrl-CS" w:eastAsia="en-GB"/>
        </w:rPr>
      </w:pPr>
      <w:r w:rsidRPr="00221978">
        <w:rPr>
          <w:rFonts w:ascii="Times New Roman" w:hAnsi="Times New Roman" w:cs="Times New Roman"/>
          <w:sz w:val="24"/>
          <w:szCs w:val="24"/>
          <w:lang w:val="sr-Cyrl-CS" w:eastAsia="en-GB"/>
        </w:rPr>
        <w:t>М</w:t>
      </w:r>
      <w:r w:rsidR="006F7303" w:rsidRPr="00221978">
        <w:rPr>
          <w:rFonts w:ascii="Times New Roman" w:hAnsi="Times New Roman" w:cs="Times New Roman"/>
          <w:sz w:val="24"/>
          <w:szCs w:val="24"/>
          <w:lang w:val="sr-Cyrl-CS" w:eastAsia="en-GB"/>
        </w:rPr>
        <w:t>ења с</w:t>
      </w:r>
      <w:r w:rsidR="001D022A" w:rsidRPr="00221978">
        <w:rPr>
          <w:rFonts w:ascii="Times New Roman" w:hAnsi="Times New Roman" w:cs="Times New Roman"/>
          <w:sz w:val="24"/>
          <w:szCs w:val="24"/>
          <w:lang w:val="sr-Cyrl-CS" w:eastAsia="en-GB"/>
        </w:rPr>
        <w:t>е процен</w:t>
      </w:r>
      <w:r w:rsidR="00E669EE" w:rsidRPr="00221978">
        <w:rPr>
          <w:rFonts w:ascii="Times New Roman" w:hAnsi="Times New Roman" w:cs="Times New Roman"/>
          <w:sz w:val="24"/>
          <w:szCs w:val="24"/>
          <w:lang w:val="sr-Cyrl-CS" w:eastAsia="en-GB"/>
        </w:rPr>
        <w:t>а</w:t>
      </w:r>
      <w:r w:rsidR="001D022A" w:rsidRPr="00221978">
        <w:rPr>
          <w:rFonts w:ascii="Times New Roman" w:hAnsi="Times New Roman" w:cs="Times New Roman"/>
          <w:sz w:val="24"/>
          <w:szCs w:val="24"/>
          <w:lang w:val="sr-Cyrl-CS" w:eastAsia="en-GB"/>
        </w:rPr>
        <w:t xml:space="preserve"> успешности и гласи: „Прихватљиво је одступање до 10% од циљане процентуалне вредности.</w:t>
      </w:r>
      <w:r w:rsidR="009B73BA" w:rsidRPr="00221978">
        <w:rPr>
          <w:rFonts w:ascii="Times New Roman" w:hAnsi="Times New Roman" w:cs="Times New Roman"/>
          <w:sz w:val="24"/>
          <w:szCs w:val="24"/>
          <w:lang w:val="sr-Cyrl-CS" w:eastAsia="en-GB"/>
        </w:rPr>
        <w:t xml:space="preserve">”    </w:t>
      </w:r>
    </w:p>
    <w:p w14:paraId="3E7D37B7" w14:textId="3E5A64FD" w:rsidR="008A1BC2" w:rsidRPr="00221978" w:rsidRDefault="00E020EC" w:rsidP="00D405F8">
      <w:pPr>
        <w:spacing w:after="0" w:line="240" w:lineRule="auto"/>
        <w:ind w:left="720"/>
        <w:jc w:val="both"/>
        <w:rPr>
          <w:rFonts w:ascii="Times New Roman" w:hAnsi="Times New Roman" w:cs="Times New Roman"/>
          <w:sz w:val="24"/>
          <w:szCs w:val="24"/>
          <w:lang w:val="sr-Cyrl-CS" w:eastAsia="en-GB"/>
        </w:rPr>
      </w:pPr>
      <w:r w:rsidRPr="00221978">
        <w:rPr>
          <w:rFonts w:ascii="Times New Roman" w:hAnsi="Times New Roman" w:cs="Times New Roman"/>
          <w:sz w:val="24"/>
          <w:szCs w:val="24"/>
          <w:lang w:val="sr-Cyrl-CS" w:eastAsia="en-GB"/>
        </w:rPr>
        <w:t xml:space="preserve">У </w:t>
      </w:r>
      <w:r w:rsidR="00581303" w:rsidRPr="00221978">
        <w:rPr>
          <w:rFonts w:ascii="Times New Roman" w:hAnsi="Times New Roman" w:cs="Times New Roman"/>
          <w:sz w:val="24"/>
          <w:szCs w:val="24"/>
          <w:lang w:val="sr-Cyrl-CS" w:eastAsia="en-GB"/>
        </w:rPr>
        <w:t>показатељу</w:t>
      </w:r>
      <w:r w:rsidRPr="00221978">
        <w:rPr>
          <w:rFonts w:ascii="Times New Roman" w:hAnsi="Times New Roman" w:cs="Times New Roman"/>
          <w:sz w:val="24"/>
          <w:szCs w:val="24"/>
          <w:lang w:val="sr-Cyrl-CS" w:eastAsia="en-GB"/>
        </w:rPr>
        <w:t xml:space="preserve"> 7. </w:t>
      </w:r>
      <w:r w:rsidR="008A1BC2" w:rsidRPr="00221978">
        <w:rPr>
          <w:rFonts w:ascii="Times New Roman" w:hAnsi="Times New Roman" w:cs="Times New Roman"/>
          <w:sz w:val="24"/>
          <w:szCs w:val="24"/>
          <w:lang w:val="sr-Cyrl-CS" w:eastAsia="en-GB"/>
        </w:rPr>
        <w:t>мења се</w:t>
      </w:r>
      <w:r w:rsidR="008A1BC2" w:rsidRPr="00221978">
        <w:rPr>
          <w:rFonts w:ascii="Times New Roman" w:hAnsi="Times New Roman" w:cs="Times New Roman"/>
          <w:sz w:val="24"/>
          <w:szCs w:val="24"/>
          <w:lang w:val="sr-Cyrl-CS"/>
        </w:rPr>
        <w:t xml:space="preserve"> </w:t>
      </w:r>
      <w:r w:rsidR="008A1BC2" w:rsidRPr="00221978">
        <w:rPr>
          <w:rFonts w:ascii="Times New Roman" w:hAnsi="Times New Roman" w:cs="Times New Roman"/>
          <w:sz w:val="24"/>
          <w:szCs w:val="24"/>
          <w:lang w:val="sr-Cyrl-CS" w:eastAsia="en-GB"/>
        </w:rPr>
        <w:t>одговарајући општи циљ, посебан циљ или мера и гласи:</w:t>
      </w:r>
      <w:r w:rsidR="00701C64" w:rsidRPr="00221978">
        <w:rPr>
          <w:rFonts w:ascii="Times New Roman" w:eastAsia="Calibri" w:hAnsi="Times New Roman" w:cs="Times New Roman"/>
          <w:sz w:val="24"/>
          <w:szCs w:val="24"/>
          <w:lang w:val="sr-Cyrl-CS"/>
        </w:rPr>
        <w:t xml:space="preserve"> </w:t>
      </w:r>
      <w:r w:rsidR="00701C64" w:rsidRPr="00221978">
        <w:rPr>
          <w:rFonts w:ascii="Times New Roman" w:hAnsi="Times New Roman" w:cs="Times New Roman"/>
          <w:sz w:val="24"/>
          <w:szCs w:val="24"/>
          <w:lang w:val="sr-Cyrl-CS"/>
        </w:rPr>
        <w:t>„</w:t>
      </w:r>
      <w:r w:rsidR="008A1BC2" w:rsidRPr="00221978">
        <w:rPr>
          <w:rFonts w:ascii="Times New Roman" w:eastAsia="Calibri" w:hAnsi="Times New Roman" w:cs="Times New Roman"/>
          <w:iCs/>
          <w:kern w:val="24"/>
          <w:sz w:val="24"/>
          <w:szCs w:val="24"/>
          <w:lang w:val="sr-Cyrl-CS"/>
        </w:rPr>
        <w:t xml:space="preserve">Посебан циљ 3: </w:t>
      </w:r>
      <w:r w:rsidR="008A1BC2" w:rsidRPr="00221978">
        <w:rPr>
          <w:rFonts w:ascii="Times New Roman" w:eastAsia="Times New Roman" w:hAnsi="Times New Roman" w:cs="Times New Roman"/>
          <w:color w:val="000000"/>
          <w:sz w:val="24"/>
          <w:szCs w:val="24"/>
          <w:lang w:val="sr-Cyrl-CS" w:eastAsia="en-GB"/>
        </w:rPr>
        <w:t>Унапређена организација и капацитети локалне самоуправе.</w:t>
      </w:r>
      <w:r w:rsidR="009B73BA" w:rsidRPr="00221978">
        <w:rPr>
          <w:rFonts w:ascii="Times New Roman" w:eastAsia="Times New Roman" w:hAnsi="Times New Roman" w:cs="Times New Roman"/>
          <w:color w:val="000000"/>
          <w:sz w:val="24"/>
          <w:szCs w:val="24"/>
          <w:lang w:val="sr-Cyrl-CS" w:eastAsia="en-GB"/>
        </w:rPr>
        <w:t xml:space="preserve">”    </w:t>
      </w:r>
      <w:r w:rsidRPr="00221978">
        <w:rPr>
          <w:rFonts w:ascii="Times New Roman" w:hAnsi="Times New Roman" w:cs="Times New Roman"/>
          <w:sz w:val="24"/>
          <w:szCs w:val="24"/>
          <w:lang w:val="sr-Cyrl-CS" w:eastAsia="en-GB"/>
        </w:rPr>
        <w:t xml:space="preserve"> </w:t>
      </w:r>
    </w:p>
    <w:p w14:paraId="7C7744D0" w14:textId="26342926" w:rsidR="00E020EC" w:rsidRPr="00221978" w:rsidRDefault="008A1BC2" w:rsidP="00701C64">
      <w:pPr>
        <w:spacing w:after="0" w:line="240" w:lineRule="auto"/>
        <w:ind w:firstLine="720"/>
        <w:jc w:val="both"/>
        <w:rPr>
          <w:rFonts w:ascii="Times New Roman" w:hAnsi="Times New Roman" w:cs="Times New Roman"/>
          <w:sz w:val="24"/>
          <w:szCs w:val="24"/>
          <w:lang w:val="sr-Cyrl-CS" w:eastAsia="en-GB"/>
        </w:rPr>
      </w:pPr>
      <w:r w:rsidRPr="00221978">
        <w:rPr>
          <w:rFonts w:ascii="Times New Roman" w:hAnsi="Times New Roman" w:cs="Times New Roman"/>
          <w:sz w:val="24"/>
          <w:szCs w:val="24"/>
          <w:lang w:val="sr-Cyrl-CS" w:eastAsia="en-GB"/>
        </w:rPr>
        <w:t>М</w:t>
      </w:r>
      <w:r w:rsidR="003819FD" w:rsidRPr="00221978">
        <w:rPr>
          <w:rFonts w:ascii="Times New Roman" w:hAnsi="Times New Roman" w:cs="Times New Roman"/>
          <w:sz w:val="24"/>
          <w:szCs w:val="24"/>
          <w:lang w:val="sr-Cyrl-CS" w:eastAsia="en-GB"/>
        </w:rPr>
        <w:t xml:space="preserve">ења се </w:t>
      </w:r>
      <w:r w:rsidR="00E020EC" w:rsidRPr="00221978">
        <w:rPr>
          <w:rFonts w:ascii="Times New Roman" w:hAnsi="Times New Roman" w:cs="Times New Roman"/>
          <w:sz w:val="24"/>
          <w:szCs w:val="24"/>
          <w:lang w:val="sr-Cyrl-CS" w:eastAsia="en-GB"/>
        </w:rPr>
        <w:t xml:space="preserve">јединица мере </w:t>
      </w:r>
      <w:r w:rsidR="003819FD" w:rsidRPr="00221978">
        <w:rPr>
          <w:rFonts w:ascii="Times New Roman" w:hAnsi="Times New Roman" w:cs="Times New Roman"/>
          <w:sz w:val="24"/>
          <w:szCs w:val="24"/>
          <w:lang w:val="sr-Cyrl-CS" w:eastAsia="en-GB"/>
        </w:rPr>
        <w:t>и гласи:</w:t>
      </w:r>
      <w:r w:rsidR="00701C64" w:rsidRPr="00221978">
        <w:rPr>
          <w:rFonts w:ascii="Times New Roman" w:hAnsi="Times New Roman" w:cs="Times New Roman"/>
          <w:sz w:val="24"/>
          <w:szCs w:val="24"/>
          <w:lang w:val="sr-Cyrl-CS"/>
        </w:rPr>
        <w:t xml:space="preserve"> „</w:t>
      </w:r>
      <w:r w:rsidR="00E020EC" w:rsidRPr="00221978">
        <w:rPr>
          <w:rFonts w:ascii="Times New Roman" w:hAnsi="Times New Roman" w:cs="Times New Roman"/>
          <w:sz w:val="24"/>
          <w:szCs w:val="24"/>
          <w:lang w:val="sr-Cyrl-CS" w:eastAsia="en-GB"/>
        </w:rPr>
        <w:t>%.</w:t>
      </w:r>
      <w:r w:rsidR="009B73BA" w:rsidRPr="00221978">
        <w:rPr>
          <w:rFonts w:ascii="Times New Roman" w:hAnsi="Times New Roman" w:cs="Times New Roman"/>
          <w:sz w:val="24"/>
          <w:szCs w:val="24"/>
          <w:lang w:val="sr-Cyrl-CS" w:eastAsia="en-GB"/>
        </w:rPr>
        <w:t xml:space="preserve">”    </w:t>
      </w:r>
    </w:p>
    <w:p w14:paraId="532BFA2B" w14:textId="21A4F84F" w:rsidR="008A1BC2" w:rsidRPr="00221978" w:rsidRDefault="008A1BC2" w:rsidP="00D405F8">
      <w:pPr>
        <w:spacing w:after="0" w:line="240" w:lineRule="auto"/>
        <w:ind w:left="720"/>
        <w:jc w:val="both"/>
        <w:rPr>
          <w:rFonts w:ascii="Times New Roman" w:eastAsia="Times New Roman" w:hAnsi="Times New Roman" w:cs="Times New Roman"/>
          <w:color w:val="000000"/>
          <w:sz w:val="24"/>
          <w:szCs w:val="24"/>
          <w:lang w:val="sr-Cyrl-CS" w:eastAsia="en-GB"/>
        </w:rPr>
      </w:pPr>
      <w:r w:rsidRPr="00221978">
        <w:rPr>
          <w:rFonts w:ascii="Times New Roman" w:hAnsi="Times New Roman" w:cs="Times New Roman"/>
          <w:sz w:val="24"/>
          <w:szCs w:val="24"/>
          <w:lang w:val="sr-Cyrl-CS" w:eastAsia="en-GB"/>
        </w:rPr>
        <w:t>Мења се процена успешности и гласи:</w:t>
      </w:r>
      <w:r w:rsidR="00701C64" w:rsidRPr="00221978">
        <w:rPr>
          <w:rFonts w:ascii="Times New Roman" w:hAnsi="Times New Roman" w:cs="Times New Roman"/>
          <w:sz w:val="24"/>
          <w:szCs w:val="24"/>
          <w:lang w:val="sr-Cyrl-CS"/>
        </w:rPr>
        <w:t xml:space="preserve"> „</w:t>
      </w:r>
      <w:r w:rsidRPr="00221978">
        <w:rPr>
          <w:rFonts w:ascii="Times New Roman" w:eastAsia="Times New Roman" w:hAnsi="Times New Roman" w:cs="Times New Roman"/>
          <w:color w:val="000000"/>
          <w:sz w:val="24"/>
          <w:szCs w:val="24"/>
          <w:lang w:val="sr-Cyrl-CS" w:eastAsia="en-GB"/>
        </w:rPr>
        <w:t>Прихватљиво је одступање до 5% од циљане процентуалне вредности.</w:t>
      </w:r>
      <w:r w:rsidR="009B73BA" w:rsidRPr="00221978">
        <w:rPr>
          <w:rFonts w:ascii="Times New Roman" w:eastAsia="Times New Roman" w:hAnsi="Times New Roman" w:cs="Times New Roman"/>
          <w:color w:val="000000"/>
          <w:sz w:val="24"/>
          <w:szCs w:val="24"/>
          <w:lang w:val="sr-Cyrl-CS" w:eastAsia="en-GB"/>
        </w:rPr>
        <w:t xml:space="preserve">”    </w:t>
      </w:r>
    </w:p>
    <w:p w14:paraId="3C9642BF" w14:textId="1D2EF7EB" w:rsidR="004C5E42" w:rsidRPr="00221978" w:rsidRDefault="004C5E42" w:rsidP="00D405F8">
      <w:pPr>
        <w:spacing w:after="0" w:line="240" w:lineRule="auto"/>
        <w:ind w:left="720"/>
        <w:jc w:val="both"/>
        <w:rPr>
          <w:rFonts w:ascii="Times New Roman" w:hAnsi="Times New Roman" w:cs="Times New Roman"/>
          <w:sz w:val="24"/>
          <w:szCs w:val="24"/>
          <w:lang w:val="sr-Cyrl-CS" w:eastAsia="en-GB"/>
        </w:rPr>
      </w:pPr>
      <w:r w:rsidRPr="00221978">
        <w:rPr>
          <w:rFonts w:ascii="Times New Roman" w:eastAsia="Times New Roman" w:hAnsi="Times New Roman" w:cs="Times New Roman"/>
          <w:color w:val="000000"/>
          <w:sz w:val="24"/>
          <w:szCs w:val="24"/>
          <w:lang w:val="sr-Cyrl-CS" w:eastAsia="en-GB"/>
        </w:rPr>
        <w:t>У показатељ</w:t>
      </w:r>
      <w:r w:rsidR="00581303" w:rsidRPr="00221978">
        <w:rPr>
          <w:rFonts w:ascii="Times New Roman" w:eastAsia="Times New Roman" w:hAnsi="Times New Roman" w:cs="Times New Roman"/>
          <w:color w:val="000000"/>
          <w:sz w:val="24"/>
          <w:szCs w:val="24"/>
          <w:lang w:val="sr-Cyrl-CS" w:eastAsia="en-GB"/>
        </w:rPr>
        <w:t>у</w:t>
      </w:r>
      <w:r w:rsidRPr="00221978">
        <w:rPr>
          <w:rFonts w:ascii="Times New Roman" w:eastAsia="Times New Roman" w:hAnsi="Times New Roman" w:cs="Times New Roman"/>
          <w:color w:val="000000"/>
          <w:sz w:val="24"/>
          <w:szCs w:val="24"/>
          <w:lang w:val="sr-Cyrl-CS" w:eastAsia="en-GB"/>
        </w:rPr>
        <w:t xml:space="preserve"> 8. мења се одговарајући општи циљ, посебан циљ или мера и гласи:</w:t>
      </w:r>
      <w:r w:rsidR="00701C64" w:rsidRPr="00221978">
        <w:rPr>
          <w:rFonts w:ascii="Times New Roman" w:hAnsi="Times New Roman" w:cs="Times New Roman"/>
          <w:sz w:val="24"/>
          <w:szCs w:val="24"/>
          <w:lang w:val="sr-Cyrl-CS"/>
        </w:rPr>
        <w:t xml:space="preserve"> „</w:t>
      </w:r>
      <w:r w:rsidR="003743DF" w:rsidRPr="00221978">
        <w:rPr>
          <w:rFonts w:ascii="Times New Roman" w:eastAsia="Calibri" w:hAnsi="Times New Roman" w:cs="Times New Roman"/>
          <w:iCs/>
          <w:kern w:val="24"/>
          <w:sz w:val="24"/>
          <w:szCs w:val="24"/>
          <w:lang w:val="sr-Cyrl-CS"/>
        </w:rPr>
        <w:t>Посебан циљ 3</w:t>
      </w:r>
      <w:r w:rsidR="003743DF" w:rsidRPr="00221978">
        <w:rPr>
          <w:rFonts w:ascii="Times New Roman" w:eastAsia="Calibri" w:hAnsi="Times New Roman" w:cs="Times New Roman"/>
          <w:bCs/>
          <w:iCs/>
          <w:kern w:val="24"/>
          <w:sz w:val="24"/>
          <w:szCs w:val="24"/>
          <w:lang w:val="sr-Cyrl-CS"/>
        </w:rPr>
        <w:t xml:space="preserve">: </w:t>
      </w:r>
      <w:r w:rsidR="003743DF" w:rsidRPr="00221978">
        <w:rPr>
          <w:rFonts w:ascii="Times New Roman" w:eastAsia="Times New Roman" w:hAnsi="Times New Roman" w:cs="Times New Roman"/>
          <w:color w:val="000000"/>
          <w:sz w:val="24"/>
          <w:szCs w:val="24"/>
          <w:lang w:val="sr-Cyrl-CS" w:eastAsia="en-GB"/>
        </w:rPr>
        <w:t>Унапређена организација и капацитети локалне самоуправе.</w:t>
      </w:r>
      <w:r w:rsidR="009B73BA" w:rsidRPr="00221978">
        <w:rPr>
          <w:rFonts w:ascii="Times New Roman" w:eastAsia="Times New Roman" w:hAnsi="Times New Roman" w:cs="Times New Roman"/>
          <w:color w:val="000000"/>
          <w:sz w:val="24"/>
          <w:szCs w:val="24"/>
          <w:lang w:val="sr-Cyrl-CS" w:eastAsia="en-GB"/>
        </w:rPr>
        <w:t xml:space="preserve">”    </w:t>
      </w:r>
    </w:p>
    <w:p w14:paraId="7D72EF27" w14:textId="4B6E1284" w:rsidR="00E020EC" w:rsidRPr="00221978" w:rsidRDefault="00E020EC" w:rsidP="00D405F8">
      <w:pPr>
        <w:spacing w:after="0" w:line="240" w:lineRule="auto"/>
        <w:ind w:left="720"/>
        <w:jc w:val="both"/>
        <w:rPr>
          <w:rFonts w:ascii="Times New Roman" w:hAnsi="Times New Roman" w:cs="Times New Roman"/>
          <w:sz w:val="24"/>
          <w:szCs w:val="24"/>
          <w:lang w:val="sr-Cyrl-CS" w:eastAsia="en-GB"/>
        </w:rPr>
      </w:pPr>
      <w:r w:rsidRPr="00221978">
        <w:rPr>
          <w:rFonts w:ascii="Times New Roman" w:hAnsi="Times New Roman" w:cs="Times New Roman"/>
          <w:sz w:val="24"/>
          <w:szCs w:val="24"/>
          <w:lang w:val="sr-Cyrl-CS" w:eastAsia="en-GB"/>
        </w:rPr>
        <w:t>У показатељ</w:t>
      </w:r>
      <w:r w:rsidR="00581303" w:rsidRPr="00221978">
        <w:rPr>
          <w:rFonts w:ascii="Times New Roman" w:hAnsi="Times New Roman" w:cs="Times New Roman"/>
          <w:sz w:val="24"/>
          <w:szCs w:val="24"/>
          <w:lang w:val="sr-Cyrl-CS" w:eastAsia="en-GB"/>
        </w:rPr>
        <w:t>у</w:t>
      </w:r>
      <w:r w:rsidRPr="00221978">
        <w:rPr>
          <w:rFonts w:ascii="Times New Roman" w:hAnsi="Times New Roman" w:cs="Times New Roman"/>
          <w:sz w:val="24"/>
          <w:szCs w:val="24"/>
          <w:lang w:val="sr-Cyrl-CS" w:eastAsia="en-GB"/>
        </w:rPr>
        <w:t xml:space="preserve"> 9. Израђен индекс за мерење доступности и квалитета услуга ЈЛС</w:t>
      </w:r>
      <w:r w:rsidR="006F7303" w:rsidRPr="00221978">
        <w:rPr>
          <w:rFonts w:ascii="Times New Roman" w:hAnsi="Times New Roman" w:cs="Times New Roman"/>
          <w:sz w:val="24"/>
          <w:szCs w:val="24"/>
          <w:lang w:val="sr-Cyrl-CS" w:eastAsia="en-GB"/>
        </w:rPr>
        <w:t xml:space="preserve"> мења с</w:t>
      </w:r>
      <w:r w:rsidRPr="00221978">
        <w:rPr>
          <w:rFonts w:ascii="Times New Roman" w:hAnsi="Times New Roman" w:cs="Times New Roman"/>
          <w:sz w:val="24"/>
          <w:szCs w:val="24"/>
          <w:lang w:val="sr-Cyrl-CS" w:eastAsia="en-GB"/>
        </w:rPr>
        <w:t>е кратак опис показатеља и методологије израчунавања и гласи: „Планирано је да индекс за мерење доступности и квалитета услуга ЈЛС буде израђен до краја 2022. године у форми композитне скале од 1 до 10 која ће мерити приоритетне јавне услуге у све три области (управне услуге, услуге јавних установа и комуналне услуге). Прво мерење на основу израђеног индекса је планирано за 2023. годину</w:t>
      </w:r>
      <w:r w:rsidR="00701C64" w:rsidRPr="00221978">
        <w:rPr>
          <w:rFonts w:ascii="Times New Roman" w:hAnsi="Times New Roman" w:cs="Times New Roman"/>
          <w:sz w:val="24"/>
          <w:szCs w:val="24"/>
          <w:lang w:val="sr-Cyrl-CS" w:eastAsia="en-GB"/>
        </w:rPr>
        <w:t>”</w:t>
      </w:r>
      <w:r w:rsidR="00EF159E" w:rsidRPr="00221978">
        <w:rPr>
          <w:rFonts w:ascii="Times New Roman" w:hAnsi="Times New Roman" w:cs="Times New Roman"/>
          <w:sz w:val="24"/>
          <w:szCs w:val="24"/>
          <w:lang w:val="sr-Cyrl-CS" w:eastAsia="en-GB"/>
        </w:rPr>
        <w:t>, као и процена успешности која гласи: „Прихватљиво је одступање од једне календарске године у односу на планирану вредност показатеља.</w:t>
      </w:r>
      <w:r w:rsidR="009B73BA" w:rsidRPr="00221978">
        <w:rPr>
          <w:rFonts w:ascii="Times New Roman" w:hAnsi="Times New Roman" w:cs="Times New Roman"/>
          <w:sz w:val="24"/>
          <w:szCs w:val="24"/>
          <w:lang w:val="sr-Cyrl-CS" w:eastAsia="en-GB"/>
        </w:rPr>
        <w:t xml:space="preserve">”    </w:t>
      </w:r>
    </w:p>
    <w:p w14:paraId="3271D594" w14:textId="77777777" w:rsidR="00581303" w:rsidRPr="00221978" w:rsidRDefault="00815B0A" w:rsidP="00D405F8">
      <w:pPr>
        <w:spacing w:after="0" w:line="240" w:lineRule="auto"/>
        <w:ind w:left="720"/>
        <w:jc w:val="both"/>
        <w:rPr>
          <w:rFonts w:ascii="Times New Roman" w:hAnsi="Times New Roman" w:cs="Times New Roman"/>
          <w:sz w:val="24"/>
          <w:szCs w:val="24"/>
          <w:lang w:val="sr-Cyrl-CS" w:eastAsia="en-GB"/>
        </w:rPr>
      </w:pPr>
      <w:r w:rsidRPr="00221978">
        <w:rPr>
          <w:rFonts w:ascii="Times New Roman" w:hAnsi="Times New Roman" w:cs="Times New Roman"/>
          <w:sz w:val="24"/>
          <w:szCs w:val="24"/>
          <w:lang w:val="sr-Cyrl-CS" w:eastAsia="en-GB"/>
        </w:rPr>
        <w:t>У показатељ</w:t>
      </w:r>
      <w:r w:rsidR="00581303" w:rsidRPr="00221978">
        <w:rPr>
          <w:rFonts w:ascii="Times New Roman" w:hAnsi="Times New Roman" w:cs="Times New Roman"/>
          <w:sz w:val="24"/>
          <w:szCs w:val="24"/>
          <w:lang w:val="sr-Cyrl-CS" w:eastAsia="en-GB"/>
        </w:rPr>
        <w:t>у</w:t>
      </w:r>
      <w:r w:rsidRPr="00221978">
        <w:rPr>
          <w:rFonts w:ascii="Times New Roman" w:hAnsi="Times New Roman" w:cs="Times New Roman"/>
          <w:sz w:val="24"/>
          <w:szCs w:val="24"/>
          <w:lang w:val="sr-Cyrl-CS" w:eastAsia="en-GB"/>
        </w:rPr>
        <w:t xml:space="preserve"> 10. Израђен индекс за мерење задовољства корисника пруженим услугама локалне самоуправе</w:t>
      </w:r>
      <w:r w:rsidR="004F686C" w:rsidRPr="00221978">
        <w:rPr>
          <w:rFonts w:ascii="Times New Roman" w:hAnsi="Times New Roman" w:cs="Times New Roman"/>
          <w:sz w:val="24"/>
          <w:szCs w:val="24"/>
          <w:lang w:val="sr-Cyrl-CS" w:eastAsia="en-GB"/>
        </w:rPr>
        <w:t xml:space="preserve"> мења с</w:t>
      </w:r>
      <w:r w:rsidRPr="00221978">
        <w:rPr>
          <w:rFonts w:ascii="Times New Roman" w:hAnsi="Times New Roman" w:cs="Times New Roman"/>
          <w:sz w:val="24"/>
          <w:szCs w:val="24"/>
          <w:lang w:val="sr-Cyrl-CS" w:eastAsia="en-GB"/>
        </w:rPr>
        <w:t>е кратак</w:t>
      </w:r>
      <w:r w:rsidR="00E669EE" w:rsidRPr="00221978">
        <w:rPr>
          <w:rFonts w:ascii="Times New Roman" w:hAnsi="Times New Roman" w:cs="Times New Roman"/>
          <w:sz w:val="24"/>
          <w:szCs w:val="24"/>
          <w:lang w:val="sr-Cyrl-CS" w:eastAsia="en-GB"/>
        </w:rPr>
        <w:t xml:space="preserve"> опис показатеља и методологије</w:t>
      </w:r>
      <w:r w:rsidRPr="00221978">
        <w:rPr>
          <w:rFonts w:ascii="Times New Roman" w:hAnsi="Times New Roman" w:cs="Times New Roman"/>
          <w:sz w:val="24"/>
          <w:szCs w:val="24"/>
          <w:lang w:val="sr-Cyrl-CS" w:eastAsia="en-GB"/>
        </w:rPr>
        <w:t xml:space="preserve"> и гласи: „За потребе мерење задовољства корисника пруженим услугама локалне самоуправе биће израђен индекс и посебна методологија која ће се користити. Методологија ће се заснивати на оцењивању квалитета управних услуга, услуга јавних установа и комуналних услуга за које су одговорне локалне самоуправе. Индекс и методологија биће израђени 2022. године. Прво мерење задовољства корисника услуга ће бити извршено 2023. године, када ће бити утврђено полазно стање као основа за даље планирање вредности овог показатеља и адекватних реформских активности. Након израде овог индекса и методологије и по утврђивању полазне вредности, овај показатељ ће бити трансформисан у показатељ који ће мерити задовољство корисника пруженим услугама локалне самоуправе и постаће показатељ реформи у оквиру овог посебног циља</w:t>
      </w:r>
      <w:r w:rsidR="0007319A" w:rsidRPr="00221978">
        <w:rPr>
          <w:rFonts w:ascii="Times New Roman" w:hAnsi="Times New Roman" w:cs="Times New Roman"/>
          <w:sz w:val="24"/>
          <w:szCs w:val="24"/>
          <w:lang w:val="sr-Cyrl-CS" w:eastAsia="en-GB"/>
        </w:rPr>
        <w:t>.</w:t>
      </w:r>
      <w:r w:rsidR="009B73BA" w:rsidRPr="00221978">
        <w:rPr>
          <w:rFonts w:ascii="Times New Roman" w:hAnsi="Times New Roman" w:cs="Times New Roman"/>
          <w:sz w:val="24"/>
          <w:szCs w:val="24"/>
          <w:lang w:val="sr-Cyrl-CS" w:eastAsia="en-GB"/>
        </w:rPr>
        <w:t xml:space="preserve">”  </w:t>
      </w:r>
    </w:p>
    <w:p w14:paraId="3714605A" w14:textId="4E3160CD" w:rsidR="00A95B84" w:rsidRPr="00221978" w:rsidRDefault="009B73BA" w:rsidP="00A95B84">
      <w:pPr>
        <w:spacing w:after="0" w:line="240" w:lineRule="auto"/>
        <w:ind w:left="720"/>
        <w:jc w:val="both"/>
        <w:rPr>
          <w:rFonts w:ascii="Times New Roman" w:hAnsi="Times New Roman" w:cs="Times New Roman"/>
          <w:sz w:val="24"/>
          <w:szCs w:val="24"/>
          <w:lang w:val="sr-Cyrl-CS" w:eastAsia="en-GB"/>
        </w:rPr>
      </w:pPr>
      <w:r w:rsidRPr="00221978">
        <w:rPr>
          <w:rFonts w:ascii="Times New Roman" w:hAnsi="Times New Roman" w:cs="Times New Roman"/>
          <w:sz w:val="24"/>
          <w:szCs w:val="24"/>
          <w:lang w:val="sr-Cyrl-CS" w:eastAsia="en-GB"/>
        </w:rPr>
        <w:t xml:space="preserve"> </w:t>
      </w:r>
      <w:r w:rsidR="0007319A" w:rsidRPr="00221978">
        <w:rPr>
          <w:rFonts w:ascii="Times New Roman" w:hAnsi="Times New Roman" w:cs="Times New Roman"/>
          <w:sz w:val="24"/>
          <w:szCs w:val="24"/>
          <w:lang w:val="sr-Cyrl-CS" w:eastAsia="en-GB"/>
        </w:rPr>
        <w:t>Мењају се подаци о ЦВ и гласе:</w:t>
      </w:r>
    </w:p>
    <w:p w14:paraId="42F03BC6" w14:textId="7157C59E" w:rsidR="0007319A" w:rsidRPr="00221978" w:rsidRDefault="00701C64" w:rsidP="00D405F8">
      <w:pPr>
        <w:spacing w:after="0" w:line="240" w:lineRule="auto"/>
        <w:ind w:firstLine="720"/>
        <w:rPr>
          <w:rFonts w:ascii="Times New Roman" w:hAnsi="Times New Roman" w:cs="Times New Roman"/>
          <w:sz w:val="24"/>
          <w:szCs w:val="24"/>
          <w:lang w:val="sr-Cyrl-CS" w:eastAsia="en-GB"/>
        </w:rPr>
      </w:pPr>
      <w:r w:rsidRPr="00221978">
        <w:rPr>
          <w:rFonts w:ascii="Times New Roman" w:hAnsi="Times New Roman" w:cs="Times New Roman"/>
          <w:sz w:val="24"/>
          <w:szCs w:val="24"/>
          <w:lang w:val="sr-Cyrl-C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4"/>
        <w:gridCol w:w="726"/>
        <w:gridCol w:w="800"/>
        <w:gridCol w:w="800"/>
        <w:gridCol w:w="800"/>
        <w:gridCol w:w="800"/>
        <w:gridCol w:w="666"/>
        <w:gridCol w:w="666"/>
        <w:gridCol w:w="666"/>
        <w:gridCol w:w="666"/>
        <w:gridCol w:w="666"/>
      </w:tblGrid>
      <w:tr w:rsidR="0007319A" w:rsidRPr="00221978" w14:paraId="3293D081" w14:textId="77777777" w:rsidTr="00701C64">
        <w:trPr>
          <w:trHeight w:val="274"/>
          <w:jc w:val="center"/>
        </w:trPr>
        <w:tc>
          <w:tcPr>
            <w:tcW w:w="1119" w:type="pct"/>
            <w:vMerge w:val="restart"/>
            <w:shd w:val="clear" w:color="auto" w:fill="auto"/>
          </w:tcPr>
          <w:p w14:paraId="1531F1ED" w14:textId="77777777" w:rsidR="0007319A" w:rsidRPr="00221978" w:rsidRDefault="0007319A" w:rsidP="006E7355">
            <w:pPr>
              <w:spacing w:after="50"/>
              <w:rPr>
                <w:rFonts w:ascii="Times New Roman" w:eastAsia="Calibri" w:hAnsi="Times New Roman" w:cs="Times New Roman"/>
                <w:b/>
                <w:bCs/>
                <w:sz w:val="20"/>
                <w:szCs w:val="20"/>
                <w:lang w:val="sr-Cyrl-CS"/>
              </w:rPr>
            </w:pPr>
            <w:r w:rsidRPr="00221978">
              <w:rPr>
                <w:rFonts w:ascii="Times New Roman" w:eastAsia="Calibri" w:hAnsi="Times New Roman" w:cs="Times New Roman"/>
                <w:b/>
                <w:bCs/>
                <w:sz w:val="20"/>
                <w:szCs w:val="20"/>
                <w:lang w:val="sr-Cyrl-CS"/>
              </w:rPr>
              <w:t>Подаци о циљним вредностима</w:t>
            </w:r>
          </w:p>
        </w:tc>
        <w:tc>
          <w:tcPr>
            <w:tcW w:w="388" w:type="pct"/>
            <w:shd w:val="clear" w:color="auto" w:fill="FFFFFF"/>
            <w:vAlign w:val="center"/>
          </w:tcPr>
          <w:p w14:paraId="381AC027" w14:textId="77777777" w:rsidR="0007319A" w:rsidRPr="00221978" w:rsidRDefault="0007319A"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2021.</w:t>
            </w:r>
          </w:p>
        </w:tc>
        <w:tc>
          <w:tcPr>
            <w:tcW w:w="428" w:type="pct"/>
            <w:shd w:val="clear" w:color="auto" w:fill="FFFFFF"/>
            <w:vAlign w:val="center"/>
          </w:tcPr>
          <w:p w14:paraId="754A74B4" w14:textId="77777777" w:rsidR="0007319A" w:rsidRPr="00221978" w:rsidRDefault="0007319A"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2022.</w:t>
            </w:r>
          </w:p>
        </w:tc>
        <w:tc>
          <w:tcPr>
            <w:tcW w:w="428" w:type="pct"/>
            <w:shd w:val="clear" w:color="auto" w:fill="FFFFFF"/>
            <w:vAlign w:val="center"/>
          </w:tcPr>
          <w:p w14:paraId="446C03BE" w14:textId="77777777" w:rsidR="0007319A" w:rsidRPr="00221978" w:rsidRDefault="0007319A"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2023.</w:t>
            </w:r>
          </w:p>
        </w:tc>
        <w:tc>
          <w:tcPr>
            <w:tcW w:w="428" w:type="pct"/>
            <w:shd w:val="clear" w:color="auto" w:fill="FFFFFF"/>
            <w:vAlign w:val="center"/>
          </w:tcPr>
          <w:p w14:paraId="7ED86EA8" w14:textId="77777777" w:rsidR="0007319A" w:rsidRPr="00221978" w:rsidRDefault="0007319A"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2024.</w:t>
            </w:r>
          </w:p>
        </w:tc>
        <w:tc>
          <w:tcPr>
            <w:tcW w:w="428" w:type="pct"/>
            <w:shd w:val="clear" w:color="auto" w:fill="FFFFFF"/>
            <w:vAlign w:val="center"/>
          </w:tcPr>
          <w:p w14:paraId="501A0CAE" w14:textId="77777777" w:rsidR="0007319A" w:rsidRPr="00221978" w:rsidRDefault="0007319A"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2025.</w:t>
            </w:r>
          </w:p>
        </w:tc>
        <w:tc>
          <w:tcPr>
            <w:tcW w:w="356" w:type="pct"/>
            <w:shd w:val="clear" w:color="auto" w:fill="FFFFFF"/>
            <w:vAlign w:val="center"/>
          </w:tcPr>
          <w:p w14:paraId="12654D8C" w14:textId="77777777" w:rsidR="0007319A" w:rsidRPr="00221978" w:rsidRDefault="0007319A"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2026.</w:t>
            </w:r>
          </w:p>
        </w:tc>
        <w:tc>
          <w:tcPr>
            <w:tcW w:w="356" w:type="pct"/>
            <w:shd w:val="clear" w:color="auto" w:fill="FFFFFF"/>
            <w:vAlign w:val="center"/>
          </w:tcPr>
          <w:p w14:paraId="535CC1A2" w14:textId="77777777" w:rsidR="0007319A" w:rsidRPr="00221978" w:rsidRDefault="0007319A"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2027.</w:t>
            </w:r>
          </w:p>
        </w:tc>
        <w:tc>
          <w:tcPr>
            <w:tcW w:w="356" w:type="pct"/>
            <w:shd w:val="clear" w:color="auto" w:fill="FFFFFF"/>
            <w:vAlign w:val="center"/>
          </w:tcPr>
          <w:p w14:paraId="287D5286" w14:textId="77777777" w:rsidR="0007319A" w:rsidRPr="00221978" w:rsidRDefault="0007319A"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2028.</w:t>
            </w:r>
          </w:p>
        </w:tc>
        <w:tc>
          <w:tcPr>
            <w:tcW w:w="356" w:type="pct"/>
            <w:shd w:val="clear" w:color="auto" w:fill="FFFFFF"/>
            <w:vAlign w:val="center"/>
          </w:tcPr>
          <w:p w14:paraId="6AD39D05" w14:textId="77777777" w:rsidR="0007319A" w:rsidRPr="00221978" w:rsidRDefault="0007319A"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2029.</w:t>
            </w:r>
          </w:p>
        </w:tc>
        <w:tc>
          <w:tcPr>
            <w:tcW w:w="356" w:type="pct"/>
            <w:shd w:val="clear" w:color="auto" w:fill="FFFFFF"/>
            <w:vAlign w:val="center"/>
          </w:tcPr>
          <w:p w14:paraId="533BA773" w14:textId="77777777" w:rsidR="0007319A" w:rsidRPr="00221978" w:rsidRDefault="0007319A" w:rsidP="006E7355">
            <w:pPr>
              <w:spacing w:before="50" w:after="50"/>
              <w:jc w:val="center"/>
              <w:rPr>
                <w:rFonts w:ascii="Times New Roman" w:eastAsia="Calibri" w:hAnsi="Times New Roman" w:cs="Times New Roman"/>
                <w:iCs/>
                <w:sz w:val="20"/>
                <w:szCs w:val="20"/>
                <w:lang w:val="sr-Cyrl-CS"/>
              </w:rPr>
            </w:pPr>
            <w:r w:rsidRPr="00221978">
              <w:rPr>
                <w:rFonts w:ascii="Times New Roman" w:eastAsia="Calibri" w:hAnsi="Times New Roman" w:cs="Times New Roman"/>
                <w:iCs/>
                <w:sz w:val="20"/>
                <w:szCs w:val="20"/>
                <w:lang w:val="sr-Cyrl-CS"/>
              </w:rPr>
              <w:t>2030.</w:t>
            </w:r>
          </w:p>
        </w:tc>
      </w:tr>
      <w:tr w:rsidR="0007319A" w:rsidRPr="00221978" w14:paraId="1764CA5A" w14:textId="77777777" w:rsidTr="00701C64">
        <w:trPr>
          <w:trHeight w:val="160"/>
          <w:jc w:val="center"/>
        </w:trPr>
        <w:tc>
          <w:tcPr>
            <w:tcW w:w="1119" w:type="pct"/>
            <w:vMerge/>
            <w:shd w:val="clear" w:color="auto" w:fill="auto"/>
          </w:tcPr>
          <w:p w14:paraId="6BB2A3A7" w14:textId="77777777" w:rsidR="0007319A" w:rsidRPr="00221978" w:rsidRDefault="0007319A" w:rsidP="006E7355">
            <w:pPr>
              <w:spacing w:before="50" w:after="50"/>
              <w:rPr>
                <w:rFonts w:ascii="Times New Roman" w:eastAsia="Calibri" w:hAnsi="Times New Roman" w:cs="Times New Roman"/>
                <w:b/>
                <w:bCs/>
                <w:sz w:val="20"/>
                <w:szCs w:val="20"/>
                <w:lang w:val="sr-Cyrl-CS"/>
              </w:rPr>
            </w:pPr>
          </w:p>
        </w:tc>
        <w:tc>
          <w:tcPr>
            <w:tcW w:w="388" w:type="pct"/>
            <w:shd w:val="clear" w:color="auto" w:fill="FFFFFF"/>
          </w:tcPr>
          <w:p w14:paraId="3F3D1FC0" w14:textId="77777777" w:rsidR="0007319A" w:rsidRPr="00221978" w:rsidRDefault="0007319A" w:rsidP="006E7355">
            <w:pPr>
              <w:spacing w:after="0"/>
              <w:jc w:val="center"/>
              <w:rPr>
                <w:rFonts w:ascii="Times New Roman" w:eastAsia="Times New Roman" w:hAnsi="Times New Roman" w:cs="Times New Roman"/>
                <w:sz w:val="20"/>
                <w:szCs w:val="20"/>
                <w:lang w:val="sr-Cyrl-CS" w:eastAsia="en-GB"/>
              </w:rPr>
            </w:pPr>
          </w:p>
        </w:tc>
        <w:tc>
          <w:tcPr>
            <w:tcW w:w="428" w:type="pct"/>
            <w:shd w:val="clear" w:color="auto" w:fill="FFFFFF"/>
          </w:tcPr>
          <w:p w14:paraId="26F7D9C0" w14:textId="77777777" w:rsidR="0007319A" w:rsidRPr="00221978" w:rsidRDefault="0007319A" w:rsidP="006E7355">
            <w:pPr>
              <w:spacing w:after="0"/>
              <w:jc w:val="center"/>
              <w:rPr>
                <w:rFonts w:ascii="Times New Roman" w:eastAsia="Times New Roman" w:hAnsi="Times New Roman" w:cs="Times New Roman"/>
                <w:sz w:val="20"/>
                <w:szCs w:val="20"/>
                <w:lang w:val="sr-Cyrl-CS" w:eastAsia="en-GB"/>
              </w:rPr>
            </w:pPr>
            <w:r w:rsidRPr="00221978">
              <w:rPr>
                <w:rFonts w:ascii="Times New Roman" w:eastAsia="Times New Roman" w:hAnsi="Times New Roman" w:cs="Times New Roman"/>
                <w:sz w:val="20"/>
                <w:szCs w:val="20"/>
                <w:lang w:val="sr-Cyrl-CS" w:eastAsia="en-GB"/>
              </w:rPr>
              <w:t>да</w:t>
            </w:r>
          </w:p>
        </w:tc>
        <w:tc>
          <w:tcPr>
            <w:tcW w:w="428" w:type="pct"/>
            <w:shd w:val="clear" w:color="auto" w:fill="FFFFFF"/>
          </w:tcPr>
          <w:p w14:paraId="0D695BCB" w14:textId="77777777" w:rsidR="0007319A" w:rsidRPr="00221978" w:rsidRDefault="0007319A" w:rsidP="006E7355">
            <w:pPr>
              <w:spacing w:after="0"/>
              <w:jc w:val="center"/>
              <w:rPr>
                <w:rFonts w:ascii="Times New Roman" w:eastAsia="Times New Roman" w:hAnsi="Times New Roman" w:cs="Times New Roman"/>
                <w:sz w:val="20"/>
                <w:szCs w:val="20"/>
                <w:lang w:val="sr-Cyrl-CS" w:eastAsia="en-GB"/>
              </w:rPr>
            </w:pPr>
          </w:p>
        </w:tc>
        <w:tc>
          <w:tcPr>
            <w:tcW w:w="428" w:type="pct"/>
            <w:shd w:val="clear" w:color="auto" w:fill="FFFFFF"/>
          </w:tcPr>
          <w:p w14:paraId="1DF32156" w14:textId="77777777" w:rsidR="0007319A" w:rsidRPr="00221978" w:rsidRDefault="0007319A" w:rsidP="006E7355">
            <w:pPr>
              <w:spacing w:after="0"/>
              <w:jc w:val="center"/>
              <w:rPr>
                <w:rFonts w:ascii="Times New Roman" w:eastAsia="Times New Roman" w:hAnsi="Times New Roman" w:cs="Times New Roman"/>
                <w:sz w:val="20"/>
                <w:szCs w:val="20"/>
                <w:highlight w:val="yellow"/>
                <w:lang w:val="sr-Cyrl-CS" w:eastAsia="en-GB"/>
              </w:rPr>
            </w:pPr>
          </w:p>
        </w:tc>
        <w:tc>
          <w:tcPr>
            <w:tcW w:w="428" w:type="pct"/>
            <w:shd w:val="clear" w:color="auto" w:fill="FFFFFF"/>
          </w:tcPr>
          <w:p w14:paraId="1352A8A0" w14:textId="77777777" w:rsidR="0007319A" w:rsidRPr="00221978" w:rsidRDefault="0007319A" w:rsidP="006E7355">
            <w:pPr>
              <w:spacing w:after="0"/>
              <w:jc w:val="center"/>
              <w:rPr>
                <w:rFonts w:ascii="Times New Roman" w:eastAsia="Times New Roman" w:hAnsi="Times New Roman" w:cs="Times New Roman"/>
                <w:sz w:val="20"/>
                <w:szCs w:val="20"/>
                <w:highlight w:val="yellow"/>
                <w:lang w:val="sr-Cyrl-CS" w:eastAsia="en-GB"/>
              </w:rPr>
            </w:pPr>
          </w:p>
        </w:tc>
        <w:tc>
          <w:tcPr>
            <w:tcW w:w="356" w:type="pct"/>
            <w:shd w:val="clear" w:color="auto" w:fill="FFFFFF"/>
          </w:tcPr>
          <w:p w14:paraId="651BC76F" w14:textId="77777777" w:rsidR="0007319A" w:rsidRPr="00221978" w:rsidRDefault="0007319A" w:rsidP="006E7355">
            <w:pPr>
              <w:spacing w:before="50" w:after="50"/>
              <w:jc w:val="center"/>
              <w:rPr>
                <w:rFonts w:ascii="Times New Roman" w:eastAsia="Calibri" w:hAnsi="Times New Roman" w:cs="Times New Roman"/>
                <w:iCs/>
                <w:sz w:val="20"/>
                <w:szCs w:val="20"/>
                <w:lang w:val="sr-Cyrl-CS"/>
              </w:rPr>
            </w:pPr>
          </w:p>
        </w:tc>
        <w:tc>
          <w:tcPr>
            <w:tcW w:w="356" w:type="pct"/>
            <w:shd w:val="clear" w:color="auto" w:fill="FFFFFF"/>
          </w:tcPr>
          <w:p w14:paraId="75BEC7D6" w14:textId="77777777" w:rsidR="0007319A" w:rsidRPr="00221978" w:rsidRDefault="0007319A" w:rsidP="006E7355">
            <w:pPr>
              <w:spacing w:before="50" w:after="50"/>
              <w:jc w:val="center"/>
              <w:rPr>
                <w:rFonts w:ascii="Times New Roman" w:eastAsia="Calibri" w:hAnsi="Times New Roman" w:cs="Times New Roman"/>
                <w:iCs/>
                <w:sz w:val="20"/>
                <w:szCs w:val="20"/>
                <w:lang w:val="sr-Cyrl-CS"/>
              </w:rPr>
            </w:pPr>
          </w:p>
        </w:tc>
        <w:tc>
          <w:tcPr>
            <w:tcW w:w="356" w:type="pct"/>
            <w:shd w:val="clear" w:color="auto" w:fill="FFFFFF"/>
          </w:tcPr>
          <w:p w14:paraId="330546C4" w14:textId="77777777" w:rsidR="0007319A" w:rsidRPr="00221978" w:rsidRDefault="0007319A" w:rsidP="006E7355">
            <w:pPr>
              <w:spacing w:before="50" w:after="50"/>
              <w:jc w:val="center"/>
              <w:rPr>
                <w:rFonts w:ascii="Times New Roman" w:eastAsia="Calibri" w:hAnsi="Times New Roman" w:cs="Times New Roman"/>
                <w:iCs/>
                <w:sz w:val="20"/>
                <w:szCs w:val="20"/>
                <w:lang w:val="sr-Cyrl-CS"/>
              </w:rPr>
            </w:pPr>
          </w:p>
        </w:tc>
        <w:tc>
          <w:tcPr>
            <w:tcW w:w="356" w:type="pct"/>
            <w:shd w:val="clear" w:color="auto" w:fill="FFFFFF"/>
          </w:tcPr>
          <w:p w14:paraId="6C78A7F0" w14:textId="77777777" w:rsidR="0007319A" w:rsidRPr="00221978" w:rsidRDefault="0007319A" w:rsidP="006E7355">
            <w:pPr>
              <w:spacing w:before="50" w:after="50"/>
              <w:jc w:val="center"/>
              <w:rPr>
                <w:rFonts w:ascii="Times New Roman" w:eastAsia="Calibri" w:hAnsi="Times New Roman" w:cs="Times New Roman"/>
                <w:iCs/>
                <w:sz w:val="20"/>
                <w:szCs w:val="20"/>
                <w:lang w:val="sr-Cyrl-CS"/>
              </w:rPr>
            </w:pPr>
          </w:p>
        </w:tc>
        <w:tc>
          <w:tcPr>
            <w:tcW w:w="356" w:type="pct"/>
            <w:shd w:val="clear" w:color="auto" w:fill="FFFFFF"/>
          </w:tcPr>
          <w:p w14:paraId="6BCFA11D" w14:textId="77777777" w:rsidR="0007319A" w:rsidRPr="00221978" w:rsidRDefault="0007319A" w:rsidP="006E7355">
            <w:pPr>
              <w:spacing w:before="50" w:after="50"/>
              <w:jc w:val="center"/>
              <w:rPr>
                <w:rFonts w:ascii="Times New Roman" w:eastAsia="Calibri" w:hAnsi="Times New Roman" w:cs="Times New Roman"/>
                <w:iCs/>
                <w:sz w:val="20"/>
                <w:szCs w:val="20"/>
                <w:lang w:val="sr-Cyrl-CS"/>
              </w:rPr>
            </w:pPr>
          </w:p>
        </w:tc>
      </w:tr>
    </w:tbl>
    <w:p w14:paraId="5B1B5BF5" w14:textId="407FF3E0" w:rsidR="0007319A" w:rsidRPr="00221978" w:rsidRDefault="00701C64" w:rsidP="00701C64">
      <w:pPr>
        <w:spacing w:after="0" w:line="240" w:lineRule="auto"/>
        <w:jc w:val="right"/>
        <w:rPr>
          <w:rFonts w:ascii="Times New Roman" w:hAnsi="Times New Roman" w:cs="Times New Roman"/>
          <w:sz w:val="24"/>
          <w:szCs w:val="24"/>
          <w:lang w:val="sr-Cyrl-CS" w:eastAsia="en-GB"/>
        </w:rPr>
      </w:pPr>
      <w:r w:rsidRPr="00221978">
        <w:rPr>
          <w:rFonts w:ascii="Times New Roman" w:eastAsia="Calibri" w:hAnsi="Times New Roman" w:cs="Times New Roman"/>
          <w:sz w:val="24"/>
          <w:szCs w:val="24"/>
          <w:lang w:val="sr-Cyrl-CS"/>
        </w:rPr>
        <w:t>”.</w:t>
      </w:r>
    </w:p>
    <w:p w14:paraId="0AF1296B" w14:textId="5B8AE657" w:rsidR="001F0EF3" w:rsidRPr="00221978" w:rsidRDefault="0007319A" w:rsidP="00F06342">
      <w:pPr>
        <w:spacing w:after="0" w:line="240" w:lineRule="auto"/>
        <w:ind w:left="720"/>
        <w:jc w:val="both"/>
        <w:rPr>
          <w:rFonts w:ascii="Times New Roman" w:hAnsi="Times New Roman" w:cs="Times New Roman"/>
          <w:sz w:val="24"/>
          <w:szCs w:val="24"/>
          <w:lang w:val="sr-Cyrl-CS" w:eastAsia="en-GB"/>
        </w:rPr>
      </w:pPr>
      <w:r w:rsidRPr="00221978">
        <w:rPr>
          <w:rFonts w:ascii="Times New Roman" w:hAnsi="Times New Roman" w:cs="Times New Roman"/>
          <w:sz w:val="24"/>
          <w:szCs w:val="24"/>
          <w:lang w:val="sr-Cyrl-CS" w:eastAsia="en-GB"/>
        </w:rPr>
        <w:lastRenderedPageBreak/>
        <w:t xml:space="preserve">Мења се </w:t>
      </w:r>
      <w:r w:rsidR="00815B0A" w:rsidRPr="00221978">
        <w:rPr>
          <w:rFonts w:ascii="Times New Roman" w:hAnsi="Times New Roman" w:cs="Times New Roman"/>
          <w:sz w:val="24"/>
          <w:szCs w:val="24"/>
          <w:lang w:val="sr-Cyrl-CS" w:eastAsia="en-GB"/>
        </w:rPr>
        <w:t>процена успешности која гласи:</w:t>
      </w:r>
      <w:r w:rsidR="00701C64" w:rsidRPr="00221978">
        <w:rPr>
          <w:rFonts w:ascii="Times New Roman" w:hAnsi="Times New Roman" w:cs="Times New Roman"/>
          <w:sz w:val="24"/>
          <w:szCs w:val="24"/>
          <w:lang w:val="sr-Cyrl-CS"/>
        </w:rPr>
        <w:t xml:space="preserve"> „</w:t>
      </w:r>
      <w:r w:rsidR="00815B0A" w:rsidRPr="00221978">
        <w:rPr>
          <w:rFonts w:ascii="Times New Roman" w:hAnsi="Times New Roman" w:cs="Times New Roman"/>
          <w:sz w:val="24"/>
          <w:szCs w:val="24"/>
          <w:lang w:val="sr-Cyrl-CS" w:eastAsia="en-GB"/>
        </w:rPr>
        <w:t>Прихватљиво је одступање од једне календарске године у односу на планирану вредност показатеља.</w:t>
      </w:r>
      <w:r w:rsidR="009B73BA" w:rsidRPr="00221978">
        <w:rPr>
          <w:rFonts w:ascii="Times New Roman" w:hAnsi="Times New Roman" w:cs="Times New Roman"/>
          <w:sz w:val="24"/>
          <w:szCs w:val="24"/>
          <w:lang w:val="sr-Cyrl-CS" w:eastAsia="en-GB"/>
        </w:rPr>
        <w:t xml:space="preserve">”    </w:t>
      </w:r>
    </w:p>
    <w:p w14:paraId="40E62F26" w14:textId="77777777" w:rsidR="00815B0A" w:rsidRPr="00221978" w:rsidRDefault="00815B0A" w:rsidP="0001141D">
      <w:pPr>
        <w:pStyle w:val="ListParagraph"/>
        <w:spacing w:after="0" w:line="240" w:lineRule="auto"/>
        <w:ind w:left="1440"/>
        <w:jc w:val="both"/>
        <w:rPr>
          <w:rFonts w:ascii="Times New Roman" w:hAnsi="Times New Roman" w:cs="Times New Roman"/>
          <w:sz w:val="24"/>
          <w:szCs w:val="24"/>
          <w:lang w:val="sr-Cyrl-CS" w:eastAsia="en-GB"/>
        </w:rPr>
      </w:pPr>
    </w:p>
    <w:p w14:paraId="623C79A3" w14:textId="5C12F46F" w:rsidR="00856EFB" w:rsidRPr="00221978" w:rsidRDefault="00807F76" w:rsidP="00AF5FC0">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581303" w:rsidRPr="00221978">
        <w:rPr>
          <w:rFonts w:ascii="Times New Roman" w:hAnsi="Times New Roman" w:cs="Times New Roman"/>
          <w:sz w:val="24"/>
          <w:szCs w:val="24"/>
          <w:lang w:val="sr-Cyrl-CS"/>
        </w:rPr>
        <w:t>Акционом</w:t>
      </w:r>
      <w:r w:rsidRPr="00221978">
        <w:rPr>
          <w:rFonts w:ascii="Times New Roman" w:hAnsi="Times New Roman" w:cs="Times New Roman"/>
          <w:sz w:val="24"/>
          <w:szCs w:val="24"/>
          <w:lang w:val="sr-Cyrl-CS"/>
        </w:rPr>
        <w:t xml:space="preserve"> план</w:t>
      </w:r>
      <w:r w:rsidR="00581303"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за период 2021-2025. године за спровођење Стратегије РЈУ, </w:t>
      </w:r>
      <w:bookmarkStart w:id="28" w:name="_Toc62403533"/>
      <w:bookmarkStart w:id="29" w:name="_Toc62404252"/>
      <w:bookmarkStart w:id="30" w:name="_Toc62408751"/>
      <w:bookmarkStart w:id="31" w:name="_Toc64555378"/>
      <w:bookmarkStart w:id="32" w:name="_Toc69740354"/>
      <w:r w:rsidRPr="00221978">
        <w:rPr>
          <w:rFonts w:ascii="Times New Roman" w:eastAsia="Times New Roman" w:hAnsi="Times New Roman" w:cs="Times New Roman"/>
          <w:bCs/>
          <w:sz w:val="24"/>
          <w:szCs w:val="24"/>
          <w:lang w:val="sr-Cyrl-CS" w:eastAsia="en-GB"/>
        </w:rPr>
        <w:t>Посебан циљ 2: Унапређен процес регрутације у јавној управи</w:t>
      </w:r>
      <w:bookmarkEnd w:id="28"/>
      <w:bookmarkEnd w:id="29"/>
      <w:bookmarkEnd w:id="30"/>
      <w:bookmarkEnd w:id="31"/>
      <w:bookmarkEnd w:id="32"/>
      <w:r w:rsidRPr="00221978">
        <w:rPr>
          <w:rFonts w:ascii="Times New Roman" w:eastAsia="Times New Roman" w:hAnsi="Times New Roman" w:cs="Times New Roman"/>
          <w:bCs/>
          <w:sz w:val="24"/>
          <w:szCs w:val="24"/>
          <w:lang w:val="sr-Cyrl-CS" w:eastAsia="en-GB"/>
        </w:rPr>
        <w:t>, Meрa 2.3: Унапређење поступка попуњавања положаја заснованог на заслугама и увођење у посао, Активност 1.</w:t>
      </w:r>
      <w:r w:rsidRPr="00221978">
        <w:rPr>
          <w:rFonts w:ascii="Times New Roman" w:hAnsi="Times New Roman" w:cs="Times New Roman"/>
          <w:sz w:val="24"/>
          <w:szCs w:val="24"/>
          <w:lang w:val="sr-Cyrl-CS"/>
        </w:rPr>
        <w:t xml:space="preserve"> </w:t>
      </w:r>
      <w:r w:rsidRPr="00221978">
        <w:rPr>
          <w:rFonts w:ascii="Times New Roman" w:eastAsia="Times New Roman" w:hAnsi="Times New Roman" w:cs="Times New Roman"/>
          <w:sz w:val="24"/>
          <w:szCs w:val="24"/>
          <w:lang w:val="sr-Cyrl-CS" w:eastAsia="en-GB"/>
        </w:rPr>
        <w:t>Израда анализе законодавног оквира којим се уређује поступак и овлашћење за постављење на положај и вршиоца дужности и предлози мера за унапређење</w:t>
      </w:r>
      <w:r w:rsidR="00856EFB" w:rsidRPr="00221978">
        <w:rPr>
          <w:rFonts w:ascii="Times New Roman" w:eastAsia="Times New Roman" w:hAnsi="Times New Roman" w:cs="Times New Roman"/>
          <w:sz w:val="24"/>
          <w:szCs w:val="24"/>
          <w:lang w:val="sr-Cyrl-CS" w:eastAsia="en-GB"/>
        </w:rPr>
        <w:t>:</w:t>
      </w:r>
    </w:p>
    <w:p w14:paraId="7BDD6AA9" w14:textId="5E2863F0" w:rsidR="00807F76" w:rsidRPr="00221978" w:rsidRDefault="00856EFB" w:rsidP="00701C64">
      <w:pPr>
        <w:spacing w:after="0" w:line="240" w:lineRule="auto"/>
        <w:ind w:firstLine="720"/>
        <w:jc w:val="both"/>
        <w:rPr>
          <w:rFonts w:ascii="Times New Roman" w:hAnsi="Times New Roman" w:cs="Times New Roman"/>
          <w:sz w:val="24"/>
          <w:szCs w:val="24"/>
          <w:lang w:val="sr-Cyrl-CS"/>
        </w:rPr>
      </w:pPr>
      <w:r w:rsidRPr="00221978">
        <w:rPr>
          <w:rFonts w:ascii="Times New Roman" w:eastAsia="Times New Roman" w:hAnsi="Times New Roman" w:cs="Times New Roman"/>
          <w:sz w:val="24"/>
          <w:szCs w:val="24"/>
          <w:lang w:val="sr-Cyrl-CS" w:eastAsia="en-GB"/>
        </w:rPr>
        <w:t>М</w:t>
      </w:r>
      <w:r w:rsidR="00F23E90" w:rsidRPr="00221978">
        <w:rPr>
          <w:rFonts w:ascii="Times New Roman" w:eastAsia="Times New Roman" w:hAnsi="Times New Roman" w:cs="Times New Roman"/>
          <w:sz w:val="24"/>
          <w:szCs w:val="24"/>
          <w:lang w:val="sr-Cyrl-CS" w:eastAsia="en-GB"/>
        </w:rPr>
        <w:t>ења се период спровођења и гласи: „</w:t>
      </w:r>
      <w:r w:rsidR="00807F76" w:rsidRPr="00221978">
        <w:rPr>
          <w:rFonts w:ascii="Times New Roman" w:eastAsia="Times New Roman" w:hAnsi="Times New Roman" w:cs="Times New Roman"/>
          <w:sz w:val="24"/>
          <w:szCs w:val="24"/>
          <w:lang w:val="sr-Cyrl-CS" w:eastAsia="en-GB"/>
        </w:rPr>
        <w:t>2. квартал 2021</w:t>
      </w:r>
      <w:r w:rsidR="00E669EE" w:rsidRPr="00221978">
        <w:rPr>
          <w:rFonts w:ascii="Times New Roman" w:eastAsia="Times New Roman" w:hAnsi="Times New Roman" w:cs="Times New Roman"/>
          <w:sz w:val="24"/>
          <w:szCs w:val="24"/>
          <w:lang w:val="sr-Cyrl-CS" w:eastAsia="en-GB"/>
        </w:rPr>
        <w:t xml:space="preserve"> –</w:t>
      </w:r>
      <w:r w:rsidR="00807F76" w:rsidRPr="00221978">
        <w:rPr>
          <w:rFonts w:ascii="Times New Roman" w:eastAsia="Times New Roman" w:hAnsi="Times New Roman" w:cs="Times New Roman"/>
          <w:sz w:val="24"/>
          <w:szCs w:val="24"/>
          <w:lang w:val="sr-Cyrl-CS" w:eastAsia="en-GB"/>
        </w:rPr>
        <w:t xml:space="preserve"> 4. квартал 2022. године</w:t>
      </w:r>
      <w:r w:rsidR="00AB6312" w:rsidRPr="00221978">
        <w:rPr>
          <w:rFonts w:ascii="Times New Roman" w:eastAsia="Times New Roman" w:hAnsi="Times New Roman" w:cs="Times New Roman"/>
          <w:sz w:val="24"/>
          <w:szCs w:val="24"/>
          <w:lang w:val="sr-Cyrl-CS" w:eastAsia="en-GB"/>
        </w:rPr>
        <w:t>.</w:t>
      </w:r>
      <w:r w:rsidR="009B73BA" w:rsidRPr="00221978">
        <w:rPr>
          <w:rFonts w:ascii="Times New Roman" w:eastAsia="Times New Roman" w:hAnsi="Times New Roman" w:cs="Times New Roman"/>
          <w:sz w:val="24"/>
          <w:szCs w:val="24"/>
          <w:lang w:val="sr-Cyrl-CS" w:eastAsia="en-GB"/>
        </w:rPr>
        <w:t xml:space="preserve">”    </w:t>
      </w:r>
      <w:r w:rsidR="00807F76" w:rsidRPr="00221978">
        <w:rPr>
          <w:lang w:val="sr-Cyrl-CS"/>
        </w:rPr>
        <w:t xml:space="preserve"> </w:t>
      </w:r>
    </w:p>
    <w:p w14:paraId="7851E1BB" w14:textId="77777777" w:rsidR="00807F76" w:rsidRPr="00221978" w:rsidRDefault="00807F76" w:rsidP="00807F76">
      <w:pPr>
        <w:pStyle w:val="ListParagraph"/>
        <w:spacing w:after="0" w:line="240" w:lineRule="auto"/>
        <w:jc w:val="both"/>
        <w:rPr>
          <w:rFonts w:ascii="Times New Roman" w:hAnsi="Times New Roman" w:cs="Times New Roman"/>
          <w:sz w:val="24"/>
          <w:szCs w:val="24"/>
          <w:lang w:val="sr-Cyrl-CS"/>
        </w:rPr>
      </w:pPr>
    </w:p>
    <w:p w14:paraId="5A8243D3" w14:textId="6F585D0C" w:rsidR="00856EFB" w:rsidRPr="00221978" w:rsidRDefault="00807F76" w:rsidP="00AF5FC0">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Акционо</w:t>
      </w:r>
      <w:r w:rsidR="00581303" w:rsidRPr="00221978">
        <w:rPr>
          <w:rFonts w:ascii="Times New Roman" w:hAnsi="Times New Roman" w:cs="Times New Roman"/>
          <w:sz w:val="24"/>
          <w:szCs w:val="24"/>
          <w:lang w:val="sr-Cyrl-CS"/>
        </w:rPr>
        <w:t>м</w:t>
      </w:r>
      <w:r w:rsidRPr="00221978">
        <w:rPr>
          <w:rFonts w:ascii="Times New Roman" w:hAnsi="Times New Roman" w:cs="Times New Roman"/>
          <w:sz w:val="24"/>
          <w:szCs w:val="24"/>
          <w:lang w:val="sr-Cyrl-CS"/>
        </w:rPr>
        <w:t xml:space="preserve"> план</w:t>
      </w:r>
      <w:r w:rsidR="00581303"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за период 2021-2025. године за спровођење Стратегије РЈУ, </w:t>
      </w:r>
      <w:r w:rsidRPr="00221978">
        <w:rPr>
          <w:rFonts w:ascii="Times New Roman" w:eastAsia="Times New Roman" w:hAnsi="Times New Roman" w:cs="Times New Roman"/>
          <w:bCs/>
          <w:sz w:val="24"/>
          <w:szCs w:val="24"/>
          <w:lang w:val="sr-Cyrl-CS" w:eastAsia="en-GB"/>
        </w:rPr>
        <w:t xml:space="preserve">Посебан циљ 2: Унапређен процес регрутације у јавној управи, Meрa 2.3: Унапређење поступка попуњавања положаја заснованог на заслугама и увођење у посао, Активност 2. </w:t>
      </w:r>
      <w:r w:rsidRPr="00221978">
        <w:rPr>
          <w:rFonts w:ascii="Times New Roman" w:eastAsia="Times New Roman" w:hAnsi="Times New Roman" w:cs="Times New Roman"/>
          <w:sz w:val="24"/>
          <w:szCs w:val="24"/>
          <w:lang w:val="sr-Cyrl-CS" w:eastAsia="en-GB"/>
        </w:rPr>
        <w:t>Измена нормативног оквира у делу постављења на положај вршиоца дужности у складу са предлогом мера за унапређење</w:t>
      </w:r>
      <w:r w:rsidR="00856EFB" w:rsidRPr="00221978">
        <w:rPr>
          <w:rFonts w:ascii="Times New Roman" w:eastAsia="Times New Roman" w:hAnsi="Times New Roman" w:cs="Times New Roman"/>
          <w:sz w:val="24"/>
          <w:szCs w:val="24"/>
          <w:lang w:val="sr-Cyrl-CS" w:eastAsia="en-GB"/>
        </w:rPr>
        <w:t>:</w:t>
      </w:r>
    </w:p>
    <w:p w14:paraId="784DCB60" w14:textId="7B8E5137" w:rsidR="00807F76" w:rsidRPr="00221978" w:rsidRDefault="00856EFB" w:rsidP="00701C64">
      <w:pPr>
        <w:spacing w:after="0" w:line="240" w:lineRule="auto"/>
        <w:ind w:firstLine="720"/>
        <w:jc w:val="both"/>
        <w:rPr>
          <w:rFonts w:ascii="Times New Roman" w:hAnsi="Times New Roman" w:cs="Times New Roman"/>
          <w:sz w:val="24"/>
          <w:szCs w:val="24"/>
          <w:lang w:val="sr-Cyrl-CS"/>
        </w:rPr>
      </w:pPr>
      <w:r w:rsidRPr="00221978">
        <w:rPr>
          <w:rFonts w:ascii="Times New Roman" w:eastAsia="Times New Roman" w:hAnsi="Times New Roman" w:cs="Times New Roman"/>
          <w:sz w:val="24"/>
          <w:szCs w:val="24"/>
          <w:lang w:val="sr-Cyrl-CS" w:eastAsia="en-GB"/>
        </w:rPr>
        <w:t>Мења се период спровођења и гласи: „</w:t>
      </w:r>
      <w:r w:rsidR="00807F76" w:rsidRPr="00221978">
        <w:rPr>
          <w:rFonts w:ascii="Times New Roman" w:eastAsia="Times New Roman" w:hAnsi="Times New Roman" w:cs="Times New Roman"/>
          <w:sz w:val="24"/>
          <w:szCs w:val="24"/>
          <w:lang w:val="sr-Cyrl-CS" w:eastAsia="en-GB"/>
        </w:rPr>
        <w:t>1. квартал 2022</w:t>
      </w:r>
      <w:r w:rsidR="00E669EE" w:rsidRPr="00221978">
        <w:rPr>
          <w:rFonts w:ascii="Times New Roman" w:eastAsia="Times New Roman" w:hAnsi="Times New Roman" w:cs="Times New Roman"/>
          <w:sz w:val="24"/>
          <w:szCs w:val="24"/>
          <w:lang w:val="sr-Cyrl-CS" w:eastAsia="en-GB"/>
        </w:rPr>
        <w:t xml:space="preserve"> –</w:t>
      </w:r>
      <w:r w:rsidR="00807F76" w:rsidRPr="00221978">
        <w:rPr>
          <w:rFonts w:ascii="Times New Roman" w:eastAsia="Times New Roman" w:hAnsi="Times New Roman" w:cs="Times New Roman"/>
          <w:sz w:val="24"/>
          <w:szCs w:val="24"/>
          <w:lang w:val="sr-Cyrl-CS" w:eastAsia="en-GB"/>
        </w:rPr>
        <w:t xml:space="preserve"> 4. квартал 2022. године</w:t>
      </w:r>
      <w:r w:rsidR="00701C64" w:rsidRPr="00221978">
        <w:rPr>
          <w:rFonts w:ascii="Times New Roman" w:eastAsia="Times New Roman" w:hAnsi="Times New Roman" w:cs="Times New Roman"/>
          <w:sz w:val="24"/>
          <w:szCs w:val="24"/>
          <w:lang w:val="sr-Cyrl-CS" w:eastAsia="en-GB"/>
        </w:rPr>
        <w:t>.</w:t>
      </w:r>
      <w:r w:rsidR="00701C64" w:rsidRPr="00221978">
        <w:rPr>
          <w:rFonts w:ascii="Times New Roman" w:eastAsia="Calibri" w:hAnsi="Times New Roman" w:cs="Times New Roman"/>
          <w:sz w:val="24"/>
          <w:szCs w:val="24"/>
          <w:lang w:val="sr-Cyrl-CS"/>
        </w:rPr>
        <w:t>”</w:t>
      </w:r>
    </w:p>
    <w:p w14:paraId="5B80193C" w14:textId="77777777" w:rsidR="00807F76" w:rsidRPr="00221978" w:rsidRDefault="00807F76" w:rsidP="00807F76">
      <w:pPr>
        <w:pStyle w:val="ListParagraph"/>
        <w:spacing w:after="0" w:line="240" w:lineRule="auto"/>
        <w:rPr>
          <w:rFonts w:ascii="Times New Roman" w:hAnsi="Times New Roman" w:cs="Times New Roman"/>
          <w:sz w:val="24"/>
          <w:szCs w:val="24"/>
          <w:lang w:val="sr-Cyrl-CS"/>
        </w:rPr>
      </w:pPr>
    </w:p>
    <w:p w14:paraId="0B8D6C5A" w14:textId="1E282DD9" w:rsidR="00856EFB" w:rsidRPr="00221978" w:rsidRDefault="00807F76" w:rsidP="00AF5FC0">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Акционо</w:t>
      </w:r>
      <w:r w:rsidR="00581303" w:rsidRPr="00221978">
        <w:rPr>
          <w:rFonts w:ascii="Times New Roman" w:hAnsi="Times New Roman" w:cs="Times New Roman"/>
          <w:sz w:val="24"/>
          <w:szCs w:val="24"/>
          <w:lang w:val="sr-Cyrl-CS"/>
        </w:rPr>
        <w:t>м</w:t>
      </w:r>
      <w:r w:rsidRPr="00221978">
        <w:rPr>
          <w:rFonts w:ascii="Times New Roman" w:hAnsi="Times New Roman" w:cs="Times New Roman"/>
          <w:sz w:val="24"/>
          <w:szCs w:val="24"/>
          <w:lang w:val="sr-Cyrl-CS"/>
        </w:rPr>
        <w:t xml:space="preserve"> план</w:t>
      </w:r>
      <w:r w:rsidR="00581303"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за период 2021-2025. године за спровођење Стратегије РЈУ, </w:t>
      </w:r>
      <w:r w:rsidRPr="00221978">
        <w:rPr>
          <w:rFonts w:ascii="Times New Roman" w:eastAsia="Times New Roman" w:hAnsi="Times New Roman" w:cs="Times New Roman"/>
          <w:bCs/>
          <w:sz w:val="24"/>
          <w:szCs w:val="24"/>
          <w:lang w:val="sr-Cyrl-CS" w:eastAsia="en-GB"/>
        </w:rPr>
        <w:t xml:space="preserve">Посебан циљ 2: Унапређен процес регрутације у јавној управи, Meрa 2.3: Унапређење поступка попуњавања положаја заснованог на заслугама и увођење у посао, Активност 4. </w:t>
      </w:r>
      <w:r w:rsidRPr="00221978">
        <w:rPr>
          <w:rFonts w:ascii="Times New Roman" w:eastAsia="Times New Roman" w:hAnsi="Times New Roman" w:cs="Times New Roman"/>
          <w:sz w:val="24"/>
          <w:szCs w:val="24"/>
          <w:lang w:val="sr-Cyrl-CS" w:eastAsia="en-GB"/>
        </w:rPr>
        <w:t>Израда смерница за унапређење аката о систематизацији у делу описа послова и захтеваних компетенција за лица на положају унапређење</w:t>
      </w:r>
      <w:r w:rsidR="00856EFB" w:rsidRPr="00221978">
        <w:rPr>
          <w:rFonts w:ascii="Times New Roman" w:eastAsia="Times New Roman" w:hAnsi="Times New Roman" w:cs="Times New Roman"/>
          <w:sz w:val="24"/>
          <w:szCs w:val="24"/>
          <w:lang w:val="sr-Cyrl-CS" w:eastAsia="en-GB"/>
        </w:rPr>
        <w:t>:</w:t>
      </w:r>
    </w:p>
    <w:p w14:paraId="5C54FA45" w14:textId="77121CC9" w:rsidR="00807F76" w:rsidRPr="00221978" w:rsidRDefault="00856EFB" w:rsidP="00701C64">
      <w:pPr>
        <w:spacing w:after="0" w:line="240" w:lineRule="auto"/>
        <w:ind w:firstLine="720"/>
        <w:jc w:val="both"/>
        <w:rPr>
          <w:rFonts w:ascii="Times New Roman" w:hAnsi="Times New Roman" w:cs="Times New Roman"/>
          <w:sz w:val="24"/>
          <w:szCs w:val="24"/>
          <w:lang w:val="sr-Cyrl-CS"/>
        </w:rPr>
      </w:pPr>
      <w:r w:rsidRPr="00221978">
        <w:rPr>
          <w:rFonts w:ascii="Times New Roman" w:eastAsia="Times New Roman" w:hAnsi="Times New Roman" w:cs="Times New Roman"/>
          <w:sz w:val="24"/>
          <w:szCs w:val="24"/>
          <w:lang w:val="sr-Cyrl-CS" w:eastAsia="en-GB"/>
        </w:rPr>
        <w:t>Мења с</w:t>
      </w:r>
      <w:r w:rsidR="00807F76" w:rsidRPr="00221978">
        <w:rPr>
          <w:rFonts w:ascii="Times New Roman" w:eastAsia="Times New Roman" w:hAnsi="Times New Roman" w:cs="Times New Roman"/>
          <w:sz w:val="24"/>
          <w:szCs w:val="24"/>
          <w:lang w:val="sr-Cyrl-CS" w:eastAsia="en-GB"/>
        </w:rPr>
        <w:t>е перио</w:t>
      </w:r>
      <w:r w:rsidRPr="00221978">
        <w:rPr>
          <w:rFonts w:ascii="Times New Roman" w:eastAsia="Times New Roman" w:hAnsi="Times New Roman" w:cs="Times New Roman"/>
          <w:sz w:val="24"/>
          <w:szCs w:val="24"/>
          <w:lang w:val="sr-Cyrl-CS" w:eastAsia="en-GB"/>
        </w:rPr>
        <w:t>д спровођења и гласи: „</w:t>
      </w:r>
      <w:r w:rsidR="00807F76" w:rsidRPr="00221978">
        <w:rPr>
          <w:rFonts w:ascii="Times New Roman" w:eastAsia="Times New Roman" w:hAnsi="Times New Roman" w:cs="Times New Roman"/>
          <w:sz w:val="24"/>
          <w:szCs w:val="24"/>
          <w:lang w:val="sr-Cyrl-CS" w:eastAsia="en-GB"/>
        </w:rPr>
        <w:t>1. квартал 2022</w:t>
      </w:r>
      <w:r w:rsidR="007F4C57" w:rsidRPr="00221978">
        <w:rPr>
          <w:rFonts w:ascii="Times New Roman" w:eastAsia="Times New Roman" w:hAnsi="Times New Roman" w:cs="Times New Roman"/>
          <w:sz w:val="24"/>
          <w:szCs w:val="24"/>
          <w:lang w:val="sr-Cyrl-CS" w:eastAsia="en-GB"/>
        </w:rPr>
        <w:t xml:space="preserve"> </w:t>
      </w:r>
      <w:r w:rsidR="00E669EE" w:rsidRPr="00221978">
        <w:rPr>
          <w:rFonts w:ascii="Times New Roman" w:eastAsia="Times New Roman" w:hAnsi="Times New Roman" w:cs="Times New Roman"/>
          <w:sz w:val="24"/>
          <w:szCs w:val="24"/>
          <w:lang w:val="sr-Cyrl-CS" w:eastAsia="en-GB"/>
        </w:rPr>
        <w:t>–</w:t>
      </w:r>
      <w:r w:rsidR="00807F76" w:rsidRPr="00221978">
        <w:rPr>
          <w:rFonts w:ascii="Times New Roman" w:eastAsia="Times New Roman" w:hAnsi="Times New Roman" w:cs="Times New Roman"/>
          <w:sz w:val="24"/>
          <w:szCs w:val="24"/>
          <w:lang w:val="sr-Cyrl-CS" w:eastAsia="en-GB"/>
        </w:rPr>
        <w:t xml:space="preserve"> 4. квартал 2022. године.</w:t>
      </w:r>
      <w:r w:rsidR="009B73BA" w:rsidRPr="00221978">
        <w:rPr>
          <w:rFonts w:ascii="Times New Roman" w:eastAsia="Times New Roman" w:hAnsi="Times New Roman" w:cs="Times New Roman"/>
          <w:sz w:val="24"/>
          <w:szCs w:val="24"/>
          <w:lang w:val="sr-Cyrl-CS" w:eastAsia="en-GB"/>
        </w:rPr>
        <w:t xml:space="preserve">”    </w:t>
      </w:r>
      <w:r w:rsidR="00807F76" w:rsidRPr="00221978">
        <w:rPr>
          <w:rFonts w:ascii="Times New Roman" w:eastAsia="Times New Roman" w:hAnsi="Times New Roman" w:cs="Times New Roman"/>
          <w:sz w:val="24"/>
          <w:szCs w:val="24"/>
          <w:lang w:val="sr-Cyrl-CS" w:eastAsia="en-GB"/>
        </w:rPr>
        <w:t xml:space="preserve">  </w:t>
      </w:r>
    </w:p>
    <w:p w14:paraId="43122359" w14:textId="77777777" w:rsidR="00807F76" w:rsidRPr="00221978" w:rsidRDefault="00807F76" w:rsidP="00807F76">
      <w:pPr>
        <w:pStyle w:val="ListParagraph"/>
        <w:spacing w:after="0" w:line="240" w:lineRule="auto"/>
        <w:rPr>
          <w:rFonts w:ascii="Times New Roman" w:hAnsi="Times New Roman" w:cs="Times New Roman"/>
          <w:sz w:val="24"/>
          <w:szCs w:val="24"/>
          <w:lang w:val="sr-Cyrl-CS"/>
        </w:rPr>
      </w:pPr>
    </w:p>
    <w:p w14:paraId="76F53D63" w14:textId="62C22822" w:rsidR="00856EFB" w:rsidRPr="00221978" w:rsidRDefault="00807F76" w:rsidP="00AF5FC0">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581303" w:rsidRPr="00221978">
        <w:rPr>
          <w:rFonts w:ascii="Times New Roman" w:hAnsi="Times New Roman" w:cs="Times New Roman"/>
          <w:sz w:val="24"/>
          <w:szCs w:val="24"/>
          <w:lang w:val="sr-Cyrl-CS"/>
        </w:rPr>
        <w:t>Акционом</w:t>
      </w:r>
      <w:r w:rsidRPr="00221978">
        <w:rPr>
          <w:rFonts w:ascii="Times New Roman" w:hAnsi="Times New Roman" w:cs="Times New Roman"/>
          <w:sz w:val="24"/>
          <w:szCs w:val="24"/>
          <w:lang w:val="sr-Cyrl-CS"/>
        </w:rPr>
        <w:t xml:space="preserve"> план</w:t>
      </w:r>
      <w:r w:rsidR="00581303"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за период 2021-2025. године за спровођење Стратегије РЈУ, </w:t>
      </w:r>
      <w:r w:rsidRPr="00221978">
        <w:rPr>
          <w:rFonts w:ascii="Times New Roman" w:eastAsia="Times New Roman" w:hAnsi="Times New Roman" w:cs="Times New Roman"/>
          <w:bCs/>
          <w:sz w:val="24"/>
          <w:szCs w:val="24"/>
          <w:lang w:val="sr-Cyrl-CS" w:eastAsia="en-GB"/>
        </w:rPr>
        <w:t xml:space="preserve">Посебан циљ 2: Унапређен процес регрутације у јавној управи, Meрa 2.3: Унапређење поступка попуњавања положаја заснованог на заслугама и увођење у посао, Активност 5. </w:t>
      </w:r>
      <w:r w:rsidRPr="00221978">
        <w:rPr>
          <w:rFonts w:ascii="Times New Roman" w:eastAsia="Times New Roman" w:hAnsi="Times New Roman" w:cs="Times New Roman"/>
          <w:sz w:val="24"/>
          <w:szCs w:val="24"/>
          <w:lang w:val="sr-Cyrl-CS" w:eastAsia="en-GB"/>
        </w:rPr>
        <w:t>Иновирање оквира компетенција за државне службенике на положају</w:t>
      </w:r>
      <w:r w:rsidR="00856EFB" w:rsidRPr="00221978">
        <w:rPr>
          <w:rFonts w:ascii="Times New Roman" w:eastAsia="Times New Roman" w:hAnsi="Times New Roman" w:cs="Times New Roman"/>
          <w:sz w:val="24"/>
          <w:szCs w:val="24"/>
          <w:lang w:val="sr-Cyrl-CS" w:eastAsia="en-GB"/>
        </w:rPr>
        <w:t>:</w:t>
      </w:r>
    </w:p>
    <w:p w14:paraId="29E2F7F5" w14:textId="62A1C5D5" w:rsidR="00807F76" w:rsidRPr="00221978" w:rsidRDefault="00856EFB" w:rsidP="00701C64">
      <w:pPr>
        <w:spacing w:after="0" w:line="240" w:lineRule="auto"/>
        <w:ind w:firstLine="720"/>
        <w:jc w:val="both"/>
        <w:rPr>
          <w:rFonts w:ascii="Times New Roman" w:hAnsi="Times New Roman" w:cs="Times New Roman"/>
          <w:sz w:val="24"/>
          <w:szCs w:val="24"/>
          <w:lang w:val="sr-Cyrl-CS"/>
        </w:rPr>
      </w:pPr>
      <w:r w:rsidRPr="00221978">
        <w:rPr>
          <w:rFonts w:ascii="Times New Roman" w:eastAsia="Times New Roman" w:hAnsi="Times New Roman" w:cs="Times New Roman"/>
          <w:sz w:val="24"/>
          <w:szCs w:val="24"/>
          <w:lang w:val="sr-Cyrl-CS" w:eastAsia="en-GB"/>
        </w:rPr>
        <w:t>Мења се период спровођења и гласи:</w:t>
      </w:r>
      <w:r w:rsidR="00807F76" w:rsidRPr="00221978">
        <w:rPr>
          <w:rFonts w:ascii="Times New Roman" w:eastAsia="Times New Roman" w:hAnsi="Times New Roman" w:cs="Times New Roman"/>
          <w:sz w:val="24"/>
          <w:szCs w:val="24"/>
          <w:lang w:val="sr-Cyrl-CS" w:eastAsia="en-GB"/>
        </w:rPr>
        <w:t xml:space="preserve"> </w:t>
      </w:r>
      <w:r w:rsidRPr="00221978">
        <w:rPr>
          <w:rFonts w:ascii="Times New Roman" w:eastAsia="Times New Roman" w:hAnsi="Times New Roman" w:cs="Times New Roman"/>
          <w:sz w:val="24"/>
          <w:szCs w:val="24"/>
          <w:lang w:val="sr-Cyrl-CS" w:eastAsia="en-GB"/>
        </w:rPr>
        <w:t>„</w:t>
      </w:r>
      <w:r w:rsidR="00807F76" w:rsidRPr="00221978">
        <w:rPr>
          <w:rFonts w:ascii="Times New Roman" w:eastAsia="Times New Roman" w:hAnsi="Times New Roman" w:cs="Times New Roman"/>
          <w:sz w:val="24"/>
          <w:szCs w:val="24"/>
          <w:lang w:val="sr-Cyrl-CS" w:eastAsia="en-GB"/>
        </w:rPr>
        <w:t xml:space="preserve">1. </w:t>
      </w:r>
      <w:r w:rsidRPr="00221978">
        <w:rPr>
          <w:rFonts w:ascii="Times New Roman" w:eastAsia="Times New Roman" w:hAnsi="Times New Roman" w:cs="Times New Roman"/>
          <w:sz w:val="24"/>
          <w:szCs w:val="24"/>
          <w:lang w:val="sr-Cyrl-CS" w:eastAsia="en-GB"/>
        </w:rPr>
        <w:t>квартал 2022</w:t>
      </w:r>
      <w:r w:rsidR="00E669EE" w:rsidRPr="00221978">
        <w:rPr>
          <w:rFonts w:ascii="Times New Roman" w:eastAsia="Times New Roman" w:hAnsi="Times New Roman" w:cs="Times New Roman"/>
          <w:sz w:val="24"/>
          <w:szCs w:val="24"/>
          <w:lang w:val="sr-Cyrl-CS" w:eastAsia="en-GB"/>
        </w:rPr>
        <w:t xml:space="preserve"> –</w:t>
      </w:r>
      <w:r w:rsidRPr="00221978">
        <w:rPr>
          <w:rFonts w:ascii="Times New Roman" w:eastAsia="Times New Roman" w:hAnsi="Times New Roman" w:cs="Times New Roman"/>
          <w:sz w:val="24"/>
          <w:szCs w:val="24"/>
          <w:lang w:val="sr-Cyrl-CS" w:eastAsia="en-GB"/>
        </w:rPr>
        <w:t xml:space="preserve"> 4. квартал 2022. </w:t>
      </w:r>
      <w:r w:rsidR="00807F76" w:rsidRPr="00221978">
        <w:rPr>
          <w:rFonts w:ascii="Times New Roman" w:eastAsia="Times New Roman" w:hAnsi="Times New Roman" w:cs="Times New Roman"/>
          <w:sz w:val="24"/>
          <w:szCs w:val="24"/>
          <w:lang w:val="sr-Cyrl-CS" w:eastAsia="en-GB"/>
        </w:rPr>
        <w:t>године</w:t>
      </w:r>
      <w:r w:rsidR="00AB6312" w:rsidRPr="00221978">
        <w:rPr>
          <w:rFonts w:ascii="Times New Roman" w:eastAsia="Times New Roman" w:hAnsi="Times New Roman" w:cs="Times New Roman"/>
          <w:sz w:val="24"/>
          <w:szCs w:val="24"/>
          <w:lang w:val="sr-Cyrl-CS" w:eastAsia="en-GB"/>
        </w:rPr>
        <w:t>.</w:t>
      </w:r>
      <w:r w:rsidR="009B73BA" w:rsidRPr="00221978">
        <w:rPr>
          <w:rFonts w:ascii="Times New Roman" w:eastAsia="Times New Roman" w:hAnsi="Times New Roman" w:cs="Times New Roman"/>
          <w:sz w:val="24"/>
          <w:szCs w:val="24"/>
          <w:lang w:val="sr-Cyrl-CS" w:eastAsia="en-GB"/>
        </w:rPr>
        <w:t xml:space="preserve">”    </w:t>
      </w:r>
      <w:r w:rsidR="00807F76" w:rsidRPr="00221978">
        <w:rPr>
          <w:rFonts w:ascii="Times New Roman" w:eastAsia="Times New Roman" w:hAnsi="Times New Roman" w:cs="Times New Roman"/>
          <w:sz w:val="24"/>
          <w:szCs w:val="24"/>
          <w:lang w:val="sr-Cyrl-CS" w:eastAsia="en-GB"/>
        </w:rPr>
        <w:t xml:space="preserve"> </w:t>
      </w:r>
    </w:p>
    <w:p w14:paraId="7074995C" w14:textId="77777777" w:rsidR="00807F76" w:rsidRPr="00221978" w:rsidRDefault="00807F76" w:rsidP="00853E9D">
      <w:pPr>
        <w:pStyle w:val="ListParagraph"/>
        <w:spacing w:after="0" w:line="240" w:lineRule="auto"/>
        <w:jc w:val="both"/>
        <w:rPr>
          <w:rFonts w:ascii="Times New Roman" w:hAnsi="Times New Roman" w:cs="Times New Roman"/>
          <w:sz w:val="24"/>
          <w:szCs w:val="24"/>
          <w:lang w:val="sr-Cyrl-CS"/>
        </w:rPr>
      </w:pPr>
    </w:p>
    <w:p w14:paraId="30BAF00C" w14:textId="63BDAA21" w:rsidR="001F0EF3" w:rsidRPr="00221978" w:rsidRDefault="00815B0A" w:rsidP="00AF5FC0">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Акционо</w:t>
      </w:r>
      <w:r w:rsidR="00581303" w:rsidRPr="00221978">
        <w:rPr>
          <w:rFonts w:ascii="Times New Roman" w:hAnsi="Times New Roman" w:cs="Times New Roman"/>
          <w:sz w:val="24"/>
          <w:szCs w:val="24"/>
          <w:lang w:val="sr-Cyrl-CS"/>
        </w:rPr>
        <w:t>м</w:t>
      </w:r>
      <w:r w:rsidRPr="00221978">
        <w:rPr>
          <w:rFonts w:ascii="Times New Roman" w:hAnsi="Times New Roman" w:cs="Times New Roman"/>
          <w:sz w:val="24"/>
          <w:szCs w:val="24"/>
          <w:lang w:val="sr-Cyrl-CS"/>
        </w:rPr>
        <w:t xml:space="preserve"> план</w:t>
      </w:r>
      <w:r w:rsidR="00581303"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за период 2021-2025. године за спровођење Стратегије РЈУ </w:t>
      </w:r>
    </w:p>
    <w:p w14:paraId="171A77FB" w14:textId="77777777" w:rsidR="00856EFB" w:rsidRPr="00221978" w:rsidRDefault="00815B0A" w:rsidP="00856EFB">
      <w:pPr>
        <w:pStyle w:val="ListParagraph"/>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Посебан циљ 3. Ефикасан систем за управљање каријером примењен у пракси, Meрa 3.1: Развој окружења за ефикасног, иновативног и мотивисаног државног службеника, Активност 6. Припрема Нацрта закона којим се уређују плате државних службеника и намештеника у складу са системским законом о платама</w:t>
      </w:r>
      <w:r w:rsidR="00856EFB" w:rsidRPr="00221978">
        <w:rPr>
          <w:rFonts w:ascii="Times New Roman" w:hAnsi="Times New Roman" w:cs="Times New Roman"/>
          <w:sz w:val="24"/>
          <w:szCs w:val="24"/>
          <w:lang w:val="sr-Cyrl-CS"/>
        </w:rPr>
        <w:t>:</w:t>
      </w:r>
    </w:p>
    <w:p w14:paraId="24E84AD5" w14:textId="51799181" w:rsidR="00815B0A" w:rsidRPr="00221978" w:rsidRDefault="00856EFB" w:rsidP="00701C64">
      <w:pPr>
        <w:spacing w:after="0" w:line="240" w:lineRule="auto"/>
        <w:ind w:firstLine="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 се период спровођења и гласи:</w:t>
      </w:r>
      <w:r w:rsidR="00701C64" w:rsidRPr="00221978">
        <w:rPr>
          <w:rFonts w:ascii="Times New Roman" w:hAnsi="Times New Roman" w:cs="Times New Roman"/>
          <w:sz w:val="24"/>
          <w:szCs w:val="24"/>
          <w:lang w:val="sr-Cyrl-CS"/>
        </w:rPr>
        <w:t xml:space="preserve"> „</w:t>
      </w:r>
      <w:r w:rsidR="00815B0A" w:rsidRPr="00221978">
        <w:rPr>
          <w:rFonts w:ascii="Times New Roman" w:hAnsi="Times New Roman" w:cs="Times New Roman"/>
          <w:sz w:val="24"/>
          <w:szCs w:val="24"/>
          <w:lang w:val="sr-Cyrl-CS"/>
        </w:rPr>
        <w:t xml:space="preserve">2. квартал 2024 </w:t>
      </w:r>
      <w:r w:rsidR="00E669EE" w:rsidRPr="00221978">
        <w:rPr>
          <w:rFonts w:ascii="Times New Roman" w:hAnsi="Times New Roman" w:cs="Times New Roman"/>
          <w:sz w:val="24"/>
          <w:szCs w:val="24"/>
          <w:lang w:val="sr-Cyrl-CS"/>
        </w:rPr>
        <w:t>–</w:t>
      </w:r>
      <w:r w:rsidR="00815B0A" w:rsidRPr="00221978">
        <w:rPr>
          <w:rFonts w:ascii="Times New Roman" w:hAnsi="Times New Roman" w:cs="Times New Roman"/>
          <w:sz w:val="24"/>
          <w:szCs w:val="24"/>
          <w:lang w:val="sr-Cyrl-CS"/>
        </w:rPr>
        <w:t xml:space="preserve"> 4. квартал 2024. године</w:t>
      </w:r>
      <w:r w:rsidR="00AB6312"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r w:rsidR="00815B0A" w:rsidRPr="00221978">
        <w:rPr>
          <w:rFonts w:ascii="Times New Roman" w:hAnsi="Times New Roman" w:cs="Times New Roman"/>
          <w:sz w:val="24"/>
          <w:szCs w:val="24"/>
          <w:lang w:val="sr-Cyrl-CS"/>
        </w:rPr>
        <w:t xml:space="preserve"> </w:t>
      </w:r>
    </w:p>
    <w:p w14:paraId="0B15B2DB" w14:textId="77777777" w:rsidR="00E36145" w:rsidRPr="00221978" w:rsidRDefault="00E36145" w:rsidP="0001141D">
      <w:pPr>
        <w:pStyle w:val="ListParagraph"/>
        <w:spacing w:after="0" w:line="240" w:lineRule="auto"/>
        <w:jc w:val="both"/>
        <w:rPr>
          <w:rFonts w:ascii="Times New Roman" w:hAnsi="Times New Roman" w:cs="Times New Roman"/>
          <w:sz w:val="24"/>
          <w:szCs w:val="24"/>
          <w:lang w:val="sr-Cyrl-CS"/>
        </w:rPr>
      </w:pPr>
    </w:p>
    <w:p w14:paraId="24A3AB65" w14:textId="19B55B7E" w:rsidR="00655E41" w:rsidRPr="00221978" w:rsidRDefault="00655E41" w:rsidP="00AF5FC0">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581303" w:rsidRPr="00221978">
        <w:rPr>
          <w:rFonts w:ascii="Times New Roman" w:hAnsi="Times New Roman" w:cs="Times New Roman"/>
          <w:sz w:val="24"/>
          <w:szCs w:val="24"/>
          <w:lang w:val="sr-Cyrl-CS"/>
        </w:rPr>
        <w:t>Акционом плану</w:t>
      </w:r>
      <w:r w:rsidRPr="00221978">
        <w:rPr>
          <w:rFonts w:ascii="Times New Roman" w:hAnsi="Times New Roman" w:cs="Times New Roman"/>
          <w:sz w:val="24"/>
          <w:szCs w:val="24"/>
          <w:lang w:val="sr-Cyrl-CS"/>
        </w:rPr>
        <w:t xml:space="preserve"> за период 2021-2025. године за спровођење Стратегије РЈУ </w:t>
      </w:r>
    </w:p>
    <w:p w14:paraId="1F8BD683" w14:textId="77777777" w:rsidR="00856EFB" w:rsidRPr="00221978" w:rsidRDefault="00655E41" w:rsidP="0001141D">
      <w:pPr>
        <w:pStyle w:val="ListParagraph"/>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Посебан циљ 3. Ефикасан систем за управљање каријером примењен у пракси, Meрa 3.1: Развој окружења за ефикасног, иновативног и мотивисаног државног службеника, Активност 7. Имплементација реформе система плата у јавном сектору</w:t>
      </w:r>
      <w:r w:rsidR="00856EFB" w:rsidRPr="00221978">
        <w:rPr>
          <w:rFonts w:ascii="Times New Roman" w:hAnsi="Times New Roman" w:cs="Times New Roman"/>
          <w:sz w:val="24"/>
          <w:szCs w:val="24"/>
          <w:lang w:val="sr-Cyrl-CS"/>
        </w:rPr>
        <w:t>:</w:t>
      </w:r>
    </w:p>
    <w:p w14:paraId="35F2FE89" w14:textId="0BCA4F27" w:rsidR="00655E41" w:rsidRPr="00221978" w:rsidRDefault="00856EFB" w:rsidP="00701C64">
      <w:pPr>
        <w:spacing w:after="0" w:line="240" w:lineRule="auto"/>
        <w:ind w:firstLine="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 се период спровођења и гласи: „</w:t>
      </w:r>
      <w:r w:rsidR="00655E41" w:rsidRPr="00221978">
        <w:rPr>
          <w:rFonts w:ascii="Times New Roman" w:hAnsi="Times New Roman" w:cs="Times New Roman"/>
          <w:sz w:val="24"/>
          <w:szCs w:val="24"/>
          <w:lang w:val="sr-Cyrl-CS"/>
        </w:rPr>
        <w:t>1. квартал 2025 – 4. квартал 2025. године</w:t>
      </w:r>
      <w:r w:rsidR="00AB6312"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r w:rsidR="00655E41" w:rsidRPr="00221978">
        <w:rPr>
          <w:rFonts w:ascii="Times New Roman" w:hAnsi="Times New Roman" w:cs="Times New Roman"/>
          <w:sz w:val="24"/>
          <w:szCs w:val="24"/>
          <w:lang w:val="sr-Cyrl-CS"/>
        </w:rPr>
        <w:t xml:space="preserve"> </w:t>
      </w:r>
    </w:p>
    <w:p w14:paraId="0B74E680" w14:textId="5475E09D" w:rsidR="00844542" w:rsidRPr="00221978" w:rsidRDefault="00844542" w:rsidP="00856EFB">
      <w:pPr>
        <w:spacing w:after="0" w:line="240" w:lineRule="auto"/>
        <w:rPr>
          <w:rFonts w:ascii="Times New Roman" w:hAnsi="Times New Roman" w:cs="Times New Roman"/>
          <w:sz w:val="24"/>
          <w:szCs w:val="24"/>
          <w:lang w:val="sr-Cyrl-CS"/>
        </w:rPr>
      </w:pPr>
    </w:p>
    <w:p w14:paraId="54AEE1C1" w14:textId="7BAF405D" w:rsidR="00856EFB" w:rsidRPr="00221978" w:rsidRDefault="00844542" w:rsidP="00AF5FC0">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lastRenderedPageBreak/>
        <w:t>У Акционо</w:t>
      </w:r>
      <w:r w:rsidR="00581303" w:rsidRPr="00221978">
        <w:rPr>
          <w:rFonts w:ascii="Times New Roman" w:hAnsi="Times New Roman" w:cs="Times New Roman"/>
          <w:sz w:val="24"/>
          <w:szCs w:val="24"/>
          <w:lang w:val="sr-Cyrl-CS"/>
        </w:rPr>
        <w:t>м плану</w:t>
      </w:r>
      <w:r w:rsidRPr="00221978">
        <w:rPr>
          <w:rFonts w:ascii="Times New Roman" w:hAnsi="Times New Roman" w:cs="Times New Roman"/>
          <w:sz w:val="24"/>
          <w:szCs w:val="24"/>
          <w:lang w:val="sr-Cyrl-CS"/>
        </w:rPr>
        <w:t xml:space="preserve"> за период 2021-2025. године за спровођење Стратегије РЈУ,</w:t>
      </w:r>
      <w:r w:rsidRPr="00221978">
        <w:rPr>
          <w:lang w:val="sr-Cyrl-CS"/>
        </w:rPr>
        <w:t xml:space="preserve"> </w:t>
      </w:r>
      <w:r w:rsidRPr="00221978">
        <w:rPr>
          <w:rFonts w:ascii="Times New Roman" w:hAnsi="Times New Roman" w:cs="Times New Roman"/>
          <w:sz w:val="24"/>
          <w:szCs w:val="24"/>
          <w:lang w:val="sr-Cyrl-CS"/>
        </w:rPr>
        <w:t xml:space="preserve">Посебан циљ 3. Ефикасан систем за управљање каријером примењен у пракси, Meрa 3.3: Јачање професионализације лица на положају/руководилаца, Активност 1. </w:t>
      </w:r>
      <w:r w:rsidRPr="00221978">
        <w:rPr>
          <w:rFonts w:ascii="Times New Roman" w:eastAsia="Times New Roman" w:hAnsi="Times New Roman" w:cs="Times New Roman"/>
          <w:sz w:val="24"/>
          <w:szCs w:val="24"/>
          <w:lang w:val="sr-Cyrl-CS" w:eastAsia="en-GB"/>
        </w:rPr>
        <w:t>Израда стратешког документа о управљању државним службеницима на положају у органима државне управе са мапом пута за интеграцију у прописе</w:t>
      </w:r>
      <w:r w:rsidR="00856EFB" w:rsidRPr="00221978">
        <w:rPr>
          <w:rFonts w:ascii="Times New Roman" w:eastAsia="Times New Roman" w:hAnsi="Times New Roman" w:cs="Times New Roman"/>
          <w:sz w:val="24"/>
          <w:szCs w:val="24"/>
          <w:lang w:val="sr-Cyrl-CS" w:eastAsia="en-GB"/>
        </w:rPr>
        <w:t>:</w:t>
      </w:r>
    </w:p>
    <w:p w14:paraId="257B6F98" w14:textId="4EB89AF7" w:rsidR="00844542" w:rsidRPr="00221978" w:rsidRDefault="00856EFB" w:rsidP="00131D4A">
      <w:pPr>
        <w:spacing w:after="0" w:line="240" w:lineRule="auto"/>
        <w:ind w:firstLine="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 с</w:t>
      </w:r>
      <w:r w:rsidR="00844542" w:rsidRPr="00221978">
        <w:rPr>
          <w:rFonts w:ascii="Times New Roman" w:hAnsi="Times New Roman" w:cs="Times New Roman"/>
          <w:sz w:val="24"/>
          <w:szCs w:val="24"/>
          <w:lang w:val="sr-Cyrl-CS"/>
        </w:rPr>
        <w:t>е период спровођења</w:t>
      </w:r>
      <w:r w:rsidR="00E77B09" w:rsidRPr="00221978">
        <w:rPr>
          <w:rFonts w:ascii="Times New Roman" w:eastAsia="Times New Roman" w:hAnsi="Times New Roman" w:cs="Times New Roman"/>
          <w:sz w:val="24"/>
          <w:szCs w:val="24"/>
          <w:lang w:val="sr-Cyrl-CS" w:eastAsia="en-GB"/>
        </w:rPr>
        <w:t xml:space="preserve"> и гласи:</w:t>
      </w:r>
      <w:r w:rsidR="00131D4A" w:rsidRPr="00221978">
        <w:rPr>
          <w:rFonts w:ascii="Times New Roman" w:eastAsia="Times New Roman" w:hAnsi="Times New Roman" w:cs="Times New Roman"/>
          <w:sz w:val="24"/>
          <w:szCs w:val="24"/>
          <w:lang w:val="sr-Cyrl-CS" w:eastAsia="en-GB"/>
        </w:rPr>
        <w:t xml:space="preserve"> </w:t>
      </w:r>
      <w:r w:rsidRPr="00221978">
        <w:rPr>
          <w:rFonts w:ascii="Times New Roman" w:eastAsia="Times New Roman" w:hAnsi="Times New Roman" w:cs="Times New Roman"/>
          <w:sz w:val="24"/>
          <w:szCs w:val="24"/>
          <w:lang w:val="sr-Cyrl-CS" w:eastAsia="en-GB"/>
        </w:rPr>
        <w:t>„</w:t>
      </w:r>
      <w:r w:rsidR="00844542" w:rsidRPr="00221978">
        <w:rPr>
          <w:rFonts w:ascii="Times New Roman" w:eastAsia="Times New Roman" w:hAnsi="Times New Roman" w:cs="Times New Roman"/>
          <w:sz w:val="24"/>
          <w:szCs w:val="24"/>
          <w:lang w:val="sr-Cyrl-CS" w:eastAsia="en-GB"/>
        </w:rPr>
        <w:t>2. квартал 2021</w:t>
      </w:r>
      <w:r w:rsidR="0001141D" w:rsidRPr="00221978">
        <w:rPr>
          <w:rFonts w:ascii="Times New Roman" w:eastAsia="Times New Roman" w:hAnsi="Times New Roman" w:cs="Times New Roman"/>
          <w:sz w:val="24"/>
          <w:szCs w:val="24"/>
          <w:lang w:val="sr-Cyrl-CS" w:eastAsia="en-GB"/>
        </w:rPr>
        <w:t xml:space="preserve"> </w:t>
      </w:r>
      <w:r w:rsidR="00E669EE" w:rsidRPr="00221978">
        <w:rPr>
          <w:rFonts w:ascii="Times New Roman" w:eastAsia="Times New Roman" w:hAnsi="Times New Roman" w:cs="Times New Roman"/>
          <w:sz w:val="24"/>
          <w:szCs w:val="24"/>
          <w:lang w:val="sr-Cyrl-CS" w:eastAsia="en-GB"/>
        </w:rPr>
        <w:t>–</w:t>
      </w:r>
      <w:r w:rsidR="0001141D" w:rsidRPr="00221978">
        <w:rPr>
          <w:rFonts w:ascii="Times New Roman" w:eastAsia="Times New Roman" w:hAnsi="Times New Roman" w:cs="Times New Roman"/>
          <w:sz w:val="24"/>
          <w:szCs w:val="24"/>
          <w:lang w:val="sr-Cyrl-CS" w:eastAsia="en-GB"/>
        </w:rPr>
        <w:t xml:space="preserve"> </w:t>
      </w:r>
      <w:r w:rsidR="00844542" w:rsidRPr="00221978">
        <w:rPr>
          <w:rFonts w:ascii="Times New Roman" w:eastAsia="Times New Roman" w:hAnsi="Times New Roman" w:cs="Times New Roman"/>
          <w:sz w:val="24"/>
          <w:szCs w:val="24"/>
          <w:lang w:val="sr-Cyrl-CS" w:eastAsia="en-GB"/>
        </w:rPr>
        <w:t>3. квартал 2022. године.</w:t>
      </w:r>
      <w:r w:rsidR="009B73BA" w:rsidRPr="00221978">
        <w:rPr>
          <w:rFonts w:ascii="Times New Roman" w:eastAsia="Times New Roman" w:hAnsi="Times New Roman" w:cs="Times New Roman"/>
          <w:sz w:val="24"/>
          <w:szCs w:val="24"/>
          <w:lang w:val="sr-Cyrl-CS" w:eastAsia="en-GB"/>
        </w:rPr>
        <w:t xml:space="preserve">”    </w:t>
      </w:r>
      <w:r w:rsidR="00844542" w:rsidRPr="00221978">
        <w:rPr>
          <w:rFonts w:ascii="Times New Roman" w:eastAsia="Times New Roman" w:hAnsi="Times New Roman" w:cs="Times New Roman"/>
          <w:sz w:val="24"/>
          <w:szCs w:val="24"/>
          <w:lang w:val="sr-Cyrl-CS" w:eastAsia="en-GB"/>
        </w:rPr>
        <w:t xml:space="preserve">  </w:t>
      </w:r>
    </w:p>
    <w:p w14:paraId="5547CFAD" w14:textId="77777777" w:rsidR="00844542" w:rsidRPr="00221978" w:rsidRDefault="00844542" w:rsidP="0001141D">
      <w:pPr>
        <w:pStyle w:val="ListParagraph"/>
        <w:spacing w:after="0" w:line="240" w:lineRule="auto"/>
        <w:rPr>
          <w:rFonts w:ascii="Times New Roman" w:hAnsi="Times New Roman" w:cs="Times New Roman"/>
          <w:sz w:val="24"/>
          <w:szCs w:val="24"/>
          <w:lang w:val="sr-Cyrl-CS"/>
        </w:rPr>
      </w:pPr>
    </w:p>
    <w:p w14:paraId="7A9B34A9" w14:textId="029DF012" w:rsidR="00856EFB" w:rsidRPr="00221978" w:rsidRDefault="00844542" w:rsidP="00AF5FC0">
      <w:pPr>
        <w:pStyle w:val="ListParagraph"/>
        <w:numPr>
          <w:ilvl w:val="0"/>
          <w:numId w:val="2"/>
        </w:numPr>
        <w:spacing w:after="0" w:line="240" w:lineRule="auto"/>
        <w:jc w:val="both"/>
        <w:rPr>
          <w:rFonts w:ascii="Times New Roman" w:hAnsi="Times New Roman" w:cs="Times New Roman"/>
          <w:sz w:val="24"/>
          <w:szCs w:val="24"/>
          <w:lang w:val="sr-Cyrl-CS"/>
        </w:rPr>
      </w:pPr>
      <w:bookmarkStart w:id="33" w:name="_Hlk89249204"/>
      <w:r w:rsidRPr="00221978">
        <w:rPr>
          <w:rFonts w:ascii="Times New Roman" w:hAnsi="Times New Roman" w:cs="Times New Roman"/>
          <w:sz w:val="24"/>
          <w:szCs w:val="24"/>
          <w:lang w:val="sr-Cyrl-CS"/>
        </w:rPr>
        <w:t xml:space="preserve">У </w:t>
      </w:r>
      <w:r w:rsidR="00A65825" w:rsidRPr="00221978">
        <w:rPr>
          <w:rFonts w:ascii="Times New Roman" w:hAnsi="Times New Roman" w:cs="Times New Roman"/>
          <w:sz w:val="24"/>
          <w:szCs w:val="24"/>
          <w:lang w:val="sr-Cyrl-CS"/>
        </w:rPr>
        <w:t>Акционом</w:t>
      </w:r>
      <w:r w:rsidRPr="00221978">
        <w:rPr>
          <w:rFonts w:ascii="Times New Roman" w:hAnsi="Times New Roman" w:cs="Times New Roman"/>
          <w:sz w:val="24"/>
          <w:szCs w:val="24"/>
          <w:lang w:val="sr-Cyrl-CS"/>
        </w:rPr>
        <w:t xml:space="preserve"> план</w:t>
      </w:r>
      <w:r w:rsidR="00A65825"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за период 2021-2025. године за спровођење Стратегије РЈУ,</w:t>
      </w:r>
      <w:r w:rsidRPr="00221978">
        <w:rPr>
          <w:lang w:val="sr-Cyrl-CS"/>
        </w:rPr>
        <w:t xml:space="preserve"> </w:t>
      </w:r>
      <w:r w:rsidRPr="00221978">
        <w:rPr>
          <w:rFonts w:ascii="Times New Roman" w:hAnsi="Times New Roman" w:cs="Times New Roman"/>
          <w:sz w:val="24"/>
          <w:szCs w:val="24"/>
          <w:lang w:val="sr-Cyrl-CS"/>
        </w:rPr>
        <w:t xml:space="preserve">Посебан циљ </w:t>
      </w:r>
      <w:bookmarkEnd w:id="33"/>
      <w:r w:rsidRPr="00221978">
        <w:rPr>
          <w:rFonts w:ascii="Times New Roman" w:hAnsi="Times New Roman" w:cs="Times New Roman"/>
          <w:sz w:val="24"/>
          <w:szCs w:val="24"/>
          <w:lang w:val="sr-Cyrl-CS"/>
        </w:rPr>
        <w:t xml:space="preserve">3. Ефикасан систем за управљање каријером примењен у пракси, Meрa 3.3: Јачање професионализације лица на положају/руководилаца, Активност 2. </w:t>
      </w:r>
      <w:r w:rsidRPr="00221978">
        <w:rPr>
          <w:rFonts w:ascii="Times New Roman" w:eastAsia="Times New Roman" w:hAnsi="Times New Roman" w:cs="Times New Roman"/>
          <w:sz w:val="24"/>
          <w:szCs w:val="24"/>
          <w:lang w:val="sr-Cyrl-CS" w:eastAsia="en-GB"/>
        </w:rPr>
        <w:t>Имплементација политике о управљању државних службеника на положају у нормативни оквир</w:t>
      </w:r>
      <w:r w:rsidR="00856EFB" w:rsidRPr="00221978">
        <w:rPr>
          <w:rFonts w:ascii="Times New Roman" w:eastAsia="Times New Roman" w:hAnsi="Times New Roman" w:cs="Times New Roman"/>
          <w:sz w:val="24"/>
          <w:szCs w:val="24"/>
          <w:lang w:val="sr-Cyrl-CS" w:eastAsia="en-GB"/>
        </w:rPr>
        <w:t>:</w:t>
      </w:r>
    </w:p>
    <w:p w14:paraId="72271071" w14:textId="799BFA0E" w:rsidR="00853E9D" w:rsidRPr="00221978" w:rsidRDefault="00856EFB" w:rsidP="00131D4A">
      <w:pPr>
        <w:spacing w:after="0" w:line="240" w:lineRule="auto"/>
        <w:ind w:firstLine="720"/>
        <w:jc w:val="both"/>
        <w:rPr>
          <w:rFonts w:ascii="Times New Roman" w:hAnsi="Times New Roman" w:cs="Times New Roman"/>
          <w:sz w:val="24"/>
          <w:szCs w:val="24"/>
          <w:lang w:val="sr-Cyrl-CS"/>
        </w:rPr>
      </w:pPr>
      <w:r w:rsidRPr="00221978">
        <w:rPr>
          <w:rFonts w:ascii="Times New Roman" w:eastAsia="Times New Roman" w:hAnsi="Times New Roman" w:cs="Times New Roman"/>
          <w:sz w:val="24"/>
          <w:szCs w:val="24"/>
          <w:lang w:val="sr-Cyrl-CS" w:eastAsia="en-GB"/>
        </w:rPr>
        <w:t>Мења се период спровођења и гласи: „</w:t>
      </w:r>
      <w:r w:rsidR="00844542" w:rsidRPr="00221978">
        <w:rPr>
          <w:rFonts w:ascii="Times New Roman" w:eastAsia="Times New Roman" w:hAnsi="Times New Roman" w:cs="Times New Roman"/>
          <w:sz w:val="24"/>
          <w:szCs w:val="24"/>
          <w:lang w:val="sr-Cyrl-CS" w:eastAsia="en-GB"/>
        </w:rPr>
        <w:t>4. квартал 2022 – 4. квартал 2025. године</w:t>
      </w:r>
      <w:r w:rsidR="00AB6312" w:rsidRPr="00221978">
        <w:rPr>
          <w:rFonts w:ascii="Times New Roman" w:eastAsia="Times New Roman" w:hAnsi="Times New Roman" w:cs="Times New Roman"/>
          <w:sz w:val="24"/>
          <w:szCs w:val="24"/>
          <w:lang w:val="sr-Cyrl-CS" w:eastAsia="en-GB"/>
        </w:rPr>
        <w:t>.</w:t>
      </w:r>
      <w:r w:rsidR="009B73BA" w:rsidRPr="00221978">
        <w:rPr>
          <w:rFonts w:ascii="Times New Roman" w:eastAsia="Times New Roman" w:hAnsi="Times New Roman" w:cs="Times New Roman"/>
          <w:sz w:val="24"/>
          <w:szCs w:val="24"/>
          <w:lang w:val="sr-Cyrl-CS" w:eastAsia="en-GB"/>
        </w:rPr>
        <w:t xml:space="preserve">”    </w:t>
      </w:r>
      <w:r w:rsidR="00844542" w:rsidRPr="00221978">
        <w:rPr>
          <w:rFonts w:ascii="Times New Roman" w:eastAsia="Times New Roman" w:hAnsi="Times New Roman" w:cs="Times New Roman"/>
          <w:sz w:val="24"/>
          <w:szCs w:val="24"/>
          <w:lang w:val="sr-Cyrl-CS" w:eastAsia="en-GB"/>
        </w:rPr>
        <w:t xml:space="preserve"> </w:t>
      </w:r>
    </w:p>
    <w:p w14:paraId="34A424C5" w14:textId="77777777" w:rsidR="00853E9D" w:rsidRPr="00221978" w:rsidRDefault="00853E9D" w:rsidP="00853E9D">
      <w:pPr>
        <w:pStyle w:val="ListParagraph"/>
        <w:rPr>
          <w:rFonts w:ascii="Times New Roman" w:hAnsi="Times New Roman" w:cs="Times New Roman"/>
          <w:sz w:val="24"/>
          <w:szCs w:val="24"/>
          <w:lang w:val="sr-Cyrl-CS"/>
        </w:rPr>
      </w:pPr>
    </w:p>
    <w:p w14:paraId="5997EE77" w14:textId="50251C7F" w:rsidR="00853E9D" w:rsidRPr="00221978" w:rsidRDefault="00853E9D" w:rsidP="00777558">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Акционо</w:t>
      </w:r>
      <w:r w:rsidR="00A65825" w:rsidRPr="00221978">
        <w:rPr>
          <w:rFonts w:ascii="Times New Roman" w:hAnsi="Times New Roman" w:cs="Times New Roman"/>
          <w:sz w:val="24"/>
          <w:szCs w:val="24"/>
          <w:lang w:val="sr-Cyrl-CS"/>
        </w:rPr>
        <w:t>м</w:t>
      </w:r>
      <w:r w:rsidRPr="00221978">
        <w:rPr>
          <w:rFonts w:ascii="Times New Roman" w:hAnsi="Times New Roman" w:cs="Times New Roman"/>
          <w:sz w:val="24"/>
          <w:szCs w:val="24"/>
          <w:lang w:val="sr-Cyrl-CS"/>
        </w:rPr>
        <w:t xml:space="preserve"> план</w:t>
      </w:r>
      <w:r w:rsidR="00A65825"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за период 2021-2025. године за спровођење Стратегије РЈУ, Посебан циљ 4. </w:t>
      </w:r>
      <w:r w:rsidR="00A65825" w:rsidRPr="00221978">
        <w:rPr>
          <w:rFonts w:ascii="Times New Roman" w:hAnsi="Times New Roman" w:cs="Times New Roman"/>
          <w:sz w:val="24"/>
          <w:szCs w:val="24"/>
          <w:lang w:val="sr-Cyrl-CS"/>
        </w:rPr>
        <w:t>м</w:t>
      </w:r>
      <w:r w:rsidR="00856EFB" w:rsidRPr="00221978">
        <w:rPr>
          <w:rFonts w:ascii="Times New Roman" w:hAnsi="Times New Roman" w:cs="Times New Roman"/>
          <w:sz w:val="24"/>
          <w:szCs w:val="24"/>
          <w:lang w:val="sr-Cyrl-CS"/>
        </w:rPr>
        <w:t>ења с</w:t>
      </w:r>
      <w:r w:rsidRPr="00221978">
        <w:rPr>
          <w:rFonts w:ascii="Times New Roman" w:hAnsi="Times New Roman" w:cs="Times New Roman"/>
          <w:sz w:val="24"/>
          <w:szCs w:val="24"/>
          <w:lang w:val="sr-Cyrl-CS"/>
        </w:rPr>
        <w:t xml:space="preserve">е назив </w:t>
      </w:r>
      <w:r w:rsidR="00E669EE" w:rsidRPr="00221978">
        <w:rPr>
          <w:rFonts w:ascii="Times New Roman" w:hAnsi="Times New Roman" w:cs="Times New Roman"/>
          <w:sz w:val="24"/>
          <w:szCs w:val="24"/>
          <w:lang w:val="sr-Cyrl-CS"/>
        </w:rPr>
        <w:t>показатеља</w:t>
      </w:r>
      <w:r w:rsidRPr="00221978">
        <w:rPr>
          <w:rFonts w:ascii="Times New Roman" w:hAnsi="Times New Roman" w:cs="Times New Roman"/>
          <w:sz w:val="24"/>
          <w:szCs w:val="24"/>
          <w:lang w:val="sr-Cyrl-CS"/>
        </w:rPr>
        <w:t xml:space="preserve"> и гласи: </w:t>
      </w:r>
      <w:r w:rsidR="00856EFB"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Степен у ком се систем стручног усавршавања у јавној управи нормативно и у пракси заснива на анализи потреба за унапређењем знања и вештина, односно способности запослених у јавној управи.</w:t>
      </w:r>
      <w:r w:rsidR="009B73BA" w:rsidRPr="00221978">
        <w:rPr>
          <w:rFonts w:ascii="Times New Roman" w:hAnsi="Times New Roman" w:cs="Times New Roman"/>
          <w:sz w:val="24"/>
          <w:szCs w:val="24"/>
          <w:lang w:val="sr-Cyrl-CS"/>
        </w:rPr>
        <w:t xml:space="preserve">”    </w:t>
      </w:r>
    </w:p>
    <w:p w14:paraId="391F1D45" w14:textId="19B8847B" w:rsidR="00853E9D" w:rsidRPr="00221978" w:rsidRDefault="00856EFB" w:rsidP="00F06342">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 с</w:t>
      </w:r>
      <w:r w:rsidR="00853E9D" w:rsidRPr="00221978">
        <w:rPr>
          <w:rFonts w:ascii="Times New Roman" w:hAnsi="Times New Roman" w:cs="Times New Roman"/>
          <w:sz w:val="24"/>
          <w:szCs w:val="24"/>
          <w:lang w:val="sr-Cyrl-CS"/>
        </w:rPr>
        <w:t xml:space="preserve">е извор провере и гласи: </w:t>
      </w:r>
      <w:r w:rsidRPr="00221978">
        <w:rPr>
          <w:rFonts w:ascii="Times New Roman" w:hAnsi="Times New Roman" w:cs="Times New Roman"/>
          <w:sz w:val="24"/>
          <w:szCs w:val="24"/>
          <w:lang w:val="sr-Cyrl-CS"/>
        </w:rPr>
        <w:t>„</w:t>
      </w:r>
      <w:r w:rsidR="00853E9D" w:rsidRPr="00221978">
        <w:rPr>
          <w:rFonts w:ascii="Times New Roman" w:hAnsi="Times New Roman" w:cs="Times New Roman"/>
          <w:sz w:val="24"/>
          <w:szCs w:val="24"/>
          <w:lang w:val="sr-Cyrl-CS"/>
        </w:rPr>
        <w:t>Извештај Националне академије за јавну управу о анализи потреба за стручним усавршавањем у јавној управи.</w:t>
      </w:r>
      <w:r w:rsidR="009B73BA" w:rsidRPr="00221978">
        <w:rPr>
          <w:rFonts w:ascii="Times New Roman" w:hAnsi="Times New Roman" w:cs="Times New Roman"/>
          <w:sz w:val="24"/>
          <w:szCs w:val="24"/>
          <w:lang w:val="sr-Cyrl-CS"/>
        </w:rPr>
        <w:t xml:space="preserve">”    </w:t>
      </w:r>
    </w:p>
    <w:p w14:paraId="2E0AEAB1" w14:textId="2286C11D" w:rsidR="00D65F85" w:rsidRPr="00221978" w:rsidRDefault="00D65F85" w:rsidP="00F06342">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Meр</w:t>
      </w:r>
      <w:r w:rsidR="00A65825" w:rsidRPr="00221978">
        <w:rPr>
          <w:rFonts w:ascii="Times New Roman" w:hAnsi="Times New Roman" w:cs="Times New Roman"/>
          <w:sz w:val="24"/>
          <w:szCs w:val="24"/>
          <w:lang w:val="sr-Cyrl-CS"/>
        </w:rPr>
        <w:t>и</w:t>
      </w:r>
      <w:r w:rsidRPr="00221978">
        <w:rPr>
          <w:rFonts w:ascii="Times New Roman" w:hAnsi="Times New Roman" w:cs="Times New Roman"/>
          <w:sz w:val="24"/>
          <w:szCs w:val="24"/>
          <w:lang w:val="sr-Cyrl-CS"/>
        </w:rPr>
        <w:t xml:space="preserve"> 4.1. Унапређење јединственог система стручног усавршавања у државним органима и органима јединица локалне самоуправе усклађена је јединица мере са АП и гласи: </w:t>
      </w:r>
      <w:r w:rsidR="00856EFB"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0-5.</w:t>
      </w:r>
      <w:r w:rsidR="009B73BA" w:rsidRPr="00221978">
        <w:rPr>
          <w:rFonts w:ascii="Times New Roman" w:hAnsi="Times New Roman" w:cs="Times New Roman"/>
          <w:sz w:val="24"/>
          <w:szCs w:val="24"/>
          <w:lang w:val="sr-Cyrl-CS"/>
        </w:rPr>
        <w:t xml:space="preserve">”    </w:t>
      </w:r>
    </w:p>
    <w:p w14:paraId="7D2F30BB" w14:textId="5E4DD284" w:rsidR="00853E9D" w:rsidRPr="00221978" w:rsidRDefault="00853E9D" w:rsidP="00F06342">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A65825" w:rsidRPr="00221978">
        <w:rPr>
          <w:rFonts w:ascii="Times New Roman" w:hAnsi="Times New Roman" w:cs="Times New Roman"/>
          <w:sz w:val="24"/>
          <w:szCs w:val="24"/>
          <w:lang w:val="sr-Cyrl-CS"/>
        </w:rPr>
        <w:t>Мери</w:t>
      </w:r>
      <w:r w:rsidRPr="00221978">
        <w:rPr>
          <w:rFonts w:ascii="Times New Roman" w:hAnsi="Times New Roman" w:cs="Times New Roman"/>
          <w:sz w:val="24"/>
          <w:szCs w:val="24"/>
          <w:lang w:val="sr-Cyrl-CS"/>
        </w:rPr>
        <w:t xml:space="preserve"> 4.2: Унапређење програма стручног усавршавања у државним органима и органима јединица локалне самоуправе и начина њиховог организовања и спровођења</w:t>
      </w:r>
      <w:r w:rsidR="00856EFB" w:rsidRPr="00221978">
        <w:rPr>
          <w:rFonts w:ascii="Times New Roman" w:hAnsi="Times New Roman" w:cs="Times New Roman"/>
          <w:sz w:val="24"/>
          <w:szCs w:val="24"/>
          <w:lang w:val="sr-Cyrl-CS"/>
        </w:rPr>
        <w:t xml:space="preserve"> мења с</w:t>
      </w:r>
      <w:r w:rsidRPr="00221978">
        <w:rPr>
          <w:rFonts w:ascii="Times New Roman" w:hAnsi="Times New Roman" w:cs="Times New Roman"/>
          <w:sz w:val="24"/>
          <w:szCs w:val="24"/>
          <w:lang w:val="sr-Cyrl-CS"/>
        </w:rPr>
        <w:t xml:space="preserve">е назив показатеља и гласи: </w:t>
      </w:r>
      <w:r w:rsidR="00856EFB"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Испуњеност очекивања полазника обукама у којима су коришћени иновативни облици и методе стручног усавршавања</w:t>
      </w:r>
      <w:r w:rsidR="00F529B4" w:rsidRPr="00221978">
        <w:rPr>
          <w:rFonts w:ascii="Times New Roman" w:hAnsi="Times New Roman" w:cs="Times New Roman"/>
          <w:lang w:val="sr-Cyrl-CS"/>
        </w:rPr>
        <w:t>”</w:t>
      </w:r>
      <w:r w:rsidRPr="00221978">
        <w:rPr>
          <w:rFonts w:ascii="Times New Roman" w:hAnsi="Times New Roman" w:cs="Times New Roman"/>
          <w:sz w:val="24"/>
          <w:szCs w:val="24"/>
          <w:lang w:val="sr-Cyrl-CS"/>
        </w:rPr>
        <w:t xml:space="preserve">, као и ЦВ </w:t>
      </w:r>
      <w:r w:rsidR="00F529B4" w:rsidRPr="00221978">
        <w:rPr>
          <w:rFonts w:ascii="Times New Roman" w:hAnsi="Times New Roman" w:cs="Times New Roman"/>
          <w:sz w:val="24"/>
          <w:szCs w:val="24"/>
          <w:lang w:val="sr-Cyrl-CS"/>
        </w:rPr>
        <w:t xml:space="preserve">и гласи: </w:t>
      </w:r>
      <w:r w:rsidR="00F529B4" w:rsidRPr="00221978">
        <w:rPr>
          <w:rFonts w:ascii="Times New Roman" w:eastAsia="Times New Roman" w:hAnsi="Times New Roman" w:cs="Times New Roman"/>
          <w:lang w:val="sr-Cyrl-CS" w:eastAsia="ar-SA"/>
        </w:rPr>
        <w:t>„</w:t>
      </w:r>
      <w:r w:rsidRPr="00221978">
        <w:rPr>
          <w:rFonts w:ascii="Times New Roman" w:hAnsi="Times New Roman" w:cs="Times New Roman"/>
          <w:sz w:val="24"/>
          <w:szCs w:val="24"/>
          <w:lang w:val="sr-Cyrl-CS"/>
        </w:rPr>
        <w:t>2023</w:t>
      </w:r>
      <w:r w:rsidR="00F529B4"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 xml:space="preserve"> (75%) и 202</w:t>
      </w:r>
      <w:r w:rsidR="00F529B4" w:rsidRPr="00221978">
        <w:rPr>
          <w:rFonts w:ascii="Times New Roman" w:hAnsi="Times New Roman" w:cs="Times New Roman"/>
          <w:sz w:val="24"/>
          <w:szCs w:val="24"/>
          <w:lang w:val="sr-Cyrl-CS"/>
        </w:rPr>
        <w:t>4</w:t>
      </w:r>
      <w:r w:rsidRPr="00221978">
        <w:rPr>
          <w:rFonts w:ascii="Times New Roman" w:hAnsi="Times New Roman" w:cs="Times New Roman"/>
          <w:sz w:val="24"/>
          <w:szCs w:val="24"/>
          <w:lang w:val="sr-Cyrl-CS"/>
        </w:rPr>
        <w:t>. (75%).</w:t>
      </w:r>
      <w:r w:rsidR="009B73BA" w:rsidRPr="00221978">
        <w:rPr>
          <w:rFonts w:ascii="Times New Roman" w:hAnsi="Times New Roman" w:cs="Times New Roman"/>
          <w:sz w:val="24"/>
          <w:szCs w:val="24"/>
          <w:lang w:val="sr-Cyrl-CS"/>
        </w:rPr>
        <w:t xml:space="preserve">”    </w:t>
      </w:r>
    </w:p>
    <w:p w14:paraId="1559528B" w14:textId="533A0252" w:rsidR="00926262" w:rsidRPr="00221978" w:rsidRDefault="00277AE5" w:rsidP="00F06342">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A65825" w:rsidRPr="00221978">
        <w:rPr>
          <w:rFonts w:ascii="Times New Roman" w:hAnsi="Times New Roman" w:cs="Times New Roman"/>
          <w:sz w:val="24"/>
          <w:szCs w:val="24"/>
          <w:lang w:val="sr-Cyrl-CS"/>
        </w:rPr>
        <w:t>Мери</w:t>
      </w:r>
      <w:r w:rsidRPr="00221978">
        <w:rPr>
          <w:rFonts w:ascii="Times New Roman" w:hAnsi="Times New Roman" w:cs="Times New Roman"/>
          <w:sz w:val="24"/>
          <w:szCs w:val="24"/>
          <w:lang w:val="sr-Cyrl-CS"/>
        </w:rPr>
        <w:t xml:space="preserve"> 4.3: Унапређење нормативног оквира који уређује област стручног усаврш</w:t>
      </w:r>
      <w:r w:rsidR="00856EFB" w:rsidRPr="00221978">
        <w:rPr>
          <w:rFonts w:ascii="Times New Roman" w:hAnsi="Times New Roman" w:cs="Times New Roman"/>
          <w:sz w:val="24"/>
          <w:szCs w:val="24"/>
          <w:lang w:val="sr-Cyrl-CS"/>
        </w:rPr>
        <w:t>авања у јавној управи мења с</w:t>
      </w:r>
      <w:r w:rsidRPr="00221978">
        <w:rPr>
          <w:rFonts w:ascii="Times New Roman" w:hAnsi="Times New Roman" w:cs="Times New Roman"/>
          <w:sz w:val="24"/>
          <w:szCs w:val="24"/>
          <w:lang w:val="sr-Cyrl-CS"/>
        </w:rPr>
        <w:t>е извор провере</w:t>
      </w:r>
      <w:r w:rsidR="00856EFB" w:rsidRPr="00221978">
        <w:rPr>
          <w:rFonts w:ascii="Times New Roman" w:hAnsi="Times New Roman" w:cs="Times New Roman"/>
          <w:sz w:val="24"/>
          <w:szCs w:val="24"/>
          <w:lang w:val="sr-Cyrl-CS"/>
        </w:rPr>
        <w:t xml:space="preserve"> и гласи</w:t>
      </w:r>
      <w:r w:rsidRPr="00221978">
        <w:rPr>
          <w:rFonts w:ascii="Times New Roman" w:hAnsi="Times New Roman" w:cs="Times New Roman"/>
          <w:sz w:val="24"/>
          <w:szCs w:val="24"/>
          <w:lang w:val="sr-Cyrl-CS"/>
        </w:rPr>
        <w:t xml:space="preserve">: </w:t>
      </w:r>
      <w:r w:rsidR="00856EFB" w:rsidRPr="00221978">
        <w:rPr>
          <w:rFonts w:ascii="Times New Roman" w:hAnsi="Times New Roman" w:cs="Times New Roman"/>
          <w:sz w:val="24"/>
          <w:szCs w:val="24"/>
          <w:lang w:val="sr-Cyrl-CS"/>
        </w:rPr>
        <w:t>„</w:t>
      </w:r>
      <w:r w:rsidRPr="00221978">
        <w:rPr>
          <w:rFonts w:ascii="Times New Roman" w:eastAsia="Times New Roman" w:hAnsi="Times New Roman" w:cs="Times New Roman"/>
          <w:sz w:val="24"/>
          <w:szCs w:val="24"/>
          <w:lang w:val="sr-Cyrl-CS" w:eastAsia="en-GB"/>
        </w:rPr>
        <w:t>Ex-post ана</w:t>
      </w:r>
      <w:r w:rsidR="00057290" w:rsidRPr="00221978">
        <w:rPr>
          <w:rFonts w:ascii="Times New Roman" w:eastAsia="Times New Roman" w:hAnsi="Times New Roman" w:cs="Times New Roman"/>
          <w:sz w:val="24"/>
          <w:szCs w:val="24"/>
          <w:lang w:val="sr-Cyrl-CS" w:eastAsia="en-GB"/>
        </w:rPr>
        <w:t>лиза прописа у делокругу</w:t>
      </w:r>
      <w:r w:rsidR="00F529B4" w:rsidRPr="00221978">
        <w:rPr>
          <w:rFonts w:ascii="Times New Roman" w:eastAsia="Times New Roman" w:hAnsi="Times New Roman" w:cs="Times New Roman"/>
          <w:sz w:val="24"/>
          <w:szCs w:val="24"/>
          <w:lang w:val="sr-Cyrl-CS" w:eastAsia="en-GB"/>
        </w:rPr>
        <w:t xml:space="preserve"> МДУЛС</w:t>
      </w:r>
      <w:r w:rsidRPr="00221978">
        <w:rPr>
          <w:rFonts w:ascii="Times New Roman" w:eastAsia="Times New Roman" w:hAnsi="Times New Roman" w:cs="Times New Roman"/>
          <w:sz w:val="24"/>
          <w:szCs w:val="24"/>
          <w:lang w:val="sr-Cyrl-CS" w:eastAsia="en-GB"/>
        </w:rPr>
        <w:t xml:space="preserve"> и ex-p</w:t>
      </w:r>
      <w:r w:rsidR="00057290" w:rsidRPr="00221978">
        <w:rPr>
          <w:rFonts w:ascii="Times New Roman" w:eastAsia="Times New Roman" w:hAnsi="Times New Roman" w:cs="Times New Roman"/>
          <w:sz w:val="24"/>
          <w:szCs w:val="24"/>
          <w:lang w:val="sr-Cyrl-CS" w:eastAsia="en-GB"/>
        </w:rPr>
        <w:t>ost анализа прописа у делокругу</w:t>
      </w:r>
      <w:r w:rsidRPr="00221978">
        <w:rPr>
          <w:rFonts w:ascii="Times New Roman" w:eastAsia="Times New Roman" w:hAnsi="Times New Roman" w:cs="Times New Roman"/>
          <w:sz w:val="24"/>
          <w:szCs w:val="24"/>
          <w:lang w:val="sr-Cyrl-CS" w:eastAsia="en-GB"/>
        </w:rPr>
        <w:t xml:space="preserve"> НАЈУ</w:t>
      </w:r>
      <w:r w:rsidR="00057290" w:rsidRPr="00221978">
        <w:rPr>
          <w:rFonts w:ascii="Times New Roman" w:hAnsi="Times New Roman" w:cs="Times New Roman"/>
          <w:lang w:val="sr-Cyrl-CS"/>
        </w:rPr>
        <w:t xml:space="preserve"> ”</w:t>
      </w:r>
      <w:r w:rsidRPr="00221978">
        <w:rPr>
          <w:rFonts w:ascii="Times New Roman" w:eastAsia="Times New Roman" w:hAnsi="Times New Roman" w:cs="Times New Roman"/>
          <w:sz w:val="24"/>
          <w:szCs w:val="24"/>
          <w:lang w:val="sr-Cyrl-CS" w:eastAsia="en-GB"/>
        </w:rPr>
        <w:t xml:space="preserve">, као и ЦВ </w:t>
      </w:r>
      <w:r w:rsidR="00057290" w:rsidRPr="00221978">
        <w:rPr>
          <w:rFonts w:ascii="Times New Roman" w:eastAsia="Times New Roman" w:hAnsi="Times New Roman" w:cs="Times New Roman"/>
          <w:sz w:val="24"/>
          <w:szCs w:val="24"/>
          <w:lang w:val="sr-Cyrl-CS" w:eastAsia="en-GB"/>
        </w:rPr>
        <w:t>о</w:t>
      </w:r>
      <w:r w:rsidRPr="00221978">
        <w:rPr>
          <w:rFonts w:ascii="Times New Roman" w:eastAsia="Times New Roman" w:hAnsi="Times New Roman" w:cs="Times New Roman"/>
          <w:sz w:val="24"/>
          <w:szCs w:val="24"/>
          <w:lang w:val="sr-Cyrl-CS" w:eastAsia="en-GB"/>
        </w:rPr>
        <w:t>д 2021</w:t>
      </w:r>
      <w:r w:rsidR="00131D4A" w:rsidRPr="00221978">
        <w:rPr>
          <w:rFonts w:ascii="Times New Roman" w:eastAsia="Times New Roman" w:hAnsi="Times New Roman" w:cs="Times New Roman"/>
          <w:sz w:val="24"/>
          <w:szCs w:val="24"/>
          <w:lang w:val="sr-Cyrl-CS" w:eastAsia="en-GB"/>
        </w:rPr>
        <w:t>. до 2025. године</w:t>
      </w:r>
      <w:r w:rsidR="00057290" w:rsidRPr="00221978">
        <w:rPr>
          <w:rFonts w:ascii="Times New Roman" w:eastAsia="Times New Roman" w:hAnsi="Times New Roman" w:cs="Times New Roman"/>
          <w:sz w:val="24"/>
          <w:szCs w:val="24"/>
          <w:lang w:val="sr-Cyrl-CS" w:eastAsia="en-GB"/>
        </w:rPr>
        <w:t xml:space="preserve"> које гласе:</w:t>
      </w:r>
      <w:r w:rsidR="00131D4A" w:rsidRPr="00221978">
        <w:rPr>
          <w:rFonts w:ascii="Times New Roman" w:eastAsia="Times New Roman" w:hAnsi="Times New Roman" w:cs="Times New Roman"/>
          <w:sz w:val="24"/>
          <w:szCs w:val="24"/>
          <w:lang w:val="sr-Cyrl-CS" w:eastAsia="en-GB"/>
        </w:rPr>
        <w:t xml:space="preserve"> </w:t>
      </w:r>
      <w:r w:rsidR="00057290" w:rsidRPr="00221978">
        <w:rPr>
          <w:rFonts w:ascii="Times New Roman" w:eastAsia="Times New Roman" w:hAnsi="Times New Roman" w:cs="Times New Roman"/>
          <w:lang w:val="sr-Cyrl-CS" w:eastAsia="ar-SA"/>
        </w:rPr>
        <w:t>„</w:t>
      </w:r>
      <w:r w:rsidRPr="00221978">
        <w:rPr>
          <w:rFonts w:ascii="Times New Roman" w:eastAsia="Times New Roman" w:hAnsi="Times New Roman" w:cs="Times New Roman"/>
          <w:sz w:val="24"/>
          <w:szCs w:val="24"/>
          <w:lang w:val="sr-Cyrl-CS" w:eastAsia="en-GB"/>
        </w:rPr>
        <w:t xml:space="preserve">2021. 50%; 2022. 60%; </w:t>
      </w:r>
      <w:r w:rsidR="00057290" w:rsidRPr="00221978">
        <w:rPr>
          <w:rFonts w:ascii="Times New Roman" w:eastAsia="Times New Roman" w:hAnsi="Times New Roman" w:cs="Times New Roman"/>
          <w:sz w:val="24"/>
          <w:szCs w:val="24"/>
          <w:lang w:val="sr-Cyrl-CS" w:eastAsia="en-GB"/>
        </w:rPr>
        <w:t>2023. 70%; 2024. 80%, 2025. 90%</w:t>
      </w:r>
      <w:r w:rsidRPr="00221978">
        <w:rPr>
          <w:rFonts w:ascii="Times New Roman" w:eastAsia="Times New Roman" w:hAnsi="Times New Roman" w:cs="Times New Roman"/>
          <w:sz w:val="24"/>
          <w:szCs w:val="24"/>
          <w:lang w:val="sr-Cyrl-CS" w:eastAsia="en-GB"/>
        </w:rPr>
        <w:t>.</w:t>
      </w:r>
      <w:r w:rsidR="009B73BA" w:rsidRPr="00221978">
        <w:rPr>
          <w:rFonts w:ascii="Times New Roman" w:eastAsia="Times New Roman" w:hAnsi="Times New Roman" w:cs="Times New Roman"/>
          <w:sz w:val="24"/>
          <w:szCs w:val="24"/>
          <w:lang w:val="sr-Cyrl-CS" w:eastAsia="en-GB"/>
        </w:rPr>
        <w:t xml:space="preserve">”    </w:t>
      </w:r>
    </w:p>
    <w:p w14:paraId="0F572E05" w14:textId="51EEACEB" w:rsidR="00BC0FD5" w:rsidRPr="00221978" w:rsidRDefault="00BC0FD5" w:rsidP="00F06342">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A65825" w:rsidRPr="00221978">
        <w:rPr>
          <w:rFonts w:ascii="Times New Roman" w:hAnsi="Times New Roman" w:cs="Times New Roman"/>
          <w:sz w:val="24"/>
          <w:szCs w:val="24"/>
          <w:lang w:val="sr-Cyrl-CS"/>
        </w:rPr>
        <w:t>Мери</w:t>
      </w:r>
      <w:r w:rsidRPr="00221978">
        <w:rPr>
          <w:rFonts w:ascii="Times New Roman" w:hAnsi="Times New Roman" w:cs="Times New Roman"/>
          <w:sz w:val="24"/>
          <w:szCs w:val="24"/>
          <w:lang w:val="sr-Cyrl-CS"/>
        </w:rPr>
        <w:t xml:space="preserve"> 4.3: Унапређење нормативног оквира који уређује област стручног усавршавања у јавној управи, Активност 1: Вредновање учинка и преиспитивање закона који уређује област стручног усавршавања у државним органима (ex-post анализа закона)</w:t>
      </w:r>
      <w:r w:rsidR="008A2B5E" w:rsidRPr="00221978">
        <w:rPr>
          <w:rFonts w:ascii="Times New Roman" w:hAnsi="Times New Roman" w:cs="Times New Roman"/>
          <w:sz w:val="24"/>
          <w:szCs w:val="24"/>
          <w:lang w:val="sr-Cyrl-CS"/>
        </w:rPr>
        <w:t xml:space="preserve"> мења се период спровођења и гласи: „</w:t>
      </w:r>
      <w:r w:rsidRPr="00221978">
        <w:rPr>
          <w:rFonts w:ascii="Times New Roman" w:hAnsi="Times New Roman" w:cs="Times New Roman"/>
          <w:sz w:val="24"/>
          <w:szCs w:val="24"/>
          <w:lang w:val="sr-Cyrl-CS"/>
        </w:rPr>
        <w:t>2. кварта. 2021</w:t>
      </w:r>
      <w:r w:rsidR="00057290" w:rsidRPr="00221978">
        <w:rPr>
          <w:rFonts w:ascii="Times New Roman" w:hAnsi="Times New Roman" w:cs="Times New Roman"/>
          <w:sz w:val="24"/>
          <w:szCs w:val="24"/>
          <w:lang w:val="sr-Cyrl-CS"/>
        </w:rPr>
        <w:t xml:space="preserve"> – </w:t>
      </w:r>
      <w:r w:rsidRPr="00221978">
        <w:rPr>
          <w:rFonts w:ascii="Times New Roman" w:hAnsi="Times New Roman" w:cs="Times New Roman"/>
          <w:sz w:val="24"/>
          <w:szCs w:val="24"/>
          <w:lang w:val="sr-Cyrl-CS"/>
        </w:rPr>
        <w:t>1. квартал 2022. године.</w:t>
      </w:r>
      <w:r w:rsidR="009B73BA" w:rsidRPr="00221978">
        <w:rPr>
          <w:rFonts w:ascii="Times New Roman" w:hAnsi="Times New Roman" w:cs="Times New Roman"/>
          <w:sz w:val="24"/>
          <w:szCs w:val="24"/>
          <w:lang w:val="sr-Cyrl-CS"/>
        </w:rPr>
        <w:t xml:space="preserve">”    </w:t>
      </w:r>
    </w:p>
    <w:p w14:paraId="746EB1DF" w14:textId="1D4853AB" w:rsidR="00BC0FD5" w:rsidRPr="00221978" w:rsidRDefault="00BC0FD5" w:rsidP="00F06342">
      <w:pPr>
        <w:spacing w:after="0" w:line="240" w:lineRule="auto"/>
        <w:ind w:left="720"/>
        <w:jc w:val="both"/>
        <w:rPr>
          <w:rFonts w:ascii="Times New Roman" w:hAnsi="Times New Roman" w:cs="Times New Roman"/>
          <w:sz w:val="24"/>
          <w:szCs w:val="24"/>
          <w:lang w:val="sr-Cyrl-CS"/>
        </w:rPr>
      </w:pPr>
      <w:bookmarkStart w:id="34" w:name="_Hlk89419514"/>
      <w:r w:rsidRPr="00221978">
        <w:rPr>
          <w:rFonts w:ascii="Times New Roman" w:hAnsi="Times New Roman" w:cs="Times New Roman"/>
          <w:sz w:val="24"/>
          <w:szCs w:val="24"/>
          <w:lang w:val="sr-Cyrl-CS"/>
        </w:rPr>
        <w:t xml:space="preserve">У </w:t>
      </w:r>
      <w:r w:rsidR="00A65825" w:rsidRPr="00221978">
        <w:rPr>
          <w:rFonts w:ascii="Times New Roman" w:hAnsi="Times New Roman" w:cs="Times New Roman"/>
          <w:sz w:val="24"/>
          <w:szCs w:val="24"/>
          <w:lang w:val="sr-Cyrl-CS"/>
        </w:rPr>
        <w:t>Мери</w:t>
      </w:r>
      <w:r w:rsidRPr="00221978">
        <w:rPr>
          <w:rFonts w:ascii="Times New Roman" w:hAnsi="Times New Roman" w:cs="Times New Roman"/>
          <w:sz w:val="24"/>
          <w:szCs w:val="24"/>
          <w:lang w:val="sr-Cyrl-CS"/>
        </w:rPr>
        <w:t xml:space="preserve"> 4.3: Унапређење нормативног оквира који уређује област стручног усавршавања у јавној управи, Активност </w:t>
      </w:r>
      <w:bookmarkEnd w:id="34"/>
      <w:r w:rsidRPr="00221978">
        <w:rPr>
          <w:rFonts w:ascii="Times New Roman" w:hAnsi="Times New Roman" w:cs="Times New Roman"/>
          <w:sz w:val="24"/>
          <w:szCs w:val="24"/>
          <w:lang w:val="sr-Cyrl-CS"/>
        </w:rPr>
        <w:t>2: Вредновање учинка и преиспитивање закона који уређује област стручног усавршавања у органима јединица локалне самоуправе (ex-post анализа закона)</w:t>
      </w:r>
      <w:r w:rsidR="008A2B5E" w:rsidRPr="00221978">
        <w:rPr>
          <w:rFonts w:ascii="Times New Roman" w:hAnsi="Times New Roman" w:cs="Times New Roman"/>
          <w:sz w:val="24"/>
          <w:szCs w:val="24"/>
          <w:lang w:val="sr-Cyrl-CS"/>
        </w:rPr>
        <w:t xml:space="preserve"> мења се период спровођења и гласи: „</w:t>
      </w:r>
      <w:r w:rsidRPr="00221978">
        <w:rPr>
          <w:rFonts w:ascii="Times New Roman" w:hAnsi="Times New Roman" w:cs="Times New Roman"/>
          <w:sz w:val="24"/>
          <w:szCs w:val="24"/>
          <w:lang w:val="sr-Cyrl-CS"/>
        </w:rPr>
        <w:t>2. квартал 2021 – 1. квартал 2022. године.</w:t>
      </w:r>
      <w:r w:rsidR="009B73BA" w:rsidRPr="00221978">
        <w:rPr>
          <w:rFonts w:ascii="Times New Roman" w:hAnsi="Times New Roman" w:cs="Times New Roman"/>
          <w:sz w:val="24"/>
          <w:szCs w:val="24"/>
          <w:lang w:val="sr-Cyrl-CS"/>
        </w:rPr>
        <w:t xml:space="preserve">”    </w:t>
      </w:r>
    </w:p>
    <w:p w14:paraId="1FB556A4" w14:textId="3DEC8212" w:rsidR="00BC0FD5" w:rsidRPr="00221978" w:rsidRDefault="00BC0FD5" w:rsidP="00F06342">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Мер</w:t>
      </w:r>
      <w:r w:rsidR="00A65825" w:rsidRPr="00221978">
        <w:rPr>
          <w:rFonts w:ascii="Times New Roman" w:hAnsi="Times New Roman" w:cs="Times New Roman"/>
          <w:sz w:val="24"/>
          <w:szCs w:val="24"/>
          <w:lang w:val="sr-Cyrl-CS"/>
        </w:rPr>
        <w:t>и</w:t>
      </w:r>
      <w:r w:rsidRPr="00221978">
        <w:rPr>
          <w:rFonts w:ascii="Times New Roman" w:hAnsi="Times New Roman" w:cs="Times New Roman"/>
          <w:sz w:val="24"/>
          <w:szCs w:val="24"/>
          <w:lang w:val="sr-Cyrl-CS"/>
        </w:rPr>
        <w:t xml:space="preserve"> 4.3: Унапређење нормативног оквира који уређује област стручног усавршавања у јавној управи, Активност</w:t>
      </w:r>
      <w:r w:rsidR="00313CA6" w:rsidRPr="00221978">
        <w:rPr>
          <w:rFonts w:ascii="Times New Roman" w:hAnsi="Times New Roman" w:cs="Times New Roman"/>
          <w:sz w:val="24"/>
          <w:szCs w:val="24"/>
          <w:lang w:val="sr-Cyrl-CS"/>
        </w:rPr>
        <w:t xml:space="preserve"> 6: Спровођење процеса планирања и формулисања измена и допуна закона који уређује област стручног усавршавања у </w:t>
      </w:r>
      <w:r w:rsidR="00313CA6" w:rsidRPr="00221978">
        <w:rPr>
          <w:rFonts w:ascii="Times New Roman" w:hAnsi="Times New Roman" w:cs="Times New Roman"/>
          <w:sz w:val="24"/>
          <w:szCs w:val="24"/>
          <w:lang w:val="sr-Cyrl-CS"/>
        </w:rPr>
        <w:lastRenderedPageBreak/>
        <w:t>државним органима</w:t>
      </w:r>
      <w:r w:rsidR="008A2B5E" w:rsidRPr="00221978">
        <w:rPr>
          <w:rFonts w:ascii="Times New Roman" w:hAnsi="Times New Roman" w:cs="Times New Roman"/>
          <w:sz w:val="24"/>
          <w:szCs w:val="24"/>
          <w:lang w:val="sr-Cyrl-CS"/>
        </w:rPr>
        <w:t>, мења се период спровођења и гласи:</w:t>
      </w:r>
      <w:r w:rsidR="00131D4A" w:rsidRPr="00221978">
        <w:rPr>
          <w:rFonts w:ascii="Times New Roman" w:hAnsi="Times New Roman" w:cs="Times New Roman"/>
          <w:sz w:val="24"/>
          <w:szCs w:val="24"/>
          <w:lang w:val="sr-Cyrl-CS"/>
        </w:rPr>
        <w:t xml:space="preserve"> „</w:t>
      </w:r>
      <w:r w:rsidR="00313CA6" w:rsidRPr="00221978">
        <w:rPr>
          <w:rFonts w:ascii="Times New Roman" w:hAnsi="Times New Roman" w:cs="Times New Roman"/>
          <w:sz w:val="24"/>
          <w:szCs w:val="24"/>
          <w:lang w:val="sr-Cyrl-CS"/>
        </w:rPr>
        <w:t>1. квартал 2024 – 4. квартал 2024. године.</w:t>
      </w:r>
      <w:r w:rsidR="009B73BA" w:rsidRPr="00221978">
        <w:rPr>
          <w:rFonts w:ascii="Times New Roman" w:hAnsi="Times New Roman" w:cs="Times New Roman"/>
          <w:sz w:val="24"/>
          <w:szCs w:val="24"/>
          <w:lang w:val="sr-Cyrl-CS"/>
        </w:rPr>
        <w:t xml:space="preserve">”    </w:t>
      </w:r>
    </w:p>
    <w:p w14:paraId="2FA07F84" w14:textId="171746E7" w:rsidR="00313CA6" w:rsidRPr="00221978" w:rsidRDefault="00C82F81" w:rsidP="00F06342">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A65825" w:rsidRPr="00221978">
        <w:rPr>
          <w:rFonts w:ascii="Times New Roman" w:hAnsi="Times New Roman" w:cs="Times New Roman"/>
          <w:sz w:val="24"/>
          <w:szCs w:val="24"/>
          <w:lang w:val="sr-Cyrl-CS"/>
        </w:rPr>
        <w:t>Мери</w:t>
      </w:r>
      <w:r w:rsidRPr="00221978">
        <w:rPr>
          <w:rFonts w:ascii="Times New Roman" w:hAnsi="Times New Roman" w:cs="Times New Roman"/>
          <w:sz w:val="24"/>
          <w:szCs w:val="24"/>
          <w:lang w:val="sr-Cyrl-CS"/>
        </w:rPr>
        <w:t xml:space="preserve"> 4.3: Унапређење нормативног оквира који уређује област стручног усавршавања у јавној управи, Активност 7: Спровођење процеса планирања и формулисања измена и допуна закона који уређује област стручног усавршавања у органима јединица локалне самоуправе</w:t>
      </w:r>
      <w:r w:rsidR="008A2B5E" w:rsidRPr="00221978">
        <w:rPr>
          <w:rFonts w:ascii="Times New Roman" w:hAnsi="Times New Roman" w:cs="Times New Roman"/>
          <w:sz w:val="24"/>
          <w:szCs w:val="24"/>
          <w:lang w:val="sr-Cyrl-CS"/>
        </w:rPr>
        <w:t>, мења се период спровођења и гласи: „</w:t>
      </w:r>
      <w:r w:rsidRPr="00221978">
        <w:rPr>
          <w:rFonts w:ascii="Times New Roman" w:hAnsi="Times New Roman" w:cs="Times New Roman"/>
          <w:sz w:val="24"/>
          <w:szCs w:val="24"/>
          <w:lang w:val="sr-Cyrl-CS"/>
        </w:rPr>
        <w:t>1. квартал 2024 – 4. квартал 2024. године.</w:t>
      </w:r>
      <w:r w:rsidR="009B73BA" w:rsidRPr="00221978">
        <w:rPr>
          <w:rFonts w:ascii="Times New Roman" w:hAnsi="Times New Roman" w:cs="Times New Roman"/>
          <w:sz w:val="24"/>
          <w:szCs w:val="24"/>
          <w:lang w:val="sr-Cyrl-CS"/>
        </w:rPr>
        <w:t xml:space="preserve">”    </w:t>
      </w:r>
    </w:p>
    <w:p w14:paraId="6E221B0C" w14:textId="450C72BB" w:rsidR="00C82F81" w:rsidRPr="00221978" w:rsidRDefault="00C82F81" w:rsidP="00F06342">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A65825" w:rsidRPr="00221978">
        <w:rPr>
          <w:rFonts w:ascii="Times New Roman" w:hAnsi="Times New Roman" w:cs="Times New Roman"/>
          <w:sz w:val="24"/>
          <w:szCs w:val="24"/>
          <w:lang w:val="sr-Cyrl-CS"/>
        </w:rPr>
        <w:t>Мери</w:t>
      </w:r>
      <w:r w:rsidRPr="00221978">
        <w:rPr>
          <w:rFonts w:ascii="Times New Roman" w:hAnsi="Times New Roman" w:cs="Times New Roman"/>
          <w:sz w:val="24"/>
          <w:szCs w:val="24"/>
          <w:lang w:val="sr-Cyrl-CS"/>
        </w:rPr>
        <w:t xml:space="preserve"> 4.3: Унапређење нормативног оквира који уређује област стручног усавршавања у јавној управи, Активност 8: Спровођење процеса планирања, формулисања и доношења подзаконских прописа за спровођење закона који уређује област стручног усавршавања у јавној управи</w:t>
      </w:r>
      <w:r w:rsidR="008A2B5E" w:rsidRPr="00221978">
        <w:rPr>
          <w:rFonts w:ascii="Times New Roman" w:hAnsi="Times New Roman" w:cs="Times New Roman"/>
          <w:sz w:val="24"/>
          <w:szCs w:val="24"/>
          <w:lang w:val="sr-Cyrl-CS"/>
        </w:rPr>
        <w:t>, мења се период спровођења и гласи: „</w:t>
      </w:r>
      <w:r w:rsidRPr="00221978">
        <w:rPr>
          <w:rFonts w:ascii="Times New Roman" w:hAnsi="Times New Roman" w:cs="Times New Roman"/>
          <w:sz w:val="24"/>
          <w:szCs w:val="24"/>
          <w:lang w:val="sr-Cyrl-CS"/>
        </w:rPr>
        <w:t>1. квартал 2025 – 4. квартал 2025. године.</w:t>
      </w:r>
      <w:r w:rsidR="009B73BA" w:rsidRPr="00221978">
        <w:rPr>
          <w:rFonts w:ascii="Times New Roman" w:hAnsi="Times New Roman" w:cs="Times New Roman"/>
          <w:sz w:val="24"/>
          <w:szCs w:val="24"/>
          <w:lang w:val="sr-Cyrl-CS"/>
        </w:rPr>
        <w:t xml:space="preserve">”    </w:t>
      </w:r>
    </w:p>
    <w:p w14:paraId="0ADA9B3D" w14:textId="77276FCE" w:rsidR="00C324AA" w:rsidRPr="00221978" w:rsidRDefault="00627A2A" w:rsidP="00F06342">
      <w:pPr>
        <w:spacing w:after="0" w:line="240" w:lineRule="auto"/>
        <w:ind w:left="720"/>
        <w:jc w:val="both"/>
        <w:rPr>
          <w:rFonts w:ascii="Times New Roman" w:hAnsi="Times New Roman" w:cs="Times New Roman"/>
          <w:sz w:val="24"/>
          <w:szCs w:val="24"/>
          <w:lang w:val="sr-Cyrl-CS"/>
        </w:rPr>
      </w:pPr>
      <w:bookmarkStart w:id="35" w:name="_Hlk89421326"/>
      <w:r w:rsidRPr="00221978">
        <w:rPr>
          <w:rFonts w:ascii="Times New Roman" w:hAnsi="Times New Roman" w:cs="Times New Roman"/>
          <w:sz w:val="24"/>
          <w:szCs w:val="24"/>
          <w:lang w:val="sr-Cyrl-CS"/>
        </w:rPr>
        <w:t xml:space="preserve">У </w:t>
      </w:r>
      <w:r w:rsidR="00C324AA" w:rsidRPr="00221978">
        <w:rPr>
          <w:rFonts w:ascii="Times New Roman" w:hAnsi="Times New Roman" w:cs="Times New Roman"/>
          <w:sz w:val="24"/>
          <w:szCs w:val="24"/>
          <w:lang w:val="sr-Cyrl-CS"/>
        </w:rPr>
        <w:t>Meр</w:t>
      </w:r>
      <w:r w:rsidR="00A65825" w:rsidRPr="00221978">
        <w:rPr>
          <w:rFonts w:ascii="Times New Roman" w:hAnsi="Times New Roman" w:cs="Times New Roman"/>
          <w:sz w:val="24"/>
          <w:szCs w:val="24"/>
          <w:lang w:val="sr-Cyrl-CS"/>
        </w:rPr>
        <w:t>и</w:t>
      </w:r>
      <w:r w:rsidR="00C324AA" w:rsidRPr="00221978">
        <w:rPr>
          <w:rFonts w:ascii="Times New Roman" w:hAnsi="Times New Roman" w:cs="Times New Roman"/>
          <w:sz w:val="24"/>
          <w:szCs w:val="24"/>
          <w:lang w:val="sr-Cyrl-CS"/>
        </w:rPr>
        <w:t xml:space="preserve"> 4.</w:t>
      </w:r>
      <w:bookmarkEnd w:id="35"/>
      <w:r w:rsidR="00C324AA" w:rsidRPr="00221978">
        <w:rPr>
          <w:rFonts w:ascii="Times New Roman" w:hAnsi="Times New Roman" w:cs="Times New Roman"/>
          <w:sz w:val="24"/>
          <w:szCs w:val="24"/>
          <w:lang w:val="sr-Cyrl-CS"/>
        </w:rPr>
        <w:t>4: Успостављање стандардизације процеса и система квалитета у области стручног усавршавања у јавној управи, уз пуну примену ИКТ</w:t>
      </w:r>
      <w:r w:rsidR="008A2B5E" w:rsidRPr="00221978">
        <w:rPr>
          <w:rFonts w:ascii="Times New Roman" w:hAnsi="Times New Roman" w:cs="Times New Roman"/>
          <w:sz w:val="24"/>
          <w:szCs w:val="24"/>
          <w:lang w:val="sr-Cyrl-CS"/>
        </w:rPr>
        <w:t xml:space="preserve"> мењају се</w:t>
      </w:r>
      <w:r w:rsidRPr="00221978">
        <w:rPr>
          <w:rFonts w:ascii="Times New Roman" w:hAnsi="Times New Roman" w:cs="Times New Roman"/>
          <w:sz w:val="24"/>
          <w:szCs w:val="24"/>
          <w:lang w:val="sr-Cyrl-CS"/>
        </w:rPr>
        <w:t xml:space="preserve"> ЦВ  у оквиру индикатора</w:t>
      </w:r>
      <w:r w:rsidR="008A2B5E" w:rsidRPr="00221978">
        <w:rPr>
          <w:rFonts w:ascii="Times New Roman" w:hAnsi="Times New Roman" w:cs="Times New Roman"/>
          <w:sz w:val="24"/>
          <w:szCs w:val="24"/>
          <w:lang w:val="sr-Cyrl-CS"/>
        </w:rPr>
        <w:t xml:space="preserve"> и гласе: „</w:t>
      </w:r>
      <w:r w:rsidRPr="00221978">
        <w:rPr>
          <w:rFonts w:ascii="Times New Roman" w:hAnsi="Times New Roman" w:cs="Times New Roman"/>
          <w:sz w:val="24"/>
          <w:szCs w:val="24"/>
          <w:lang w:val="sr-Cyrl-CS"/>
        </w:rPr>
        <w:t>202</w:t>
      </w:r>
      <w:r w:rsidR="008A2B5E" w:rsidRPr="00221978">
        <w:rPr>
          <w:rFonts w:ascii="Times New Roman" w:hAnsi="Times New Roman" w:cs="Times New Roman"/>
          <w:sz w:val="24"/>
          <w:szCs w:val="24"/>
          <w:lang w:val="sr-Cyrl-CS"/>
        </w:rPr>
        <w:t>1. 1; 2022. 1; 2023. 1; 2025. 4</w:t>
      </w:r>
      <w:r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p>
    <w:p w14:paraId="17948B7A" w14:textId="68499697" w:rsidR="00417019" w:rsidRPr="00221978" w:rsidRDefault="00417019" w:rsidP="00F06342">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Meр</w:t>
      </w:r>
      <w:r w:rsidR="00A65825" w:rsidRPr="00221978">
        <w:rPr>
          <w:rFonts w:ascii="Times New Roman" w:hAnsi="Times New Roman" w:cs="Times New Roman"/>
          <w:sz w:val="24"/>
          <w:szCs w:val="24"/>
          <w:lang w:val="sr-Cyrl-CS"/>
        </w:rPr>
        <w:t>и</w:t>
      </w:r>
      <w:r w:rsidRPr="00221978">
        <w:rPr>
          <w:rFonts w:ascii="Times New Roman" w:hAnsi="Times New Roman" w:cs="Times New Roman"/>
          <w:sz w:val="24"/>
          <w:szCs w:val="24"/>
          <w:lang w:val="sr-Cyrl-CS"/>
        </w:rPr>
        <w:t xml:space="preserve"> 4.5. Успостављање система планирања и управљања процесом целоживотног стручног усавршавања у јавној управи (мастер план целоживотног стручног усавршавања)</w:t>
      </w:r>
      <w:r w:rsidR="008A2B5E" w:rsidRPr="00221978">
        <w:rPr>
          <w:rFonts w:ascii="Times New Roman" w:hAnsi="Times New Roman" w:cs="Times New Roman"/>
          <w:sz w:val="24"/>
          <w:szCs w:val="24"/>
          <w:lang w:val="sr-Cyrl-CS"/>
        </w:rPr>
        <w:t xml:space="preserve"> мења с</w:t>
      </w:r>
      <w:r w:rsidRPr="00221978">
        <w:rPr>
          <w:rFonts w:ascii="Times New Roman" w:hAnsi="Times New Roman" w:cs="Times New Roman"/>
          <w:sz w:val="24"/>
          <w:szCs w:val="24"/>
          <w:lang w:val="sr-Cyrl-CS"/>
        </w:rPr>
        <w:t xml:space="preserve">е извор провере и гласи: </w:t>
      </w:r>
      <w:r w:rsidR="008A2B5E" w:rsidRPr="00221978">
        <w:rPr>
          <w:rFonts w:ascii="Times New Roman" w:hAnsi="Times New Roman" w:cs="Times New Roman"/>
          <w:sz w:val="24"/>
          <w:szCs w:val="24"/>
          <w:lang w:val="sr-Cyrl-CS"/>
        </w:rPr>
        <w:t>„</w:t>
      </w:r>
      <w:r w:rsidR="00D95CAB" w:rsidRPr="00221978">
        <w:rPr>
          <w:rFonts w:ascii="Times New Roman" w:hAnsi="Times New Roman" w:cs="Times New Roman"/>
          <w:sz w:val="24"/>
          <w:szCs w:val="24"/>
          <w:lang w:val="sr-Cyrl-CS"/>
        </w:rPr>
        <w:t>Извештај о раду МДУЛС.</w:t>
      </w:r>
      <w:r w:rsidR="009B73BA" w:rsidRPr="00221978">
        <w:rPr>
          <w:rFonts w:ascii="Times New Roman" w:hAnsi="Times New Roman" w:cs="Times New Roman"/>
          <w:sz w:val="24"/>
          <w:szCs w:val="24"/>
          <w:lang w:val="sr-Cyrl-CS"/>
        </w:rPr>
        <w:t xml:space="preserve">”    </w:t>
      </w:r>
    </w:p>
    <w:p w14:paraId="319F4D50" w14:textId="4436F851" w:rsidR="00D95CAB" w:rsidRPr="00221978" w:rsidRDefault="00D95CAB" w:rsidP="00F06342">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Мер</w:t>
      </w:r>
      <w:r w:rsidR="00A65825" w:rsidRPr="00221978">
        <w:rPr>
          <w:rFonts w:ascii="Times New Roman" w:hAnsi="Times New Roman" w:cs="Times New Roman"/>
          <w:sz w:val="24"/>
          <w:szCs w:val="24"/>
          <w:lang w:val="sr-Cyrl-CS"/>
        </w:rPr>
        <w:t>и</w:t>
      </w:r>
      <w:r w:rsidRPr="00221978">
        <w:rPr>
          <w:rFonts w:ascii="Times New Roman" w:hAnsi="Times New Roman" w:cs="Times New Roman"/>
          <w:sz w:val="24"/>
          <w:szCs w:val="24"/>
          <w:lang w:val="sr-Cyrl-CS"/>
        </w:rPr>
        <w:t xml:space="preserve"> 4.6: Успостављање инструмената сарадње институција у чијем делокругу су послови стручног усавршавања запослених у државним и другим органима</w:t>
      </w:r>
      <w:r w:rsidR="008A2B5E" w:rsidRPr="00221978">
        <w:rPr>
          <w:rFonts w:ascii="Times New Roman" w:hAnsi="Times New Roman" w:cs="Times New Roman"/>
          <w:sz w:val="24"/>
          <w:szCs w:val="24"/>
          <w:lang w:val="sr-Cyrl-CS"/>
        </w:rPr>
        <w:t xml:space="preserve"> мењају се ЦВ на  нивоу индика</w:t>
      </w:r>
      <w:r w:rsidR="00057290" w:rsidRPr="00221978">
        <w:rPr>
          <w:rFonts w:ascii="Times New Roman" w:hAnsi="Times New Roman" w:cs="Times New Roman"/>
          <w:sz w:val="24"/>
          <w:szCs w:val="24"/>
          <w:lang w:val="sr-Cyrl-CS"/>
        </w:rPr>
        <w:t>тора и гласе: „2021. 0; 2022. 0;</w:t>
      </w:r>
      <w:r w:rsidR="008A2B5E" w:rsidRPr="00221978">
        <w:rPr>
          <w:rFonts w:ascii="Times New Roman" w:hAnsi="Times New Roman" w:cs="Times New Roman"/>
          <w:sz w:val="24"/>
          <w:szCs w:val="24"/>
          <w:lang w:val="sr-Cyrl-CS"/>
        </w:rPr>
        <w:t xml:space="preserve"> 2023. 0</w:t>
      </w:r>
      <w:r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p>
    <w:p w14:paraId="40869916" w14:textId="34D60AEA" w:rsidR="0083140F" w:rsidRPr="00221978" w:rsidRDefault="0083140F" w:rsidP="00F06342">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A65825" w:rsidRPr="00221978">
        <w:rPr>
          <w:rFonts w:ascii="Times New Roman" w:hAnsi="Times New Roman" w:cs="Times New Roman"/>
          <w:sz w:val="24"/>
          <w:szCs w:val="24"/>
          <w:lang w:val="sr-Cyrl-CS"/>
        </w:rPr>
        <w:t>Мери</w:t>
      </w:r>
      <w:r w:rsidRPr="00221978">
        <w:rPr>
          <w:rFonts w:ascii="Times New Roman" w:hAnsi="Times New Roman" w:cs="Times New Roman"/>
          <w:sz w:val="24"/>
          <w:szCs w:val="24"/>
          <w:lang w:val="sr-Cyrl-CS"/>
        </w:rPr>
        <w:t xml:space="preserve"> 4.8: Развој сарадње са  високошколским установама ради подршке у школовању/додатном образовању кадрова за јавну управу измењен је назив индикатора и гласи: </w:t>
      </w:r>
      <w:r w:rsidR="008A2B5E"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Проценат државних органа и органа јединица локалне самоуправе који учествују у програму студентске стручне праксе</w:t>
      </w:r>
      <w:r w:rsidR="00131D4A"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 као и извор провере</w:t>
      </w:r>
      <w:r w:rsidR="008A2B5E" w:rsidRPr="00221978">
        <w:rPr>
          <w:rFonts w:ascii="Times New Roman" w:hAnsi="Times New Roman" w:cs="Times New Roman"/>
          <w:sz w:val="24"/>
          <w:szCs w:val="24"/>
          <w:lang w:val="sr-Cyrl-CS"/>
        </w:rPr>
        <w:t xml:space="preserve"> који гласи</w:t>
      </w:r>
      <w:r w:rsidR="008321C9" w:rsidRPr="00221978">
        <w:rPr>
          <w:rFonts w:ascii="Times New Roman" w:hAnsi="Times New Roman" w:cs="Times New Roman"/>
          <w:sz w:val="24"/>
          <w:szCs w:val="24"/>
          <w:lang w:val="sr-Cyrl-CS"/>
        </w:rPr>
        <w:t xml:space="preserve">: </w:t>
      </w:r>
      <w:r w:rsidR="00131D4A" w:rsidRPr="00221978">
        <w:rPr>
          <w:rFonts w:ascii="Times New Roman" w:hAnsi="Times New Roman" w:cs="Times New Roman"/>
          <w:sz w:val="24"/>
          <w:szCs w:val="24"/>
          <w:lang w:val="sr-Cyrl-CS"/>
        </w:rPr>
        <w:t>„</w:t>
      </w:r>
      <w:r w:rsidRPr="00221978">
        <w:rPr>
          <w:rFonts w:ascii="Times New Roman" w:eastAsia="Times New Roman" w:hAnsi="Times New Roman" w:cs="Times New Roman"/>
          <w:sz w:val="24"/>
          <w:szCs w:val="24"/>
          <w:lang w:val="sr-Cyrl-CS" w:eastAsia="en-GB"/>
        </w:rPr>
        <w:t>Извештај о  реализованој студентској стручној пракси у државним органима и органима јединица локалне самоуправе.</w:t>
      </w:r>
      <w:r w:rsidR="009B73BA" w:rsidRPr="00221978">
        <w:rPr>
          <w:rFonts w:ascii="Times New Roman" w:eastAsia="Times New Roman" w:hAnsi="Times New Roman" w:cs="Times New Roman"/>
          <w:sz w:val="24"/>
          <w:szCs w:val="24"/>
          <w:lang w:val="sr-Cyrl-CS" w:eastAsia="en-GB"/>
        </w:rPr>
        <w:t xml:space="preserve">”    </w:t>
      </w:r>
    </w:p>
    <w:p w14:paraId="1F6DB4B8" w14:textId="77777777" w:rsidR="00BC0252" w:rsidRPr="00221978" w:rsidRDefault="00BC0252" w:rsidP="005C463B">
      <w:pPr>
        <w:pStyle w:val="ListParagraph"/>
        <w:spacing w:after="0" w:line="240" w:lineRule="auto"/>
        <w:ind w:left="1080"/>
        <w:jc w:val="both"/>
        <w:rPr>
          <w:rFonts w:ascii="Times New Roman" w:hAnsi="Times New Roman" w:cs="Times New Roman"/>
          <w:sz w:val="24"/>
          <w:szCs w:val="24"/>
          <w:lang w:val="sr-Cyrl-CS"/>
        </w:rPr>
      </w:pPr>
    </w:p>
    <w:p w14:paraId="4A4F9B76" w14:textId="2A4C2CAB" w:rsidR="004E58FF" w:rsidRPr="00221978" w:rsidRDefault="00131D4A" w:rsidP="00AF5FC0">
      <w:pPr>
        <w:pStyle w:val="ListParagraph"/>
        <w:numPr>
          <w:ilvl w:val="0"/>
          <w:numId w:val="2"/>
        </w:numPr>
        <w:spacing w:after="0" w:line="240" w:lineRule="auto"/>
        <w:jc w:val="both"/>
        <w:rPr>
          <w:rFonts w:ascii="Times New Roman" w:hAnsi="Times New Roman" w:cs="Times New Roman"/>
          <w:sz w:val="24"/>
          <w:szCs w:val="24"/>
          <w:lang w:val="sr-Cyrl-CS"/>
        </w:rPr>
      </w:pPr>
      <w:bookmarkStart w:id="36" w:name="_Hlk90980943"/>
      <w:bookmarkStart w:id="37" w:name="_Hlk92179020"/>
      <w:r w:rsidRPr="00221978">
        <w:rPr>
          <w:rFonts w:ascii="Times New Roman" w:hAnsi="Times New Roman" w:cs="Times New Roman"/>
          <w:sz w:val="24"/>
          <w:szCs w:val="24"/>
          <w:lang w:val="sr-Cyrl-CS"/>
        </w:rPr>
        <w:t xml:space="preserve">У </w:t>
      </w:r>
      <w:r w:rsidR="00A65825" w:rsidRPr="00221978">
        <w:rPr>
          <w:rFonts w:ascii="Times New Roman" w:hAnsi="Times New Roman" w:cs="Times New Roman"/>
          <w:sz w:val="24"/>
          <w:szCs w:val="24"/>
          <w:lang w:val="sr-Cyrl-CS"/>
        </w:rPr>
        <w:t>Акционом</w:t>
      </w:r>
      <w:r w:rsidR="00926262" w:rsidRPr="00221978">
        <w:rPr>
          <w:rFonts w:ascii="Times New Roman" w:hAnsi="Times New Roman" w:cs="Times New Roman"/>
          <w:sz w:val="24"/>
          <w:szCs w:val="24"/>
          <w:lang w:val="sr-Cyrl-CS"/>
        </w:rPr>
        <w:t xml:space="preserve"> план</w:t>
      </w:r>
      <w:r w:rsidR="00A65825" w:rsidRPr="00221978">
        <w:rPr>
          <w:rFonts w:ascii="Times New Roman" w:hAnsi="Times New Roman" w:cs="Times New Roman"/>
          <w:sz w:val="24"/>
          <w:szCs w:val="24"/>
          <w:lang w:val="sr-Cyrl-CS"/>
        </w:rPr>
        <w:t>у</w:t>
      </w:r>
      <w:r w:rsidR="00926262" w:rsidRPr="00221978">
        <w:rPr>
          <w:rFonts w:ascii="Times New Roman" w:hAnsi="Times New Roman" w:cs="Times New Roman"/>
          <w:sz w:val="24"/>
          <w:szCs w:val="24"/>
          <w:lang w:val="sr-Cyrl-CS"/>
        </w:rPr>
        <w:t xml:space="preserve"> за период 2021-2025. године за спровођење Стратегије РЈУ,</w:t>
      </w:r>
      <w:bookmarkEnd w:id="36"/>
      <w:r w:rsidR="00926262" w:rsidRPr="00221978">
        <w:rPr>
          <w:rFonts w:ascii="Times New Roman" w:hAnsi="Times New Roman" w:cs="Times New Roman"/>
          <w:sz w:val="24"/>
          <w:szCs w:val="24"/>
          <w:lang w:val="sr-Cyrl-CS"/>
        </w:rPr>
        <w:t xml:space="preserve"> </w:t>
      </w:r>
      <w:r w:rsidR="009144C6" w:rsidRPr="00221978">
        <w:rPr>
          <w:rFonts w:ascii="Times New Roman" w:hAnsi="Times New Roman" w:cs="Times New Roman"/>
          <w:sz w:val="24"/>
          <w:szCs w:val="24"/>
          <w:lang w:val="sr-Cyrl-CS"/>
        </w:rPr>
        <w:t>Посебан циљ 5: Јавна управа на ефикасан и иновативан начин пружа услуге које одговарају на потребе крајњих корисника и унапређују њихово корисничко искуство,</w:t>
      </w:r>
      <w:bookmarkEnd w:id="37"/>
      <w:r w:rsidR="009144C6" w:rsidRPr="00221978">
        <w:rPr>
          <w:rFonts w:ascii="Times New Roman" w:hAnsi="Times New Roman" w:cs="Times New Roman"/>
          <w:sz w:val="24"/>
          <w:szCs w:val="24"/>
          <w:lang w:val="sr-Cyrl-CS"/>
        </w:rPr>
        <w:t xml:space="preserve"> </w:t>
      </w:r>
      <w:bookmarkStart w:id="38" w:name="_Hlk92179147"/>
      <w:r w:rsidR="009144C6" w:rsidRPr="00221978">
        <w:rPr>
          <w:rFonts w:ascii="Times New Roman" w:hAnsi="Times New Roman" w:cs="Times New Roman"/>
          <w:sz w:val="24"/>
          <w:szCs w:val="24"/>
          <w:lang w:val="sr-Cyrl-CS"/>
        </w:rPr>
        <w:t>Meрa 5.1: Унапређење развоја услуга по мери крајњих корисника кроз унапређење процеса развоја нових услуга и оптимизацију постојећих</w:t>
      </w:r>
      <w:bookmarkEnd w:id="38"/>
      <w:r w:rsidR="004E58FF" w:rsidRPr="00221978">
        <w:rPr>
          <w:rFonts w:ascii="Times New Roman" w:hAnsi="Times New Roman" w:cs="Times New Roman"/>
          <w:sz w:val="24"/>
          <w:szCs w:val="24"/>
          <w:lang w:val="sr-Cyrl-CS"/>
        </w:rPr>
        <w:t>:</w:t>
      </w:r>
    </w:p>
    <w:p w14:paraId="62346DE3" w14:textId="79AF4447" w:rsidR="00131D4A" w:rsidRPr="00221978" w:rsidRDefault="004E58FF" w:rsidP="00F06342">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М</w:t>
      </w:r>
      <w:r w:rsidR="00704BEB" w:rsidRPr="00221978">
        <w:rPr>
          <w:rFonts w:ascii="Times New Roman" w:hAnsi="Times New Roman" w:cs="Times New Roman"/>
          <w:sz w:val="24"/>
          <w:szCs w:val="24"/>
          <w:lang w:val="sr-Cyrl-CS"/>
        </w:rPr>
        <w:t>ења с</w:t>
      </w:r>
      <w:r w:rsidR="009144C6" w:rsidRPr="00221978">
        <w:rPr>
          <w:rFonts w:ascii="Times New Roman" w:hAnsi="Times New Roman" w:cs="Times New Roman"/>
          <w:sz w:val="24"/>
          <w:szCs w:val="24"/>
          <w:lang w:val="sr-Cyrl-CS"/>
        </w:rPr>
        <w:t xml:space="preserve">е </w:t>
      </w:r>
      <w:r w:rsidR="008654C7" w:rsidRPr="00221978">
        <w:rPr>
          <w:rFonts w:ascii="Times New Roman" w:hAnsi="Times New Roman" w:cs="Times New Roman"/>
          <w:sz w:val="24"/>
          <w:szCs w:val="24"/>
          <w:lang w:val="sr-Cyrl-CS"/>
        </w:rPr>
        <w:t xml:space="preserve">период спровођења </w:t>
      </w:r>
      <w:r w:rsidR="009144C6" w:rsidRPr="00221978">
        <w:rPr>
          <w:rFonts w:ascii="Times New Roman" w:hAnsi="Times New Roman" w:cs="Times New Roman"/>
          <w:sz w:val="24"/>
          <w:szCs w:val="24"/>
          <w:lang w:val="sr-Cyrl-CS"/>
        </w:rPr>
        <w:t xml:space="preserve">Активности </w:t>
      </w:r>
      <w:r w:rsidR="008654C7" w:rsidRPr="00221978">
        <w:rPr>
          <w:rFonts w:ascii="Times New Roman" w:hAnsi="Times New Roman" w:cs="Times New Roman"/>
          <w:sz w:val="24"/>
          <w:szCs w:val="24"/>
          <w:lang w:val="sr-Cyrl-CS"/>
        </w:rPr>
        <w:t>1.</w:t>
      </w:r>
      <w:r w:rsidR="00704BEB" w:rsidRPr="00221978">
        <w:rPr>
          <w:rFonts w:ascii="Times New Roman" w:hAnsi="Times New Roman" w:cs="Times New Roman"/>
          <w:sz w:val="24"/>
          <w:szCs w:val="24"/>
          <w:lang w:val="sr-Cyrl-CS"/>
        </w:rPr>
        <w:t xml:space="preserve"> и гласи: „</w:t>
      </w:r>
      <w:r w:rsidR="008654C7" w:rsidRPr="00221978">
        <w:rPr>
          <w:rFonts w:ascii="Times New Roman" w:hAnsi="Times New Roman" w:cs="Times New Roman"/>
          <w:sz w:val="24"/>
          <w:szCs w:val="24"/>
          <w:lang w:val="sr-Cyrl-CS"/>
        </w:rPr>
        <w:t xml:space="preserve">2. квартал 2021 </w:t>
      </w:r>
      <w:r w:rsidR="00057290" w:rsidRPr="00221978">
        <w:rPr>
          <w:rFonts w:ascii="Times New Roman" w:hAnsi="Times New Roman" w:cs="Times New Roman"/>
          <w:sz w:val="24"/>
          <w:szCs w:val="24"/>
          <w:lang w:val="sr-Cyrl-CS"/>
        </w:rPr>
        <w:t>–</w:t>
      </w:r>
      <w:r w:rsidR="008654C7" w:rsidRPr="00221978">
        <w:rPr>
          <w:rFonts w:ascii="Times New Roman" w:hAnsi="Times New Roman" w:cs="Times New Roman"/>
          <w:sz w:val="24"/>
          <w:szCs w:val="24"/>
          <w:lang w:val="sr-Cyrl-CS"/>
        </w:rPr>
        <w:t xml:space="preserve"> 3. квартал 2022</w:t>
      </w:r>
      <w:r w:rsidR="00131D4A" w:rsidRPr="00221978">
        <w:rPr>
          <w:rFonts w:ascii="Times New Roman" w:hAnsi="Times New Roman" w:cs="Times New Roman"/>
          <w:sz w:val="24"/>
          <w:szCs w:val="24"/>
          <w:lang w:val="sr-Cyrl-CS"/>
        </w:rPr>
        <w:t>”</w:t>
      </w:r>
      <w:r w:rsidRPr="00221978">
        <w:rPr>
          <w:rFonts w:ascii="Times New Roman" w:hAnsi="Times New Roman" w:cs="Times New Roman"/>
          <w:sz w:val="24"/>
          <w:szCs w:val="24"/>
          <w:lang w:val="sr-Cyrl-CS"/>
        </w:rPr>
        <w:t>.</w:t>
      </w:r>
      <w:r w:rsidR="008654C7" w:rsidRPr="00221978">
        <w:rPr>
          <w:rFonts w:ascii="Times New Roman" w:hAnsi="Times New Roman" w:cs="Times New Roman"/>
          <w:sz w:val="24"/>
          <w:szCs w:val="24"/>
          <w:lang w:val="sr-Cyrl-CS"/>
        </w:rPr>
        <w:t xml:space="preserve"> </w:t>
      </w:r>
    </w:p>
    <w:p w14:paraId="472D537D" w14:textId="7C2CECC1" w:rsidR="004E58FF" w:rsidRPr="00221978" w:rsidRDefault="004E58FF" w:rsidP="00131D4A">
      <w:pPr>
        <w:spacing w:after="0" w:line="240" w:lineRule="auto"/>
        <w:ind w:firstLine="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Мења се период </w:t>
      </w:r>
      <w:r w:rsidR="008654C7" w:rsidRPr="00221978">
        <w:rPr>
          <w:rFonts w:ascii="Times New Roman" w:hAnsi="Times New Roman" w:cs="Times New Roman"/>
          <w:sz w:val="24"/>
          <w:szCs w:val="24"/>
          <w:lang w:val="sr-Cyrl-CS"/>
        </w:rPr>
        <w:t>Активности 2.</w:t>
      </w:r>
      <w:r w:rsidRPr="00221978">
        <w:rPr>
          <w:rFonts w:ascii="Times New Roman" w:hAnsi="Times New Roman" w:cs="Times New Roman"/>
          <w:sz w:val="24"/>
          <w:szCs w:val="24"/>
          <w:lang w:val="sr-Cyrl-CS"/>
        </w:rPr>
        <w:t xml:space="preserve"> и </w:t>
      </w:r>
      <w:r w:rsidR="00704BEB" w:rsidRPr="00221978">
        <w:rPr>
          <w:rFonts w:ascii="Times New Roman" w:hAnsi="Times New Roman" w:cs="Times New Roman"/>
          <w:sz w:val="24"/>
          <w:szCs w:val="24"/>
          <w:lang w:val="sr-Cyrl-CS"/>
        </w:rPr>
        <w:t>гласи: „</w:t>
      </w:r>
      <w:r w:rsidR="008654C7" w:rsidRPr="00221978">
        <w:rPr>
          <w:rFonts w:ascii="Times New Roman" w:hAnsi="Times New Roman" w:cs="Times New Roman"/>
          <w:sz w:val="24"/>
          <w:szCs w:val="24"/>
          <w:lang w:val="sr-Cyrl-CS"/>
        </w:rPr>
        <w:t xml:space="preserve">2. квартал 2021 </w:t>
      </w:r>
      <w:r w:rsidR="00057290" w:rsidRPr="00221978">
        <w:rPr>
          <w:rFonts w:ascii="Times New Roman" w:hAnsi="Times New Roman" w:cs="Times New Roman"/>
          <w:sz w:val="24"/>
          <w:szCs w:val="24"/>
          <w:lang w:val="sr-Cyrl-CS"/>
        </w:rPr>
        <w:t>–</w:t>
      </w:r>
      <w:r w:rsidR="008654C7" w:rsidRPr="00221978">
        <w:rPr>
          <w:rFonts w:ascii="Times New Roman" w:hAnsi="Times New Roman" w:cs="Times New Roman"/>
          <w:sz w:val="24"/>
          <w:szCs w:val="24"/>
          <w:lang w:val="sr-Cyrl-CS"/>
        </w:rPr>
        <w:t xml:space="preserve"> 2. квартал 2022</w:t>
      </w:r>
      <w:r w:rsidR="00704BEB" w:rsidRPr="00221978">
        <w:rPr>
          <w:rFonts w:ascii="Times New Roman" w:hAnsi="Times New Roman" w:cs="Times New Roman"/>
          <w:sz w:val="24"/>
          <w:szCs w:val="24"/>
          <w:lang w:val="sr-Cyrl-CS"/>
        </w:rPr>
        <w:t>.</w:t>
      </w:r>
      <w:r w:rsidR="009B73BA" w:rsidRPr="00221978">
        <w:rPr>
          <w:rFonts w:ascii="Times New Roman" w:hAnsi="Times New Roman" w:cs="Times New Roman"/>
          <w:sz w:val="24"/>
          <w:szCs w:val="24"/>
          <w:lang w:val="sr-Cyrl-CS"/>
        </w:rPr>
        <w:t xml:space="preserve">”    </w:t>
      </w:r>
    </w:p>
    <w:p w14:paraId="44BF4F76" w14:textId="1DBFB2D0" w:rsidR="00AD365D" w:rsidRPr="00221978" w:rsidRDefault="004E58FF" w:rsidP="00131D4A">
      <w:pPr>
        <w:spacing w:after="0" w:line="240" w:lineRule="auto"/>
        <w:ind w:firstLine="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М</w:t>
      </w:r>
      <w:r w:rsidR="00704BEB" w:rsidRPr="00221978">
        <w:rPr>
          <w:rFonts w:ascii="Times New Roman" w:hAnsi="Times New Roman" w:cs="Times New Roman"/>
          <w:sz w:val="24"/>
          <w:szCs w:val="24"/>
          <w:lang w:val="sr-Cyrl-CS"/>
        </w:rPr>
        <w:t>ења</w:t>
      </w:r>
      <w:r w:rsidRPr="00221978">
        <w:rPr>
          <w:rFonts w:ascii="Times New Roman" w:hAnsi="Times New Roman" w:cs="Times New Roman"/>
          <w:sz w:val="24"/>
          <w:szCs w:val="24"/>
          <w:lang w:val="sr-Cyrl-CS"/>
        </w:rPr>
        <w:t xml:space="preserve"> </w:t>
      </w:r>
      <w:r w:rsidR="00704BEB" w:rsidRPr="00221978">
        <w:rPr>
          <w:rFonts w:ascii="Times New Roman" w:hAnsi="Times New Roman" w:cs="Times New Roman"/>
          <w:sz w:val="24"/>
          <w:szCs w:val="24"/>
          <w:lang w:val="sr-Cyrl-CS"/>
        </w:rPr>
        <w:t xml:space="preserve"> с</w:t>
      </w:r>
      <w:r w:rsidR="008654C7" w:rsidRPr="00221978">
        <w:rPr>
          <w:rFonts w:ascii="Times New Roman" w:hAnsi="Times New Roman" w:cs="Times New Roman"/>
          <w:sz w:val="24"/>
          <w:szCs w:val="24"/>
          <w:lang w:val="sr-Cyrl-CS"/>
        </w:rPr>
        <w:t>е назив органа партнера у спровођењу наведене активности и гласи</w:t>
      </w:r>
      <w:r w:rsidR="009D6299" w:rsidRPr="00221978">
        <w:rPr>
          <w:rFonts w:ascii="Times New Roman" w:hAnsi="Times New Roman" w:cs="Times New Roman"/>
          <w:sz w:val="24"/>
          <w:szCs w:val="24"/>
          <w:lang w:val="sr-Cyrl-CS"/>
        </w:rPr>
        <w:t>:</w:t>
      </w:r>
      <w:r w:rsidR="008654C7" w:rsidRPr="00221978">
        <w:rPr>
          <w:rFonts w:ascii="Times New Roman" w:hAnsi="Times New Roman" w:cs="Times New Roman"/>
          <w:sz w:val="24"/>
          <w:szCs w:val="24"/>
          <w:lang w:val="sr-Cyrl-CS"/>
        </w:rPr>
        <w:t xml:space="preserve"> </w:t>
      </w:r>
      <w:r w:rsidR="00704BEB" w:rsidRPr="00221978">
        <w:rPr>
          <w:rFonts w:ascii="Times New Roman" w:hAnsi="Times New Roman" w:cs="Times New Roman"/>
          <w:sz w:val="24"/>
          <w:szCs w:val="24"/>
          <w:lang w:val="sr-Cyrl-CS"/>
        </w:rPr>
        <w:t>„</w:t>
      </w:r>
      <w:r w:rsidR="008654C7" w:rsidRPr="00221978">
        <w:rPr>
          <w:rFonts w:ascii="Times New Roman" w:hAnsi="Times New Roman" w:cs="Times New Roman"/>
          <w:sz w:val="24"/>
          <w:szCs w:val="24"/>
          <w:lang w:val="sr-Cyrl-CS"/>
        </w:rPr>
        <w:t>РСЗ.</w:t>
      </w:r>
      <w:r w:rsidR="009B73BA" w:rsidRPr="00221978">
        <w:rPr>
          <w:rFonts w:ascii="Times New Roman" w:hAnsi="Times New Roman" w:cs="Times New Roman"/>
          <w:sz w:val="24"/>
          <w:szCs w:val="24"/>
          <w:lang w:val="sr-Cyrl-CS"/>
        </w:rPr>
        <w:t xml:space="preserve">”    </w:t>
      </w:r>
    </w:p>
    <w:p w14:paraId="59508C08" w14:textId="77777777" w:rsidR="00C77BC2" w:rsidRPr="00221978" w:rsidRDefault="00C77BC2" w:rsidP="00C77BC2">
      <w:pPr>
        <w:pStyle w:val="ListParagraph"/>
        <w:spacing w:after="0" w:line="240" w:lineRule="auto"/>
        <w:jc w:val="both"/>
        <w:rPr>
          <w:rFonts w:ascii="Times New Roman" w:hAnsi="Times New Roman" w:cs="Times New Roman"/>
          <w:sz w:val="24"/>
          <w:szCs w:val="24"/>
          <w:lang w:val="sr-Cyrl-CS"/>
        </w:rPr>
      </w:pPr>
    </w:p>
    <w:p w14:paraId="654A353D" w14:textId="3BC422E3" w:rsidR="004E58FF" w:rsidRPr="00221978" w:rsidRDefault="00C77BC2" w:rsidP="00AF5FC0">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Акционо</w:t>
      </w:r>
      <w:r w:rsidR="00A65825" w:rsidRPr="00221978">
        <w:rPr>
          <w:rFonts w:ascii="Times New Roman" w:hAnsi="Times New Roman" w:cs="Times New Roman"/>
          <w:sz w:val="24"/>
          <w:szCs w:val="24"/>
          <w:lang w:val="sr-Cyrl-CS"/>
        </w:rPr>
        <w:t>м</w:t>
      </w:r>
      <w:r w:rsidRPr="00221978">
        <w:rPr>
          <w:rFonts w:ascii="Times New Roman" w:hAnsi="Times New Roman" w:cs="Times New Roman"/>
          <w:sz w:val="24"/>
          <w:szCs w:val="24"/>
          <w:lang w:val="sr-Cyrl-CS"/>
        </w:rPr>
        <w:t xml:space="preserve"> план</w:t>
      </w:r>
      <w:r w:rsidR="00A65825"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за период 2021-2025. године за спровођење Стратегије РЈУ, Посебан циљ 5: Јавна управа на ефикасан и иновативан начин пружа услуге које одговарају на потребе крајњих корисника и унапређују њихово корисничко </w:t>
      </w:r>
      <w:r w:rsidR="004E58FF"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искуство, Meрa 5.1: Унапређење развоја услуга по мери крајњих корисника кроз унапређење процеса развоја нових услуга и оптимизацију постојећих</w:t>
      </w:r>
      <w:r w:rsidR="004E58FF" w:rsidRPr="00221978">
        <w:rPr>
          <w:rFonts w:ascii="Times New Roman" w:hAnsi="Times New Roman" w:cs="Times New Roman"/>
          <w:sz w:val="24"/>
          <w:szCs w:val="24"/>
          <w:lang w:val="sr-Cyrl-CS"/>
        </w:rPr>
        <w:t>:</w:t>
      </w:r>
    </w:p>
    <w:p w14:paraId="78FE302E" w14:textId="7D88A1BC" w:rsidR="00C77BC2" w:rsidRPr="00221978" w:rsidRDefault="004E58FF" w:rsidP="00F06342">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 с</w:t>
      </w:r>
      <w:r w:rsidR="00C77BC2" w:rsidRPr="00221978">
        <w:rPr>
          <w:rFonts w:ascii="Times New Roman" w:hAnsi="Times New Roman" w:cs="Times New Roman"/>
          <w:sz w:val="24"/>
          <w:szCs w:val="24"/>
          <w:lang w:val="sr-Cyrl-CS"/>
        </w:rPr>
        <w:t xml:space="preserve">е период спровођења Активности 3. Популаризација употребе дигиталних услуга, са већом доступношћу квалификованог електронског потписа који издаје </w:t>
      </w:r>
      <w:r w:rsidR="00C77BC2" w:rsidRPr="00221978">
        <w:rPr>
          <w:rFonts w:ascii="Times New Roman" w:hAnsi="Times New Roman" w:cs="Times New Roman"/>
          <w:sz w:val="24"/>
          <w:szCs w:val="24"/>
          <w:lang w:val="sr-Cyrl-CS"/>
        </w:rPr>
        <w:lastRenderedPageBreak/>
        <w:t>сертификационо тело Министарства унутрашњих послова</w:t>
      </w:r>
      <w:r w:rsidR="009445E1" w:rsidRPr="00221978">
        <w:rPr>
          <w:rFonts w:ascii="Times New Roman" w:hAnsi="Times New Roman" w:cs="Times New Roman"/>
          <w:sz w:val="24"/>
          <w:szCs w:val="24"/>
          <w:lang w:val="sr-Cyrl-CS"/>
        </w:rPr>
        <w:t xml:space="preserve"> и гласи:</w:t>
      </w:r>
      <w:r w:rsidR="009D6299" w:rsidRPr="00221978">
        <w:rPr>
          <w:rFonts w:ascii="Times New Roman" w:hAnsi="Times New Roman" w:cs="Times New Roman"/>
          <w:sz w:val="24"/>
          <w:szCs w:val="24"/>
          <w:lang w:val="sr-Cyrl-CS"/>
        </w:rPr>
        <w:t xml:space="preserve"> </w:t>
      </w:r>
      <w:r w:rsidRPr="00221978">
        <w:rPr>
          <w:rFonts w:ascii="Times New Roman" w:hAnsi="Times New Roman" w:cs="Times New Roman"/>
          <w:sz w:val="24"/>
          <w:szCs w:val="24"/>
          <w:lang w:val="sr-Cyrl-CS"/>
        </w:rPr>
        <w:t>„</w:t>
      </w:r>
      <w:r w:rsidR="00F322DE" w:rsidRPr="00221978">
        <w:rPr>
          <w:rFonts w:ascii="Times New Roman" w:hAnsi="Times New Roman" w:cs="Times New Roman"/>
          <w:sz w:val="24"/>
          <w:szCs w:val="24"/>
          <w:lang w:val="sr-Cyrl-CS"/>
        </w:rPr>
        <w:t xml:space="preserve">2. квартал 2021 </w:t>
      </w:r>
      <w:r w:rsidR="00057290" w:rsidRPr="00221978">
        <w:rPr>
          <w:rFonts w:ascii="Times New Roman" w:hAnsi="Times New Roman" w:cs="Times New Roman"/>
          <w:sz w:val="24"/>
          <w:szCs w:val="24"/>
          <w:lang w:val="sr-Cyrl-CS"/>
        </w:rPr>
        <w:t>–</w:t>
      </w:r>
      <w:r w:rsidR="00F322DE" w:rsidRPr="00221978">
        <w:rPr>
          <w:rFonts w:ascii="Times New Roman" w:hAnsi="Times New Roman" w:cs="Times New Roman"/>
          <w:sz w:val="24"/>
          <w:szCs w:val="24"/>
          <w:lang w:val="sr-Cyrl-CS"/>
        </w:rPr>
        <w:t xml:space="preserve"> </w:t>
      </w:r>
      <w:r w:rsidR="00C77BC2" w:rsidRPr="00221978">
        <w:rPr>
          <w:rFonts w:ascii="Times New Roman" w:hAnsi="Times New Roman" w:cs="Times New Roman"/>
          <w:sz w:val="24"/>
          <w:szCs w:val="24"/>
          <w:lang w:val="sr-Cyrl-CS"/>
        </w:rPr>
        <w:t>4. квартал 2025. године.</w:t>
      </w:r>
      <w:r w:rsidR="009B73BA" w:rsidRPr="00221978">
        <w:rPr>
          <w:rFonts w:ascii="Times New Roman" w:hAnsi="Times New Roman" w:cs="Times New Roman"/>
          <w:sz w:val="24"/>
          <w:szCs w:val="24"/>
          <w:lang w:val="sr-Cyrl-CS"/>
        </w:rPr>
        <w:t xml:space="preserve">”    </w:t>
      </w:r>
    </w:p>
    <w:p w14:paraId="2DB4A169" w14:textId="77777777" w:rsidR="00432D86" w:rsidRPr="00221978" w:rsidRDefault="00432D86" w:rsidP="004E58FF">
      <w:pPr>
        <w:spacing w:after="0" w:line="240" w:lineRule="auto"/>
        <w:jc w:val="both"/>
        <w:rPr>
          <w:rFonts w:ascii="Times New Roman" w:hAnsi="Times New Roman" w:cs="Times New Roman"/>
          <w:sz w:val="24"/>
          <w:szCs w:val="24"/>
          <w:lang w:val="sr-Cyrl-CS"/>
        </w:rPr>
      </w:pPr>
    </w:p>
    <w:p w14:paraId="3A61159F" w14:textId="618E286F" w:rsidR="00432D86" w:rsidRPr="00221978" w:rsidRDefault="00432D86" w:rsidP="00AF5FC0">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 xml:space="preserve">У </w:t>
      </w:r>
      <w:r w:rsidR="00A65825" w:rsidRPr="00221978">
        <w:rPr>
          <w:rFonts w:ascii="Times New Roman" w:hAnsi="Times New Roman" w:cs="Times New Roman"/>
          <w:sz w:val="24"/>
          <w:szCs w:val="24"/>
          <w:lang w:val="sr-Cyrl-CS"/>
        </w:rPr>
        <w:t>Акционом</w:t>
      </w:r>
      <w:r w:rsidRPr="00221978">
        <w:rPr>
          <w:rFonts w:ascii="Times New Roman" w:hAnsi="Times New Roman" w:cs="Times New Roman"/>
          <w:sz w:val="24"/>
          <w:szCs w:val="24"/>
          <w:lang w:val="sr-Cyrl-CS"/>
        </w:rPr>
        <w:t xml:space="preserve"> план</w:t>
      </w:r>
      <w:r w:rsidR="00A65825"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за период 2021-2025. године за спровођење Стратегије РЈУ, Мера 6.1: Успостављање системских решења за управљачку одговорност у органима јавне управе:</w:t>
      </w:r>
    </w:p>
    <w:p w14:paraId="3987355A" w14:textId="457A2E52" w:rsidR="00432D86" w:rsidRPr="00221978" w:rsidRDefault="00432D86" w:rsidP="00F06342">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 се период спровођења Активност 1 Израда свеобухватне анализе постојећег стања и смерница за дефинисање системских решења у правном и институционалном оквиру Републике Србије за управљачку одговорност (делегирање одговорности, јасне линије одговорности међу институцијама и мерење учинка на институционалним нивоу) у о</w:t>
      </w:r>
      <w:r w:rsidR="00057290" w:rsidRPr="00221978">
        <w:rPr>
          <w:rFonts w:ascii="Times New Roman" w:hAnsi="Times New Roman" w:cs="Times New Roman"/>
          <w:sz w:val="24"/>
          <w:szCs w:val="24"/>
          <w:lang w:val="sr-Cyrl-CS"/>
        </w:rPr>
        <w:t>рганима јавне управе и гласи: „</w:t>
      </w:r>
      <w:r w:rsidRPr="00221978">
        <w:rPr>
          <w:rFonts w:ascii="Times New Roman" w:hAnsi="Times New Roman" w:cs="Times New Roman"/>
          <w:sz w:val="24"/>
          <w:szCs w:val="24"/>
          <w:lang w:val="sr-Cyrl-CS"/>
        </w:rPr>
        <w:t>2. квартал 2021 – 3. квартал 2022. године.</w:t>
      </w:r>
      <w:r w:rsidR="009B73BA" w:rsidRPr="00221978">
        <w:rPr>
          <w:rFonts w:ascii="Times New Roman" w:hAnsi="Times New Roman" w:cs="Times New Roman"/>
          <w:sz w:val="24"/>
          <w:szCs w:val="24"/>
          <w:lang w:val="sr-Cyrl-CS"/>
        </w:rPr>
        <w:t xml:space="preserve">”    </w:t>
      </w:r>
    </w:p>
    <w:p w14:paraId="77E44B8F" w14:textId="05A0F9D0" w:rsidR="00CD3832" w:rsidRPr="00221978" w:rsidRDefault="00CD3832" w:rsidP="00CD3832">
      <w:pPr>
        <w:spacing w:after="0" w:line="240" w:lineRule="auto"/>
        <w:ind w:left="360"/>
        <w:jc w:val="both"/>
        <w:rPr>
          <w:rFonts w:ascii="Times New Roman" w:hAnsi="Times New Roman" w:cs="Times New Roman"/>
          <w:sz w:val="24"/>
          <w:szCs w:val="24"/>
          <w:lang w:val="sr-Cyrl-CS"/>
        </w:rPr>
      </w:pPr>
    </w:p>
    <w:p w14:paraId="371CAA70" w14:textId="7A36CDF2" w:rsidR="00F322DE" w:rsidRPr="00221978" w:rsidRDefault="00CD3832" w:rsidP="00AF5FC0">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Акционо</w:t>
      </w:r>
      <w:r w:rsidR="00A65825" w:rsidRPr="00221978">
        <w:rPr>
          <w:rFonts w:ascii="Times New Roman" w:hAnsi="Times New Roman" w:cs="Times New Roman"/>
          <w:sz w:val="24"/>
          <w:szCs w:val="24"/>
          <w:lang w:val="sr-Cyrl-CS"/>
        </w:rPr>
        <w:t>м плану</w:t>
      </w:r>
      <w:r w:rsidRPr="00221978">
        <w:rPr>
          <w:rFonts w:ascii="Times New Roman" w:hAnsi="Times New Roman" w:cs="Times New Roman"/>
          <w:sz w:val="24"/>
          <w:szCs w:val="24"/>
          <w:lang w:val="sr-Cyrl-CS"/>
        </w:rPr>
        <w:t xml:space="preserve"> за период 2021-2025. године за спровођење Стратегије РЈУ,</w:t>
      </w:r>
      <w:r w:rsidRPr="00221978">
        <w:rPr>
          <w:lang w:val="sr-Cyrl-CS"/>
        </w:rPr>
        <w:t xml:space="preserve"> </w:t>
      </w:r>
      <w:r w:rsidRPr="00221978">
        <w:rPr>
          <w:rFonts w:ascii="Times New Roman" w:hAnsi="Times New Roman" w:cs="Times New Roman"/>
          <w:sz w:val="24"/>
          <w:szCs w:val="24"/>
          <w:lang w:val="sr-Cyrl-CS"/>
        </w:rPr>
        <w:t>Мера 6.5. –Унапређење реактивне транспарентности, поступања по прописима из делокруга независних државних органа, односно по препорукама независних државних органа</w:t>
      </w:r>
      <w:r w:rsidR="00F322DE" w:rsidRPr="00221978">
        <w:rPr>
          <w:rFonts w:ascii="Times New Roman" w:hAnsi="Times New Roman" w:cs="Times New Roman"/>
          <w:sz w:val="24"/>
          <w:szCs w:val="24"/>
          <w:lang w:val="sr-Cyrl-CS"/>
        </w:rPr>
        <w:t>:</w:t>
      </w:r>
    </w:p>
    <w:p w14:paraId="76D51FEE" w14:textId="18A5BF52" w:rsidR="00CD3832" w:rsidRPr="00221978" w:rsidRDefault="00F322DE" w:rsidP="00F06342">
      <w:pPr>
        <w:spacing w:after="0" w:line="240" w:lineRule="auto"/>
        <w:ind w:left="720"/>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Мења с</w:t>
      </w:r>
      <w:r w:rsidR="00CD3832" w:rsidRPr="00221978">
        <w:rPr>
          <w:rFonts w:ascii="Times New Roman" w:hAnsi="Times New Roman" w:cs="Times New Roman"/>
          <w:sz w:val="24"/>
          <w:szCs w:val="24"/>
          <w:lang w:val="sr-Cyrl-CS"/>
        </w:rPr>
        <w:t xml:space="preserve">е назив показатеља  и гласи: </w:t>
      </w:r>
      <w:r w:rsidRPr="00221978">
        <w:rPr>
          <w:rFonts w:ascii="Times New Roman" w:hAnsi="Times New Roman" w:cs="Times New Roman"/>
          <w:sz w:val="24"/>
          <w:szCs w:val="24"/>
          <w:lang w:val="sr-Cyrl-CS"/>
        </w:rPr>
        <w:t>„</w:t>
      </w:r>
      <w:r w:rsidR="00CD3832" w:rsidRPr="00221978">
        <w:rPr>
          <w:rFonts w:ascii="Times New Roman" w:hAnsi="Times New Roman" w:cs="Times New Roman"/>
          <w:sz w:val="24"/>
          <w:szCs w:val="24"/>
          <w:lang w:val="sr-Cyrl-CS"/>
        </w:rPr>
        <w:t>Проценат  извршења аката Повереника за информације од јавног значаја и заштиту података о личности и Заштитника грађана.</w:t>
      </w:r>
      <w:r w:rsidR="009B73BA" w:rsidRPr="00221978">
        <w:rPr>
          <w:rFonts w:ascii="Times New Roman" w:hAnsi="Times New Roman" w:cs="Times New Roman"/>
          <w:sz w:val="24"/>
          <w:szCs w:val="24"/>
          <w:lang w:val="sr-Cyrl-CS"/>
        </w:rPr>
        <w:t xml:space="preserve">”    </w:t>
      </w:r>
      <w:r w:rsidR="00CD3832" w:rsidRPr="00221978">
        <w:rPr>
          <w:rFonts w:ascii="Times New Roman" w:hAnsi="Times New Roman" w:cs="Times New Roman"/>
          <w:sz w:val="24"/>
          <w:szCs w:val="24"/>
          <w:lang w:val="sr-Cyrl-CS"/>
        </w:rPr>
        <w:t xml:space="preserve">  </w:t>
      </w:r>
    </w:p>
    <w:p w14:paraId="69B545FE" w14:textId="4C1D463B" w:rsidR="008654C7" w:rsidRPr="00221978" w:rsidRDefault="008654C7" w:rsidP="00432D86">
      <w:pPr>
        <w:spacing w:after="0" w:line="240" w:lineRule="auto"/>
        <w:jc w:val="both"/>
        <w:rPr>
          <w:rFonts w:ascii="Times New Roman" w:hAnsi="Times New Roman" w:cs="Times New Roman"/>
          <w:sz w:val="24"/>
          <w:szCs w:val="24"/>
          <w:lang w:val="sr-Cyrl-CS"/>
        </w:rPr>
      </w:pPr>
    </w:p>
    <w:p w14:paraId="1D8F8713" w14:textId="59DBB664" w:rsidR="009144C6" w:rsidRPr="00221978" w:rsidRDefault="00FF53E4" w:rsidP="00AF5FC0">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У Акционо</w:t>
      </w:r>
      <w:r w:rsidR="00A65825" w:rsidRPr="00221978">
        <w:rPr>
          <w:rFonts w:ascii="Times New Roman" w:hAnsi="Times New Roman" w:cs="Times New Roman"/>
          <w:sz w:val="24"/>
          <w:szCs w:val="24"/>
          <w:lang w:val="sr-Cyrl-CS"/>
        </w:rPr>
        <w:t>м</w:t>
      </w:r>
      <w:r w:rsidRPr="00221978">
        <w:rPr>
          <w:rFonts w:ascii="Times New Roman" w:hAnsi="Times New Roman" w:cs="Times New Roman"/>
          <w:sz w:val="24"/>
          <w:szCs w:val="24"/>
          <w:lang w:val="sr-Cyrl-CS"/>
        </w:rPr>
        <w:t xml:space="preserve"> план</w:t>
      </w:r>
      <w:r w:rsidR="00A65825"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за период 2021-2025. године за спровођење Стратегије РЈУ, Ходограм активности, извршене су измене у складу са наведеним активностима:  2.3.1.</w:t>
      </w:r>
      <w:r w:rsidRPr="00221978">
        <w:rPr>
          <w:rFonts w:ascii="Times New Roman" w:eastAsia="Times New Roman" w:hAnsi="Times New Roman" w:cs="Times New Roman"/>
          <w:sz w:val="24"/>
          <w:szCs w:val="24"/>
          <w:lang w:val="sr-Cyrl-CS" w:eastAsia="en-GB"/>
        </w:rPr>
        <w:t xml:space="preserve"> Израда анализе законодавног оквира којим се уређује поступак и овлашћење за постављење на положај и вршиоца дужности и предлози мера за унапређење,</w:t>
      </w:r>
      <w:r w:rsidRPr="00221978">
        <w:rPr>
          <w:rFonts w:ascii="Times New Roman" w:hAnsi="Times New Roman" w:cs="Times New Roman"/>
          <w:sz w:val="24"/>
          <w:szCs w:val="24"/>
          <w:lang w:val="sr-Cyrl-CS"/>
        </w:rPr>
        <w:t xml:space="preserve"> 2.3.2.</w:t>
      </w:r>
      <w:r w:rsidRPr="00221978">
        <w:rPr>
          <w:rFonts w:ascii="Times New Roman" w:eastAsia="Times New Roman" w:hAnsi="Times New Roman" w:cs="Times New Roman"/>
          <w:sz w:val="24"/>
          <w:szCs w:val="24"/>
          <w:lang w:val="sr-Cyrl-CS" w:eastAsia="en-GB"/>
        </w:rPr>
        <w:t xml:space="preserve"> Измена нормативног оквира у делу постављења на положај вршиоца дужности у складу са предлогом мера за унапређење, </w:t>
      </w:r>
      <w:r w:rsidRPr="00221978">
        <w:rPr>
          <w:rFonts w:ascii="Times New Roman" w:hAnsi="Times New Roman" w:cs="Times New Roman"/>
          <w:sz w:val="24"/>
          <w:szCs w:val="24"/>
          <w:lang w:val="sr-Cyrl-CS"/>
        </w:rPr>
        <w:t xml:space="preserve">2.3.4. </w:t>
      </w:r>
      <w:r w:rsidRPr="00221978">
        <w:rPr>
          <w:rFonts w:ascii="Times New Roman" w:eastAsia="Times New Roman" w:hAnsi="Times New Roman" w:cs="Times New Roman"/>
          <w:sz w:val="24"/>
          <w:szCs w:val="24"/>
          <w:lang w:val="sr-Cyrl-CS" w:eastAsia="en-GB"/>
        </w:rPr>
        <w:t xml:space="preserve">Израда смерница за унапређење аката о систематизацији у делу описа послова и захтеваних компетенција за лица на положају, </w:t>
      </w:r>
      <w:r w:rsidRPr="00221978">
        <w:rPr>
          <w:rFonts w:ascii="Times New Roman" w:hAnsi="Times New Roman" w:cs="Times New Roman"/>
          <w:sz w:val="24"/>
          <w:szCs w:val="24"/>
          <w:lang w:val="sr-Cyrl-CS"/>
        </w:rPr>
        <w:t>2.3.5.</w:t>
      </w:r>
      <w:r w:rsidR="00C06D81" w:rsidRPr="00221978">
        <w:rPr>
          <w:rFonts w:ascii="Times New Roman" w:eastAsia="Times New Roman" w:hAnsi="Times New Roman" w:cs="Times New Roman"/>
          <w:bCs/>
          <w:sz w:val="24"/>
          <w:szCs w:val="24"/>
          <w:lang w:val="sr-Cyrl-CS" w:eastAsia="en-GB"/>
        </w:rPr>
        <w:t xml:space="preserve"> </w:t>
      </w:r>
      <w:r w:rsidRPr="00221978">
        <w:rPr>
          <w:rFonts w:ascii="Times New Roman" w:eastAsia="Times New Roman" w:hAnsi="Times New Roman" w:cs="Times New Roman"/>
          <w:sz w:val="24"/>
          <w:szCs w:val="24"/>
          <w:lang w:val="sr-Cyrl-CS" w:eastAsia="en-GB"/>
        </w:rPr>
        <w:t>Иновирање оквира компетенција за државне службенике на положају,</w:t>
      </w:r>
      <w:r w:rsidRPr="00221978">
        <w:rPr>
          <w:rFonts w:ascii="Times New Roman" w:hAnsi="Times New Roman" w:cs="Times New Roman"/>
          <w:sz w:val="24"/>
          <w:szCs w:val="24"/>
          <w:lang w:val="sr-Cyrl-CS"/>
        </w:rPr>
        <w:t xml:space="preserve"> 3.3.1.</w:t>
      </w:r>
      <w:r w:rsidRPr="00221978">
        <w:rPr>
          <w:rFonts w:ascii="Times New Roman" w:eastAsia="Times New Roman" w:hAnsi="Times New Roman" w:cs="Times New Roman"/>
          <w:sz w:val="24"/>
          <w:szCs w:val="24"/>
          <w:lang w:val="sr-Cyrl-CS" w:eastAsia="en-GB"/>
        </w:rPr>
        <w:t xml:space="preserve"> Израда стратешког документа о управљању државним службеницима на положају у органима државне управе са мапом пута за интеграцију у прописе</w:t>
      </w:r>
      <w:r w:rsidRPr="00221978">
        <w:rPr>
          <w:rFonts w:ascii="Times New Roman" w:hAnsi="Times New Roman" w:cs="Times New Roman"/>
          <w:sz w:val="24"/>
          <w:szCs w:val="24"/>
          <w:lang w:val="sr-Cyrl-CS"/>
        </w:rPr>
        <w:t>, 3.3.2.</w:t>
      </w:r>
      <w:r w:rsidRPr="00221978">
        <w:rPr>
          <w:rFonts w:ascii="Times New Roman" w:eastAsia="Times New Roman" w:hAnsi="Times New Roman" w:cs="Times New Roman"/>
          <w:sz w:val="24"/>
          <w:szCs w:val="24"/>
          <w:lang w:val="sr-Cyrl-CS" w:eastAsia="en-GB"/>
        </w:rPr>
        <w:t xml:space="preserve"> Имплементација политике о управљању државних службеника на положају у нормативни оквир</w:t>
      </w:r>
      <w:r w:rsidR="00C06D81" w:rsidRPr="00221978">
        <w:rPr>
          <w:rFonts w:ascii="Times New Roman" w:hAnsi="Times New Roman" w:cs="Times New Roman"/>
          <w:sz w:val="24"/>
          <w:szCs w:val="24"/>
          <w:lang w:val="sr-Cyrl-CS"/>
        </w:rPr>
        <w:t>, 3.1.6. Припрема Нацрта закона којим се уређују плате државних службеника и намештеника у складу са системским законом о платама, 3.1.7. Имплементација реформе система плата у јавном сектору, 4.3.1. Вредновање учинка и преиспитивање закона који уређује област стручног усавршавања у државним органима (ex-post анализа закона), 4.3.2. Вредновање учинка и преиспитивање закона који уређује област стручног усавршавања у органима јединица локалне самоуправе (ex-post анализа закона), 4.3.6. Спровођење процеса планирања и формулисања измена и допуна закона који уређује област стручног усавршавања у државним органима, 4.3.7. Спровођење процеса планирања и формулисања измена и допуна закона који уређује област стручног усавршавања у органима јединица локалне самоуправе</w:t>
      </w:r>
      <w:r w:rsidR="00814224" w:rsidRPr="00221978">
        <w:rPr>
          <w:rFonts w:ascii="Times New Roman" w:hAnsi="Times New Roman" w:cs="Times New Roman"/>
          <w:sz w:val="24"/>
          <w:szCs w:val="24"/>
          <w:lang w:val="sr-Cyrl-CS"/>
        </w:rPr>
        <w:t xml:space="preserve">, </w:t>
      </w:r>
      <w:r w:rsidR="00C06D81" w:rsidRPr="00221978">
        <w:rPr>
          <w:rFonts w:ascii="Times New Roman" w:hAnsi="Times New Roman" w:cs="Times New Roman"/>
          <w:sz w:val="24"/>
          <w:szCs w:val="24"/>
          <w:lang w:val="sr-Cyrl-CS"/>
        </w:rPr>
        <w:t>4.3.8.</w:t>
      </w:r>
      <w:r w:rsidR="00C06D81" w:rsidRPr="00221978">
        <w:rPr>
          <w:lang w:val="sr-Cyrl-CS"/>
        </w:rPr>
        <w:t xml:space="preserve"> </w:t>
      </w:r>
      <w:r w:rsidR="00C06D81" w:rsidRPr="00221978">
        <w:rPr>
          <w:rFonts w:ascii="Times New Roman" w:hAnsi="Times New Roman" w:cs="Times New Roman"/>
          <w:sz w:val="24"/>
          <w:szCs w:val="24"/>
          <w:lang w:val="sr-Cyrl-CS"/>
        </w:rPr>
        <w:t>Спровођење процеса планирања, формулисања и доношења подзаконских прописа за спровођење закона који уређује област стручног усавршавања у јавној управи</w:t>
      </w:r>
      <w:r w:rsidR="00814224" w:rsidRPr="00221978">
        <w:rPr>
          <w:rFonts w:ascii="Times New Roman" w:hAnsi="Times New Roman" w:cs="Times New Roman"/>
          <w:sz w:val="24"/>
          <w:szCs w:val="24"/>
          <w:lang w:val="sr-Cyrl-CS"/>
        </w:rPr>
        <w:t xml:space="preserve">, 5.1.1. Утврђивање методологије за развој нових, односно оптимизације постојећих услуга заснованих на систематском </w:t>
      </w:r>
      <w:r w:rsidR="00814224" w:rsidRPr="00221978">
        <w:rPr>
          <w:rFonts w:ascii="Times New Roman" w:hAnsi="Times New Roman" w:cs="Times New Roman"/>
          <w:sz w:val="24"/>
          <w:szCs w:val="24"/>
          <w:lang w:val="sr-Cyrl-CS"/>
        </w:rPr>
        <w:lastRenderedPageBreak/>
        <w:t xml:space="preserve">укључивању крајњих корисника у свим фазама развоја уз употребу </w:t>
      </w:r>
      <w:r w:rsidR="009445E1" w:rsidRPr="00221978">
        <w:rPr>
          <w:rFonts w:ascii="Times New Roman" w:hAnsi="Times New Roman" w:cs="Times New Roman"/>
          <w:sz w:val="24"/>
          <w:szCs w:val="24"/>
          <w:lang w:val="sr-Cyrl-CS"/>
        </w:rPr>
        <w:t xml:space="preserve">напредних и иновативних алата, 5.1.2. </w:t>
      </w:r>
      <w:r w:rsidR="00814224" w:rsidRPr="00221978">
        <w:rPr>
          <w:rFonts w:ascii="Times New Roman" w:hAnsi="Times New Roman" w:cs="Times New Roman"/>
          <w:sz w:val="24"/>
          <w:szCs w:val="24"/>
          <w:lang w:val="sr-Cyrl-CS"/>
        </w:rPr>
        <w:t>Припрема Програма за поједностављење административних поступака и регулативе за период - е-Папир након 2021.</w:t>
      </w:r>
      <w:r w:rsidR="005B1621" w:rsidRPr="00221978">
        <w:rPr>
          <w:rFonts w:ascii="Times New Roman" w:hAnsi="Times New Roman" w:cs="Times New Roman"/>
          <w:sz w:val="24"/>
          <w:szCs w:val="24"/>
          <w:lang w:val="sr-Cyrl-CS"/>
        </w:rPr>
        <w:t xml:space="preserve"> године</w:t>
      </w:r>
      <w:r w:rsidR="00FD3748" w:rsidRPr="00221978">
        <w:rPr>
          <w:rFonts w:ascii="Times New Roman" w:hAnsi="Times New Roman" w:cs="Times New Roman"/>
          <w:sz w:val="24"/>
          <w:szCs w:val="24"/>
          <w:lang w:val="sr-Cyrl-CS"/>
        </w:rPr>
        <w:t>, 5.1.3. Популаризација употребе дигиталних услуга, са већом доступношћу квалификованог електронског потписа који издаје сертификационо тело Министарства унутрашњих послова</w:t>
      </w:r>
      <w:r w:rsidR="005B1621" w:rsidRPr="00221978">
        <w:rPr>
          <w:rFonts w:ascii="Times New Roman" w:hAnsi="Times New Roman" w:cs="Times New Roman"/>
          <w:sz w:val="24"/>
          <w:szCs w:val="24"/>
          <w:lang w:val="sr-Cyrl-CS"/>
        </w:rPr>
        <w:t xml:space="preserve"> </w:t>
      </w:r>
      <w:r w:rsidR="00FD3748" w:rsidRPr="00221978">
        <w:rPr>
          <w:rFonts w:ascii="Times New Roman" w:hAnsi="Times New Roman" w:cs="Times New Roman"/>
          <w:sz w:val="24"/>
          <w:szCs w:val="24"/>
          <w:lang w:val="sr-Cyrl-CS"/>
        </w:rPr>
        <w:t xml:space="preserve">и </w:t>
      </w:r>
      <w:r w:rsidR="005B1621" w:rsidRPr="00221978">
        <w:rPr>
          <w:rFonts w:ascii="Times New Roman" w:hAnsi="Times New Roman" w:cs="Times New Roman"/>
          <w:sz w:val="24"/>
          <w:szCs w:val="24"/>
          <w:lang w:val="sr-Cyrl-CS"/>
        </w:rPr>
        <w:t>6.1.1. Израда свеобухватне анализе постојећег стања и смерница за дефинисање системских решења у правном и институционалном оквиру Републике Србије за управљачку одговорност (делегирање одговорности, јасне линије одговорности међу институцијама и мерење учинка на институционалним нив</w:t>
      </w:r>
      <w:r w:rsidR="0063683C" w:rsidRPr="00221978">
        <w:rPr>
          <w:rFonts w:ascii="Times New Roman" w:hAnsi="Times New Roman" w:cs="Times New Roman"/>
          <w:sz w:val="24"/>
          <w:szCs w:val="24"/>
          <w:lang w:val="sr-Cyrl-CS"/>
        </w:rPr>
        <w:t>оу) у органима јавне управе.</w:t>
      </w:r>
    </w:p>
    <w:p w14:paraId="46DCE894" w14:textId="3DA35E94" w:rsidR="00814224" w:rsidRPr="00221978" w:rsidRDefault="00814224" w:rsidP="00E76B06">
      <w:pPr>
        <w:spacing w:after="0" w:line="240" w:lineRule="auto"/>
        <w:jc w:val="both"/>
        <w:rPr>
          <w:rFonts w:ascii="Times New Roman" w:hAnsi="Times New Roman" w:cs="Times New Roman"/>
          <w:sz w:val="24"/>
          <w:szCs w:val="24"/>
          <w:lang w:val="sr-Cyrl-CS"/>
        </w:rPr>
      </w:pPr>
    </w:p>
    <w:p w14:paraId="6A0BFB55" w14:textId="590A316E" w:rsidR="00891060" w:rsidRPr="00221978" w:rsidRDefault="00B2728F" w:rsidP="00AF5FC0">
      <w:pPr>
        <w:pStyle w:val="ListParagraph"/>
        <w:numPr>
          <w:ilvl w:val="0"/>
          <w:numId w:val="2"/>
        </w:numPr>
        <w:spacing w:after="0" w:line="240" w:lineRule="auto"/>
        <w:jc w:val="both"/>
        <w:rPr>
          <w:rFonts w:ascii="Times New Roman" w:hAnsi="Times New Roman" w:cs="Times New Roman"/>
          <w:sz w:val="24"/>
          <w:szCs w:val="24"/>
          <w:lang w:val="sr-Cyrl-CS"/>
        </w:rPr>
      </w:pPr>
      <w:r w:rsidRPr="00221978">
        <w:rPr>
          <w:rFonts w:ascii="Times New Roman" w:hAnsi="Times New Roman" w:cs="Times New Roman"/>
          <w:sz w:val="24"/>
          <w:szCs w:val="24"/>
          <w:lang w:val="sr-Cyrl-CS"/>
        </w:rPr>
        <w:t>Ов</w:t>
      </w:r>
      <w:r w:rsidR="002202C2" w:rsidRPr="00221978">
        <w:rPr>
          <w:rFonts w:ascii="Times New Roman" w:hAnsi="Times New Roman" w:cs="Times New Roman"/>
          <w:sz w:val="24"/>
          <w:szCs w:val="24"/>
          <w:lang w:val="sr-Cyrl-CS"/>
        </w:rPr>
        <w:t>у</w:t>
      </w:r>
      <w:r w:rsidRPr="00221978">
        <w:rPr>
          <w:rFonts w:ascii="Times New Roman" w:hAnsi="Times New Roman" w:cs="Times New Roman"/>
          <w:sz w:val="24"/>
          <w:szCs w:val="24"/>
          <w:lang w:val="sr-Cyrl-CS"/>
        </w:rPr>
        <w:t xml:space="preserve"> </w:t>
      </w:r>
      <w:r w:rsidR="00727B0C" w:rsidRPr="00221978">
        <w:rPr>
          <w:rFonts w:ascii="Times New Roman" w:hAnsi="Times New Roman" w:cs="Times New Roman"/>
          <w:sz w:val="24"/>
          <w:szCs w:val="24"/>
          <w:lang w:val="sr-Cyrl-CS"/>
        </w:rPr>
        <w:t>одлуку</w:t>
      </w:r>
      <w:r w:rsidR="00891060" w:rsidRPr="00221978">
        <w:rPr>
          <w:rFonts w:ascii="Times New Roman" w:hAnsi="Times New Roman" w:cs="Times New Roman"/>
          <w:sz w:val="24"/>
          <w:szCs w:val="24"/>
          <w:lang w:val="sr-Cyrl-CS"/>
        </w:rPr>
        <w:t xml:space="preserve"> објавити у</w:t>
      </w:r>
      <w:r w:rsidR="00E86B08" w:rsidRPr="00221978">
        <w:rPr>
          <w:rFonts w:ascii="Times New Roman" w:hAnsi="Times New Roman" w:cs="Times New Roman"/>
          <w:sz w:val="24"/>
          <w:szCs w:val="24"/>
          <w:lang w:val="sr-Cyrl-CS"/>
        </w:rPr>
        <w:t xml:space="preserve"> „</w:t>
      </w:r>
      <w:r w:rsidR="00891060" w:rsidRPr="00221978">
        <w:rPr>
          <w:rFonts w:ascii="Times New Roman" w:hAnsi="Times New Roman" w:cs="Times New Roman"/>
          <w:sz w:val="24"/>
          <w:szCs w:val="24"/>
          <w:lang w:val="sr-Cyrl-CS"/>
        </w:rPr>
        <w:t>Службеном гласнику Републике Србије</w:t>
      </w:r>
      <w:r w:rsidR="009B73BA" w:rsidRPr="00221978">
        <w:rPr>
          <w:rFonts w:ascii="Times New Roman" w:hAnsi="Times New Roman" w:cs="Times New Roman"/>
          <w:sz w:val="24"/>
          <w:szCs w:val="24"/>
          <w:lang w:val="sr-Cyrl-CS"/>
        </w:rPr>
        <w:t>”</w:t>
      </w:r>
      <w:r w:rsidR="00BD0E89">
        <w:rPr>
          <w:rFonts w:ascii="Times New Roman" w:hAnsi="Times New Roman" w:cs="Times New Roman"/>
          <w:sz w:val="24"/>
          <w:szCs w:val="24"/>
        </w:rPr>
        <w:t>.</w:t>
      </w:r>
      <w:r w:rsidR="009B73BA" w:rsidRPr="00221978">
        <w:rPr>
          <w:rFonts w:ascii="Times New Roman" w:hAnsi="Times New Roman" w:cs="Times New Roman"/>
          <w:sz w:val="24"/>
          <w:szCs w:val="24"/>
          <w:lang w:val="sr-Cyrl-CS"/>
        </w:rPr>
        <w:t xml:space="preserve">    </w:t>
      </w:r>
      <w:r w:rsidR="00891060" w:rsidRPr="00221978">
        <w:rPr>
          <w:rFonts w:ascii="Times New Roman" w:hAnsi="Times New Roman" w:cs="Times New Roman"/>
          <w:sz w:val="24"/>
          <w:szCs w:val="24"/>
          <w:lang w:val="sr-Cyrl-CS"/>
        </w:rPr>
        <w:t xml:space="preserve"> </w:t>
      </w:r>
    </w:p>
    <w:p w14:paraId="2A61D9FD" w14:textId="65008E3D" w:rsidR="00DC3A7B" w:rsidRPr="00221978" w:rsidRDefault="00DC3A7B" w:rsidP="00891060">
      <w:pPr>
        <w:spacing w:after="0" w:line="240" w:lineRule="auto"/>
        <w:jc w:val="both"/>
        <w:rPr>
          <w:rFonts w:ascii="Times New Roman" w:hAnsi="Times New Roman" w:cs="Times New Roman"/>
          <w:sz w:val="24"/>
          <w:szCs w:val="24"/>
          <w:lang w:val="sr-Cyrl-CS"/>
        </w:rPr>
      </w:pPr>
    </w:p>
    <w:p w14:paraId="615DA83A" w14:textId="77777777" w:rsidR="00A95B84" w:rsidRPr="00221978" w:rsidRDefault="00A95B84" w:rsidP="00891060">
      <w:pPr>
        <w:spacing w:after="0" w:line="240" w:lineRule="auto"/>
        <w:jc w:val="both"/>
        <w:rPr>
          <w:rFonts w:ascii="Times New Roman" w:hAnsi="Times New Roman" w:cs="Times New Roman"/>
          <w:sz w:val="24"/>
          <w:szCs w:val="24"/>
          <w:lang w:val="sr-Cyrl-CS"/>
        </w:rPr>
      </w:pPr>
    </w:p>
    <w:p w14:paraId="23064ACB" w14:textId="07F01D10" w:rsidR="00CD247A" w:rsidRPr="00221978" w:rsidRDefault="00CD247A" w:rsidP="00CD247A">
      <w:pPr>
        <w:pStyle w:val="NoSpacing"/>
        <w:rPr>
          <w:rFonts w:ascii="Times New Roman" w:hAnsi="Times New Roman"/>
          <w:sz w:val="24"/>
          <w:szCs w:val="24"/>
          <w:lang w:val="sr-Cyrl-CS"/>
        </w:rPr>
      </w:pPr>
      <w:r w:rsidRPr="00221978">
        <w:rPr>
          <w:rFonts w:ascii="Times New Roman" w:hAnsi="Times New Roman"/>
          <w:sz w:val="24"/>
          <w:szCs w:val="24"/>
          <w:lang w:val="sr-Cyrl-CS"/>
        </w:rPr>
        <w:t>05 Број: 021-310/2022</w:t>
      </w:r>
    </w:p>
    <w:p w14:paraId="3F32E81B" w14:textId="4341895F" w:rsidR="00CD247A" w:rsidRPr="00221978" w:rsidRDefault="00CD247A" w:rsidP="00131D4A">
      <w:pPr>
        <w:pStyle w:val="NoSpacing"/>
        <w:rPr>
          <w:rFonts w:ascii="Times New Roman" w:hAnsi="Times New Roman"/>
          <w:noProof/>
          <w:sz w:val="24"/>
          <w:szCs w:val="24"/>
          <w:lang w:val="sr-Cyrl-CS"/>
        </w:rPr>
      </w:pPr>
      <w:r w:rsidRPr="00221978">
        <w:rPr>
          <w:rFonts w:ascii="Times New Roman" w:hAnsi="Times New Roman"/>
          <w:noProof/>
          <w:sz w:val="24"/>
          <w:szCs w:val="24"/>
          <w:lang w:val="sr-Cyrl-CS"/>
        </w:rPr>
        <w:t>У Бео</w:t>
      </w:r>
      <w:r w:rsidR="00131D4A" w:rsidRPr="00221978">
        <w:rPr>
          <w:rFonts w:ascii="Times New Roman" w:hAnsi="Times New Roman"/>
          <w:noProof/>
          <w:sz w:val="24"/>
          <w:szCs w:val="24"/>
          <w:lang w:val="sr-Cyrl-CS"/>
        </w:rPr>
        <w:t>граду, 20. јануара 2022. године</w:t>
      </w:r>
    </w:p>
    <w:p w14:paraId="443FE70A" w14:textId="77777777" w:rsidR="00131D4A" w:rsidRPr="00221978" w:rsidRDefault="00131D4A" w:rsidP="00131D4A">
      <w:pPr>
        <w:pStyle w:val="NoSpacing"/>
        <w:rPr>
          <w:rFonts w:ascii="Times New Roman" w:hAnsi="Times New Roman"/>
          <w:noProof/>
          <w:sz w:val="24"/>
          <w:szCs w:val="24"/>
          <w:lang w:val="sr-Cyrl-CS"/>
        </w:rPr>
      </w:pPr>
    </w:p>
    <w:p w14:paraId="1EFF2FF9" w14:textId="77777777" w:rsidR="00CD247A" w:rsidRPr="00221978" w:rsidRDefault="00CD247A" w:rsidP="00CD247A">
      <w:pPr>
        <w:pStyle w:val="1tekst"/>
        <w:spacing w:before="0" w:after="0"/>
        <w:ind w:firstLine="0"/>
        <w:jc w:val="center"/>
        <w:rPr>
          <w:noProof/>
          <w:szCs w:val="24"/>
          <w:lang w:val="sr-Cyrl-CS"/>
        </w:rPr>
      </w:pPr>
      <w:r w:rsidRPr="00221978">
        <w:rPr>
          <w:noProof/>
          <w:szCs w:val="24"/>
          <w:lang w:val="sr-Cyrl-CS"/>
        </w:rPr>
        <w:t xml:space="preserve">           В Л А Д А</w:t>
      </w:r>
    </w:p>
    <w:tbl>
      <w:tblPr>
        <w:tblW w:w="0" w:type="auto"/>
        <w:tblLook w:val="01E0" w:firstRow="1" w:lastRow="1" w:firstColumn="1" w:lastColumn="1" w:noHBand="0" w:noVBand="0"/>
      </w:tblPr>
      <w:tblGrid>
        <w:gridCol w:w="4265"/>
        <w:gridCol w:w="4266"/>
      </w:tblGrid>
      <w:tr w:rsidR="00CD247A" w:rsidRPr="00221978" w14:paraId="23DDF683" w14:textId="77777777" w:rsidTr="00CD247A">
        <w:tc>
          <w:tcPr>
            <w:tcW w:w="4265" w:type="dxa"/>
          </w:tcPr>
          <w:p w14:paraId="3EE026F8" w14:textId="77777777" w:rsidR="00CD247A" w:rsidRPr="00221978" w:rsidRDefault="00CD247A">
            <w:pPr>
              <w:spacing w:after="0" w:line="240" w:lineRule="auto"/>
              <w:jc w:val="center"/>
              <w:rPr>
                <w:rFonts w:ascii="Times New Roman" w:hAnsi="Times New Roman" w:cs="Times New Roman"/>
                <w:noProof/>
                <w:sz w:val="24"/>
                <w:szCs w:val="24"/>
                <w:lang w:val="sr-Cyrl-CS"/>
              </w:rPr>
            </w:pPr>
          </w:p>
        </w:tc>
        <w:tc>
          <w:tcPr>
            <w:tcW w:w="4266" w:type="dxa"/>
          </w:tcPr>
          <w:p w14:paraId="3843C4D2" w14:textId="77777777" w:rsidR="00CD247A" w:rsidRPr="00221978" w:rsidRDefault="00CD247A" w:rsidP="00131D4A">
            <w:pPr>
              <w:spacing w:after="0" w:line="240" w:lineRule="auto"/>
              <w:rPr>
                <w:rFonts w:ascii="Times New Roman" w:hAnsi="Times New Roman" w:cs="Times New Roman"/>
                <w:noProof/>
                <w:sz w:val="12"/>
                <w:szCs w:val="12"/>
                <w:lang w:val="sr-Cyrl-CS"/>
              </w:rPr>
            </w:pPr>
          </w:p>
          <w:p w14:paraId="1AE28621" w14:textId="70A81645" w:rsidR="00CD247A" w:rsidRPr="00221978" w:rsidRDefault="00ED1E18" w:rsidP="00ED1E18">
            <w:pPr>
              <w:spacing w:after="0" w:line="240" w:lineRule="auto"/>
              <w:jc w:val="center"/>
              <w:rPr>
                <w:rFonts w:ascii="Times New Roman" w:hAnsi="Times New Roman" w:cs="Times New Roman"/>
                <w:noProof/>
                <w:sz w:val="24"/>
                <w:szCs w:val="24"/>
                <w:lang w:val="sr-Cyrl-CS"/>
              </w:rPr>
            </w:pPr>
            <w:r>
              <w:rPr>
                <w:rFonts w:ascii="Times New Roman" w:hAnsi="Times New Roman" w:cs="Times New Roman"/>
                <w:noProof/>
                <w:sz w:val="24"/>
                <w:szCs w:val="24"/>
                <w:lang w:val="sr-Cyrl-CS"/>
              </w:rPr>
              <w:t xml:space="preserve">                                     </w:t>
            </w:r>
            <w:bookmarkStart w:id="39" w:name="_GoBack"/>
            <w:bookmarkEnd w:id="39"/>
            <w:r w:rsidR="00CD247A" w:rsidRPr="00221978">
              <w:rPr>
                <w:rFonts w:ascii="Times New Roman" w:hAnsi="Times New Roman" w:cs="Times New Roman"/>
                <w:noProof/>
                <w:sz w:val="24"/>
                <w:szCs w:val="24"/>
                <w:lang w:val="sr-Cyrl-CS"/>
              </w:rPr>
              <w:t>ПРЕДСЕДНИК</w:t>
            </w:r>
          </w:p>
          <w:p w14:paraId="665539C8" w14:textId="72E8B4EC" w:rsidR="00CD247A" w:rsidRPr="00221978" w:rsidRDefault="00CD247A" w:rsidP="00131D4A">
            <w:pPr>
              <w:spacing w:after="0" w:line="240" w:lineRule="auto"/>
              <w:rPr>
                <w:rFonts w:ascii="Times New Roman" w:hAnsi="Times New Roman" w:cs="Times New Roman"/>
                <w:noProof/>
                <w:sz w:val="24"/>
                <w:szCs w:val="24"/>
                <w:lang w:val="sr-Cyrl-CS"/>
              </w:rPr>
            </w:pPr>
          </w:p>
          <w:p w14:paraId="6471B951" w14:textId="77777777" w:rsidR="00131D4A" w:rsidRPr="00221978" w:rsidRDefault="00131D4A" w:rsidP="00131D4A">
            <w:pPr>
              <w:spacing w:after="0" w:line="240" w:lineRule="auto"/>
              <w:rPr>
                <w:rFonts w:ascii="Times New Roman" w:hAnsi="Times New Roman" w:cs="Times New Roman"/>
                <w:noProof/>
                <w:sz w:val="24"/>
                <w:szCs w:val="24"/>
                <w:lang w:val="sr-Cyrl-CS"/>
              </w:rPr>
            </w:pPr>
          </w:p>
          <w:p w14:paraId="6E96A251" w14:textId="39694E2F" w:rsidR="00CD247A" w:rsidRPr="00ED1E18" w:rsidRDefault="00CD247A" w:rsidP="00CD247A">
            <w:pPr>
              <w:spacing w:after="0" w:line="240" w:lineRule="auto"/>
              <w:rPr>
                <w:rFonts w:ascii="Times New Roman" w:hAnsi="Times New Roman" w:cs="Times New Roman"/>
                <w:noProof/>
                <w:sz w:val="24"/>
                <w:szCs w:val="24"/>
                <w:lang w:val="sr-Cyrl-RS"/>
              </w:rPr>
            </w:pPr>
            <w:r w:rsidRPr="00221978">
              <w:rPr>
                <w:rFonts w:ascii="Times New Roman" w:hAnsi="Times New Roman" w:cs="Times New Roman"/>
                <w:noProof/>
                <w:sz w:val="24"/>
                <w:szCs w:val="24"/>
                <w:lang w:val="sr-Cyrl-CS"/>
              </w:rPr>
              <w:t xml:space="preserve">           </w:t>
            </w:r>
            <w:r w:rsidR="00ED1E18">
              <w:rPr>
                <w:rFonts w:ascii="Times New Roman" w:hAnsi="Times New Roman" w:cs="Times New Roman"/>
                <w:noProof/>
                <w:sz w:val="24"/>
                <w:szCs w:val="24"/>
                <w:lang w:val="sr-Cyrl-CS"/>
              </w:rPr>
              <w:t xml:space="preserve">                          </w:t>
            </w:r>
            <w:r w:rsidRPr="00221978">
              <w:rPr>
                <w:rFonts w:ascii="Times New Roman" w:hAnsi="Times New Roman" w:cs="Times New Roman"/>
                <w:noProof/>
                <w:sz w:val="24"/>
                <w:szCs w:val="24"/>
                <w:lang w:val="sr-Cyrl-CS"/>
              </w:rPr>
              <w:t>Ана Брнабић</w:t>
            </w:r>
            <w:r w:rsidR="00ED1E18">
              <w:rPr>
                <w:rFonts w:ascii="Times New Roman" w:hAnsi="Times New Roman" w:cs="Times New Roman"/>
                <w:noProof/>
                <w:sz w:val="24"/>
                <w:szCs w:val="24"/>
                <w:lang w:val="sr-Cyrl-RS"/>
              </w:rPr>
              <w:t>, с.р.</w:t>
            </w:r>
          </w:p>
        </w:tc>
      </w:tr>
    </w:tbl>
    <w:p w14:paraId="530BAD40" w14:textId="551508FA" w:rsidR="00B37177" w:rsidRPr="00221978" w:rsidRDefault="00B37177" w:rsidP="00131D4A">
      <w:pPr>
        <w:spacing w:after="0" w:line="240" w:lineRule="auto"/>
        <w:jc w:val="both"/>
        <w:rPr>
          <w:rFonts w:ascii="Times New Roman" w:eastAsia="Times New Roman" w:hAnsi="Times New Roman" w:cs="Times New Roman"/>
          <w:iCs/>
          <w:sz w:val="24"/>
          <w:szCs w:val="24"/>
          <w:lang w:val="sr-Cyrl-CS"/>
        </w:rPr>
      </w:pPr>
    </w:p>
    <w:sectPr w:rsidR="00B37177" w:rsidRPr="00221978" w:rsidSect="005E7F52">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523E0" w14:textId="77777777" w:rsidR="005B22F4" w:rsidRDefault="005B22F4" w:rsidP="005E7F52">
      <w:pPr>
        <w:spacing w:after="0" w:line="240" w:lineRule="auto"/>
      </w:pPr>
      <w:r>
        <w:separator/>
      </w:r>
    </w:p>
  </w:endnote>
  <w:endnote w:type="continuationSeparator" w:id="0">
    <w:p w14:paraId="2A9BA7D8" w14:textId="77777777" w:rsidR="005B22F4" w:rsidRDefault="005B22F4" w:rsidP="005E7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DejaVu Sans">
    <w:altName w:val="Verdana"/>
    <w:panose1 w:val="00000000000000000000"/>
    <w:charset w:val="00"/>
    <w:family w:val="roman"/>
    <w:notTrueType/>
    <w:pitch w:val="default"/>
  </w:font>
  <w:font w:name="DejaVu Sans Mono">
    <w:altName w:val="Verdana"/>
    <w:charset w:val="00"/>
    <w:family w:val="modern"/>
    <w:pitch w:val="fixed"/>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7D4AC" w14:textId="77777777" w:rsidR="005B22F4" w:rsidRDefault="005B22F4" w:rsidP="005E7F52">
      <w:pPr>
        <w:spacing w:after="0" w:line="240" w:lineRule="auto"/>
      </w:pPr>
      <w:r>
        <w:separator/>
      </w:r>
    </w:p>
  </w:footnote>
  <w:footnote w:type="continuationSeparator" w:id="0">
    <w:p w14:paraId="3FA3C20E" w14:textId="77777777" w:rsidR="005B22F4" w:rsidRDefault="005B22F4" w:rsidP="005E7F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527936"/>
      <w:docPartObj>
        <w:docPartGallery w:val="Page Numbers (Top of Page)"/>
        <w:docPartUnique/>
      </w:docPartObj>
    </w:sdtPr>
    <w:sdtEndPr>
      <w:rPr>
        <w:rFonts w:ascii="Times New Roman" w:hAnsi="Times New Roman" w:cs="Times New Roman"/>
        <w:noProof/>
      </w:rPr>
    </w:sdtEndPr>
    <w:sdtContent>
      <w:p w14:paraId="183898FF" w14:textId="526AA699" w:rsidR="00E14E9D" w:rsidRDefault="00E14E9D">
        <w:pPr>
          <w:pStyle w:val="Header"/>
          <w:jc w:val="center"/>
        </w:pPr>
        <w:r w:rsidRPr="00A95B84">
          <w:rPr>
            <w:rFonts w:ascii="Times New Roman" w:hAnsi="Times New Roman" w:cs="Times New Roman"/>
          </w:rPr>
          <w:fldChar w:fldCharType="begin"/>
        </w:r>
        <w:r w:rsidRPr="00A95B84">
          <w:rPr>
            <w:rFonts w:ascii="Times New Roman" w:hAnsi="Times New Roman" w:cs="Times New Roman"/>
          </w:rPr>
          <w:instrText xml:space="preserve"> PAGE   \* MERGEFORMAT </w:instrText>
        </w:r>
        <w:r w:rsidRPr="00A95B84">
          <w:rPr>
            <w:rFonts w:ascii="Times New Roman" w:hAnsi="Times New Roman" w:cs="Times New Roman"/>
          </w:rPr>
          <w:fldChar w:fldCharType="separate"/>
        </w:r>
        <w:r w:rsidR="00ED1E18">
          <w:rPr>
            <w:rFonts w:ascii="Times New Roman" w:hAnsi="Times New Roman" w:cs="Times New Roman"/>
            <w:noProof/>
          </w:rPr>
          <w:t>31</w:t>
        </w:r>
        <w:r w:rsidRPr="00A95B84">
          <w:rPr>
            <w:rFonts w:ascii="Times New Roman" w:hAnsi="Times New Roman" w:cs="Times New Roman"/>
            <w:noProof/>
          </w:rPr>
          <w:fldChar w:fldCharType="end"/>
        </w:r>
      </w:p>
    </w:sdtContent>
  </w:sdt>
  <w:p w14:paraId="7C2F0F86" w14:textId="77777777" w:rsidR="00E14E9D" w:rsidRDefault="00E14E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30997"/>
    <w:multiLevelType w:val="hybridMultilevel"/>
    <w:tmpl w:val="6A86028C"/>
    <w:lvl w:ilvl="0" w:tplc="60B2E3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6C3C6D"/>
    <w:multiLevelType w:val="hybridMultilevel"/>
    <w:tmpl w:val="058ACD70"/>
    <w:lvl w:ilvl="0" w:tplc="353CB6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1B5C77"/>
    <w:multiLevelType w:val="hybridMultilevel"/>
    <w:tmpl w:val="08C0F0F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C7F21BF"/>
    <w:multiLevelType w:val="hybridMultilevel"/>
    <w:tmpl w:val="B8925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AA7D71"/>
    <w:multiLevelType w:val="hybridMultilevel"/>
    <w:tmpl w:val="1702EC92"/>
    <w:lvl w:ilvl="0" w:tplc="9C608D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C7106D"/>
    <w:multiLevelType w:val="hybridMultilevel"/>
    <w:tmpl w:val="17662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33200E"/>
    <w:multiLevelType w:val="hybridMultilevel"/>
    <w:tmpl w:val="37AAC3B8"/>
    <w:lvl w:ilvl="0" w:tplc="1040DE4A">
      <w:start w:val="1"/>
      <w:numFmt w:val="decimal"/>
      <w:lvlText w:val="%1."/>
      <w:lvlJc w:val="left"/>
      <w:pPr>
        <w:ind w:left="720" w:hanging="360"/>
      </w:pPr>
      <w:rPr>
        <w:rFonts w:ascii="Times New Roman" w:eastAsiaTheme="maj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E31C85"/>
    <w:multiLevelType w:val="hybridMultilevel"/>
    <w:tmpl w:val="A36CE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A9572E0"/>
    <w:multiLevelType w:val="hybridMultilevel"/>
    <w:tmpl w:val="4E848BBE"/>
    <w:lvl w:ilvl="0" w:tplc="9C608D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9196B06"/>
    <w:multiLevelType w:val="hybridMultilevel"/>
    <w:tmpl w:val="F5FC647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A5659D"/>
    <w:multiLevelType w:val="hybridMultilevel"/>
    <w:tmpl w:val="AD4A6492"/>
    <w:lvl w:ilvl="0" w:tplc="1040DE4A">
      <w:start w:val="1"/>
      <w:numFmt w:val="decimal"/>
      <w:lvlText w:val="%1."/>
      <w:lvlJc w:val="left"/>
      <w:pPr>
        <w:ind w:left="720" w:hanging="360"/>
      </w:pPr>
      <w:rPr>
        <w:rFonts w:ascii="Times New Roman" w:eastAsiaTheme="majorEastAsia"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6E7F98"/>
    <w:multiLevelType w:val="hybridMultilevel"/>
    <w:tmpl w:val="81C26C14"/>
    <w:lvl w:ilvl="0" w:tplc="0409000F">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2" w15:restartNumberingAfterBreak="0">
    <w:nsid w:val="2FBB57C1"/>
    <w:multiLevelType w:val="hybridMultilevel"/>
    <w:tmpl w:val="C42C6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BF3C74"/>
    <w:multiLevelType w:val="hybridMultilevel"/>
    <w:tmpl w:val="AD4A6492"/>
    <w:lvl w:ilvl="0" w:tplc="1040DE4A">
      <w:start w:val="1"/>
      <w:numFmt w:val="decimal"/>
      <w:lvlText w:val="%1."/>
      <w:lvlJc w:val="left"/>
      <w:pPr>
        <w:ind w:left="720" w:hanging="360"/>
      </w:pPr>
      <w:rPr>
        <w:rFonts w:ascii="Times New Roman" w:eastAsiaTheme="maj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6F07A7"/>
    <w:multiLevelType w:val="hybridMultilevel"/>
    <w:tmpl w:val="7C566C1A"/>
    <w:lvl w:ilvl="0" w:tplc="0E8094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33421FF"/>
    <w:multiLevelType w:val="hybridMultilevel"/>
    <w:tmpl w:val="484612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3FA399B"/>
    <w:multiLevelType w:val="hybridMultilevel"/>
    <w:tmpl w:val="C82A9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CC3BC9"/>
    <w:multiLevelType w:val="hybridMultilevel"/>
    <w:tmpl w:val="C8C81CAA"/>
    <w:lvl w:ilvl="0" w:tplc="04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73E08D9"/>
    <w:multiLevelType w:val="hybridMultilevel"/>
    <w:tmpl w:val="24146096"/>
    <w:lvl w:ilvl="0" w:tplc="1E7CEAEC">
      <w:start w:val="1"/>
      <w:numFmt w:val="decimal"/>
      <w:lvlText w:val="%1."/>
      <w:lvlJc w:val="left"/>
      <w:pPr>
        <w:ind w:left="1440" w:hanging="360"/>
      </w:pPr>
      <w:rPr>
        <w:rFonts w:asciiTheme="minorHAnsi" w:eastAsia="Times New Roman" w:hAnsiTheme="minorHAnsi" w:cstheme="minorBidi" w:hint="default"/>
        <w:color w:val="00000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EDE15C8"/>
    <w:multiLevelType w:val="hybridMultilevel"/>
    <w:tmpl w:val="AA6451D8"/>
    <w:lvl w:ilvl="0" w:tplc="34C0107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1A22FBD"/>
    <w:multiLevelType w:val="hybridMultilevel"/>
    <w:tmpl w:val="7C566C1A"/>
    <w:lvl w:ilvl="0" w:tplc="0E8094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80F3188"/>
    <w:multiLevelType w:val="hybridMultilevel"/>
    <w:tmpl w:val="8BBE7042"/>
    <w:lvl w:ilvl="0" w:tplc="2A3EE6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2C21659"/>
    <w:multiLevelType w:val="hybridMultilevel"/>
    <w:tmpl w:val="25DCDD28"/>
    <w:lvl w:ilvl="0" w:tplc="3AB22F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45A40AA"/>
    <w:multiLevelType w:val="hybridMultilevel"/>
    <w:tmpl w:val="4E848BBE"/>
    <w:lvl w:ilvl="0" w:tplc="9C608D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4B15EEF"/>
    <w:multiLevelType w:val="hybridMultilevel"/>
    <w:tmpl w:val="069E2230"/>
    <w:lvl w:ilvl="0" w:tplc="1040DE4A">
      <w:start w:val="1"/>
      <w:numFmt w:val="decimal"/>
      <w:lvlText w:val="%1."/>
      <w:lvlJc w:val="left"/>
      <w:pPr>
        <w:ind w:left="720" w:hanging="360"/>
      </w:pPr>
      <w:rPr>
        <w:rFonts w:ascii="Times New Roman" w:eastAsiaTheme="maj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CC1D88"/>
    <w:multiLevelType w:val="hybridMultilevel"/>
    <w:tmpl w:val="AB6CD34A"/>
    <w:lvl w:ilvl="0" w:tplc="1CEAC0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C451941"/>
    <w:multiLevelType w:val="hybridMultilevel"/>
    <w:tmpl w:val="D8E694CA"/>
    <w:lvl w:ilvl="0" w:tplc="DA6E680A">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CF60A15"/>
    <w:multiLevelType w:val="hybridMultilevel"/>
    <w:tmpl w:val="02FCC810"/>
    <w:lvl w:ilvl="0" w:tplc="9C608D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1862861"/>
    <w:multiLevelType w:val="hybridMultilevel"/>
    <w:tmpl w:val="D4DA52EC"/>
    <w:lvl w:ilvl="0" w:tplc="23BC523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DE65C87"/>
    <w:multiLevelType w:val="hybridMultilevel"/>
    <w:tmpl w:val="CFE65C5E"/>
    <w:lvl w:ilvl="0" w:tplc="1040DE4A">
      <w:start w:val="1"/>
      <w:numFmt w:val="decimal"/>
      <w:lvlText w:val="%1."/>
      <w:lvlJc w:val="left"/>
      <w:pPr>
        <w:ind w:left="720" w:hanging="360"/>
      </w:pPr>
      <w:rPr>
        <w:rFonts w:ascii="Times New Roman" w:eastAsiaTheme="maj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A0235C"/>
    <w:multiLevelType w:val="hybridMultilevel"/>
    <w:tmpl w:val="F74EF7A4"/>
    <w:lvl w:ilvl="0" w:tplc="9C608D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3DC0427"/>
    <w:multiLevelType w:val="hybridMultilevel"/>
    <w:tmpl w:val="16DE940C"/>
    <w:lvl w:ilvl="0" w:tplc="D290853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7BAA0D1C"/>
    <w:multiLevelType w:val="hybridMultilevel"/>
    <w:tmpl w:val="3F0ACC5A"/>
    <w:lvl w:ilvl="0" w:tplc="5202675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3" w15:restartNumberingAfterBreak="0">
    <w:nsid w:val="7E486F42"/>
    <w:multiLevelType w:val="hybridMultilevel"/>
    <w:tmpl w:val="A42843C4"/>
    <w:lvl w:ilvl="0" w:tplc="A84E617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abstractNumId w:val="11"/>
  </w:num>
  <w:num w:numId="2">
    <w:abstractNumId w:val="10"/>
  </w:num>
  <w:num w:numId="3">
    <w:abstractNumId w:val="3"/>
  </w:num>
  <w:num w:numId="4">
    <w:abstractNumId w:val="17"/>
  </w:num>
  <w:num w:numId="5">
    <w:abstractNumId w:val="22"/>
  </w:num>
  <w:num w:numId="6">
    <w:abstractNumId w:val="23"/>
  </w:num>
  <w:num w:numId="7">
    <w:abstractNumId w:val="32"/>
  </w:num>
  <w:num w:numId="8">
    <w:abstractNumId w:val="8"/>
  </w:num>
  <w:num w:numId="9">
    <w:abstractNumId w:val="30"/>
  </w:num>
  <w:num w:numId="10">
    <w:abstractNumId w:val="4"/>
  </w:num>
  <w:num w:numId="11">
    <w:abstractNumId w:val="27"/>
  </w:num>
  <w:num w:numId="12">
    <w:abstractNumId w:val="33"/>
  </w:num>
  <w:num w:numId="13">
    <w:abstractNumId w:val="18"/>
  </w:num>
  <w:num w:numId="14">
    <w:abstractNumId w:val="19"/>
  </w:num>
  <w:num w:numId="15">
    <w:abstractNumId w:val="5"/>
  </w:num>
  <w:num w:numId="16">
    <w:abstractNumId w:val="15"/>
  </w:num>
  <w:num w:numId="17">
    <w:abstractNumId w:val="7"/>
  </w:num>
  <w:num w:numId="18">
    <w:abstractNumId w:val="2"/>
  </w:num>
  <w:num w:numId="19">
    <w:abstractNumId w:val="31"/>
  </w:num>
  <w:num w:numId="20">
    <w:abstractNumId w:val="21"/>
  </w:num>
  <w:num w:numId="21">
    <w:abstractNumId w:val="16"/>
  </w:num>
  <w:num w:numId="22">
    <w:abstractNumId w:val="25"/>
  </w:num>
  <w:num w:numId="23">
    <w:abstractNumId w:val="28"/>
  </w:num>
  <w:num w:numId="24">
    <w:abstractNumId w:val="1"/>
  </w:num>
  <w:num w:numId="25">
    <w:abstractNumId w:val="20"/>
  </w:num>
  <w:num w:numId="26">
    <w:abstractNumId w:val="14"/>
  </w:num>
  <w:num w:numId="27">
    <w:abstractNumId w:val="0"/>
  </w:num>
  <w:num w:numId="28">
    <w:abstractNumId w:val="24"/>
  </w:num>
  <w:num w:numId="29">
    <w:abstractNumId w:val="29"/>
  </w:num>
  <w:num w:numId="30">
    <w:abstractNumId w:val="6"/>
  </w:num>
  <w:num w:numId="31">
    <w:abstractNumId w:val="13"/>
  </w:num>
  <w:num w:numId="32">
    <w:abstractNumId w:val="12"/>
  </w:num>
  <w:num w:numId="33">
    <w:abstractNumId w:val="9"/>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060"/>
    <w:rsid w:val="00007AEC"/>
    <w:rsid w:val="0001141D"/>
    <w:rsid w:val="00014CBB"/>
    <w:rsid w:val="00017734"/>
    <w:rsid w:val="000261A3"/>
    <w:rsid w:val="00027B39"/>
    <w:rsid w:val="00042BCC"/>
    <w:rsid w:val="00043227"/>
    <w:rsid w:val="00044FB6"/>
    <w:rsid w:val="00051828"/>
    <w:rsid w:val="00057290"/>
    <w:rsid w:val="0007319A"/>
    <w:rsid w:val="00077D00"/>
    <w:rsid w:val="000B0AB2"/>
    <w:rsid w:val="000B3C5D"/>
    <w:rsid w:val="000B46A8"/>
    <w:rsid w:val="000D1D17"/>
    <w:rsid w:val="000E5448"/>
    <w:rsid w:val="000F2482"/>
    <w:rsid w:val="00102E7A"/>
    <w:rsid w:val="0011314D"/>
    <w:rsid w:val="00131D4A"/>
    <w:rsid w:val="00150EE5"/>
    <w:rsid w:val="0015418F"/>
    <w:rsid w:val="00163548"/>
    <w:rsid w:val="00173976"/>
    <w:rsid w:val="0017423B"/>
    <w:rsid w:val="001774BD"/>
    <w:rsid w:val="001930DE"/>
    <w:rsid w:val="00194481"/>
    <w:rsid w:val="00196151"/>
    <w:rsid w:val="001A02CA"/>
    <w:rsid w:val="001A3B04"/>
    <w:rsid w:val="001A4126"/>
    <w:rsid w:val="001C31B9"/>
    <w:rsid w:val="001D022A"/>
    <w:rsid w:val="001D1CC7"/>
    <w:rsid w:val="001F0EF3"/>
    <w:rsid w:val="001F46C4"/>
    <w:rsid w:val="001F7AEB"/>
    <w:rsid w:val="001F7BA1"/>
    <w:rsid w:val="00211A00"/>
    <w:rsid w:val="002202C2"/>
    <w:rsid w:val="00221978"/>
    <w:rsid w:val="00222391"/>
    <w:rsid w:val="00222422"/>
    <w:rsid w:val="00226CFC"/>
    <w:rsid w:val="00232844"/>
    <w:rsid w:val="00234470"/>
    <w:rsid w:val="00251270"/>
    <w:rsid w:val="0025644E"/>
    <w:rsid w:val="00256B98"/>
    <w:rsid w:val="00257073"/>
    <w:rsid w:val="00265656"/>
    <w:rsid w:val="00267963"/>
    <w:rsid w:val="00277AE5"/>
    <w:rsid w:val="00286AB2"/>
    <w:rsid w:val="00286E7A"/>
    <w:rsid w:val="002A07C0"/>
    <w:rsid w:val="002A1C89"/>
    <w:rsid w:val="002A24AB"/>
    <w:rsid w:val="002C78AE"/>
    <w:rsid w:val="002D41CF"/>
    <w:rsid w:val="002E1B76"/>
    <w:rsid w:val="002E2985"/>
    <w:rsid w:val="002E4345"/>
    <w:rsid w:val="002E7789"/>
    <w:rsid w:val="002F23FA"/>
    <w:rsid w:val="003055BD"/>
    <w:rsid w:val="003060DE"/>
    <w:rsid w:val="00311BA1"/>
    <w:rsid w:val="00313CA6"/>
    <w:rsid w:val="00314977"/>
    <w:rsid w:val="00314C03"/>
    <w:rsid w:val="00317B4E"/>
    <w:rsid w:val="0032052B"/>
    <w:rsid w:val="00324657"/>
    <w:rsid w:val="003278BA"/>
    <w:rsid w:val="00336864"/>
    <w:rsid w:val="00345FC3"/>
    <w:rsid w:val="0034645F"/>
    <w:rsid w:val="00362C4F"/>
    <w:rsid w:val="0036748D"/>
    <w:rsid w:val="00373A85"/>
    <w:rsid w:val="003743DF"/>
    <w:rsid w:val="00376B6B"/>
    <w:rsid w:val="00380E55"/>
    <w:rsid w:val="003819FD"/>
    <w:rsid w:val="00383F60"/>
    <w:rsid w:val="00384146"/>
    <w:rsid w:val="003A176A"/>
    <w:rsid w:val="003A37F6"/>
    <w:rsid w:val="003A60B3"/>
    <w:rsid w:val="003C0F4E"/>
    <w:rsid w:val="003D2EF9"/>
    <w:rsid w:val="003D4814"/>
    <w:rsid w:val="003D54B7"/>
    <w:rsid w:val="003E4C28"/>
    <w:rsid w:val="003E56DB"/>
    <w:rsid w:val="003F2C15"/>
    <w:rsid w:val="003F3E24"/>
    <w:rsid w:val="003F4BEE"/>
    <w:rsid w:val="003F5B78"/>
    <w:rsid w:val="004029B0"/>
    <w:rsid w:val="00417019"/>
    <w:rsid w:val="004208F0"/>
    <w:rsid w:val="00432D07"/>
    <w:rsid w:val="00432D86"/>
    <w:rsid w:val="00437884"/>
    <w:rsid w:val="004404C1"/>
    <w:rsid w:val="00441F47"/>
    <w:rsid w:val="004620A9"/>
    <w:rsid w:val="00476DB7"/>
    <w:rsid w:val="00481917"/>
    <w:rsid w:val="00483786"/>
    <w:rsid w:val="004866E2"/>
    <w:rsid w:val="00495383"/>
    <w:rsid w:val="004A77D7"/>
    <w:rsid w:val="004C02E9"/>
    <w:rsid w:val="004C5E42"/>
    <w:rsid w:val="004D1D81"/>
    <w:rsid w:val="004E58FF"/>
    <w:rsid w:val="004F1D4A"/>
    <w:rsid w:val="004F3C0F"/>
    <w:rsid w:val="004F592E"/>
    <w:rsid w:val="004F686C"/>
    <w:rsid w:val="005077BE"/>
    <w:rsid w:val="005104F5"/>
    <w:rsid w:val="00513031"/>
    <w:rsid w:val="00523BDC"/>
    <w:rsid w:val="0052649A"/>
    <w:rsid w:val="00551402"/>
    <w:rsid w:val="005524AA"/>
    <w:rsid w:val="005540AA"/>
    <w:rsid w:val="00564F03"/>
    <w:rsid w:val="00575D32"/>
    <w:rsid w:val="00577A47"/>
    <w:rsid w:val="00581303"/>
    <w:rsid w:val="00597216"/>
    <w:rsid w:val="005A781E"/>
    <w:rsid w:val="005B1621"/>
    <w:rsid w:val="005B22F4"/>
    <w:rsid w:val="005C463B"/>
    <w:rsid w:val="005C6EF9"/>
    <w:rsid w:val="005E4345"/>
    <w:rsid w:val="005E7F52"/>
    <w:rsid w:val="005F3524"/>
    <w:rsid w:val="005F5879"/>
    <w:rsid w:val="0061233E"/>
    <w:rsid w:val="0061376F"/>
    <w:rsid w:val="0062325F"/>
    <w:rsid w:val="0062721E"/>
    <w:rsid w:val="00627A2A"/>
    <w:rsid w:val="006364EA"/>
    <w:rsid w:val="0063683C"/>
    <w:rsid w:val="00650DE6"/>
    <w:rsid w:val="00652544"/>
    <w:rsid w:val="00655E41"/>
    <w:rsid w:val="00674DB5"/>
    <w:rsid w:val="006825E1"/>
    <w:rsid w:val="00684594"/>
    <w:rsid w:val="006862BA"/>
    <w:rsid w:val="0068639A"/>
    <w:rsid w:val="00692A71"/>
    <w:rsid w:val="006A1CAB"/>
    <w:rsid w:val="006A31F1"/>
    <w:rsid w:val="006A3496"/>
    <w:rsid w:val="006B3741"/>
    <w:rsid w:val="006C15CE"/>
    <w:rsid w:val="006D5D8E"/>
    <w:rsid w:val="006E4800"/>
    <w:rsid w:val="006E7355"/>
    <w:rsid w:val="006F429B"/>
    <w:rsid w:val="006F7303"/>
    <w:rsid w:val="00701C64"/>
    <w:rsid w:val="00704BEB"/>
    <w:rsid w:val="00720A7A"/>
    <w:rsid w:val="0072106B"/>
    <w:rsid w:val="00724292"/>
    <w:rsid w:val="00727B0C"/>
    <w:rsid w:val="00740BE6"/>
    <w:rsid w:val="00740CFD"/>
    <w:rsid w:val="00743D73"/>
    <w:rsid w:val="00750CE2"/>
    <w:rsid w:val="0078529D"/>
    <w:rsid w:val="0079304D"/>
    <w:rsid w:val="007A7A24"/>
    <w:rsid w:val="007B6A71"/>
    <w:rsid w:val="007C1EC4"/>
    <w:rsid w:val="007C60A5"/>
    <w:rsid w:val="007D3C3E"/>
    <w:rsid w:val="007D76EB"/>
    <w:rsid w:val="007E0727"/>
    <w:rsid w:val="007E0DC6"/>
    <w:rsid w:val="007E1F17"/>
    <w:rsid w:val="007E5A1A"/>
    <w:rsid w:val="007F30C3"/>
    <w:rsid w:val="007F4C57"/>
    <w:rsid w:val="007F6149"/>
    <w:rsid w:val="008029BB"/>
    <w:rsid w:val="008034ED"/>
    <w:rsid w:val="00807F76"/>
    <w:rsid w:val="00814224"/>
    <w:rsid w:val="00814D0D"/>
    <w:rsid w:val="00815B0A"/>
    <w:rsid w:val="00824E47"/>
    <w:rsid w:val="0083140F"/>
    <w:rsid w:val="008321C9"/>
    <w:rsid w:val="00844542"/>
    <w:rsid w:val="00845897"/>
    <w:rsid w:val="00853E9D"/>
    <w:rsid w:val="00856EFB"/>
    <w:rsid w:val="008654C7"/>
    <w:rsid w:val="0087164B"/>
    <w:rsid w:val="00880370"/>
    <w:rsid w:val="008811E9"/>
    <w:rsid w:val="00891060"/>
    <w:rsid w:val="008A1BC2"/>
    <w:rsid w:val="008A2B5E"/>
    <w:rsid w:val="008B6A6B"/>
    <w:rsid w:val="008B7A6D"/>
    <w:rsid w:val="008F30C8"/>
    <w:rsid w:val="008F457C"/>
    <w:rsid w:val="00904840"/>
    <w:rsid w:val="009144C6"/>
    <w:rsid w:val="00926262"/>
    <w:rsid w:val="009270E5"/>
    <w:rsid w:val="00932334"/>
    <w:rsid w:val="009445E1"/>
    <w:rsid w:val="00947303"/>
    <w:rsid w:val="00947976"/>
    <w:rsid w:val="00956452"/>
    <w:rsid w:val="009915AE"/>
    <w:rsid w:val="009A0128"/>
    <w:rsid w:val="009A74F1"/>
    <w:rsid w:val="009B0168"/>
    <w:rsid w:val="009B73BA"/>
    <w:rsid w:val="009C581E"/>
    <w:rsid w:val="009D6299"/>
    <w:rsid w:val="009E24EB"/>
    <w:rsid w:val="009F2595"/>
    <w:rsid w:val="00A11866"/>
    <w:rsid w:val="00A12312"/>
    <w:rsid w:val="00A1408D"/>
    <w:rsid w:val="00A20C77"/>
    <w:rsid w:val="00A24545"/>
    <w:rsid w:val="00A30CFA"/>
    <w:rsid w:val="00A325C3"/>
    <w:rsid w:val="00A440E5"/>
    <w:rsid w:val="00A601C2"/>
    <w:rsid w:val="00A65825"/>
    <w:rsid w:val="00A66DE4"/>
    <w:rsid w:val="00A7488D"/>
    <w:rsid w:val="00A8352F"/>
    <w:rsid w:val="00A93824"/>
    <w:rsid w:val="00A95B84"/>
    <w:rsid w:val="00AA0BAF"/>
    <w:rsid w:val="00AB0000"/>
    <w:rsid w:val="00AB159E"/>
    <w:rsid w:val="00AB6312"/>
    <w:rsid w:val="00AC7EFA"/>
    <w:rsid w:val="00AD365D"/>
    <w:rsid w:val="00AF5FC0"/>
    <w:rsid w:val="00AF7E94"/>
    <w:rsid w:val="00B0171F"/>
    <w:rsid w:val="00B20A96"/>
    <w:rsid w:val="00B21F60"/>
    <w:rsid w:val="00B24E27"/>
    <w:rsid w:val="00B2728F"/>
    <w:rsid w:val="00B37177"/>
    <w:rsid w:val="00B41C9F"/>
    <w:rsid w:val="00B57173"/>
    <w:rsid w:val="00B7551F"/>
    <w:rsid w:val="00B842B5"/>
    <w:rsid w:val="00B87CE2"/>
    <w:rsid w:val="00B97699"/>
    <w:rsid w:val="00BC0252"/>
    <w:rsid w:val="00BC0FD5"/>
    <w:rsid w:val="00BC1375"/>
    <w:rsid w:val="00BD0E89"/>
    <w:rsid w:val="00BD2EA1"/>
    <w:rsid w:val="00BD756C"/>
    <w:rsid w:val="00BE1689"/>
    <w:rsid w:val="00C00AA5"/>
    <w:rsid w:val="00C06D81"/>
    <w:rsid w:val="00C13AB2"/>
    <w:rsid w:val="00C156C1"/>
    <w:rsid w:val="00C17254"/>
    <w:rsid w:val="00C20065"/>
    <w:rsid w:val="00C25B05"/>
    <w:rsid w:val="00C324AA"/>
    <w:rsid w:val="00C33CCC"/>
    <w:rsid w:val="00C3792F"/>
    <w:rsid w:val="00C4591D"/>
    <w:rsid w:val="00C54242"/>
    <w:rsid w:val="00C5741B"/>
    <w:rsid w:val="00C70A58"/>
    <w:rsid w:val="00C70AA6"/>
    <w:rsid w:val="00C72B9B"/>
    <w:rsid w:val="00C77BC2"/>
    <w:rsid w:val="00C82F81"/>
    <w:rsid w:val="00C83296"/>
    <w:rsid w:val="00CA0BCB"/>
    <w:rsid w:val="00CA1600"/>
    <w:rsid w:val="00CA1D63"/>
    <w:rsid w:val="00CD247A"/>
    <w:rsid w:val="00CD3832"/>
    <w:rsid w:val="00CE7330"/>
    <w:rsid w:val="00CF07D8"/>
    <w:rsid w:val="00D06BDD"/>
    <w:rsid w:val="00D139C6"/>
    <w:rsid w:val="00D2428F"/>
    <w:rsid w:val="00D31394"/>
    <w:rsid w:val="00D338A1"/>
    <w:rsid w:val="00D37E18"/>
    <w:rsid w:val="00D405F8"/>
    <w:rsid w:val="00D40709"/>
    <w:rsid w:val="00D65F85"/>
    <w:rsid w:val="00D7229E"/>
    <w:rsid w:val="00D851BE"/>
    <w:rsid w:val="00D95CAB"/>
    <w:rsid w:val="00DB1F6A"/>
    <w:rsid w:val="00DB7E85"/>
    <w:rsid w:val="00DC3A7B"/>
    <w:rsid w:val="00DF1239"/>
    <w:rsid w:val="00DF1904"/>
    <w:rsid w:val="00DF20F4"/>
    <w:rsid w:val="00E00514"/>
    <w:rsid w:val="00E0064B"/>
    <w:rsid w:val="00E020EC"/>
    <w:rsid w:val="00E065CA"/>
    <w:rsid w:val="00E14871"/>
    <w:rsid w:val="00E14E9D"/>
    <w:rsid w:val="00E15035"/>
    <w:rsid w:val="00E1728A"/>
    <w:rsid w:val="00E17329"/>
    <w:rsid w:val="00E17ECF"/>
    <w:rsid w:val="00E36145"/>
    <w:rsid w:val="00E3723A"/>
    <w:rsid w:val="00E40247"/>
    <w:rsid w:val="00E45143"/>
    <w:rsid w:val="00E50038"/>
    <w:rsid w:val="00E55AE0"/>
    <w:rsid w:val="00E61BFD"/>
    <w:rsid w:val="00E669EE"/>
    <w:rsid w:val="00E71542"/>
    <w:rsid w:val="00E765E5"/>
    <w:rsid w:val="00E76B06"/>
    <w:rsid w:val="00E77B09"/>
    <w:rsid w:val="00E84098"/>
    <w:rsid w:val="00E86B08"/>
    <w:rsid w:val="00E93FCB"/>
    <w:rsid w:val="00EC375A"/>
    <w:rsid w:val="00EC3786"/>
    <w:rsid w:val="00EC4C89"/>
    <w:rsid w:val="00ED1E18"/>
    <w:rsid w:val="00EE1DDE"/>
    <w:rsid w:val="00EE2575"/>
    <w:rsid w:val="00EF0E62"/>
    <w:rsid w:val="00EF159E"/>
    <w:rsid w:val="00EF2CB2"/>
    <w:rsid w:val="00F00B42"/>
    <w:rsid w:val="00F00D85"/>
    <w:rsid w:val="00F02B78"/>
    <w:rsid w:val="00F06342"/>
    <w:rsid w:val="00F175B4"/>
    <w:rsid w:val="00F23E90"/>
    <w:rsid w:val="00F322DE"/>
    <w:rsid w:val="00F37C9F"/>
    <w:rsid w:val="00F45FA5"/>
    <w:rsid w:val="00F51E7E"/>
    <w:rsid w:val="00F529B4"/>
    <w:rsid w:val="00F63B50"/>
    <w:rsid w:val="00F63D80"/>
    <w:rsid w:val="00F67D87"/>
    <w:rsid w:val="00F867F8"/>
    <w:rsid w:val="00F96D26"/>
    <w:rsid w:val="00F97123"/>
    <w:rsid w:val="00FA09C5"/>
    <w:rsid w:val="00FC042B"/>
    <w:rsid w:val="00FC0AF2"/>
    <w:rsid w:val="00FD3748"/>
    <w:rsid w:val="00FE37B8"/>
    <w:rsid w:val="00FE7A31"/>
    <w:rsid w:val="00FF12FB"/>
    <w:rsid w:val="00FF1D80"/>
    <w:rsid w:val="00FF5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69927"/>
  <w15:chartTrackingRefBased/>
  <w15:docId w15:val="{12563278-D6F8-4D6F-B515-98C58329E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1060"/>
  </w:style>
  <w:style w:type="paragraph" w:styleId="Heading2">
    <w:name w:val="heading 2"/>
    <w:basedOn w:val="Normal"/>
    <w:next w:val="Normal"/>
    <w:link w:val="Heading2Char"/>
    <w:uiPriority w:val="9"/>
    <w:unhideWhenUsed/>
    <w:qFormat/>
    <w:rsid w:val="007B6A7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9106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D851B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qFormat/>
    <w:rsid w:val="00891060"/>
    <w:rPr>
      <w:rFonts w:asciiTheme="majorHAnsi" w:eastAsiaTheme="majorEastAsia" w:hAnsiTheme="majorHAnsi" w:cstheme="majorBidi"/>
      <w:color w:val="1F3763" w:themeColor="accent1" w:themeShade="7F"/>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91060"/>
    <w:pPr>
      <w:ind w:left="720"/>
      <w:contextualSpacing/>
    </w:pPr>
  </w:style>
  <w:style w:type="paragraph" w:customStyle="1" w:styleId="Bullet1">
    <w:name w:val="Bullet 1"/>
    <w:basedOn w:val="ListBullet"/>
    <w:qFormat/>
    <w:rsid w:val="00891060"/>
    <w:pPr>
      <w:suppressAutoHyphens/>
      <w:autoSpaceDN w:val="0"/>
      <w:spacing w:before="20" w:after="20" w:line="240" w:lineRule="exact"/>
      <w:ind w:left="142" w:hanging="142"/>
      <w:contextualSpacing w:val="0"/>
      <w:textAlignment w:val="baseline"/>
    </w:pPr>
    <w:rPr>
      <w:rFonts w:ascii="DejaVu Sans" w:eastAsia="DejaVu Sans Mono" w:hAnsi="DejaVu Sans" w:cs="DejaVu Sans"/>
      <w:kern w:val="3"/>
      <w:sz w:val="18"/>
      <w:szCs w:val="18"/>
      <w:lang w:eastAsia="zh-CN" w:bidi="hi-IN"/>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91060"/>
  </w:style>
  <w:style w:type="paragraph" w:styleId="ListBullet">
    <w:name w:val="List Bullet"/>
    <w:basedOn w:val="Normal"/>
    <w:uiPriority w:val="99"/>
    <w:unhideWhenUsed/>
    <w:rsid w:val="00891060"/>
    <w:pPr>
      <w:contextualSpacing/>
    </w:pPr>
  </w:style>
  <w:style w:type="character" w:styleId="CommentReference">
    <w:name w:val="annotation reference"/>
    <w:uiPriority w:val="99"/>
    <w:unhideWhenUsed/>
    <w:qFormat/>
    <w:rsid w:val="003E4C28"/>
    <w:rPr>
      <w:sz w:val="16"/>
      <w:szCs w:val="16"/>
    </w:rPr>
  </w:style>
  <w:style w:type="paragraph" w:styleId="CommentText">
    <w:name w:val="annotation text"/>
    <w:aliases w:val="Char2"/>
    <w:basedOn w:val="Normal"/>
    <w:link w:val="CommentTextChar"/>
    <w:uiPriority w:val="99"/>
    <w:unhideWhenUsed/>
    <w:qFormat/>
    <w:rsid w:val="003E4C28"/>
    <w:pPr>
      <w:suppressAutoHyphens/>
      <w:autoSpaceDN w:val="0"/>
      <w:spacing w:before="120" w:after="120" w:line="240" w:lineRule="auto"/>
      <w:ind w:firstLine="357"/>
      <w:jc w:val="both"/>
      <w:textAlignment w:val="baseline"/>
    </w:pPr>
    <w:rPr>
      <w:rFonts w:ascii="Times New Roman" w:eastAsia="DejaVu Sans Mono" w:hAnsi="Times New Roman" w:cs="Times New Roman"/>
      <w:kern w:val="3"/>
      <w:sz w:val="20"/>
      <w:szCs w:val="20"/>
      <w:lang w:val="de-DE" w:eastAsia="zh-CN" w:bidi="hi-IN"/>
    </w:rPr>
  </w:style>
  <w:style w:type="character" w:customStyle="1" w:styleId="CommentTextChar">
    <w:name w:val="Comment Text Char"/>
    <w:aliases w:val="Char2 Char"/>
    <w:basedOn w:val="DefaultParagraphFont"/>
    <w:link w:val="CommentText"/>
    <w:uiPriority w:val="99"/>
    <w:qFormat/>
    <w:rsid w:val="003E4C28"/>
    <w:rPr>
      <w:rFonts w:ascii="Times New Roman" w:eastAsia="DejaVu Sans Mono" w:hAnsi="Times New Roman" w:cs="Times New Roman"/>
      <w:kern w:val="3"/>
      <w:sz w:val="20"/>
      <w:szCs w:val="20"/>
      <w:lang w:val="de-DE" w:eastAsia="zh-CN" w:bidi="hi-IN"/>
    </w:rPr>
  </w:style>
  <w:style w:type="character" w:customStyle="1" w:styleId="Heading2Char">
    <w:name w:val="Heading 2 Char"/>
    <w:basedOn w:val="DefaultParagraphFont"/>
    <w:link w:val="Heading2"/>
    <w:uiPriority w:val="9"/>
    <w:rsid w:val="007B6A71"/>
    <w:rPr>
      <w:rFonts w:asciiTheme="majorHAnsi" w:eastAsiaTheme="majorEastAsia" w:hAnsiTheme="majorHAnsi" w:cstheme="majorBidi"/>
      <w:color w:val="2F5496" w:themeColor="accent1" w:themeShade="BF"/>
      <w:sz w:val="26"/>
      <w:szCs w:val="26"/>
    </w:rPr>
  </w:style>
  <w:style w:type="paragraph" w:styleId="NoSpacing">
    <w:name w:val="No Spacing"/>
    <w:link w:val="NoSpacingChar"/>
    <w:uiPriority w:val="1"/>
    <w:qFormat/>
    <w:rsid w:val="00C54242"/>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C54242"/>
    <w:rPr>
      <w:rFonts w:ascii="Calibri" w:eastAsia="Times New Roman" w:hAnsi="Calibri" w:cs="Times New Roman"/>
    </w:rPr>
  </w:style>
  <w:style w:type="character" w:styleId="Hyperlink">
    <w:name w:val="Hyperlink"/>
    <w:uiPriority w:val="99"/>
    <w:unhideWhenUsed/>
    <w:rsid w:val="00F96D26"/>
    <w:rPr>
      <w:color w:val="0563C1"/>
      <w:u w:val="single"/>
    </w:rPr>
  </w:style>
  <w:style w:type="paragraph" w:styleId="CommentSubject">
    <w:name w:val="annotation subject"/>
    <w:basedOn w:val="CommentText"/>
    <w:next w:val="CommentText"/>
    <w:link w:val="CommentSubjectChar"/>
    <w:uiPriority w:val="99"/>
    <w:semiHidden/>
    <w:unhideWhenUsed/>
    <w:rsid w:val="00A601C2"/>
    <w:pPr>
      <w:suppressAutoHyphens w:val="0"/>
      <w:autoSpaceDN/>
      <w:spacing w:before="0" w:after="160"/>
      <w:ind w:firstLine="0"/>
      <w:jc w:val="left"/>
      <w:textAlignment w:val="auto"/>
    </w:pPr>
    <w:rPr>
      <w:rFonts w:asciiTheme="minorHAnsi" w:eastAsiaTheme="minorHAnsi" w:hAnsiTheme="minorHAnsi" w:cstheme="minorBidi"/>
      <w:b/>
      <w:bCs/>
      <w:kern w:val="0"/>
      <w:lang w:val="en-US" w:eastAsia="en-US" w:bidi="ar-SA"/>
    </w:rPr>
  </w:style>
  <w:style w:type="character" w:customStyle="1" w:styleId="CommentSubjectChar">
    <w:name w:val="Comment Subject Char"/>
    <w:basedOn w:val="CommentTextChar"/>
    <w:link w:val="CommentSubject"/>
    <w:uiPriority w:val="99"/>
    <w:semiHidden/>
    <w:rsid w:val="00A601C2"/>
    <w:rPr>
      <w:rFonts w:ascii="Times New Roman" w:eastAsia="DejaVu Sans Mono" w:hAnsi="Times New Roman" w:cs="Times New Roman"/>
      <w:b/>
      <w:bCs/>
      <w:kern w:val="3"/>
      <w:sz w:val="20"/>
      <w:szCs w:val="20"/>
      <w:lang w:val="de-DE" w:eastAsia="zh-CN" w:bidi="hi-IN"/>
    </w:rPr>
  </w:style>
  <w:style w:type="paragraph" w:styleId="BalloonText">
    <w:name w:val="Balloon Text"/>
    <w:basedOn w:val="Normal"/>
    <w:link w:val="BalloonTextChar"/>
    <w:uiPriority w:val="99"/>
    <w:semiHidden/>
    <w:unhideWhenUsed/>
    <w:rsid w:val="00A601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01C2"/>
    <w:rPr>
      <w:rFonts w:ascii="Segoe UI" w:hAnsi="Segoe UI" w:cs="Segoe UI"/>
      <w:sz w:val="18"/>
      <w:szCs w:val="18"/>
    </w:rPr>
  </w:style>
  <w:style w:type="paragraph" w:styleId="Caption">
    <w:name w:val="caption"/>
    <w:basedOn w:val="Normal"/>
    <w:next w:val="Normal"/>
    <w:uiPriority w:val="35"/>
    <w:unhideWhenUsed/>
    <w:qFormat/>
    <w:rsid w:val="009C581E"/>
    <w:pPr>
      <w:suppressAutoHyphens/>
      <w:autoSpaceDN w:val="0"/>
      <w:spacing w:before="120" w:after="200" w:line="240" w:lineRule="auto"/>
      <w:ind w:firstLine="357"/>
      <w:jc w:val="both"/>
      <w:textAlignment w:val="baseline"/>
    </w:pPr>
    <w:rPr>
      <w:rFonts w:ascii="Times New Roman" w:eastAsia="DejaVu Sans Mono" w:hAnsi="Times New Roman" w:cs="Times New Roman"/>
      <w:i/>
      <w:iCs/>
      <w:color w:val="44546A"/>
      <w:kern w:val="3"/>
      <w:sz w:val="18"/>
      <w:szCs w:val="18"/>
      <w:lang w:val="de-DE" w:eastAsia="zh-CN" w:bidi="hi-IN"/>
    </w:rPr>
  </w:style>
  <w:style w:type="paragraph" w:customStyle="1" w:styleId="clan">
    <w:name w:val="clan"/>
    <w:basedOn w:val="Normal"/>
    <w:rsid w:val="00C574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D851BE"/>
    <w:rPr>
      <w:rFonts w:asciiTheme="majorHAnsi" w:eastAsiaTheme="majorEastAsia" w:hAnsiTheme="majorHAnsi" w:cstheme="majorBidi"/>
      <w:i/>
      <w:iCs/>
      <w:color w:val="2F5496" w:themeColor="accent1" w:themeShade="BF"/>
    </w:rPr>
  </w:style>
  <w:style w:type="paragraph" w:customStyle="1" w:styleId="1tekst">
    <w:name w:val="1tekst"/>
    <w:basedOn w:val="Normal"/>
    <w:rsid w:val="00CD247A"/>
    <w:pPr>
      <w:spacing w:before="100" w:after="100" w:line="240" w:lineRule="auto"/>
      <w:ind w:firstLine="240"/>
      <w:jc w:val="both"/>
    </w:pPr>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5E7F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7F52"/>
  </w:style>
  <w:style w:type="paragraph" w:styleId="Footer">
    <w:name w:val="footer"/>
    <w:basedOn w:val="Normal"/>
    <w:link w:val="FooterChar"/>
    <w:uiPriority w:val="99"/>
    <w:unhideWhenUsed/>
    <w:rsid w:val="005E7F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7F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439006">
      <w:bodyDiv w:val="1"/>
      <w:marLeft w:val="0"/>
      <w:marRight w:val="0"/>
      <w:marTop w:val="0"/>
      <w:marBottom w:val="0"/>
      <w:divBdr>
        <w:top w:val="none" w:sz="0" w:space="0" w:color="auto"/>
        <w:left w:val="none" w:sz="0" w:space="0" w:color="auto"/>
        <w:bottom w:val="none" w:sz="0" w:space="0" w:color="auto"/>
        <w:right w:val="none" w:sz="0" w:space="0" w:color="auto"/>
      </w:divBdr>
    </w:div>
    <w:div w:id="164358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2D5AD-96AB-4D6E-BE02-30B5441EA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4786</TotalTime>
  <Pages>32</Pages>
  <Words>10081</Words>
  <Characters>57468</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Petrović</dc:creator>
  <cp:keywords/>
  <dc:description/>
  <cp:lastModifiedBy>Strahinja Vujicic</cp:lastModifiedBy>
  <cp:revision>362</cp:revision>
  <cp:lastPrinted>2022-01-20T13:24:00Z</cp:lastPrinted>
  <dcterms:created xsi:type="dcterms:W3CDTF">2021-11-24T11:14:00Z</dcterms:created>
  <dcterms:modified xsi:type="dcterms:W3CDTF">2022-01-24T08:41:00Z</dcterms:modified>
</cp:coreProperties>
</file>