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BFF" w:rsidRDefault="00276BFF" w:rsidP="00276BFF">
      <w:pPr>
        <w:spacing w:line="312" w:lineRule="exact"/>
        <w:jc w:val="center"/>
        <w:outlineLvl w:val="0"/>
        <w:rPr>
          <w:sz w:val="24"/>
          <w:szCs w:val="24"/>
          <w:lang w:val="sr-Cyrl-CS" w:eastAsia="de-DE"/>
        </w:rPr>
      </w:pPr>
      <w:r w:rsidRPr="00F25B6E">
        <w:rPr>
          <w:sz w:val="24"/>
          <w:szCs w:val="24"/>
          <w:lang w:val="sr-Cyrl-CS" w:eastAsia="de-DE"/>
        </w:rPr>
        <w:t>О Б Р А З Л О Ж Е Њ Е</w:t>
      </w:r>
    </w:p>
    <w:p w:rsidR="009E37DE" w:rsidRPr="00F25B6E" w:rsidRDefault="009E37DE" w:rsidP="00276BFF">
      <w:pPr>
        <w:spacing w:line="312" w:lineRule="exact"/>
        <w:jc w:val="center"/>
        <w:outlineLvl w:val="0"/>
        <w:rPr>
          <w:sz w:val="24"/>
          <w:szCs w:val="24"/>
          <w:lang w:val="sr-Cyrl-CS" w:eastAsia="de-DE"/>
        </w:rPr>
      </w:pPr>
    </w:p>
    <w:p w:rsidR="00276BFF" w:rsidRPr="00F25B6E" w:rsidRDefault="00276BFF" w:rsidP="006814BB">
      <w:pPr>
        <w:spacing w:after="240" w:line="312" w:lineRule="exact"/>
        <w:jc w:val="left"/>
        <w:rPr>
          <w:bCs/>
          <w:sz w:val="24"/>
          <w:szCs w:val="24"/>
          <w:lang w:val="sr-Cyrl-CS" w:eastAsia="de-DE"/>
        </w:rPr>
      </w:pPr>
      <w:r w:rsidRPr="00F25B6E">
        <w:rPr>
          <w:bCs/>
          <w:sz w:val="24"/>
          <w:szCs w:val="24"/>
          <w:lang w:val="sr-Cyrl-CS" w:eastAsia="de-DE"/>
        </w:rPr>
        <w:t xml:space="preserve">I. </w:t>
      </w:r>
      <w:r w:rsidRPr="00F25B6E">
        <w:rPr>
          <w:bCs/>
          <w:sz w:val="24"/>
          <w:szCs w:val="24"/>
          <w:lang w:val="sr-Cyrl-CS" w:eastAsia="de-DE"/>
        </w:rPr>
        <w:tab/>
        <w:t>УСТАВНИ ОСНОВ ЗА ДОНОШЕЊЕ ЗАКОНА</w:t>
      </w:r>
    </w:p>
    <w:p w:rsidR="00276BFF" w:rsidRPr="00F25B6E" w:rsidRDefault="00276BFF" w:rsidP="00276BFF">
      <w:pPr>
        <w:rPr>
          <w:sz w:val="24"/>
          <w:szCs w:val="24"/>
          <w:lang w:val="sr-Cyrl-CS" w:eastAsia="de-DE"/>
        </w:rPr>
      </w:pPr>
      <w:r w:rsidRPr="00F25B6E">
        <w:rPr>
          <w:sz w:val="24"/>
          <w:szCs w:val="24"/>
          <w:lang w:val="sr-Cyrl-CS" w:eastAsia="de-DE"/>
        </w:rPr>
        <w:t xml:space="preserve"> </w:t>
      </w:r>
      <w:r w:rsidRPr="00F25B6E">
        <w:rPr>
          <w:sz w:val="24"/>
          <w:szCs w:val="24"/>
          <w:lang w:val="sr-Cyrl-CS" w:eastAsia="de-DE"/>
        </w:rPr>
        <w:tab/>
      </w:r>
      <w:r w:rsidRPr="001F4339">
        <w:rPr>
          <w:sz w:val="24"/>
          <w:szCs w:val="24"/>
          <w:lang w:val="sr-Cyrl-CS" w:eastAsia="de-DE"/>
        </w:rPr>
        <w:t>Уставни основ за доношење овог закона садржан је у члану 99. став 1. тачка 4. Устава Републике Србије према коме Народна скупштина Републике Србије потврђује међународне уговоре када је законом предвиђена обавеза њиховог потврђивања.</w:t>
      </w:r>
    </w:p>
    <w:p w:rsidR="00276BFF" w:rsidRPr="00F25B6E" w:rsidRDefault="00276BFF" w:rsidP="00276BFF">
      <w:pPr>
        <w:spacing w:line="312" w:lineRule="exact"/>
        <w:rPr>
          <w:sz w:val="24"/>
          <w:szCs w:val="24"/>
          <w:highlight w:val="yellow"/>
          <w:lang w:val="sr-Cyrl-CS" w:eastAsia="de-DE"/>
        </w:rPr>
      </w:pPr>
      <w:r w:rsidRPr="00F25B6E">
        <w:rPr>
          <w:sz w:val="24"/>
          <w:szCs w:val="24"/>
          <w:highlight w:val="yellow"/>
          <w:lang w:val="sr-Cyrl-CS" w:eastAsia="de-DE"/>
        </w:rPr>
        <w:t xml:space="preserve"> </w:t>
      </w:r>
    </w:p>
    <w:p w:rsidR="00276BFF" w:rsidRPr="00482FC8" w:rsidRDefault="006814BB" w:rsidP="006814BB">
      <w:pPr>
        <w:pStyle w:val="Num3"/>
        <w:numPr>
          <w:ilvl w:val="0"/>
          <w:numId w:val="0"/>
        </w:numPr>
        <w:rPr>
          <w:lang w:val="sr-Latn-RS" w:eastAsia="de-DE"/>
        </w:rPr>
      </w:pPr>
      <w:r>
        <w:t>II.</w:t>
      </w:r>
      <w:r>
        <w:tab/>
      </w:r>
      <w:r w:rsidR="00276BFF" w:rsidRPr="009E37DE">
        <w:rPr>
          <w:sz w:val="24"/>
        </w:rPr>
        <w:t>РАЗЛОЗИ ЗА ПОТВРЂИВАЊЕ</w:t>
      </w:r>
      <w:r w:rsidR="00276BFF" w:rsidRPr="009E37DE">
        <w:rPr>
          <w:sz w:val="24"/>
          <w:lang w:eastAsia="de-DE"/>
        </w:rPr>
        <w:t xml:space="preserve"> </w:t>
      </w:r>
      <w:r w:rsidR="009E37DE" w:rsidRPr="009E37DE">
        <w:rPr>
          <w:sz w:val="24"/>
          <w:lang w:val="sr-Cyrl-RS" w:eastAsia="de-DE"/>
        </w:rPr>
        <w:t>УГОВОРА</w:t>
      </w:r>
    </w:p>
    <w:p w:rsidR="009E37DE" w:rsidRPr="00CB3410" w:rsidRDefault="009E37DE" w:rsidP="009E37DE">
      <w:pPr>
        <w:tabs>
          <w:tab w:val="left" w:pos="0"/>
        </w:tabs>
        <w:ind w:firstLine="720"/>
        <w:rPr>
          <w:sz w:val="24"/>
          <w:szCs w:val="24"/>
        </w:rPr>
      </w:pPr>
      <w:r w:rsidRPr="009B5B34">
        <w:rPr>
          <w:sz w:val="24"/>
          <w:szCs w:val="24"/>
        </w:rPr>
        <w:t xml:space="preserve">Разлози за потврђивањe Уговора о кредитном аранжману </w:t>
      </w:r>
      <w:r w:rsidR="009B5B34" w:rsidRPr="009B5B34">
        <w:rPr>
          <w:sz w:val="24"/>
          <w:szCs w:val="24"/>
        </w:rPr>
        <w:t>бр. ЦРС</w:t>
      </w:r>
      <w:r w:rsidR="009B5B34" w:rsidRPr="009B5B34">
        <w:rPr>
          <w:sz w:val="24"/>
          <w:szCs w:val="24"/>
          <w:lang w:val="sr-Latn-RS"/>
        </w:rPr>
        <w:t xml:space="preserve"> 1022 01 A, </w:t>
      </w:r>
      <w:r w:rsidR="009B5B34" w:rsidRPr="009B5B34">
        <w:rPr>
          <w:sz w:val="24"/>
          <w:szCs w:val="24"/>
          <w:lang w:val="sr-Cyrl-CS"/>
        </w:rPr>
        <w:t xml:space="preserve">између </w:t>
      </w:r>
      <w:r w:rsidR="009B5B34" w:rsidRPr="00CB3410">
        <w:rPr>
          <w:sz w:val="24"/>
          <w:szCs w:val="24"/>
          <w:lang w:val="sr-Cyrl-CS"/>
        </w:rPr>
        <w:t>Француске агенције за развој</w:t>
      </w:r>
      <w:r w:rsidR="00906DDA" w:rsidRPr="00CB3410">
        <w:rPr>
          <w:sz w:val="24"/>
          <w:szCs w:val="24"/>
          <w:lang w:val="sr-Cyrl-CS"/>
        </w:rPr>
        <w:t>, као Зајмодавца</w:t>
      </w:r>
      <w:r w:rsidR="009B5B34" w:rsidRPr="00CB3410">
        <w:rPr>
          <w:sz w:val="24"/>
          <w:szCs w:val="24"/>
          <w:lang w:val="sr-Cyrl-CS"/>
        </w:rPr>
        <w:t xml:space="preserve"> и Републике Србије</w:t>
      </w:r>
      <w:r w:rsidRPr="00CB3410">
        <w:rPr>
          <w:sz w:val="24"/>
          <w:szCs w:val="24"/>
        </w:rPr>
        <w:t>,</w:t>
      </w:r>
      <w:r w:rsidR="00906DDA" w:rsidRPr="00CB3410">
        <w:rPr>
          <w:sz w:val="24"/>
          <w:szCs w:val="24"/>
        </w:rPr>
        <w:t xml:space="preserve"> као Зајмопримца</w:t>
      </w:r>
      <w:r w:rsidRPr="00CB3410">
        <w:rPr>
          <w:sz w:val="24"/>
          <w:szCs w:val="24"/>
        </w:rPr>
        <w:t xml:space="preserve"> </w:t>
      </w:r>
      <w:r w:rsidR="001F4339" w:rsidRPr="00CB3410">
        <w:rPr>
          <w:sz w:val="24"/>
          <w:lang w:val="sr-Cyrl-CS" w:eastAsia="en-US"/>
        </w:rPr>
        <w:t>за реализацију Програма чврстог отпада у Србији</w:t>
      </w:r>
      <w:r w:rsidR="00BE1565" w:rsidRPr="00CB3410">
        <w:rPr>
          <w:sz w:val="24"/>
          <w:lang w:val="sr-Cyrl-CS" w:eastAsia="en-US"/>
        </w:rPr>
        <w:t>, који је</w:t>
      </w:r>
      <w:r w:rsidR="001F4339" w:rsidRPr="00CB3410">
        <w:rPr>
          <w:sz w:val="24"/>
          <w:szCs w:val="24"/>
        </w:rPr>
        <w:t xml:space="preserve"> </w:t>
      </w:r>
      <w:r w:rsidR="00BE1565" w:rsidRPr="00CB3410">
        <w:rPr>
          <w:sz w:val="24"/>
          <w:szCs w:val="24"/>
        </w:rPr>
        <w:t>потписан</w:t>
      </w:r>
      <w:r w:rsidRPr="00CB3410">
        <w:rPr>
          <w:sz w:val="24"/>
          <w:szCs w:val="24"/>
        </w:rPr>
        <w:t xml:space="preserve"> </w:t>
      </w:r>
      <w:r w:rsidR="00F72B4E" w:rsidRPr="00CB3410">
        <w:rPr>
          <w:sz w:val="24"/>
          <w:szCs w:val="24"/>
        </w:rPr>
        <w:t xml:space="preserve">у Београду </w:t>
      </w:r>
      <w:r w:rsidR="009B5B34" w:rsidRPr="00CB3410">
        <w:rPr>
          <w:sz w:val="24"/>
          <w:szCs w:val="24"/>
        </w:rPr>
        <w:t>17</w:t>
      </w:r>
      <w:r w:rsidRPr="00CB3410">
        <w:rPr>
          <w:sz w:val="24"/>
          <w:szCs w:val="24"/>
        </w:rPr>
        <w:t>. децембра</w:t>
      </w:r>
      <w:r w:rsidR="009B5B34" w:rsidRPr="00CB3410">
        <w:rPr>
          <w:sz w:val="24"/>
          <w:szCs w:val="24"/>
        </w:rPr>
        <w:t xml:space="preserve"> 2021</w:t>
      </w:r>
      <w:r w:rsidRPr="00CB3410">
        <w:rPr>
          <w:sz w:val="24"/>
          <w:szCs w:val="24"/>
        </w:rPr>
        <w:t xml:space="preserve">. године (у даљем тексту: Уговор о </w:t>
      </w:r>
      <w:r w:rsidR="009B5B34" w:rsidRPr="00CB3410">
        <w:rPr>
          <w:sz w:val="24"/>
          <w:szCs w:val="24"/>
        </w:rPr>
        <w:t>кредитном аранжману</w:t>
      </w:r>
      <w:r w:rsidRPr="00CB3410">
        <w:rPr>
          <w:sz w:val="24"/>
          <w:szCs w:val="24"/>
        </w:rPr>
        <w:t xml:space="preserve">), садржани су у чињеници да је </w:t>
      </w:r>
      <w:r w:rsidR="009B5B34" w:rsidRPr="00CB3410">
        <w:rPr>
          <w:sz w:val="24"/>
          <w:szCs w:val="24"/>
          <w:lang w:val="sr-Cyrl-CS"/>
        </w:rPr>
        <w:t>Француска агенција за развој</w:t>
      </w:r>
      <w:r w:rsidR="009B5B34" w:rsidRPr="00CB3410">
        <w:rPr>
          <w:sz w:val="24"/>
          <w:szCs w:val="24"/>
        </w:rPr>
        <w:t xml:space="preserve"> </w:t>
      </w:r>
      <w:r w:rsidRPr="00CB3410">
        <w:rPr>
          <w:sz w:val="24"/>
          <w:szCs w:val="24"/>
        </w:rPr>
        <w:t xml:space="preserve">одобрила зајам од </w:t>
      </w:r>
      <w:r w:rsidR="009B5B34" w:rsidRPr="00CB3410">
        <w:rPr>
          <w:sz w:val="24"/>
          <w:szCs w:val="24"/>
        </w:rPr>
        <w:t>75</w:t>
      </w:r>
      <w:r w:rsidRPr="00CB3410">
        <w:rPr>
          <w:sz w:val="24"/>
          <w:szCs w:val="24"/>
        </w:rPr>
        <w:t>.000.000 евра Републици Србији, као зајмопримцу.</w:t>
      </w:r>
    </w:p>
    <w:p w:rsidR="009E37DE" w:rsidRPr="00CB3410" w:rsidRDefault="009E37DE" w:rsidP="009E37DE">
      <w:pPr>
        <w:tabs>
          <w:tab w:val="left" w:pos="0"/>
        </w:tabs>
        <w:ind w:firstLine="720"/>
        <w:rPr>
          <w:sz w:val="24"/>
          <w:szCs w:val="24"/>
          <w:lang w:val="sr-Cyrl-CS"/>
        </w:rPr>
      </w:pPr>
      <w:r w:rsidRPr="00CB3410">
        <w:rPr>
          <w:sz w:val="24"/>
          <w:szCs w:val="24"/>
        </w:rPr>
        <w:t xml:space="preserve">Према одредби члана 5. став 2. Закона о јавном дугу </w:t>
      </w:r>
      <w:r w:rsidRPr="00CB3410">
        <w:rPr>
          <w:sz w:val="24"/>
          <w:szCs w:val="24"/>
          <w:lang w:val="sr-Cyrl-CS"/>
        </w:rPr>
        <w:t>(„Службени гласник РС”, бр. 61/05, 107/09, 78/11, 68/15</w:t>
      </w:r>
      <w:r w:rsidRPr="00CB3410">
        <w:rPr>
          <w:sz w:val="24"/>
          <w:szCs w:val="24"/>
          <w:lang w:val="sr-Latn-RS"/>
        </w:rPr>
        <w:t>,</w:t>
      </w:r>
      <w:r w:rsidRPr="00CB3410">
        <w:rPr>
          <w:sz w:val="24"/>
          <w:szCs w:val="24"/>
          <w:lang w:val="sr-Cyrl-CS"/>
        </w:rPr>
        <w:t xml:space="preserve"> 95/18</w:t>
      </w:r>
      <w:r w:rsidRPr="00CB3410">
        <w:rPr>
          <w:sz w:val="24"/>
          <w:szCs w:val="24"/>
        </w:rPr>
        <w:t>, 91/19 и 149/20</w:t>
      </w:r>
      <w:r w:rsidRPr="00CB3410">
        <w:rPr>
          <w:sz w:val="24"/>
          <w:szCs w:val="24"/>
          <w:lang w:val="sr-Cyrl-CS"/>
        </w:rPr>
        <w:t>) Народна с</w:t>
      </w:r>
      <w:bookmarkStart w:id="0" w:name="_GoBack"/>
      <w:bookmarkEnd w:id="0"/>
      <w:r w:rsidRPr="00CB3410">
        <w:rPr>
          <w:sz w:val="24"/>
          <w:szCs w:val="24"/>
          <w:lang w:val="sr-Cyrl-CS"/>
        </w:rPr>
        <w:t>купштина Републике Србије, између осталог, одлучује о задуживању Републике путем узимања дугорочних кредита.</w:t>
      </w:r>
    </w:p>
    <w:p w:rsidR="009E37DE" w:rsidRPr="009B5B34" w:rsidRDefault="009E37DE" w:rsidP="009E37DE">
      <w:pPr>
        <w:tabs>
          <w:tab w:val="left" w:pos="0"/>
        </w:tabs>
        <w:ind w:firstLine="720"/>
        <w:rPr>
          <w:sz w:val="24"/>
          <w:szCs w:val="24"/>
          <w:lang w:val="sr-Latn-RS"/>
        </w:rPr>
      </w:pPr>
      <w:r w:rsidRPr="00CB3410">
        <w:rPr>
          <w:sz w:val="24"/>
          <w:szCs w:val="24"/>
          <w:lang w:val="sr-Cyrl-CS"/>
        </w:rPr>
        <w:t>Такође,</w:t>
      </w:r>
      <w:r w:rsidRPr="00CB3410">
        <w:rPr>
          <w:sz w:val="24"/>
          <w:szCs w:val="24"/>
        </w:rPr>
        <w:t xml:space="preserve"> </w:t>
      </w:r>
      <w:r w:rsidRPr="00CB3410">
        <w:rPr>
          <w:sz w:val="24"/>
          <w:szCs w:val="24"/>
          <w:lang w:val="sr-Cyrl-CS"/>
        </w:rPr>
        <w:t xml:space="preserve">Народна скупштина потврђује Уговор о </w:t>
      </w:r>
      <w:r w:rsidR="009B5B34" w:rsidRPr="00CB3410">
        <w:rPr>
          <w:sz w:val="24"/>
          <w:szCs w:val="24"/>
          <w:lang w:val="sr-Cyrl-CS"/>
        </w:rPr>
        <w:t>кредитном</w:t>
      </w:r>
      <w:r w:rsidR="009B5B34">
        <w:rPr>
          <w:sz w:val="24"/>
          <w:szCs w:val="24"/>
          <w:lang w:val="sr-Cyrl-CS"/>
        </w:rPr>
        <w:t xml:space="preserve"> аранжману</w:t>
      </w:r>
      <w:r w:rsidRPr="009B5B34">
        <w:rPr>
          <w:sz w:val="24"/>
          <w:szCs w:val="24"/>
          <w:lang w:val="sr-Cyrl-CS"/>
        </w:rPr>
        <w:t>, као међународни уговор, у складу са одредбама члана 14. став 1. Закона о закључивању и извршавању међународних уговора („Службени гласник РС”, број 32/13).</w:t>
      </w:r>
    </w:p>
    <w:p w:rsidR="009B5B34" w:rsidRPr="001F4339" w:rsidRDefault="009B5B34" w:rsidP="009B5B34">
      <w:pPr>
        <w:ind w:firstLine="720"/>
        <w:rPr>
          <w:bCs/>
          <w:sz w:val="24"/>
          <w:szCs w:val="24"/>
          <w:lang w:eastAsia="en-US"/>
        </w:rPr>
      </w:pPr>
      <w:r w:rsidRPr="001F4339">
        <w:rPr>
          <w:bCs/>
          <w:sz w:val="24"/>
          <w:szCs w:val="24"/>
          <w:lang w:eastAsia="en-US"/>
        </w:rPr>
        <w:t>Законом о буџету Републике Србије за 2021. год</w:t>
      </w:r>
      <w:r w:rsidR="00BA26C4">
        <w:rPr>
          <w:bCs/>
          <w:sz w:val="24"/>
          <w:szCs w:val="24"/>
          <w:lang w:eastAsia="en-US"/>
        </w:rPr>
        <w:t>ину („Службени гласник РС”, бр.</w:t>
      </w:r>
      <w:r w:rsidRPr="001F4339">
        <w:rPr>
          <w:bCs/>
          <w:sz w:val="24"/>
          <w:szCs w:val="24"/>
          <w:lang w:eastAsia="en-US"/>
        </w:rPr>
        <w:t xml:space="preserve"> 149/20, 40/21 и 100/21) у члану 3.Б одобрено је задуживање код Француске агенције за развој (у даљем тексту: Банка) за спровођење Пројекта за регионалне депоније који се односи на Програм чврстог отпада у Србији (у даљем тексту: Пројекат), у износу до 75.000.000 евра.</w:t>
      </w:r>
    </w:p>
    <w:p w:rsidR="00C126EA" w:rsidRDefault="00E01304" w:rsidP="00C126EA">
      <w:pPr>
        <w:ind w:firstLine="720"/>
        <w:rPr>
          <w:sz w:val="24"/>
          <w:szCs w:val="24"/>
          <w:lang w:eastAsia="en-US"/>
        </w:rPr>
      </w:pPr>
      <w:r w:rsidRPr="001F4339">
        <w:rPr>
          <w:sz w:val="24"/>
          <w:szCs w:val="24"/>
          <w:lang w:eastAsia="en-US"/>
        </w:rPr>
        <w:t xml:space="preserve">Због све већих количина и штетности по околину, отпад се сматра једним од најзначајнијих еколошких проблема савременог друштва. </w:t>
      </w:r>
      <w:r w:rsidR="002D12E1" w:rsidRPr="001F4339">
        <w:rPr>
          <w:sz w:val="24"/>
          <w:szCs w:val="24"/>
          <w:lang w:eastAsia="en-US"/>
        </w:rPr>
        <w:t>Бројне штетне последице настају због погрешне концепције и система управљања отпадом који није еколошки заснован и који онемогућава правилно поступање са отпадом.</w:t>
      </w:r>
      <w:r w:rsidRPr="001F4339">
        <w:rPr>
          <w:sz w:val="24"/>
          <w:szCs w:val="24"/>
          <w:lang w:eastAsia="en-US"/>
        </w:rPr>
        <w:t xml:space="preserve"> </w:t>
      </w:r>
      <w:r w:rsidR="002D12E1" w:rsidRPr="001F4339">
        <w:rPr>
          <w:sz w:val="24"/>
          <w:szCs w:val="24"/>
          <w:lang w:eastAsia="en-US"/>
        </w:rPr>
        <w:t xml:space="preserve">Из тог разлога, </w:t>
      </w:r>
      <w:r w:rsidR="00C126EA" w:rsidRPr="001F4339">
        <w:rPr>
          <w:sz w:val="24"/>
          <w:szCs w:val="24"/>
          <w:lang w:eastAsia="en-US"/>
        </w:rPr>
        <w:t>Републици Србији је потребан ефикаснији и ефективнији систем управљања отпадом који ће укључивати све фазе и препоруке за управљ</w:t>
      </w:r>
      <w:r w:rsidR="00482FC8" w:rsidRPr="001F4339">
        <w:rPr>
          <w:sz w:val="24"/>
          <w:szCs w:val="24"/>
          <w:lang w:eastAsia="en-US"/>
        </w:rPr>
        <w:t xml:space="preserve">ање истим у складу са </w:t>
      </w:r>
      <w:r w:rsidR="009B5B34" w:rsidRPr="001F4339">
        <w:rPr>
          <w:sz w:val="24"/>
          <w:szCs w:val="24"/>
          <w:lang w:eastAsia="en-US"/>
        </w:rPr>
        <w:t xml:space="preserve">законским </w:t>
      </w:r>
      <w:r w:rsidR="00482FC8" w:rsidRPr="001F4339">
        <w:rPr>
          <w:sz w:val="24"/>
          <w:szCs w:val="24"/>
          <w:lang w:eastAsia="en-US"/>
        </w:rPr>
        <w:t>регулатив</w:t>
      </w:r>
      <w:r w:rsidR="00482FC8" w:rsidRPr="001F4339">
        <w:rPr>
          <w:sz w:val="24"/>
          <w:szCs w:val="24"/>
          <w:lang w:val="en-US" w:eastAsia="en-US"/>
        </w:rPr>
        <w:t>a</w:t>
      </w:r>
      <w:r w:rsidR="00C126EA" w:rsidRPr="001F4339">
        <w:rPr>
          <w:sz w:val="24"/>
          <w:szCs w:val="24"/>
          <w:lang w:eastAsia="en-US"/>
        </w:rPr>
        <w:t>м</w:t>
      </w:r>
      <w:r w:rsidR="00482FC8" w:rsidRPr="001F4339">
        <w:rPr>
          <w:sz w:val="24"/>
          <w:szCs w:val="24"/>
          <w:lang w:val="en-US" w:eastAsia="en-US"/>
        </w:rPr>
        <w:t>a</w:t>
      </w:r>
      <w:r w:rsidR="00C126EA" w:rsidRPr="001F4339">
        <w:rPr>
          <w:sz w:val="24"/>
          <w:szCs w:val="24"/>
          <w:lang w:eastAsia="en-US"/>
        </w:rPr>
        <w:t xml:space="preserve"> Европске уније</w:t>
      </w:r>
      <w:r w:rsidR="002D12E1" w:rsidRPr="001F4339">
        <w:rPr>
          <w:sz w:val="24"/>
          <w:szCs w:val="24"/>
          <w:lang w:eastAsia="en-US"/>
        </w:rPr>
        <w:t xml:space="preserve"> (у даљем тексту: ЕУ)</w:t>
      </w:r>
      <w:r w:rsidR="00C126EA" w:rsidRPr="001F4339">
        <w:rPr>
          <w:sz w:val="24"/>
          <w:szCs w:val="24"/>
          <w:lang w:eastAsia="en-US"/>
        </w:rPr>
        <w:t xml:space="preserve">. Успостављање ефикаснијег регулаторног оквира за управљање отпадом је од велике важности за очување животне средине, </w:t>
      </w:r>
      <w:r w:rsidR="002E2FF4">
        <w:rPr>
          <w:sz w:val="24"/>
          <w:szCs w:val="24"/>
          <w:lang w:eastAsia="en-US"/>
        </w:rPr>
        <w:t xml:space="preserve">одрживи развој, </w:t>
      </w:r>
      <w:r w:rsidR="00C126EA" w:rsidRPr="001F4339">
        <w:rPr>
          <w:sz w:val="24"/>
          <w:szCs w:val="24"/>
          <w:lang w:eastAsia="en-US"/>
        </w:rPr>
        <w:t xml:space="preserve">као и за процес приступања Републике Србије </w:t>
      </w:r>
      <w:r w:rsidR="002D12E1" w:rsidRPr="001F4339">
        <w:rPr>
          <w:sz w:val="24"/>
          <w:szCs w:val="24"/>
          <w:lang w:eastAsia="en-US"/>
        </w:rPr>
        <w:t>ЕУ</w:t>
      </w:r>
      <w:r w:rsidR="00C126EA" w:rsidRPr="001F4339">
        <w:rPr>
          <w:sz w:val="24"/>
          <w:szCs w:val="24"/>
          <w:lang w:eastAsia="en-US"/>
        </w:rPr>
        <w:t>.</w:t>
      </w:r>
      <w:r w:rsidR="00C126EA">
        <w:rPr>
          <w:sz w:val="24"/>
          <w:szCs w:val="24"/>
          <w:lang w:eastAsia="en-US"/>
        </w:rPr>
        <w:t xml:space="preserve"> </w:t>
      </w:r>
    </w:p>
    <w:p w:rsidR="00482FC8" w:rsidRPr="00880C03" w:rsidRDefault="00482FC8" w:rsidP="00482FC8">
      <w:pPr>
        <w:ind w:firstLine="720"/>
        <w:rPr>
          <w:bCs/>
          <w:sz w:val="24"/>
          <w:szCs w:val="24"/>
          <w:lang w:eastAsia="en-US"/>
        </w:rPr>
      </w:pPr>
      <w:r w:rsidRPr="00880C03">
        <w:rPr>
          <w:bCs/>
          <w:sz w:val="24"/>
          <w:szCs w:val="24"/>
          <w:lang w:eastAsia="en-US"/>
        </w:rPr>
        <w:t>Пројекат има за циљ да обезбеди савремене системе за управљање отпадом у складу са стандардима ЕУ, допринесе вишем нивоу комуналних услуга и одговори на горуће еколошке изазове у сектору чврстог отпада широм земље. Такође, у складу је са Националним програмом за управљање отпадом Републике Србије, који се очекује да буде усвојен до 31. јануара 2022. године.</w:t>
      </w:r>
    </w:p>
    <w:p w:rsidR="00482FC8" w:rsidRPr="00B8155C" w:rsidRDefault="00482FC8" w:rsidP="00482FC8">
      <w:pPr>
        <w:ind w:firstLine="720"/>
        <w:rPr>
          <w:bCs/>
          <w:sz w:val="24"/>
          <w:szCs w:val="24"/>
          <w:lang w:eastAsia="en-US"/>
        </w:rPr>
      </w:pPr>
      <w:r w:rsidRPr="00B8155C">
        <w:rPr>
          <w:bCs/>
          <w:sz w:val="24"/>
          <w:szCs w:val="24"/>
          <w:lang w:eastAsia="en-US"/>
        </w:rPr>
        <w:t>Наведени Пројекат се састоји из Дела 1 и Дела 2. У оквиру Дела 1 Пројекта предвиђена је изградња четири регионална центра за управљање отпадом (у даљем тексту: „РЦУО”) у Каленићу, Сомбору, Дубоком и Новој Вароши. У оквиру Дела 2 планирана је изградња четири РЦУО-а, у Пироту, Пожаревцу, Инђији и Сремској Митровици, као и за унапређење регионалних система за примарно сортирање отпада у неколико постојећих региона.</w:t>
      </w:r>
    </w:p>
    <w:p w:rsidR="009E37DE" w:rsidRPr="00B8155C" w:rsidRDefault="009E37DE" w:rsidP="009E37DE">
      <w:pPr>
        <w:ind w:firstLine="708"/>
        <w:rPr>
          <w:sz w:val="24"/>
          <w:szCs w:val="24"/>
          <w:lang w:eastAsia="sr-Latn-CS"/>
        </w:rPr>
      </w:pPr>
      <w:r w:rsidRPr="00B8155C">
        <w:rPr>
          <w:sz w:val="24"/>
          <w:szCs w:val="24"/>
          <w:lang w:eastAsia="sr-Latn-CS"/>
        </w:rPr>
        <w:lastRenderedPageBreak/>
        <w:t>Реализација Дела 1 Пројекта се очекује да буде завршена до 31. децембра 2027. године, док се завршетак Дела 2 Пројекта очекује да буде до датума који буде био одређен у Транши 2 зајма</w:t>
      </w:r>
      <w:r w:rsidR="00880C03" w:rsidRPr="00B8155C">
        <w:rPr>
          <w:sz w:val="24"/>
          <w:szCs w:val="24"/>
          <w:lang w:eastAsia="sr-Latn-CS"/>
        </w:rPr>
        <w:t xml:space="preserve"> Европске банке за обнову и развој (у даљем тексту: </w:t>
      </w:r>
      <w:r w:rsidR="00880C03" w:rsidRPr="00B8155C">
        <w:rPr>
          <w:sz w:val="24"/>
          <w:szCs w:val="24"/>
          <w:lang w:val="sr-Latn-RS" w:eastAsia="sr-Latn-CS"/>
        </w:rPr>
        <w:t>EBRD)</w:t>
      </w:r>
      <w:r w:rsidRPr="00B8155C">
        <w:rPr>
          <w:sz w:val="24"/>
          <w:szCs w:val="24"/>
          <w:lang w:eastAsia="sr-Latn-CS"/>
        </w:rPr>
        <w:t>.</w:t>
      </w:r>
    </w:p>
    <w:p w:rsidR="00482FC8" w:rsidRPr="00B8155C" w:rsidRDefault="00482FC8" w:rsidP="00482FC8">
      <w:pPr>
        <w:ind w:firstLine="708"/>
        <w:rPr>
          <w:sz w:val="24"/>
          <w:lang w:eastAsia="sr-Latn-CS"/>
        </w:rPr>
      </w:pPr>
      <w:r w:rsidRPr="00B8155C">
        <w:rPr>
          <w:sz w:val="24"/>
          <w:lang w:eastAsia="sr-Latn-CS"/>
        </w:rPr>
        <w:t>Зајмопримац је Република Србија коју представља Министарство финансија, док ће Пројекат спроводити Министарство заштите животне средине (у даљем тексту „МЗЖС”), уз подршку регионалних предузећа за управљање отпадом. Јединица за имплементацију пројекта (у даљем тексту „ЈИП”) ће бити формирана у оквиру МЗЖС-а, и биће задужена за припрему тендерске документације, спровођење тендера, праћење коришћења средстава и извештавање финансијерима Пројекта. ЈИП ће подржавати РЦУО-е, који ће бити задужени за оперативну подршку у спровођењу Пројекта.</w:t>
      </w:r>
    </w:p>
    <w:p w:rsidR="00482FC8" w:rsidRPr="00B8155C" w:rsidRDefault="00482FC8" w:rsidP="00482FC8">
      <w:pPr>
        <w:ind w:firstLine="720"/>
        <w:rPr>
          <w:sz w:val="24"/>
          <w:lang w:eastAsia="sr-Latn-CS"/>
        </w:rPr>
      </w:pPr>
      <w:r w:rsidRPr="00B8155C">
        <w:rPr>
          <w:sz w:val="24"/>
          <w:lang w:eastAsia="sr-Latn-CS"/>
        </w:rPr>
        <w:t>Укупна вредност Пројекта је 150 милиона евра, и биће кофинансиран у односу 50:50 са EBRD</w:t>
      </w:r>
      <w:r w:rsidR="00880C03" w:rsidRPr="00B8155C">
        <w:rPr>
          <w:sz w:val="24"/>
          <w:lang w:eastAsia="sr-Latn-CS"/>
        </w:rPr>
        <w:t>-ом</w:t>
      </w:r>
      <w:r w:rsidRPr="00B8155C">
        <w:rPr>
          <w:sz w:val="24"/>
          <w:lang w:eastAsia="sr-Latn-CS"/>
        </w:rPr>
        <w:t>.</w:t>
      </w:r>
    </w:p>
    <w:p w:rsidR="00482FC8" w:rsidRPr="00B8155C" w:rsidRDefault="00482FC8" w:rsidP="009E37DE">
      <w:pPr>
        <w:ind w:firstLine="720"/>
        <w:rPr>
          <w:sz w:val="24"/>
          <w:szCs w:val="24"/>
          <w:lang w:eastAsia="en-US"/>
        </w:rPr>
      </w:pPr>
      <w:r w:rsidRPr="00B8155C">
        <w:rPr>
          <w:sz w:val="24"/>
          <w:szCs w:val="24"/>
          <w:lang w:eastAsia="en-US"/>
        </w:rPr>
        <w:t xml:space="preserve">Банка уз </w:t>
      </w:r>
      <w:r w:rsidRPr="00B8155C">
        <w:rPr>
          <w:sz w:val="24"/>
          <w:lang w:eastAsia="sr-Latn-CS"/>
        </w:rPr>
        <w:t>EBRD</w:t>
      </w:r>
      <w:r w:rsidRPr="00B8155C">
        <w:rPr>
          <w:sz w:val="24"/>
          <w:szCs w:val="24"/>
          <w:lang w:eastAsia="en-US"/>
        </w:rPr>
        <w:t xml:space="preserve">, препознаје важност у развоју и успостављању система за ефикасно управљање чврстим отпадом који су у складу са стандардима </w:t>
      </w:r>
      <w:r w:rsidR="000E0BEA">
        <w:rPr>
          <w:sz w:val="24"/>
          <w:szCs w:val="24"/>
          <w:lang w:eastAsia="en-US"/>
        </w:rPr>
        <w:t>ЕУ</w:t>
      </w:r>
      <w:r w:rsidRPr="00B8155C">
        <w:rPr>
          <w:sz w:val="24"/>
          <w:szCs w:val="24"/>
          <w:lang w:eastAsia="en-US"/>
        </w:rPr>
        <w:t>, што потврђује кроз спремност да обезбеди паралелно финансирање кроз одобрење зајма Републици Србији у износу до 75.000.000 ЕУР, у оквиру предметног пројекта.</w:t>
      </w:r>
    </w:p>
    <w:p w:rsidR="00276BFF" w:rsidRPr="00B8155C" w:rsidRDefault="00276BFF" w:rsidP="00276BFF">
      <w:pPr>
        <w:ind w:firstLine="720"/>
        <w:rPr>
          <w:sz w:val="24"/>
          <w:szCs w:val="24"/>
          <w:lang w:eastAsia="en-US"/>
        </w:rPr>
      </w:pPr>
      <w:r w:rsidRPr="00B8155C">
        <w:rPr>
          <w:sz w:val="24"/>
          <w:szCs w:val="24"/>
          <w:lang w:eastAsia="en-US"/>
        </w:rPr>
        <w:t>Закључком Владе 05 Број: 48-</w:t>
      </w:r>
      <w:r w:rsidR="0076449E" w:rsidRPr="00B8155C">
        <w:rPr>
          <w:sz w:val="24"/>
          <w:szCs w:val="24"/>
          <w:lang w:val="sr-Latn-RS" w:eastAsia="en-US"/>
        </w:rPr>
        <w:t>11422</w:t>
      </w:r>
      <w:r w:rsidRPr="00B8155C">
        <w:rPr>
          <w:sz w:val="24"/>
          <w:szCs w:val="24"/>
          <w:lang w:eastAsia="en-US"/>
        </w:rPr>
        <w:t>/202</w:t>
      </w:r>
      <w:r w:rsidRPr="00B8155C">
        <w:rPr>
          <w:sz w:val="24"/>
          <w:szCs w:val="24"/>
          <w:lang w:val="sr-Latn-RS" w:eastAsia="en-US"/>
        </w:rPr>
        <w:t>1</w:t>
      </w:r>
      <w:r w:rsidR="0076449E" w:rsidRPr="00B8155C">
        <w:rPr>
          <w:sz w:val="24"/>
          <w:szCs w:val="24"/>
          <w:lang w:val="sr-Latn-RS" w:eastAsia="en-US"/>
        </w:rPr>
        <w:t>-01</w:t>
      </w:r>
      <w:r w:rsidR="0076449E" w:rsidRPr="00B8155C">
        <w:rPr>
          <w:sz w:val="24"/>
          <w:szCs w:val="24"/>
          <w:lang w:eastAsia="en-US"/>
        </w:rPr>
        <w:t xml:space="preserve"> од 9</w:t>
      </w:r>
      <w:r w:rsidRPr="00B8155C">
        <w:rPr>
          <w:sz w:val="24"/>
          <w:szCs w:val="24"/>
          <w:lang w:eastAsia="en-US"/>
        </w:rPr>
        <w:t xml:space="preserve">. </w:t>
      </w:r>
      <w:r w:rsidR="0076449E" w:rsidRPr="00B8155C">
        <w:rPr>
          <w:sz w:val="24"/>
          <w:szCs w:val="24"/>
          <w:lang w:eastAsia="en-US"/>
        </w:rPr>
        <w:t>децембра</w:t>
      </w:r>
      <w:r w:rsidRPr="00B8155C">
        <w:rPr>
          <w:sz w:val="24"/>
          <w:szCs w:val="24"/>
          <w:lang w:eastAsia="en-US"/>
        </w:rPr>
        <w:t xml:space="preserve"> 2021. године, утврђена је Основа за </w:t>
      </w:r>
      <w:r w:rsidR="0076449E" w:rsidRPr="00B8155C">
        <w:rPr>
          <w:sz w:val="24"/>
          <w:szCs w:val="24"/>
          <w:lang w:eastAsia="en-US"/>
        </w:rPr>
        <w:t xml:space="preserve">вођење </w:t>
      </w:r>
      <w:r w:rsidRPr="00B8155C">
        <w:rPr>
          <w:sz w:val="24"/>
          <w:szCs w:val="24"/>
          <w:lang w:eastAsia="en-US"/>
        </w:rPr>
        <w:t>преговор</w:t>
      </w:r>
      <w:r w:rsidR="0076449E" w:rsidRPr="00B8155C">
        <w:rPr>
          <w:sz w:val="24"/>
          <w:szCs w:val="24"/>
          <w:lang w:eastAsia="en-US"/>
        </w:rPr>
        <w:t>а</w:t>
      </w:r>
      <w:r w:rsidRPr="00B8155C">
        <w:rPr>
          <w:sz w:val="24"/>
          <w:szCs w:val="24"/>
          <w:lang w:eastAsia="en-US"/>
        </w:rPr>
        <w:t xml:space="preserve"> са Француском агенцијом за развој у вези са одобравањем</w:t>
      </w:r>
      <w:r w:rsidR="0076449E" w:rsidRPr="00B8155C">
        <w:rPr>
          <w:sz w:val="24"/>
          <w:szCs w:val="24"/>
          <w:lang w:eastAsia="en-US"/>
        </w:rPr>
        <w:t xml:space="preserve"> зајма за</w:t>
      </w:r>
      <w:r w:rsidRPr="00B8155C">
        <w:rPr>
          <w:sz w:val="24"/>
          <w:szCs w:val="24"/>
          <w:lang w:eastAsia="en-US"/>
        </w:rPr>
        <w:t xml:space="preserve"> Програм </w:t>
      </w:r>
      <w:r w:rsidR="0076449E" w:rsidRPr="00B8155C">
        <w:rPr>
          <w:sz w:val="24"/>
          <w:szCs w:val="24"/>
          <w:lang w:eastAsia="en-US"/>
        </w:rPr>
        <w:t>чврстог отпада у Србији,</w:t>
      </w:r>
      <w:r w:rsidRPr="00B8155C">
        <w:rPr>
          <w:sz w:val="24"/>
          <w:szCs w:val="24"/>
          <w:lang w:eastAsia="en-US"/>
        </w:rPr>
        <w:t xml:space="preserve"> одређен </w:t>
      </w:r>
      <w:r w:rsidR="000E0BEA">
        <w:rPr>
          <w:sz w:val="24"/>
          <w:szCs w:val="24"/>
          <w:lang w:eastAsia="en-US"/>
        </w:rPr>
        <w:t xml:space="preserve">је </w:t>
      </w:r>
      <w:r w:rsidRPr="00B8155C">
        <w:rPr>
          <w:sz w:val="24"/>
          <w:szCs w:val="24"/>
          <w:lang w:eastAsia="en-US"/>
        </w:rPr>
        <w:t>преговарачки тим Републике Србије</w:t>
      </w:r>
      <w:r w:rsidR="0076449E" w:rsidRPr="00B8155C">
        <w:rPr>
          <w:sz w:val="24"/>
          <w:szCs w:val="24"/>
          <w:lang w:eastAsia="en-US"/>
        </w:rPr>
        <w:t xml:space="preserve"> и усвојен Нацрт уговора о кредитном аранжману бр. ЦРС 1022 01 А између </w:t>
      </w:r>
      <w:r w:rsidR="0076449E" w:rsidRPr="00B8155C">
        <w:rPr>
          <w:bCs/>
          <w:sz w:val="24"/>
          <w:szCs w:val="24"/>
          <w:lang w:eastAsia="en-US"/>
        </w:rPr>
        <w:t>Француске агенције за развој, као Зајмодавца и Републике Србије, као Зајмопримца</w:t>
      </w:r>
      <w:r w:rsidRPr="00B8155C">
        <w:rPr>
          <w:sz w:val="24"/>
          <w:szCs w:val="24"/>
          <w:lang w:eastAsia="en-US"/>
        </w:rPr>
        <w:t xml:space="preserve">.  </w:t>
      </w:r>
    </w:p>
    <w:p w:rsidR="00482FC8" w:rsidRPr="00482FC8" w:rsidRDefault="00482FC8" w:rsidP="00482FC8">
      <w:pPr>
        <w:ind w:firstLine="708"/>
        <w:rPr>
          <w:sz w:val="24"/>
          <w:lang w:eastAsia="sr-Latn-CS"/>
        </w:rPr>
      </w:pPr>
      <w:r w:rsidRPr="00482FC8">
        <w:rPr>
          <w:sz w:val="24"/>
          <w:lang w:eastAsia="sr-Latn-CS"/>
        </w:rPr>
        <w:t>Реализацијом Пројекта обезбедиће се развој интегрисаних и савремених система за управљање чврстим отпадом, који су у складу са стандардима ЕУ путем (i) успостављања РЦУО-а распоређених око регионалног центра који покрива неколико општина (нарочито за регионалне санитарне депоније); (ii) успостављања система за примарно сортирање/ рециклажу (постројење за поновну употребу материјала); и (iii) третмана и поновне употребе биоразградивог отпада. Остале инвестиције које се односе на инфрастуктуру за прикупљање отпада, као што су канте за смеће/контејнери, возила и трансфер станице, такође ће бити укључене у Пројекат.</w:t>
      </w:r>
    </w:p>
    <w:p w:rsidR="00482FC8" w:rsidRPr="00B8155C" w:rsidRDefault="00482FC8" w:rsidP="00482FC8">
      <w:pPr>
        <w:ind w:firstLine="708"/>
        <w:rPr>
          <w:sz w:val="24"/>
          <w:lang w:eastAsia="sr-Latn-CS"/>
        </w:rPr>
      </w:pPr>
      <w:r w:rsidRPr="00482FC8">
        <w:rPr>
          <w:sz w:val="24"/>
          <w:lang w:eastAsia="sr-Latn-CS"/>
        </w:rPr>
        <w:t xml:space="preserve">Пројекат ће промовисати ефикасност ресурса тако што ће у регионима уводити праксе одрживог управљања отпадом кроз изградњу санитарних депонија у складу са стандардима ЕУ, пуштање у рад постројења за поновну употребу материјала, постројења за компостирање, као и система примарног сортирања отпада. Очекује се да ће Пројекат допринети смањењу емисије гасова са ефектом стаклене баште (Greenhouse gas - GHG) од 178.068 t/e годишње, што ће за резултат имати значајне користи за здравље људи и животну средину. Пројекат ће, такође, укључити и дијалог о политикама у вези са припремом и </w:t>
      </w:r>
      <w:r w:rsidRPr="00B8155C">
        <w:rPr>
          <w:sz w:val="24"/>
          <w:lang w:eastAsia="sr-Latn-CS"/>
        </w:rPr>
        <w:t>усвајањем Регионалних планова за управљање отпадом.</w:t>
      </w:r>
    </w:p>
    <w:p w:rsidR="00276BFF" w:rsidRPr="00B8155C" w:rsidRDefault="00823BD1" w:rsidP="00823BD1">
      <w:pPr>
        <w:ind w:firstLine="720"/>
        <w:rPr>
          <w:sz w:val="24"/>
          <w:szCs w:val="24"/>
          <w:lang w:eastAsia="en-US"/>
        </w:rPr>
      </w:pPr>
      <w:r w:rsidRPr="00B8155C">
        <w:rPr>
          <w:sz w:val="24"/>
          <w:szCs w:val="24"/>
          <w:lang w:eastAsia="en-US"/>
        </w:rPr>
        <w:t>Током</w:t>
      </w:r>
      <w:r w:rsidR="00276BFF" w:rsidRPr="00B8155C">
        <w:rPr>
          <w:sz w:val="24"/>
          <w:szCs w:val="24"/>
          <w:lang w:eastAsia="en-US"/>
        </w:rPr>
        <w:t xml:space="preserve"> </w:t>
      </w:r>
      <w:r w:rsidRPr="00B8155C">
        <w:rPr>
          <w:sz w:val="24"/>
          <w:szCs w:val="24"/>
          <w:lang w:eastAsia="en-US"/>
        </w:rPr>
        <w:t>преговора</w:t>
      </w:r>
      <w:r w:rsidR="00EB5A9F" w:rsidRPr="00B8155C">
        <w:rPr>
          <w:sz w:val="24"/>
          <w:szCs w:val="24"/>
          <w:lang w:eastAsia="en-US"/>
        </w:rPr>
        <w:t xml:space="preserve"> </w:t>
      </w:r>
      <w:r w:rsidR="00276BFF" w:rsidRPr="00B8155C">
        <w:rPr>
          <w:sz w:val="24"/>
          <w:szCs w:val="24"/>
          <w:lang w:eastAsia="en-US"/>
        </w:rPr>
        <w:t xml:space="preserve">стране су </w:t>
      </w:r>
      <w:r w:rsidR="00EB5A9F" w:rsidRPr="00B8155C">
        <w:rPr>
          <w:sz w:val="24"/>
          <w:szCs w:val="24"/>
          <w:lang w:eastAsia="en-US"/>
        </w:rPr>
        <w:t>електронским путем</w:t>
      </w:r>
      <w:r w:rsidR="00276BFF" w:rsidRPr="00B8155C">
        <w:rPr>
          <w:sz w:val="24"/>
          <w:szCs w:val="24"/>
          <w:lang w:eastAsia="en-US"/>
        </w:rPr>
        <w:t xml:space="preserve"> </w:t>
      </w:r>
      <w:r w:rsidR="00C126EA" w:rsidRPr="00B8155C">
        <w:rPr>
          <w:sz w:val="24"/>
          <w:szCs w:val="24"/>
        </w:rPr>
        <w:t xml:space="preserve">размењивале коментаре на предложени текст Уговора о кредитном аранжману, у смислу прецизирања појединих одредби, утврђивања потпројеката који ће се финансирати из средстава зајма и </w:t>
      </w:r>
      <w:r w:rsidR="00B8155C" w:rsidRPr="00B8155C">
        <w:rPr>
          <w:sz w:val="24"/>
          <w:szCs w:val="24"/>
          <w:lang w:val="sr-Latn-RS"/>
        </w:rPr>
        <w:t>o</w:t>
      </w:r>
      <w:r w:rsidR="00B8155C" w:rsidRPr="00B8155C">
        <w:rPr>
          <w:sz w:val="24"/>
          <w:szCs w:val="24"/>
        </w:rPr>
        <w:t>дређивања</w:t>
      </w:r>
      <w:r w:rsidR="00C126EA" w:rsidRPr="00B8155C">
        <w:rPr>
          <w:sz w:val="24"/>
          <w:szCs w:val="24"/>
        </w:rPr>
        <w:t xml:space="preserve"> реалних и одрживих рокова, </w:t>
      </w:r>
      <w:r w:rsidRPr="00B8155C">
        <w:rPr>
          <w:sz w:val="24"/>
          <w:szCs w:val="24"/>
          <w:lang w:eastAsia="en-US"/>
        </w:rPr>
        <w:t>дефинисале финансијске</w:t>
      </w:r>
      <w:r w:rsidR="00276BFF" w:rsidRPr="00B8155C">
        <w:rPr>
          <w:sz w:val="24"/>
          <w:szCs w:val="24"/>
          <w:lang w:eastAsia="en-US"/>
        </w:rPr>
        <w:t xml:space="preserve"> услове и начи</w:t>
      </w:r>
      <w:r w:rsidR="00EB5A9F" w:rsidRPr="00B8155C">
        <w:rPr>
          <w:sz w:val="24"/>
          <w:szCs w:val="24"/>
          <w:lang w:eastAsia="en-US"/>
        </w:rPr>
        <w:t xml:space="preserve">н </w:t>
      </w:r>
      <w:r w:rsidRPr="00B8155C">
        <w:rPr>
          <w:sz w:val="24"/>
          <w:szCs w:val="24"/>
          <w:lang w:eastAsia="en-US"/>
        </w:rPr>
        <w:t>на који ће се средства овог кредита</w:t>
      </w:r>
      <w:r w:rsidR="00276BFF" w:rsidRPr="00B8155C">
        <w:rPr>
          <w:sz w:val="24"/>
          <w:szCs w:val="24"/>
          <w:lang w:eastAsia="en-US"/>
        </w:rPr>
        <w:t xml:space="preserve"> </w:t>
      </w:r>
      <w:r w:rsidRPr="00B8155C">
        <w:rPr>
          <w:sz w:val="24"/>
          <w:szCs w:val="24"/>
          <w:lang w:eastAsia="en-US"/>
        </w:rPr>
        <w:t xml:space="preserve">користити </w:t>
      </w:r>
      <w:r w:rsidR="00276BFF" w:rsidRPr="00B8155C">
        <w:rPr>
          <w:sz w:val="24"/>
          <w:szCs w:val="24"/>
          <w:lang w:eastAsia="en-US"/>
        </w:rPr>
        <w:t>и усаг</w:t>
      </w:r>
      <w:r w:rsidR="00EB5A9F" w:rsidRPr="00B8155C">
        <w:rPr>
          <w:sz w:val="24"/>
          <w:szCs w:val="24"/>
          <w:lang w:eastAsia="en-US"/>
        </w:rPr>
        <w:t>ласиле одредбе Уговора о кредитном аранжману</w:t>
      </w:r>
      <w:r w:rsidR="00276BFF" w:rsidRPr="00B8155C">
        <w:rPr>
          <w:sz w:val="24"/>
          <w:szCs w:val="24"/>
          <w:lang w:eastAsia="en-US"/>
        </w:rPr>
        <w:t xml:space="preserve">: </w:t>
      </w:r>
    </w:p>
    <w:p w:rsidR="0076449E" w:rsidRPr="00B8155C" w:rsidRDefault="0076449E" w:rsidP="0076449E">
      <w:pPr>
        <w:numPr>
          <w:ilvl w:val="0"/>
          <w:numId w:val="2"/>
        </w:numPr>
        <w:rPr>
          <w:sz w:val="24"/>
          <w:szCs w:val="24"/>
        </w:rPr>
      </w:pPr>
      <w:r w:rsidRPr="00B8155C">
        <w:rPr>
          <w:sz w:val="24"/>
          <w:szCs w:val="24"/>
        </w:rPr>
        <w:t xml:space="preserve">директно задужење Републике Србије: 75.000.000 евра; </w:t>
      </w:r>
    </w:p>
    <w:p w:rsidR="0076449E" w:rsidRPr="00B8155C" w:rsidRDefault="0076449E" w:rsidP="0076449E">
      <w:pPr>
        <w:numPr>
          <w:ilvl w:val="0"/>
          <w:numId w:val="2"/>
        </w:numPr>
        <w:rPr>
          <w:sz w:val="24"/>
          <w:szCs w:val="24"/>
        </w:rPr>
      </w:pPr>
      <w:r w:rsidRPr="00B8155C">
        <w:rPr>
          <w:sz w:val="24"/>
          <w:szCs w:val="24"/>
        </w:rPr>
        <w:t>полугодишња отплата зајма: 25. април и 25. октобар сваке године;</w:t>
      </w:r>
    </w:p>
    <w:p w:rsidR="0076449E" w:rsidRPr="00B8155C" w:rsidRDefault="0076449E" w:rsidP="0076449E">
      <w:pPr>
        <w:numPr>
          <w:ilvl w:val="0"/>
          <w:numId w:val="2"/>
        </w:numPr>
        <w:rPr>
          <w:sz w:val="24"/>
          <w:szCs w:val="24"/>
        </w:rPr>
      </w:pPr>
      <w:r w:rsidRPr="00B8155C">
        <w:rPr>
          <w:sz w:val="24"/>
          <w:szCs w:val="24"/>
        </w:rPr>
        <w:t xml:space="preserve">рок доспећа: 15 година, укључујући период почека од 6 година, уз отплату главнице у 18 једнаких рата, од којих прва доспева 25. априла 2028. године, а последња 25. октобра 2036. године; </w:t>
      </w:r>
    </w:p>
    <w:p w:rsidR="0076449E" w:rsidRPr="00B8155C" w:rsidRDefault="0076449E" w:rsidP="0076449E">
      <w:pPr>
        <w:numPr>
          <w:ilvl w:val="0"/>
          <w:numId w:val="2"/>
        </w:numPr>
        <w:rPr>
          <w:sz w:val="24"/>
          <w:szCs w:val="24"/>
        </w:rPr>
      </w:pPr>
      <w:r w:rsidRPr="00B8155C">
        <w:rPr>
          <w:sz w:val="24"/>
          <w:szCs w:val="24"/>
        </w:rPr>
        <w:t>рок расположивости зајма: средства зајма се могу повлачити шест година и рачуна се од датума потписивања Уговора о кредитном аранжману, закључно са датумом 17. децембар 2027. године;</w:t>
      </w:r>
    </w:p>
    <w:p w:rsidR="0076449E" w:rsidRPr="00B8155C" w:rsidRDefault="0076449E" w:rsidP="0076449E">
      <w:pPr>
        <w:pStyle w:val="ListParagraph"/>
        <w:numPr>
          <w:ilvl w:val="0"/>
          <w:numId w:val="2"/>
        </w:numPr>
        <w:contextualSpacing w:val="0"/>
        <w:jc w:val="both"/>
        <w:rPr>
          <w:rFonts w:ascii="Times New Roman" w:hAnsi="Times New Roman"/>
          <w:lang w:val="sr-Cyrl-RS"/>
        </w:rPr>
      </w:pPr>
      <w:r w:rsidRPr="00B8155C">
        <w:rPr>
          <w:rFonts w:ascii="Times New Roman" w:hAnsi="Times New Roman"/>
          <w:lang w:val="sr-Cyrl-RS"/>
        </w:rPr>
        <w:t>минимални износ исплате средстава зајма по повлачењу је 50.000 евра, под условом да не може бити више од 50 повлачења;</w:t>
      </w:r>
    </w:p>
    <w:p w:rsidR="0076449E" w:rsidRPr="00B8155C" w:rsidRDefault="0076449E" w:rsidP="0076449E">
      <w:pPr>
        <w:numPr>
          <w:ilvl w:val="0"/>
          <w:numId w:val="2"/>
        </w:numPr>
        <w:tabs>
          <w:tab w:val="left" w:pos="1080"/>
        </w:tabs>
        <w:rPr>
          <w:bCs/>
          <w:sz w:val="24"/>
          <w:szCs w:val="24"/>
        </w:rPr>
      </w:pPr>
      <w:r w:rsidRPr="00B8155C">
        <w:rPr>
          <w:bCs/>
          <w:sz w:val="24"/>
          <w:szCs w:val="24"/>
        </w:rPr>
        <w:t>накнада на неповучена средства износи 0,45% на годишњем нивоу;</w:t>
      </w:r>
    </w:p>
    <w:p w:rsidR="0076449E" w:rsidRPr="00B8155C" w:rsidRDefault="0076449E" w:rsidP="0076449E">
      <w:pPr>
        <w:numPr>
          <w:ilvl w:val="0"/>
          <w:numId w:val="2"/>
        </w:numPr>
        <w:tabs>
          <w:tab w:val="left" w:pos="1080"/>
        </w:tabs>
        <w:rPr>
          <w:bCs/>
          <w:sz w:val="24"/>
          <w:szCs w:val="24"/>
        </w:rPr>
      </w:pPr>
      <w:r w:rsidRPr="00B8155C">
        <w:rPr>
          <w:bCs/>
          <w:sz w:val="24"/>
          <w:szCs w:val="24"/>
        </w:rPr>
        <w:t>приступна накнада по стопи од 1% укупног износа зајма плаћа се Банци једнократно из средстава Зајмопримца;</w:t>
      </w:r>
    </w:p>
    <w:p w:rsidR="0076449E" w:rsidRPr="00B8155C" w:rsidRDefault="0076449E" w:rsidP="0076449E">
      <w:pPr>
        <w:numPr>
          <w:ilvl w:val="0"/>
          <w:numId w:val="2"/>
        </w:numPr>
        <w:tabs>
          <w:tab w:val="left" w:pos="1080"/>
        </w:tabs>
        <w:rPr>
          <w:bCs/>
          <w:sz w:val="24"/>
          <w:szCs w:val="24"/>
        </w:rPr>
      </w:pPr>
      <w:r w:rsidRPr="00B8155C">
        <w:rPr>
          <w:sz w:val="24"/>
          <w:szCs w:val="24"/>
        </w:rPr>
        <w:t>каматна стопа: за свако повлачење средстава, Зајмопримац може одабрати фиксну каматну стопу под условом да је износ траженог повлачења средстава једнак или већи од три милиона евра (3.000.000 ЕУР) или варијабилну каматну стопу (шестомесечни EURIBOR + фиксна маржа од 1%), која ће се примењивати на износ дефинисан у релевантном Захтеву за повлачење средстава. Каматна стопа утврђена у складу са чланом 4.1.1 Уговора о кредитном аранжману (Одабир каматне стопе), без обзира на изабрану опцију, неће бити мања од једне четвртине процента (0,25%) на годишњем нивоу, без обзира на било какав пад каматне стопе.</w:t>
      </w:r>
    </w:p>
    <w:p w:rsidR="00FF0BB5" w:rsidRDefault="00FF0BB5" w:rsidP="0076449E">
      <w:pPr>
        <w:ind w:firstLine="720"/>
        <w:rPr>
          <w:sz w:val="24"/>
          <w:szCs w:val="24"/>
          <w:lang w:eastAsia="en-US"/>
        </w:rPr>
      </w:pPr>
    </w:p>
    <w:p w:rsidR="00276BFF" w:rsidRPr="00B8155C" w:rsidRDefault="00276BFF" w:rsidP="006814BB">
      <w:pPr>
        <w:tabs>
          <w:tab w:val="left" w:pos="1134"/>
        </w:tabs>
        <w:spacing w:after="240"/>
        <w:ind w:left="630" w:hanging="630"/>
        <w:rPr>
          <w:sz w:val="24"/>
          <w:szCs w:val="24"/>
          <w:lang w:val="sr-Cyrl-CS" w:eastAsia="de-DE"/>
        </w:rPr>
      </w:pPr>
      <w:r w:rsidRPr="00B8155C">
        <w:rPr>
          <w:bCs/>
          <w:sz w:val="24"/>
          <w:szCs w:val="24"/>
          <w:lang w:val="sr-Cyrl-CS" w:eastAsia="de-DE"/>
        </w:rPr>
        <w:t xml:space="preserve">III. </w:t>
      </w:r>
      <w:r w:rsidRPr="00B8155C">
        <w:rPr>
          <w:bCs/>
          <w:sz w:val="24"/>
          <w:szCs w:val="24"/>
          <w:lang w:val="sr-Cyrl-CS" w:eastAsia="de-DE"/>
        </w:rPr>
        <w:tab/>
        <w:t>ОБЈАШЊЕЊЕ ОСНОВНИХ ПРАВНИХ ИНСТИТУТА И ПОЈЕДИНАЧНИХ РЕШЕЊА</w:t>
      </w:r>
    </w:p>
    <w:p w:rsidR="00276BFF" w:rsidRPr="00225477" w:rsidRDefault="00276BFF" w:rsidP="006814BB">
      <w:pPr>
        <w:ind w:firstLine="630"/>
        <w:rPr>
          <w:sz w:val="24"/>
          <w:szCs w:val="24"/>
          <w:highlight w:val="yellow"/>
          <w:lang w:val="sr-Cyrl-CS" w:eastAsia="de-DE"/>
        </w:rPr>
      </w:pPr>
      <w:r w:rsidRPr="00B8155C">
        <w:rPr>
          <w:sz w:val="24"/>
          <w:szCs w:val="24"/>
          <w:lang w:val="sr-Cyrl-CS" w:eastAsia="de-DE"/>
        </w:rPr>
        <w:t xml:space="preserve">Одредбом члана 1. овог закона предвиђа се потврђивање </w:t>
      </w:r>
      <w:r w:rsidR="006814BB" w:rsidRPr="00B8155C">
        <w:rPr>
          <w:sz w:val="24"/>
          <w:szCs w:val="24"/>
          <w:lang w:val="sr-Cyrl-CS" w:eastAsia="en-US"/>
        </w:rPr>
        <w:t>Уговора о кредитном аранжману</w:t>
      </w:r>
      <w:r w:rsidRPr="00B8155C">
        <w:rPr>
          <w:sz w:val="24"/>
          <w:szCs w:val="24"/>
          <w:lang w:val="sr-Cyrl-CS" w:eastAsia="en-US"/>
        </w:rPr>
        <w:t xml:space="preserve"> бр. </w:t>
      </w:r>
      <w:r w:rsidR="006814BB" w:rsidRPr="00B8155C">
        <w:rPr>
          <w:sz w:val="24"/>
          <w:szCs w:val="24"/>
          <w:lang w:eastAsia="en-US"/>
        </w:rPr>
        <w:t>ЦРС</w:t>
      </w:r>
      <w:r w:rsidR="006814BB" w:rsidRPr="00B8155C">
        <w:rPr>
          <w:sz w:val="24"/>
          <w:szCs w:val="24"/>
          <w:lang w:val="en-US" w:eastAsia="en-US"/>
        </w:rPr>
        <w:t xml:space="preserve"> 1022 01 </w:t>
      </w:r>
      <w:r w:rsidR="006814BB" w:rsidRPr="00B8155C">
        <w:rPr>
          <w:sz w:val="24"/>
          <w:szCs w:val="24"/>
          <w:lang w:eastAsia="en-US"/>
        </w:rPr>
        <w:t>А</w:t>
      </w:r>
      <w:r w:rsidRPr="00B8155C">
        <w:rPr>
          <w:sz w:val="24"/>
          <w:szCs w:val="24"/>
          <w:lang w:val="en-US" w:eastAsia="en-US"/>
        </w:rPr>
        <w:t xml:space="preserve"> </w:t>
      </w:r>
      <w:r w:rsidRPr="00B8155C">
        <w:rPr>
          <w:sz w:val="24"/>
          <w:szCs w:val="24"/>
          <w:lang w:val="sr-Cyrl-CS" w:eastAsia="en-US"/>
        </w:rPr>
        <w:t>између Француске агенције за развој</w:t>
      </w:r>
      <w:r w:rsidR="001F212E">
        <w:rPr>
          <w:sz w:val="24"/>
          <w:szCs w:val="24"/>
          <w:lang w:val="sr-Cyrl-CS" w:eastAsia="en-US"/>
        </w:rPr>
        <w:t>, као Зајмодавца</w:t>
      </w:r>
      <w:r w:rsidRPr="00B8155C">
        <w:rPr>
          <w:sz w:val="24"/>
          <w:szCs w:val="24"/>
          <w:lang w:val="sr-Cyrl-CS" w:eastAsia="en-US"/>
        </w:rPr>
        <w:t xml:space="preserve"> и </w:t>
      </w:r>
      <w:r w:rsidRPr="00CB3410">
        <w:rPr>
          <w:sz w:val="24"/>
          <w:szCs w:val="24"/>
          <w:lang w:val="sr-Cyrl-CS" w:eastAsia="en-US"/>
        </w:rPr>
        <w:t>Републике Србије</w:t>
      </w:r>
      <w:r w:rsidRPr="00CB3410">
        <w:rPr>
          <w:sz w:val="24"/>
          <w:lang w:val="sr-Cyrl-CS" w:eastAsia="en-US"/>
        </w:rPr>
        <w:t>,</w:t>
      </w:r>
      <w:r w:rsidR="001F212E" w:rsidRPr="00CB3410">
        <w:rPr>
          <w:sz w:val="24"/>
          <w:lang w:val="sr-Cyrl-CS" w:eastAsia="en-US"/>
        </w:rPr>
        <w:t xml:space="preserve"> као Зајмопримца</w:t>
      </w:r>
      <w:r w:rsidRPr="00CB3410">
        <w:rPr>
          <w:sz w:val="24"/>
          <w:lang w:val="sr-Cyrl-CS" w:eastAsia="en-US"/>
        </w:rPr>
        <w:t xml:space="preserve"> </w:t>
      </w:r>
      <w:r w:rsidR="000F6048" w:rsidRPr="00CB3410">
        <w:rPr>
          <w:sz w:val="24"/>
          <w:lang w:val="sr-Cyrl-CS" w:eastAsia="en-US"/>
        </w:rPr>
        <w:t xml:space="preserve">за реализацију Програма </w:t>
      </w:r>
      <w:r w:rsidR="006814BB" w:rsidRPr="00CB3410">
        <w:rPr>
          <w:sz w:val="24"/>
          <w:lang w:val="sr-Cyrl-CS" w:eastAsia="en-US"/>
        </w:rPr>
        <w:t>чврстог отпада у Србији</w:t>
      </w:r>
      <w:r w:rsidR="00B97240" w:rsidRPr="00CB3410">
        <w:rPr>
          <w:sz w:val="24"/>
          <w:lang w:val="sr-Cyrl-CS" w:eastAsia="en-US"/>
        </w:rPr>
        <w:t>,</w:t>
      </w:r>
      <w:r w:rsidR="000F6048" w:rsidRPr="00CB3410">
        <w:rPr>
          <w:sz w:val="24"/>
          <w:lang w:val="sr-Cyrl-CS" w:eastAsia="en-US"/>
        </w:rPr>
        <w:t xml:space="preserve"> </w:t>
      </w:r>
      <w:r w:rsidRPr="00CB3410">
        <w:rPr>
          <w:sz w:val="24"/>
          <w:lang w:val="sr-Cyrl-CS" w:eastAsia="en-US"/>
        </w:rPr>
        <w:t xml:space="preserve">који је потписан у Београду </w:t>
      </w:r>
      <w:r w:rsidR="006814BB" w:rsidRPr="00CB3410">
        <w:rPr>
          <w:sz w:val="24"/>
          <w:lang w:val="sr-Latn-RS" w:eastAsia="en-US"/>
        </w:rPr>
        <w:t>17</w:t>
      </w:r>
      <w:r w:rsidRPr="00CB3410">
        <w:rPr>
          <w:sz w:val="24"/>
          <w:lang w:val="sr-Cyrl-CS" w:eastAsia="en-US"/>
        </w:rPr>
        <w:t xml:space="preserve">. </w:t>
      </w:r>
      <w:r w:rsidR="006814BB" w:rsidRPr="00CB3410">
        <w:rPr>
          <w:sz w:val="24"/>
          <w:lang w:eastAsia="en-US"/>
        </w:rPr>
        <w:t>децембра</w:t>
      </w:r>
      <w:r w:rsidRPr="00CB3410">
        <w:rPr>
          <w:sz w:val="24"/>
          <w:lang w:val="sr-Cyrl-CS" w:eastAsia="en-US"/>
        </w:rPr>
        <w:t xml:space="preserve"> 20</w:t>
      </w:r>
      <w:r w:rsidR="003401F3" w:rsidRPr="00CB3410">
        <w:rPr>
          <w:sz w:val="24"/>
          <w:lang w:val="sr-Cyrl-CS" w:eastAsia="en-US"/>
        </w:rPr>
        <w:t>21</w:t>
      </w:r>
      <w:r w:rsidRPr="00CB3410">
        <w:rPr>
          <w:sz w:val="24"/>
          <w:lang w:val="sr-Cyrl-CS" w:eastAsia="en-US"/>
        </w:rPr>
        <w:t>. године</w:t>
      </w:r>
      <w:r w:rsidRPr="00CB3410">
        <w:rPr>
          <w:sz w:val="24"/>
          <w:szCs w:val="24"/>
          <w:lang w:val="sr-Cyrl-CS" w:eastAsia="de-DE"/>
        </w:rPr>
        <w:t xml:space="preserve">.    </w:t>
      </w:r>
    </w:p>
    <w:p w:rsidR="00276BFF" w:rsidRPr="00B8155C" w:rsidRDefault="00276BFF" w:rsidP="006814BB">
      <w:pPr>
        <w:ind w:firstLine="630"/>
        <w:rPr>
          <w:sz w:val="24"/>
          <w:szCs w:val="24"/>
          <w:lang w:val="sr-Cyrl-CS" w:eastAsia="de-DE"/>
        </w:rPr>
      </w:pPr>
      <w:r w:rsidRPr="00B8155C">
        <w:rPr>
          <w:sz w:val="24"/>
          <w:szCs w:val="24"/>
          <w:lang w:val="sr-Cyrl-CS" w:eastAsia="de-DE"/>
        </w:rPr>
        <w:t xml:space="preserve">Одредба члана 2. овог закона садржи текст </w:t>
      </w:r>
      <w:r w:rsidR="006814BB" w:rsidRPr="00B8155C">
        <w:rPr>
          <w:sz w:val="24"/>
          <w:szCs w:val="24"/>
          <w:lang w:val="sr-Cyrl-CS" w:eastAsia="en-US"/>
        </w:rPr>
        <w:t>Уговора о кредит</w:t>
      </w:r>
      <w:r w:rsidR="006814BB" w:rsidRPr="00B8155C">
        <w:rPr>
          <w:sz w:val="24"/>
          <w:szCs w:val="24"/>
          <w:lang w:eastAsia="en-US"/>
        </w:rPr>
        <w:t>ном аранжману</w:t>
      </w:r>
      <w:r w:rsidRPr="00B8155C">
        <w:rPr>
          <w:sz w:val="24"/>
          <w:szCs w:val="24"/>
          <w:lang w:val="sr-Cyrl-CS" w:eastAsia="en-US"/>
        </w:rPr>
        <w:t xml:space="preserve"> </w:t>
      </w:r>
      <w:r w:rsidRPr="00B8155C">
        <w:rPr>
          <w:sz w:val="24"/>
          <w:szCs w:val="24"/>
          <w:lang w:val="sr-Cyrl-CS" w:eastAsia="de-DE"/>
        </w:rPr>
        <w:t xml:space="preserve">у оригиналу на енглеском језику и у преводу на српски језик. </w:t>
      </w:r>
    </w:p>
    <w:p w:rsidR="00276BFF" w:rsidRPr="00B8155C" w:rsidRDefault="00276BFF" w:rsidP="006814BB">
      <w:pPr>
        <w:ind w:firstLine="630"/>
        <w:rPr>
          <w:sz w:val="24"/>
          <w:szCs w:val="24"/>
          <w:lang w:val="sr-Cyrl-CS" w:eastAsia="de-DE"/>
        </w:rPr>
      </w:pPr>
      <w:r w:rsidRPr="00B8155C">
        <w:rPr>
          <w:sz w:val="24"/>
          <w:szCs w:val="24"/>
          <w:lang w:val="sr-Cyrl-CS" w:eastAsia="de-DE"/>
        </w:rPr>
        <w:t xml:space="preserve">Одредбом члана 3. уређује се ступање на снагу овог закона.  </w:t>
      </w:r>
    </w:p>
    <w:p w:rsidR="00276BFF" w:rsidRPr="00225477" w:rsidRDefault="00276BFF" w:rsidP="00276BFF">
      <w:pPr>
        <w:spacing w:line="312" w:lineRule="exact"/>
        <w:ind w:firstLine="708"/>
        <w:rPr>
          <w:sz w:val="24"/>
          <w:szCs w:val="24"/>
          <w:highlight w:val="yellow"/>
          <w:lang w:val="sr-Cyrl-CS" w:eastAsia="de-DE"/>
        </w:rPr>
      </w:pPr>
    </w:p>
    <w:p w:rsidR="00276BFF" w:rsidRPr="00B8155C" w:rsidRDefault="00276BFF" w:rsidP="00B8155C">
      <w:pPr>
        <w:tabs>
          <w:tab w:val="left" w:pos="360"/>
          <w:tab w:val="left" w:pos="570"/>
          <w:tab w:val="left" w:pos="630"/>
          <w:tab w:val="left" w:pos="851"/>
          <w:tab w:val="left" w:pos="1150"/>
          <w:tab w:val="left" w:pos="4890"/>
          <w:tab w:val="left" w:pos="6330"/>
        </w:tabs>
        <w:ind w:left="630" w:hanging="630"/>
        <w:rPr>
          <w:sz w:val="24"/>
          <w:szCs w:val="24"/>
          <w:lang w:val="sr-Cyrl-CS" w:eastAsia="de-DE"/>
        </w:rPr>
      </w:pPr>
      <w:r w:rsidRPr="00B8155C">
        <w:rPr>
          <w:bCs/>
          <w:sz w:val="24"/>
          <w:szCs w:val="24"/>
          <w:lang w:val="sr-Cyrl-CS" w:eastAsia="de-DE"/>
        </w:rPr>
        <w:t>IV.</w:t>
      </w:r>
      <w:r w:rsidRPr="00B8155C">
        <w:rPr>
          <w:bCs/>
          <w:sz w:val="24"/>
          <w:szCs w:val="24"/>
          <w:lang w:val="sr-Cyrl-CS" w:eastAsia="de-DE"/>
        </w:rPr>
        <w:tab/>
        <w:t xml:space="preserve"> </w:t>
      </w:r>
      <w:r w:rsidR="00B8155C" w:rsidRPr="00B8155C">
        <w:rPr>
          <w:bCs/>
          <w:sz w:val="24"/>
          <w:szCs w:val="24"/>
          <w:lang w:val="sr-Cyrl-CS" w:eastAsia="de-DE"/>
        </w:rPr>
        <w:tab/>
      </w:r>
      <w:r w:rsidR="00B8155C" w:rsidRPr="00B8155C">
        <w:rPr>
          <w:bCs/>
          <w:sz w:val="24"/>
          <w:szCs w:val="24"/>
          <w:lang w:val="sr-Cyrl-CS" w:eastAsia="de-DE"/>
        </w:rPr>
        <w:tab/>
      </w:r>
      <w:r w:rsidRPr="00B8155C">
        <w:rPr>
          <w:sz w:val="24"/>
          <w:szCs w:val="24"/>
          <w:lang w:val="sr-Cyrl-CS" w:eastAsia="de-DE"/>
        </w:rPr>
        <w:t xml:space="preserve">ФИНАНСИЈСКЕ ОБАВЕЗЕ И ПРОЦЕНА ФИНАНСИЈСКИХ СРЕДСТАВА КОЈА НАСТАЈУ ИЗВРШАВАЊЕМ ЗАКОНА    </w:t>
      </w:r>
      <w:r w:rsidRPr="00B8155C">
        <w:rPr>
          <w:sz w:val="24"/>
          <w:szCs w:val="24"/>
          <w:lang w:val="sr-Cyrl-CS" w:eastAsia="de-DE"/>
        </w:rPr>
        <w:tab/>
        <w:t xml:space="preserve"> </w:t>
      </w:r>
    </w:p>
    <w:p w:rsidR="00276BFF" w:rsidRPr="00B8155C" w:rsidRDefault="00276BFF" w:rsidP="00276BFF">
      <w:pPr>
        <w:spacing w:line="312" w:lineRule="exact"/>
        <w:ind w:firstLine="720"/>
        <w:rPr>
          <w:b/>
          <w:bCs/>
          <w:sz w:val="24"/>
          <w:szCs w:val="24"/>
          <w:lang w:val="sr-Cyrl-CS" w:eastAsia="de-DE"/>
        </w:rPr>
      </w:pPr>
    </w:p>
    <w:p w:rsidR="00D271CE" w:rsidRDefault="006814BB" w:rsidP="00EB5A9F">
      <w:pPr>
        <w:spacing w:line="312" w:lineRule="exact"/>
        <w:ind w:firstLine="630"/>
      </w:pPr>
      <w:r w:rsidRPr="00B8155C">
        <w:rPr>
          <w:sz w:val="24"/>
          <w:szCs w:val="24"/>
          <w:lang w:val="sr-Cyrl-CS" w:eastAsia="de-DE"/>
        </w:rPr>
        <w:t xml:space="preserve"> </w:t>
      </w:r>
      <w:r w:rsidR="00276BFF" w:rsidRPr="00B8155C">
        <w:rPr>
          <w:sz w:val="24"/>
          <w:szCs w:val="24"/>
          <w:lang w:val="sr-Cyrl-CS" w:eastAsia="de-DE"/>
        </w:rPr>
        <w:t>За спровођење овог закона обезбеђиваће се средства у буџету Републике Србије.</w:t>
      </w:r>
    </w:p>
    <w:sectPr w:rsidR="00D271CE" w:rsidSect="00386C17">
      <w:footerReference w:type="even"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222" w:rsidRDefault="00DF7222">
      <w:r>
        <w:separator/>
      </w:r>
    </w:p>
  </w:endnote>
  <w:endnote w:type="continuationSeparator" w:id="0">
    <w:p w:rsidR="00DF7222" w:rsidRDefault="00DF7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FB69D4" w:rsidRDefault="00386C17">
    <w:pPr>
      <w:pStyle w:val="Footer"/>
      <w:ind w:right="360"/>
    </w:pPr>
  </w:p>
  <w:p w:rsidR="00FB69D4" w:rsidRDefault="00386C1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386C17">
      <w:rPr>
        <w:rStyle w:val="PageNumber"/>
        <w:noProof/>
        <w:sz w:val="16"/>
        <w:szCs w:val="16"/>
      </w:rPr>
      <w:t>3</w:t>
    </w:r>
    <w:r>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9D4" w:rsidRDefault="00222F0F">
    <w:pPr>
      <w:pStyle w:val="Footer"/>
      <w:spacing w:line="200" w:lineRule="exact"/>
      <w:jc w:val="left"/>
      <w:rPr>
        <w:rFonts w:ascii="Arial" w:hAnsi="Arial" w:cs="Arial"/>
        <w:sz w:val="16"/>
        <w:szCs w:val="16"/>
      </w:rPr>
    </w:pPr>
    <w:r>
      <w:rPr>
        <w:rFonts w:ascii="Arial" w:hAnsi="Arial"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222" w:rsidRDefault="00DF7222">
      <w:r>
        <w:separator/>
      </w:r>
    </w:p>
  </w:footnote>
  <w:footnote w:type="continuationSeparator" w:id="0">
    <w:p w:rsidR="00DF7222" w:rsidRDefault="00DF72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982927"/>
    <w:multiLevelType w:val="hybridMultilevel"/>
    <w:tmpl w:val="C76AD5E2"/>
    <w:lvl w:ilvl="0" w:tplc="FE8E39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1"/>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FF"/>
    <w:rsid w:val="00046F25"/>
    <w:rsid w:val="000E0BEA"/>
    <w:rsid w:val="000F6048"/>
    <w:rsid w:val="001F212E"/>
    <w:rsid w:val="001F4339"/>
    <w:rsid w:val="00222F0F"/>
    <w:rsid w:val="00225477"/>
    <w:rsid w:val="00276BFF"/>
    <w:rsid w:val="002C0F4E"/>
    <w:rsid w:val="002C590F"/>
    <w:rsid w:val="002D12E1"/>
    <w:rsid w:val="002E2FF4"/>
    <w:rsid w:val="003401F3"/>
    <w:rsid w:val="00386C17"/>
    <w:rsid w:val="00482FC8"/>
    <w:rsid w:val="004D1DFC"/>
    <w:rsid w:val="005203E3"/>
    <w:rsid w:val="005848A7"/>
    <w:rsid w:val="005F26D7"/>
    <w:rsid w:val="006814BB"/>
    <w:rsid w:val="0076449E"/>
    <w:rsid w:val="00797BB3"/>
    <w:rsid w:val="00823BD1"/>
    <w:rsid w:val="00880C03"/>
    <w:rsid w:val="00906DDA"/>
    <w:rsid w:val="00973A32"/>
    <w:rsid w:val="009B5B34"/>
    <w:rsid w:val="009E37DE"/>
    <w:rsid w:val="009F3400"/>
    <w:rsid w:val="00AA68D1"/>
    <w:rsid w:val="00B8155C"/>
    <w:rsid w:val="00B97240"/>
    <w:rsid w:val="00BA26C4"/>
    <w:rsid w:val="00BE1565"/>
    <w:rsid w:val="00C126EA"/>
    <w:rsid w:val="00CB3410"/>
    <w:rsid w:val="00CC2A5C"/>
    <w:rsid w:val="00D271CE"/>
    <w:rsid w:val="00D97314"/>
    <w:rsid w:val="00DF7222"/>
    <w:rsid w:val="00E01304"/>
    <w:rsid w:val="00EA121C"/>
    <w:rsid w:val="00EA14CD"/>
    <w:rsid w:val="00EB5A9F"/>
    <w:rsid w:val="00F56767"/>
    <w:rsid w:val="00F72B4E"/>
    <w:rsid w:val="00FF0B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ED0E2"/>
  <w15:chartTrackingRefBased/>
  <w15:docId w15:val="{34E23B4A-54E2-4F5B-A4BA-C571F738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767"/>
    <w:pPr>
      <w:spacing w:after="0" w:line="240" w:lineRule="auto"/>
      <w:jc w:val="both"/>
    </w:pPr>
    <w:rPr>
      <w:rFonts w:ascii="Times New Roman" w:eastAsia="Times New Roman" w:hAnsi="Times New Roman" w:cs="Times New Roman"/>
      <w:szCs w:val="20"/>
      <w:lang w:val="sr-Cyrl-R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276BFF"/>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276BFF"/>
    <w:rPr>
      <w:rFonts w:ascii="Times New Roman" w:eastAsia="Times New Roman" w:hAnsi="Times New Roman" w:cs="Arial"/>
      <w:bCs/>
      <w:szCs w:val="20"/>
      <w:lang w:val="en-GB" w:eastAsia="fr-FR"/>
    </w:rPr>
  </w:style>
  <w:style w:type="paragraph" w:styleId="Footer">
    <w:name w:val="footer"/>
    <w:basedOn w:val="Normal"/>
    <w:link w:val="FooterChar"/>
    <w:uiPriority w:val="99"/>
    <w:rsid w:val="00276BFF"/>
    <w:pPr>
      <w:tabs>
        <w:tab w:val="center" w:pos="4536"/>
        <w:tab w:val="right" w:pos="9072"/>
      </w:tabs>
    </w:pPr>
  </w:style>
  <w:style w:type="character" w:customStyle="1" w:styleId="FooterChar">
    <w:name w:val="Footer Char"/>
    <w:basedOn w:val="DefaultParagraphFont"/>
    <w:link w:val="Footer"/>
    <w:uiPriority w:val="99"/>
    <w:rsid w:val="00276BFF"/>
    <w:rPr>
      <w:rFonts w:ascii="Times New Roman" w:eastAsia="Times New Roman" w:hAnsi="Times New Roman" w:cs="Times New Roman"/>
      <w:szCs w:val="20"/>
      <w:lang w:val="sr-Cyrl-RS" w:eastAsia="fr-FR"/>
    </w:rPr>
  </w:style>
  <w:style w:type="character" w:styleId="PageNumber">
    <w:name w:val="page number"/>
    <w:basedOn w:val="DefaultParagraphFont"/>
    <w:rsid w:val="00276BFF"/>
  </w:style>
  <w:style w:type="paragraph" w:styleId="Header">
    <w:name w:val="header"/>
    <w:basedOn w:val="Normal"/>
    <w:link w:val="HeaderChar"/>
    <w:rsid w:val="00276BFF"/>
    <w:pPr>
      <w:tabs>
        <w:tab w:val="center" w:pos="4536"/>
        <w:tab w:val="right" w:pos="9072"/>
      </w:tabs>
    </w:pPr>
  </w:style>
  <w:style w:type="character" w:customStyle="1" w:styleId="HeaderChar">
    <w:name w:val="Header Char"/>
    <w:basedOn w:val="DefaultParagraphFont"/>
    <w:link w:val="Header"/>
    <w:rsid w:val="00276BFF"/>
    <w:rPr>
      <w:rFonts w:ascii="Times New Roman" w:eastAsia="Times New Roman" w:hAnsi="Times New Roman" w:cs="Times New Roman"/>
      <w:szCs w:val="20"/>
      <w:lang w:val="sr-Cyrl-RS" w:eastAsia="fr-FR"/>
    </w:rPr>
  </w:style>
  <w:style w:type="paragraph" w:customStyle="1" w:styleId="Num1">
    <w:name w:val="Num1"/>
    <w:rsid w:val="00276BFF"/>
    <w:pPr>
      <w:numPr>
        <w:numId w:val="1"/>
      </w:numPr>
      <w:spacing w:before="120" w:after="240" w:line="260" w:lineRule="atLeast"/>
      <w:jc w:val="both"/>
    </w:pPr>
    <w:rPr>
      <w:rFonts w:ascii="Times New Roman" w:eastAsia="Calibri" w:hAnsi="Times New Roman" w:cs="Times New Roman"/>
      <w:lang w:val="fr"/>
    </w:rPr>
  </w:style>
  <w:style w:type="paragraph" w:customStyle="1" w:styleId="Num2">
    <w:name w:val="Num2"/>
    <w:rsid w:val="00276BFF"/>
    <w:pPr>
      <w:numPr>
        <w:ilvl w:val="1"/>
        <w:numId w:val="1"/>
      </w:numPr>
      <w:spacing w:after="240" w:line="240" w:lineRule="auto"/>
      <w:jc w:val="both"/>
    </w:pPr>
    <w:rPr>
      <w:rFonts w:ascii="Times New Roman" w:eastAsia="Calibri" w:hAnsi="Times New Roman" w:cs="Times New Roman"/>
      <w:lang w:val="fr"/>
    </w:rPr>
  </w:style>
  <w:style w:type="paragraph" w:customStyle="1" w:styleId="Num3">
    <w:name w:val="Num3"/>
    <w:rsid w:val="00276BFF"/>
    <w:pPr>
      <w:numPr>
        <w:ilvl w:val="2"/>
        <w:numId w:val="1"/>
      </w:numPr>
      <w:spacing w:after="240" w:line="240" w:lineRule="auto"/>
      <w:jc w:val="both"/>
    </w:pPr>
    <w:rPr>
      <w:rFonts w:ascii="Times New Roman" w:eastAsia="Calibri" w:hAnsi="Times New Roman" w:cs="Times New Roman"/>
      <w:lang w:val="fr"/>
    </w:rPr>
  </w:style>
  <w:style w:type="paragraph" w:customStyle="1" w:styleId="Num4">
    <w:name w:val="Num4"/>
    <w:rsid w:val="00276BFF"/>
    <w:pPr>
      <w:numPr>
        <w:ilvl w:val="3"/>
        <w:numId w:val="1"/>
      </w:numPr>
      <w:spacing w:after="240" w:line="240" w:lineRule="auto"/>
      <w:jc w:val="both"/>
    </w:pPr>
    <w:rPr>
      <w:rFonts w:ascii="Times New Roman" w:eastAsia="Calibri" w:hAnsi="Times New Roman" w:cs="Times New Roman"/>
      <w:lang w:val="fr"/>
    </w:rPr>
  </w:style>
  <w:style w:type="paragraph" w:customStyle="1" w:styleId="Num5">
    <w:name w:val="Num5"/>
    <w:rsid w:val="00276BFF"/>
    <w:pPr>
      <w:numPr>
        <w:ilvl w:val="4"/>
        <w:numId w:val="1"/>
      </w:numPr>
      <w:spacing w:after="240" w:line="240" w:lineRule="auto"/>
      <w:jc w:val="both"/>
    </w:pPr>
    <w:rPr>
      <w:rFonts w:ascii="Times New Roman" w:eastAsia="Calibri" w:hAnsi="Times New Roman" w:cs="Times New Roman"/>
      <w:lang w:val="fr"/>
    </w:rPr>
  </w:style>
  <w:style w:type="paragraph" w:styleId="BalloonText">
    <w:name w:val="Balloon Text"/>
    <w:basedOn w:val="Normal"/>
    <w:link w:val="BalloonTextChar"/>
    <w:uiPriority w:val="99"/>
    <w:semiHidden/>
    <w:unhideWhenUsed/>
    <w:rsid w:val="002C0F4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0F4E"/>
    <w:rPr>
      <w:rFonts w:ascii="Segoe UI" w:eastAsia="Times New Roman" w:hAnsi="Segoe UI" w:cs="Segoe UI"/>
      <w:sz w:val="18"/>
      <w:szCs w:val="18"/>
      <w:lang w:val="sr-Cyrl-RS" w:eastAsia="fr-FR"/>
    </w:rPr>
  </w:style>
  <w:style w:type="character" w:customStyle="1" w:styleId="ListParagraphChar">
    <w:name w:val="List Paragraph Char"/>
    <w:link w:val="ListParagraph"/>
    <w:uiPriority w:val="34"/>
    <w:locked/>
    <w:rsid w:val="0076449E"/>
    <w:rPr>
      <w:sz w:val="24"/>
      <w:szCs w:val="24"/>
    </w:rPr>
  </w:style>
  <w:style w:type="paragraph" w:styleId="ListParagraph">
    <w:name w:val="List Paragraph"/>
    <w:basedOn w:val="Normal"/>
    <w:link w:val="ListParagraphChar"/>
    <w:uiPriority w:val="34"/>
    <w:qFormat/>
    <w:rsid w:val="0076449E"/>
    <w:pPr>
      <w:ind w:left="720"/>
      <w:contextualSpacing/>
      <w:jc w:val="left"/>
    </w:pPr>
    <w:rPr>
      <w:rFonts w:asciiTheme="minorHAnsi" w:eastAsiaTheme="minorHAnsi" w:hAnsiTheme="minorHAnsi" w:cstheme="minorBidi"/>
      <w:sz w:val="24"/>
      <w:szCs w:val="24"/>
      <w:lang w:val="en-US" w:eastAsia="en-US"/>
    </w:rPr>
  </w:style>
  <w:style w:type="character" w:styleId="Hyperlink">
    <w:name w:val="Hyperlink"/>
    <w:basedOn w:val="DefaultParagraphFont"/>
    <w:uiPriority w:val="99"/>
    <w:semiHidden/>
    <w:unhideWhenUsed/>
    <w:rsid w:val="005848A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1257</Words>
  <Characters>7169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PDA</dc:creator>
  <cp:keywords/>
  <dc:description/>
  <cp:lastModifiedBy>Daktilobiro09</cp:lastModifiedBy>
  <cp:revision>15</cp:revision>
  <cp:lastPrinted>2021-12-30T11:08:00Z</cp:lastPrinted>
  <dcterms:created xsi:type="dcterms:W3CDTF">2021-12-15T11:56:00Z</dcterms:created>
  <dcterms:modified xsi:type="dcterms:W3CDTF">2021-12-30T11:08:00Z</dcterms:modified>
</cp:coreProperties>
</file>